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1"/>
          <w:numId w:val="0"/>
        </w:numPr>
        <w:ind w:leftChars="0"/>
        <w:jc w:val="center"/>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0" w:name="_Toc3642"/>
      <w:bookmarkStart w:id="23" w:name="_GoBack"/>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附件1：包1</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采购需求</w:t>
      </w:r>
      <w:bookmarkEnd w:id="0"/>
    </w:p>
    <w:bookmarkEnd w:id="23"/>
    <w:p>
      <w:pPr>
        <w:pStyle w:val="3"/>
        <w:numPr>
          <w:ilvl w:val="1"/>
          <w:numId w:val="0"/>
        </w:numPr>
        <w:ind w:leftChars="0"/>
        <w:jc w:val="center"/>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1" w:name="_Toc30445"/>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采购包</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1</w:t>
      </w:r>
      <w:r>
        <w:rPr>
          <w:rFonts w:hint="eastAsia" w:ascii="方正仿宋_GB2312" w:hAnsi="方正仿宋_GB2312" w:eastAsia="方正仿宋_GB2312" w:cs="方正仿宋_GB2312"/>
          <w:color w:val="000000" w:themeColor="text1"/>
          <w:highlight w:val="none"/>
          <w14:textFill>
            <w14:solidFill>
              <w14:schemeClr w14:val="tx1"/>
            </w14:solidFill>
          </w14:textFill>
        </w:rPr>
        <w:t>-系统软件建设</w:t>
      </w:r>
      <w:bookmarkEnd w:id="1"/>
    </w:p>
    <w:p>
      <w:pPr>
        <w:pStyle w:val="4"/>
        <w:numPr>
          <w:ilvl w:val="2"/>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1、</w:t>
      </w:r>
      <w:r>
        <w:rPr>
          <w:rFonts w:hint="eastAsia" w:ascii="方正仿宋_GB2312" w:hAnsi="方正仿宋_GB2312" w:eastAsia="方正仿宋_GB2312" w:cs="方正仿宋_GB2312"/>
          <w:color w:val="000000" w:themeColor="text1"/>
          <w:highlight w:val="none"/>
          <w14:textFill>
            <w14:solidFill>
              <w14:schemeClr w14:val="tx1"/>
            </w14:solidFill>
          </w14:textFill>
        </w:rPr>
        <w:t>技术要求</w:t>
      </w:r>
    </w:p>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1.1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项目概况</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项目名称：海南省三甲医院信息化能力提升项目。</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采购人：海南省卫生健康委员会统计信息中心。</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采购内容：系统软件建设（</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采购</w:t>
      </w:r>
      <w:r>
        <w:rPr>
          <w:rFonts w:hint="eastAsia" w:ascii="方正仿宋_GB2312" w:hAnsi="方正仿宋_GB2312" w:eastAsia="方正仿宋_GB2312" w:cs="方正仿宋_GB2312"/>
          <w:color w:val="000000" w:themeColor="text1"/>
          <w:highlight w:val="none"/>
          <w14:textFill>
            <w14:solidFill>
              <w14:schemeClr w14:val="tx1"/>
            </w14:solidFill>
          </w14:textFill>
        </w:rPr>
        <w:t>包</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1</w:t>
      </w:r>
      <w:r>
        <w:rPr>
          <w:rFonts w:hint="eastAsia" w:ascii="方正仿宋_GB2312" w:hAnsi="方正仿宋_GB2312" w:eastAsia="方正仿宋_GB2312" w:cs="方正仿宋_GB2312"/>
          <w:color w:val="000000" w:themeColor="text1"/>
          <w:highlight w:val="none"/>
          <w14:textFill>
            <w14:solidFill>
              <w14:schemeClr w14:val="tx1"/>
            </w14:solidFill>
          </w14:textFill>
        </w:rPr>
        <w:t>）。</w:t>
      </w:r>
    </w:p>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 </w:t>
      </w:r>
      <w:r>
        <w:rPr>
          <w:rFonts w:hint="eastAsia" w:ascii="方正仿宋_GB2312" w:hAnsi="方正仿宋_GB2312" w:eastAsia="方正仿宋_GB2312" w:cs="方正仿宋_GB2312"/>
          <w:color w:val="000000" w:themeColor="text1"/>
          <w:highlight w:val="none"/>
          <w14:textFill>
            <w14:solidFill>
              <w14:schemeClr w14:val="tx1"/>
            </w14:solidFill>
          </w14:textFill>
        </w:rPr>
        <w:t>部署范围</w:t>
      </w:r>
    </w:p>
    <w:tbl>
      <w:tblPr>
        <w:tblStyle w:val="11"/>
        <w:tblW w:w="85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236"/>
        <w:gridCol w:w="3446"/>
        <w:gridCol w:w="492"/>
        <w:gridCol w:w="371"/>
        <w:gridCol w:w="491"/>
        <w:gridCol w:w="492"/>
        <w:gridCol w:w="501"/>
        <w:gridCol w:w="373"/>
        <w:gridCol w:w="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992" w:type="dxa"/>
            <w:gridSpan w:val="2"/>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系统名称</w:t>
            </w:r>
          </w:p>
        </w:tc>
        <w:tc>
          <w:tcPr>
            <w:tcW w:w="3446"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部署位置</w:t>
            </w:r>
          </w:p>
        </w:tc>
        <w:tc>
          <w:tcPr>
            <w:tcW w:w="3079" w:type="dxa"/>
            <w:gridSpan w:val="7"/>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使用单位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992" w:type="dxa"/>
            <w:gridSpan w:val="2"/>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p>
        </w:tc>
        <w:tc>
          <w:tcPr>
            <w:tcW w:w="344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海南医科大学第一附属医院</w:t>
            </w:r>
          </w:p>
        </w:tc>
        <w:tc>
          <w:tcPr>
            <w:tcW w:w="37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海南省安宁医院</w:t>
            </w:r>
          </w:p>
        </w:tc>
        <w:tc>
          <w:tcPr>
            <w:tcW w:w="49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海南省老年病医院</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海南省妇女儿童医学中心</w:t>
            </w:r>
          </w:p>
        </w:tc>
        <w:tc>
          <w:tcPr>
            <w:tcW w:w="50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海南省人民医院</w:t>
            </w:r>
          </w:p>
        </w:tc>
        <w:tc>
          <w:tcPr>
            <w:tcW w:w="373"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海南医科大学第二附属医院</w:t>
            </w:r>
          </w:p>
        </w:tc>
        <w:tc>
          <w:tcPr>
            <w:tcW w:w="359"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省卫生健康委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1992" w:type="dxa"/>
            <w:gridSpan w:val="2"/>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临床专科质控中心管理系统</w:t>
            </w:r>
          </w:p>
        </w:tc>
        <w:tc>
          <w:tcPr>
            <w:tcW w:w="344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海南省电子政务云</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7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49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50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73"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59"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1992" w:type="dxa"/>
            <w:gridSpan w:val="2"/>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医院患者主索引服务和多码协同应用</w:t>
            </w:r>
          </w:p>
        </w:tc>
        <w:tc>
          <w:tcPr>
            <w:tcW w:w="344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各使用单位</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7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49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50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73"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59"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1992" w:type="dxa"/>
            <w:gridSpan w:val="2"/>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区域影像共享中心</w:t>
            </w:r>
          </w:p>
        </w:tc>
        <w:tc>
          <w:tcPr>
            <w:tcW w:w="344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海南省电子政务云、海南省电子政务云、海南医科大学第一附属医院、海南医科大学第二附属医院、海南省老年病医院、海南省妇女儿童医学中心、海南省安宁医院及三医云HIS</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7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49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50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c>
          <w:tcPr>
            <w:tcW w:w="373"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59"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56" w:type="dxa"/>
            <w:vMerge w:val="restart"/>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医院影像辅助诊断系统</w:t>
            </w:r>
          </w:p>
        </w:tc>
        <w:tc>
          <w:tcPr>
            <w:tcW w:w="123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乳腺癌DR影像辅助诊断</w:t>
            </w:r>
          </w:p>
        </w:tc>
        <w:tc>
          <w:tcPr>
            <w:tcW w:w="344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各使用单位</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7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c>
          <w:tcPr>
            <w:tcW w:w="49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50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73"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59"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5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123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肺癌CT影像辅助诊断</w:t>
            </w:r>
          </w:p>
        </w:tc>
        <w:tc>
          <w:tcPr>
            <w:tcW w:w="344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各使用单位</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7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c>
          <w:tcPr>
            <w:tcW w:w="49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c>
          <w:tcPr>
            <w:tcW w:w="50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73"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59"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5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123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胸部CT影像辅助诊断</w:t>
            </w:r>
          </w:p>
        </w:tc>
        <w:tc>
          <w:tcPr>
            <w:tcW w:w="344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各使用单位</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7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c>
          <w:tcPr>
            <w:tcW w:w="49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50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73"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59"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5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123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宫颈细胞病理辅助诊断</w:t>
            </w:r>
          </w:p>
        </w:tc>
        <w:tc>
          <w:tcPr>
            <w:tcW w:w="344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各使用单位</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7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c>
          <w:tcPr>
            <w:tcW w:w="49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501"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73"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w:t>
            </w:r>
          </w:p>
        </w:tc>
        <w:tc>
          <w:tcPr>
            <w:tcW w:w="359"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val="0"/>
                <w:bCs w:val="0"/>
                <w:color w:val="000000" w:themeColor="text1"/>
                <w:kern w:val="0"/>
                <w:sz w:val="18"/>
                <w:szCs w:val="18"/>
                <w:highlight w:val="none"/>
                <w14:textFill>
                  <w14:solidFill>
                    <w14:schemeClr w14:val="tx1"/>
                  </w14:solidFill>
                </w14:textFill>
                <w14:ligatures w14:val="none"/>
              </w:rPr>
              <w:t>　</w:t>
            </w:r>
          </w:p>
        </w:tc>
      </w:tr>
    </w:tbl>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 </w:t>
      </w:r>
      <w:r>
        <w:rPr>
          <w:rFonts w:hint="eastAsia" w:ascii="方正仿宋_GB2312" w:hAnsi="方正仿宋_GB2312" w:eastAsia="方正仿宋_GB2312" w:cs="方正仿宋_GB2312"/>
          <w:color w:val="000000" w:themeColor="text1"/>
          <w:highlight w:val="none"/>
          <w14:textFill>
            <w14:solidFill>
              <w14:schemeClr w14:val="tx1"/>
            </w14:solidFill>
          </w14:textFill>
        </w:rPr>
        <w:t>技术参数</w:t>
      </w:r>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2" w:name="_Toc208484022"/>
      <w:bookmarkStart w:id="3" w:name="_Toc205895471"/>
      <w:bookmarkStart w:id="4" w:name="_Hlk199144317"/>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1.3.1 </w:t>
      </w:r>
      <w:r>
        <w:rPr>
          <w:rFonts w:hint="eastAsia" w:ascii="方正仿宋_GB2312" w:hAnsi="方正仿宋_GB2312" w:eastAsia="方正仿宋_GB2312" w:cs="方正仿宋_GB2312"/>
          <w:color w:val="000000" w:themeColor="text1"/>
          <w:highlight w:val="none"/>
          <w14:textFill>
            <w14:solidFill>
              <w14:schemeClr w14:val="tx1"/>
            </w14:solidFill>
          </w14:textFill>
        </w:rPr>
        <w:t>临床专科质控中心管理系统</w:t>
      </w:r>
      <w:bookmarkEnd w:id="2"/>
      <w:bookmarkEnd w:id="3"/>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为深入贯彻落实国家《全面提升医疗质量行动（2023-2025年）》和《“十四五”国家临床专科能力建设规划》要求，海南省以医疗质量安全为核心，以信息化手段为抓手，加快推进三甲医院临床专科质控管理与平台建设。在国家政策指引下，医疗质量管理正从粗放式管理向以指标为导向的精细化、智能化模式转型，亟需构建覆盖全诊疗流程的动态监管体系，实现医疗质量安全的科学化、规范化提升。</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当前，国家明确要求省级以上质控中心需通过信息化平台强化区域医疗质量统一管理，推动重大疾病诊疗能力提升和医疗资源配置优化。依托海南省“三医联动一张网”信息平台的基础优势，整合现有数据通道资源，聚焦临床专科质控需求，建设覆盖三级医疗机构的临床专科质控中心管理系统。该系统旨在通过数据采集、清洗、治理及多维度分析，动态生成质控指标，横向对比医疗机构质量安全水平，解决传统质控管理中数据滞后、碎片化、标准化不足等问题。</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该系统的建设既是落实国家“织网”行动计划的重要举措，也是实现省级质控中心精细化管理的核心支撑。通过智能化质控模式，海南省将推动心血管疾病、肿瘤、重症等关键专业质控覆盖至县域，强化单病种管理和质量安全监测能力，助力医疗机构提升诊疗水平和服务质量，最终实现医疗质量安全持续改进和群众满意度提升的目标，为全国医疗质量信息化管理提供示范经验。</w:t>
      </w:r>
    </w:p>
    <w:tbl>
      <w:tblPr>
        <w:tblStyle w:val="11"/>
        <w:tblW w:w="8291" w:type="dxa"/>
        <w:tblInd w:w="0" w:type="dxa"/>
        <w:tblLayout w:type="fixed"/>
        <w:tblCellMar>
          <w:top w:w="0" w:type="dxa"/>
          <w:left w:w="108" w:type="dxa"/>
          <w:bottom w:w="0" w:type="dxa"/>
          <w:right w:w="108" w:type="dxa"/>
        </w:tblCellMar>
      </w:tblPr>
      <w:tblGrid>
        <w:gridCol w:w="846"/>
        <w:gridCol w:w="1276"/>
        <w:gridCol w:w="1134"/>
        <w:gridCol w:w="1134"/>
        <w:gridCol w:w="3901"/>
      </w:tblGrid>
      <w:tr>
        <w:tblPrEx>
          <w:tblLayout w:type="fixed"/>
          <w:tblCellMar>
            <w:top w:w="0" w:type="dxa"/>
            <w:left w:w="108" w:type="dxa"/>
            <w:bottom w:w="0" w:type="dxa"/>
            <w:right w:w="108" w:type="dxa"/>
          </w:tblCellMar>
        </w:tblPrEx>
        <w:trPr>
          <w:trHeight w:val="240" w:hRule="atLeast"/>
        </w:trPr>
        <w:tc>
          <w:tcPr>
            <w:tcW w:w="84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kern w:val="0"/>
                <w:sz w:val="18"/>
                <w:szCs w:val="18"/>
                <w:highlight w:val="none"/>
                <w14:textFill>
                  <w14:solidFill>
                    <w14:schemeClr w14:val="tx1"/>
                  </w14:solidFill>
                </w14:textFill>
              </w:rPr>
              <w:t>序号</w:t>
            </w:r>
          </w:p>
        </w:tc>
        <w:tc>
          <w:tcPr>
            <w:tcW w:w="1276" w:type="dxa"/>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kern w:val="0"/>
                <w:sz w:val="18"/>
                <w:szCs w:val="18"/>
                <w:highlight w:val="none"/>
                <w14:textFill>
                  <w14:solidFill>
                    <w14:schemeClr w14:val="tx1"/>
                  </w14:solidFill>
                </w14:textFill>
              </w:rPr>
              <w:t>系统名称</w:t>
            </w:r>
          </w:p>
        </w:tc>
        <w:tc>
          <w:tcPr>
            <w:tcW w:w="1134" w:type="dxa"/>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kern w:val="0"/>
                <w:sz w:val="18"/>
                <w:szCs w:val="18"/>
                <w:highlight w:val="none"/>
                <w14:textFill>
                  <w14:solidFill>
                    <w14:schemeClr w14:val="tx1"/>
                  </w14:solidFill>
                </w14:textFill>
              </w:rPr>
              <w:t>功能模块</w:t>
            </w:r>
          </w:p>
        </w:tc>
        <w:tc>
          <w:tcPr>
            <w:tcW w:w="1134" w:type="dxa"/>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kern w:val="0"/>
                <w:sz w:val="18"/>
                <w:szCs w:val="18"/>
                <w:highlight w:val="none"/>
                <w14:textFill>
                  <w14:solidFill>
                    <w14:schemeClr w14:val="tx1"/>
                  </w14:solidFill>
                </w14:textFill>
              </w:rPr>
              <w:t>功能子模块</w:t>
            </w:r>
          </w:p>
        </w:tc>
        <w:tc>
          <w:tcPr>
            <w:tcW w:w="3901" w:type="dxa"/>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kern w:val="0"/>
                <w:sz w:val="18"/>
                <w:szCs w:val="18"/>
                <w:highlight w:val="none"/>
                <w14:textFill>
                  <w14:solidFill>
                    <w14:schemeClr w14:val="tx1"/>
                  </w14:solidFill>
                </w14:textFill>
              </w:rPr>
              <w:t>功能描述</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w:t>
            </w:r>
          </w:p>
        </w:tc>
        <w:tc>
          <w:tcPr>
            <w:tcW w:w="12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平台集成门户</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统一门户与单点登录</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统一身份认证中心</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多协议支持</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可兼容SAML 2.0、OAuth 2.0及LDAP等多种协议，实现与医院现有HIS/EMR系统、第三方应用及目录服务的无缝对接，确保身份认证的高效性与兼容性。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动态权限分配</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根据用户角色（如医生、护士、药师等）智能生成可访问的系统列表，实现权限的精细化管理与动态调整。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多因素认证</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集成多因素认证机制，支持用户名/密码、短信验证码、数字证书及动态令牌等多种认证方式，为平台提供多重安全防护。</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单点登录流程管理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单点登录入口</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提供统一的登录界面，用户仅需一次认证即可访问所有授权系统，简化登录流程，提高操作效率。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登录状态管理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利用分布式会话存储技术（如Redis集群）同步用户登录状态，并支持会话超时时间的灵活配置，确保用户会话的安全性与稳定性。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登录异常提醒</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实时监测异常登录行为，如异地IP登录、频繁尝试等，并触发二次验证或账户锁定机制。</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密码重置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支持用户通过邮箱或手机验证自助重置密码。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登录失败处理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密码错误提示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在用户输入密码错误时，明确告知“密码错误”并显示剩余尝试次数（如“还剩2次尝试机会”）。</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账户锁定通知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若用户连续失败5次登录尝试，则自动锁定账户并提示“账户已锁定，请30分钟后重试或联系管理员解锁”，防止暴力破解攻击。</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验证码触发</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在密码错误达到3次后，强制要求用户输入图形验证码或短信验证码。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系统维护提示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在系统维护期间，自动显示“系统升级中，预计恢复时间XX:XX”的提示信息，避免用户误解。</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智能重试机制</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动态锁定策略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根据用户角色的重要性动态调整账户锁定阈值（如管理员账户锁定阈值更高），确保关键用户账户的安全。</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自动解锁</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账户锁定后，系统将在指定时间（如30分钟）后自动解锁，无需人工干预，提高账户可用性。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密码重置引导</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在密码错误时，提供“忘记密码？点击重置”的友好链接，引导用户快速重置密码。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预警自动化响应策略</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IP黑名单机制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对于同一IP在短时间内尝试登录次数超过阈值（如10分钟内超过100次）的情况，自动封禁该IP 24小时，并返回403状态码拒绝访问。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行为分析引擎</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集成先进的行为分析引擎，实时监测并识别非人类行为（如请求频率异常、登录时间分布异常等），自动触发验证码验证或账户封禁措施。</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智能封禁</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根据风险等级动态调整账户封禁时间（从1小时至永久不等），有效遏制高风险攻击行为。</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二次验证触发</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对于中风险事件，系统要求用户通过短信/邮件验证码重新验证身份，确保账户安全。</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会话终止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在检测到异常登录行为时，系统强制终止当前会话并通知用户重新登录，防止未授权访问。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异常登录告警</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实时监测暴力破解等异常登录尝试行为，并实时发送告警信息至管理员邮箱/短信通知系统。</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日志审计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全面记录所有登录失败事件（包括时间、IP地址、设备指纹等信息），并支持按条件检索和审计分析。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错误可视化引导</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错误代码可视化</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将复杂的错误码（如401、429等）转换为用户易于理解的友好提示信息（如“密码错误”、“请求过多”等）。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登录操作引导</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在登录页面提供“常见问题解答”链接或帮助中心入口，方便用户快速查找并解决密码找回、账户锁定等常见问题。</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单点登出</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主动登出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用户点击“退出”按钮时，系统自动触发全局会话清理操作，确保用户完全退出系统。</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被动登出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在会话超时（如30分钟无操作）或管理员强制踢出等情况下，系统自动触发登出操作并清理会话信息。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风险事件登出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在检测到异常行为（如异地登录、暴力破解等）时，系统强制登出用户所有会话并通知用户重新登录以确保安全。</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Cookie清除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在登出过程中自动清除浏览器端会话Cookie（如SESSIONID等），防止重放攻击等安全风险。</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登出确认提示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在用户点击退出按钮时弹出确认框防止误操作导致的登出行为影响用户体验。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登出成功通知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登出成功后系统自动显示“您已成功退出”的提示信息并提供返回登录页面的链接方便用户重新登录。</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多设备登出提示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若用户账户已在其他设备登录则通知用户“您的账户已在其他设备登出”并建议用户修改密码以增强账户安全性。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（31）</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专科质控应用管理</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专科应用接入管理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接入协议适配</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支持RESTful API、HL7 v2/v3、FHIR等多种行业标准协议，并提供协议转换网关服务以满足不同应用的接入需求。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数据格式标准化</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定义并强制应用遵循统一的数据模型规范（如患者基本信息、检查检验结果等），确保数据的一致性和可互操作性。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接入认证管理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确保应用接入过程的安全性和合规性，并为应用分配唯一的访问令牌（Token）。</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细粒度权限控制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基于RBAC（基于角色的访问控制）模型为应用分配最小必要权限，确保应用仅能访问其业务所需的数据和功能资源。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安全审计日志</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全面记录所有API调用事件（包括时间、来源IP、操作类型、数据ID等信息）并保留至少6个月以供审计分析之用。</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专科应用目录功能</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专科维度分类</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按临床专科（如心血管科、肿瘤科、儿科等）对应用目录进行精细化分类展示，并支持按科室权限进行过滤以提高用户体验和访问效率。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应用介绍详情页</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为每个应用提供功能概述、医院对接数量、负责人联系方式等信息展示页面方便用户快速了解并联系相关应用负责人。</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一站式免密访问入口</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为授权用户提供一站式免密访问入口支持用户快速便捷地访问其权限范围内的所有应用资源提高工作效率。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专科质控应用创建与配置</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系统创建入口</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在平台门户首页或“专科管理”模块中显著位置提供“新增质控应用”按钮方便用户快速进入应用创建流程。</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基础信息定义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提供应用信息元数据录入界面包括专科质控应用名称、所属专科、版本号、应用描述、负责人信息等关键字段以确保应用信息的准确性和完整性。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信息校验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通过规则校验机制确保用户录入的应用创建信息符合系统业务逻辑要求，并验证字段格式（如邮箱格式、日期格式等）和确保数据唯一性（如应用名称+专科组合唯一）以避免数据冲突和错误。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引导式创建流程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采用分步骤引导式创建流程帮助用户完成应用创建过程包括基本信息录入、权限配置等关键步骤提高创建效率和质量。</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权限与角色配置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预定义多种常用角色（如质控员、科主任、数据员等）并支持用户自定义角色和细粒度权限控制功能，以满足不同用户和应用场景的需求。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专科质控应用版本管理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版本自动化创建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根据预设规则自动生成应用版本号并关联相应的版本变更记录方便用户跟踪和管理应用版本变更情况。</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版本发布</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在编辑完成后支持用户一键触发“发布”操作自动生成新版本。</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版本元数据记录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详细记录每个版本的创建时间、发布人、修改摘要等关键信息以便用户快速了解版本变更内容和影响范围。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版本列表展示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按时间倒序方式展示所有历史版本信息包括版本号、发布时间、发布人、状态（已发布/草稿）等关键字段，方便用户快速查找和比较不同版本之间的差异。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版本详情查看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支持用户点击版本号查看该版本的详细信息包括修改内容、关联规则、权限配置、数据源映射等关键信息以便用户了解版本变更内容和影响范围。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版本状态管理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支持用户标记版本为“已废弃” “测试中”等不同状态以避免误用和确保系统的稳定性和安全性。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版本回滚</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在用户需要回滚到历史版本时支持用户选择目标版本并点击“回滚”按钮系统自动恢复该版本的规则、权限和数据源配置等信息确保业务连续性和稳定性。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专科质控应用监控预警</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运行状态监控</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展示服务器CPU使用率、内存占用率、磁盘使用率等关键性能指标帮助用户快速了解系统运行状态并及时发现潜在问题。</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性能指标监控</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实时监控接口响应时间、吞吐量、错误率等关键性能指标（如API平均响应时间&lt;500ms）帮助用户评估系统性能和优化策略。</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日志分析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对系统日志进行实时分析识别异常模式（如频繁报错、超时等）并自动触发预警机制提醒用户及时关注和处理问题。</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预警规则配置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支持用户根据业务需求自定义预警规则（如CPU使用率&gt;80%时触发预警）以满足不同场景下的监控和预警需求。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预警通知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支持通过短信、邮件、站内信、钉钉/企业微信等多种渠道向用户发送预警通知信息，确保用户能够及时接收并处理预警信息避免业务中断和损失发生。</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（56）</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专科质控服务集成</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专科质控应用服务调用</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服务接入与注册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承担新专科质控应用服务接入平台的任务，并执行服务注册流程，旨在使其他系统或模块能够精准识别并调用该服务，达成服务资源的高效整合与协同运作。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服务目录与展示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构建并呈现已注册服务的详尽目录，展示各服务的基础信息、功能概述及调用途径等关键要素。</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服务调用与集成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助力用户借助平台调用专科质控应用服务，达成服务间的深度集成与无缝协同，确保数据的一致性与业务流程的顺畅。</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服务状态监控</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服务状态监控</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对服务运行状态实施全天候、不间断的监控，并详细记录服务调用的日志信息，涵盖调用时间、调用者身份、调用结果等关键数据，为故障排查与性能优化提供的数据支撑。</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服务权限与访问控制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设置并管理服务的访问权限，确保仅授权用户或系统能够调用特定服务，从而保障数据的安全性与隐私性。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质控应用服务数据交互</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数据接口定义与管理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负责定义并管理质控应用服务间的数据接口，确保数据能够精准、高效地传输与共享，实现数据资源的最大化利用。</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数据传输与同步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实现质控应用服务间的数据传输与同步，确保数据的一致性与实时性，为业务决策提供可靠、及时的数据支持。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（63）</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用户管理中心</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角色管理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角色属性设置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提供管理员设置角色基本属性的能力，涵盖角色名称、详细描述、类型（诸如管理、业务、审计、数据访问等角色）以及图标或标识，以助力用户快速识别。</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角色模板应用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提供角色模板库，使管理员能够基于预设模板迅速创建新角色。模板内包含预定义的权限集和属性设置，显著提升角色创建效率。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角色创建审批流程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针对敏感或高级别的角色创建需求，设置严格的审批流程。需经过特定管理员或审批委员会审核通过后，方可创建角色，确保角色管理的合规性。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角色层级结构管理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支持构建多级的角色层级结构，如角色树或角色图谱，展示角色之间的上下级关系和继承路径，便于管理与维护角色体系的复杂关系。</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权限继承规则设置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允许管理员灵活定义权限继承规则，包括完全继承、部分继承、不继承等选项，并设定继承冲突的解决策略，如优先级判断、合并规则等，确保权限分配的合理性与一致性。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层级变更历史记录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记录角色层级结构的变更历史，包括新增、删除、移动角色等操作的时间、执行人、变更前后状态等关键信息，便于追踪与审计角色体系的演变过程。</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角色启用与禁用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支持管理员根据实际需求启用或禁用角色。禁用后的角色无法被用户分配或继承，确保角色管理的灵活性与安全性，有效应对业务变化。</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角色修改与删除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允许管理员修改角色的属性、权限等设置，以及删除不再需要的角色。在删除角色前，需确保无用户正在使用该角色，以避免影响用户权限和业务流程。</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角色使用统计与分析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提供角色使用统计和分析功能，包括角色分配用户数、角色权限使用情况、角色活跃度等关键指标，帮助管理员深入了解角色的使用情况和优化角色管理策略。</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用户角色分配</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支持管理员为用户分配一个或多个角色，用户将自动继承所分配角色的权限和属性设置，实现用户权限的灵活、精细管理。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角色用户列表管理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提供角色用户列表管理功能，展示每个角色下分配的用户列表，并支持添加、删除、修改用户分配等操作，提升管理效率与准确性。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用户注册流程自定义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支持管理员根据业务需求灵活自定义用户注册流程，包括必填字段、可选字段、验证规则（如邮箱格式验证、手机号验证）等，以适应不同业务场景的需求。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注册信息审核</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管理员对用户提交的注册信息进行严格审核，包括信息完整性、真实性验证等，确保注册用户的质量与可靠性。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注册通知与欢迎邮件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用户注册成功后，系统自动发送包含欢迎信息、登录链接、初始密码（如适用）等内容的通知邮件或短信，提升用户体验与满意度。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注册限制与黑名单管理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设置合理的注册限制条件，如IP地址限制、邮箱域名限制等，防止恶意注册行为。同时，管理黑名单，禁止特定用户或IP地址进行注册，保障平台的安全与稳定。</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账户信息管理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支持用户和管理员修改账户信息，包括用户名、密码、密码强度检测、密码重置等关键操作，确保账户的安全性与稳定性，有效防范账户被盗用或滥用。</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信息变更历史记录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记录用户信息变更的历史记录，包括变更时间、变更内容、变更人等关键信息，便于追踪与审计用户信息的演变过程，确保信息管理的透明性与可追溯性。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用户状态切换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支持管理员根据用户行为或业务需求对用户状态进行切换，包括激活、禁用、锁定等操作，确保用户账户的安全性与合规性，有效应对用户异常行为或业务风险。</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状态变更通知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当用户状态发生变更时，系统自动发送通知邮件或短信给用户，告知状态变更的原因和后续操作建议。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用户行为追踪与分析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记录用户的登录、操作等行为日志，提供行为追踪和分析功能，帮助管理员深入了解用户的使用习惯和潜在需求。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权限分配体系</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权限项定义与分类</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对系统中的所有权限项进行定义和分类，如按功能模块、数据类型、操作类型等进行划分。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权限项依赖关系管理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支持定义权限项之间的依赖关系，如某些高级权限依赖于基础权限。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权限分配向导</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提供权限分配向导，引导管理员逐步完成角色权限的分配过程，包括选择角色、选择权限集或权限项、确认分配等关键步骤。</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批量权限分配</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支持管理员批量为多个角色分配相同的权限集或权限项。</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权限模型设计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支持基于角色、用户组、单个用户等多种方式的权限分配，确保权限管理的精细度与灵活性，满足不同业务场景的需求与变化。</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权限继承规则配置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允许管理员配置权限继承规则，包括完全继承、部分继承、不继承等多种选项，以及继承冲突的解决策略，如优先级判断、合并规则等，确保权限分配的准确性与一致性，维护系统权限体系的稳定与可靠。</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权限变更记录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记录角色权限的变更历史，包括变更时间、变更前权限、变更后权限、执行人等关键信息，便于追踪与审计权限变更情况，确保权限管理的透明性与可追溯性，提升系统安全性与合规性。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权限变更通知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当角色权限发生变更时，系统自动发送通知给相关管理员和用户，告知变更的内容、时间和影响范围，确保用户及时了解权限变更情况并做出相应调整，保障业务连续性与用户权益。</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权限冲突检测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在权限分配过程中，系统自动检测权限冲突情况，如重复分配、互斥权限等，确保权限分配的准确性与一致性，避免潜在的安全风险与业务问题，提升系统稳定性与可靠性。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个人中心</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查看账号信息</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允许用户随时查看其账号的详细信息，如用户名、邮箱、手机号等，确保用户对自身账号信息的了解与掌握，提升用户自主管理能力。</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编辑账号信息</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允许用户编辑和更新其账号信息，如联系方式、密码等，提升用户个性化设置与账户安全管理的便捷性。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修改密码</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允许用户随时发起修改密码请求，并通过安全验证流程完成密码修改操作，确保账户的安全性，有效防范账户被盗用或滥用。</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退出登录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用户可选择退出登录操作，系统立即清除用户的登录状态与相关信息，确保用户隐私与账户安全，避免信息泄露与非法访问。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政策文件管理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文件上传与存储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支持多种格式文件（如PDF、DOCX、TXT等）的上传与存储功能，并提供灵活、高效的文件分类存储机制，便于文件管理与检索，提升文件管理的效率与准确性。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文件版本控制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每次文件更新时，系统自动保存旧版本，形成版本历史记录。用户可查看、比较不同版本之间的差异，并在必要时回滚到特定版本，确保文件管理的灵活性与安全性。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政策文件检索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支持关键词、短语、日期范围等全文检索条件，提供多条件组合检索、模糊检索、布尔逻辑检索等高级功能，助力用户快速定位所需文件。</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文件更新提醒</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系统监测文件更新情况，一旦检测到更新，立即通过邮件、短信或系统内通知等方式提醒相关用户，确保用户及时了解文件更新信息。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平台公告通知</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平台公告发布</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管理员或授权用户能够创建新的公告通知，编辑公告的详细内容，并选择适当的公告类型以便用户快速识别公告的重要性，确保公告信息的准确传达。</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平台公告审核</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对于需要审核的公告，提交给审核人员进行审核。审核人员可以查看公告内容，并根据内容决定是否通过审核。若驳回，需填写驳回意见并反馈给提交者，确保公告内容的合规性与准确性。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公告修改与删除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管理员或授权用户能够修改已发布的公告内容，或在必要时删除公告，确保公告信息的时效性与准确性。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公告列表展示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在平台门户的首页或公告通知页面，按时间顺序展示所有公告，并提供按类型筛选的功能。每个公告显示标题和摘要，方便用户快速浏览，提升公告信息的可读性与易用性。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公告详情查看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用户点击公告标题后，可以查看公告的详细内容。若公告附带附件，用户还可以下载附件进行查看，确保用户能够全面了解公告信息。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w:t>
            </w:r>
          </w:p>
        </w:tc>
        <w:tc>
          <w:tcPr>
            <w:tcW w:w="12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临床专科质控管理中心</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专科质控数据上报</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专科质控上报分类</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上报分类创建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管理员能够输入分类名称、描述及上报周期（如日、周、月等）等必要信息，并创建全新的上报分类，以应对多样化的质控需求。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上报分类编辑</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管理员可选择既有上报分类，并依据实际需求调整其名称、描述及上报周期等属性，确保分类设置与实际操作契合。</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上报分类删除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对于不再需要的上报分类，管理员可执行删除操作，清理冗余数据，优化系统资源分配。</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上报分类排序</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管理员能够自主调整上报分类的展示顺序，使用户能够查找和使用所需分类，提升操作效率。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分类权限管理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管理员可依据用户或用户组的角色与职责，分配对特定上报分类的访问与上报权限，从而有效保障数据的安全性与合规性。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分类属性设置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系统为每个上报分类精心设定必要的属性，如分类名称、描述及上报周期（如每日、每周、每月等），确保用户能够了解并严格遵循相应的上报要求。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分类版本管理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系统能够记录上报分类的修改历程，涵盖修改时间、修改人及修改内容等关键信息，为管理员提供回溯与追踪途径。</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专科质控表单设计</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表单设计编辑器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管理员可使用表单设计编辑器，自由添加字段、设置字段类型并定义字段验证规则等，从而构建满足专科质控需求的表单。</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字段类型选择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系统内置多种字段类型，供管理员在设计表单时灵活选用，以匹配不同数据类型的填报需求。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字段属性设置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管理员可为每个字段设定显示名称、默认值、必填属性及数据校验规则等详细属性，从而确保数据的精准性与完整性，提升质控效果。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字段排序与布局</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管理员可依据用户习惯与操作便捷性，自主调整字段在表单中的展示顺序与布局方式，以优化用户的填报体验与效率。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编辑表单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管理员可便捷选择现有的质控表单，并对其进行编辑，如添加新字段、调整现有字段属性或删除冗余字段等，以满足不断变化的质控需求。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表单预览</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管理员或用户可在设计或填报前，通过预览功能直观查看表单的设计效果，确保表单布局与字段设置符合预期，减少后续调整成本。</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表单列表展示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系统以列表视图全面展示所有已创建的质控表单，便于用户快速查找与管理所需表单，提升操作便捷性。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表单信息展示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在表单列表中，系统展示每个表单的基本信息，如名称、描述、创建时间及创建人等，帮助用户快速了解表单的概况与背景。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搜索与筛选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系统提供搜索与筛选功能，用户可依据表单名称、创建时间、创建人等条件进行精准搜索与筛选，以迅速定位所需表单。</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表单状态标识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系统为每个表单设置状态标识，如草稿状态（表示表单正在设计中）、已发布状态（表示表单已准备好供用户填报）等，便于用户快速了解表单的当前状态与进度。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表单状态展示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在表单列表中，系统展示每个表单的当前状态，使用户能够了解表单的进展情况与状态变化。</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在线填报与提交</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在线填报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用户能够在线填写质控表单，系统依据字段属性提供必要的输入验证与提示信息，确保数据的精准无误。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字段输入与验证</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在填报过程中，系统实时验证用户输入的数据的精准性与完整性，如检查必填字段是否已填写、数据格式是否正确等，并及时给出相应的提示或错误信息，提升填报质量。</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自动填充与提示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系统依据用户输入或选择的内容，智能填充相关字段并提供有用的提示信息，如根据用户选择的日期自动填充星期几信息，或根据用户输入的部分关键词提供下拉选择列表等，提升填报效率与便捷性。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填报进度提示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系统以进度条或百分比形式展示用户的填报进度，帮助用户合理安排填报时间并监控填报效率。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数据暂存</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系统提供数据暂存功能，允许用户在填报过程中随时保存当前进度，以便稍后继续填报。</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数据提交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用户完成填报后，可提交表单数据至系统，系统将自动保存数据并通知管理员或指定人员进行审核处理。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提交前验证</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在提交表单前，系统再次进行全面的数据验证，确保所有必填字段已填写且数据格式正确无误，从而有效保障数据的质量与合规性。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提交确认信息</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提交成功后，系统即时显示确认信息，包括提交时间、提交人等关键信息，以便用户确认提交操作已成功完成。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提交失败处理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若提交过程中发生错误或失败情况，系统将给出明确的错误提示信息，并提供相应的解决方案或建议（如检查网络连接、重新填写必填字段等），以协助用户快速解决问题。</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提交记录与追踪</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系统记录每次提交的时间、提交人、提交内容等关键信息，并提供便捷的追踪与回溯途径，确保数据上报流程的透明度与可追溯性。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填报数据实时校验</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填报快速定位</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系统为表单中的每个字段建立索引，并在填报页面提供直观的字段导航栏或侧边栏。用户可通过点击导航栏或侧边栏中的字段名称，迅速跳转至相应字段进行填报操作，提升填报效率。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必填字段校验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当用户尝试提交表单或切换至下一个字段时，系统自动对所有标记为必填的字段进行校验。若存在未填写字段，则立即提示用户进行填写操作，确保数据的完整性。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数据类型校验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系统实时验证用户输入的数据是否符合字段定义的数据类型要求。例如，若字段要求输入数字类型数据而用户输入了文本类型数据，则系统立即提示用户输入错误并要求更正数据类型，确保数据的精准性。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数据格式校验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对于需要特定格式的数据（如邮箱地址、电话号码等），系统实时验证用户输入的数据格式是否正确。若格式不符合要求，则给出相应的错误提示信息并引导用户进行更正操作。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数据范围校验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系统可对数值型字段设定取值范围限制。当用户输入的数据超出此范围时，系统立即提示用户输入错误并给出正确的取值范围信息，确保数据的合理性与有效性。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唯一性校验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对于需要保证唯一性的字段（如用户名、身份证号等），系统实时检查用户输入的值在系统中是否已存在。若已存在相同值，则提示用户输入一个唯一的值以确保数据的唯一性与准确性。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关联性校验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存在关联关系的字段（如开始日期与结束日期、订单数量与订单金额等），系统实时检查这些字段之间的关联性是否正确。若关联性不正确（如开始日期晚于结束日期），则给出相应的错误提示信息并引导用户进行更正操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即时错误提示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当用户输入的数据不符合校验规则时，系统立即在表单中显示详细的错误提示信息，明确指出错误原因及正确的输入方式，帮助用户快速定位并修正错误。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高亮显示错误字段</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系统采用特殊颜色或样式高亮显示输入错误的字段，使用户能够迅速注意到错误并集中精力进行修正操作，提升填报的准确性与效率。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提供修正建议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对于某些常见的输入错误（如拼写错误、格式错误等），系统提供智能化的修正建议功能，帮助用户快速修正错误并提升填报质量。</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校验规则配置与管理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自定义校验规则</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管理员可依据实际需求自定义校验规则，如添加新的数据类型校验规则、设置更复杂的关联性校验逻辑等，以满足不同质控场景的需求。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校验规则编辑与删除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管理员可对已存在的校验规则进行编辑或删除操作，以适应不断变化的质控需求与业务规则变化。</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异步校验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系统采用先进的异步校验技术，在用户输入的同时进行后台校验处理，有效避免页面卡顿与响应延迟问题，提升用户体验与填报效率。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批量校验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当用户需要同时校验多个字段时，系统提供便捷的批量校验功能，一次性检查所有字段的输入情况并给出相应的错误提示信息，提升校验效率与准确性。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校验结果缓存</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系统智能缓存之前的校验结果信息，当用户再次输入相同或类似的数据时，直接利用缓存结果进行判断处理，有效减少重复校验次数并提升校验效率。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数据智能补录</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采集数据填充</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系统自动采集并转换相关数据，然后将其填充至质控表单中的相应字段位置，减少人工录入工作量并提升数据准确性。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缺失字段检测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系统能够全面遍历表单的所有字段信息，精准识别出哪些字段在自动填充后仍存在数据缺失或数据不完整情况，为后续的智能补录操作提供有力支持。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数据完整性评估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系统提供智能化的数据完整性评估功能，自动计算缺失数据的比例信息并列出具体缺失数据的字段名称等关键信息，帮助用户快速了解数据缺失情况。</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数据溯源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系统记录每条数据的原始来源信息（如数据采集的系统名称、字段名称及字段值等），为数据追踪与问题排查提供有力支持。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补录助手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当用户进行补录操作时，系统提供智能化的辅助工具与信息提示（如显示相关字段的当前值、提供历史数据参考等），帮助用户更准确地填写数据并提升补录效率。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补录数据验证</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系统对补录的数据进行严格验证处理，检查数据是否符合预设的规则与格式要求（如数据类型、数据范围、唯一性等），确保补录数据的精准性与合规性。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（50）</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专科质控数据分配</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数据智能分配规则设置</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分配规则模板管理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系统支持用户基于标准模板（如按科室、病种、医院等级等维度）创建自定义的分配规则模板，并允许用户灵活添加、删除或修改规则条件信息，以满足不同质控场景的需求。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分配规则标签分类</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按用途（如常规分配、紧急分配、临时分配等）、数据类型（如结构化数据、影像数据、病理数据等）或医院属性（如区域属性、等级属性等）对分配规则模板进行细致分类管理，并提供便捷的关键词搜索与标签筛选功能，方便用户快速定位所需模板。</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分配规则版本控制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系统自动保存分配规则模板的修改历史记录信息，并支持版本对比功能（如高亮显示差异信息）与一键回滚操作，确保规则变更过程的可追溯性与安全性。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多维度分配条件配置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系统允许用户设置优先级链等多维度分配条件信息（如首先按“医院专科主治医师”维度进行分配操作；若无法分配成功，则按医院名称维度进行分配操作等），以满足复杂多变的质控需求与业务场景。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数据智能分配引擎</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任务模板定义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系统允许用户预定义常用的分配任务模板信息（如数据范围信息、目标医院信息、分配规则信息等），以便用户能够快速创建新的分配任务并提升工作效率。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任务创建向导</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系统提供直观的任务创建向导功能，引导用户逐步设置分配任务的具体参数信息（如选择数据范围、指定目标医院、设置分配时间与优先级等），确保任务创建的准确性与高效性。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任务编辑与删除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用户可对已创建的分配任务进行灵活编辑与修改操作（如调整数据范围信息、更改目标医院信息等），并可删除不再需要的任务以释放系统资源并优化任务管理效率。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任务状态监控</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系统实时监控分配任务的状态信息（如任务是否已启动、正在执行中、已完成或已取消等），并提供任务进度展示功能，方便用户及时了解任务执行情况并采取相应措施进行干预或调整。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数据智能分配执行</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数据筛选与提取</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系统依据分配任务的具体要求信息，从源数据中筛选出需要分配的数据信息，并进行必要的提取与转换处理操作，以满足目标医院的质控需求与数据格式要求。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分配规则应用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系统根据预定义的分配规则信息，将筛选出的数据精准分配给指定的目标医院。分配规则可涵盖按地域属性、医院等级属性、专科属性等多种条件信息，以满足不同医院的质控需求与业务场景。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数据分发与传输</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系统采用安全可靠的传输方式将分配好的数据分发给目标医院，并确保数据的完整性与保密性不受损害。在传输过程中，系统还可对数据进行加密处理以提升数据传输的安全性。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分配结果通知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在数据分配完成后，系统及时通知目标医院接收到的数据量信息及分配结果详情等关键信息，以便医院能够及时进行后续的补录工作与质控处理操作。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（62）</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专科质控数据智能审核</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审核规则库管理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多维度审核规则定义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从完整性、逻辑性与规范性等多个维度定义审核规则信息。例如，完整性规则可要求手术记录必须包含主刀医生与麻醉方式等关键字段信息；逻辑性规则可设置患者年龄大于65岁时合并症字段不能为空等条件限制；规范性规则则可规定诊断名称需符合ICD-10编码标准等要求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规则表达式支持</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系统提供可视化的规则编辑器或脚本输入方式（如支持正则表达式、逻辑运算符等高级功能），以便管理员能够灵活定义复杂的审核规则表达式并满足多样化的质控需求。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规则模板复用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系统支持基于标准模板快速创建审核规则信息（如急诊数据宽松校验模板等），减少管理员的重复劳动并提升规则创建效率。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审核规则分类体系</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按专科分类（如心内科、骨科等）、数据类型分类（如手术记录、检查报告等）或规则类型分类（如完整性规则、逻辑性规则、规范性规则等）对审核规则进行细致分类管理，并提供便捷的检索与筛选功能以便用户快速定位所需规则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标签管理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系统允许为审核规则添加自定义标签信息（如高频错误标签、关键字段标签等），以便用户能够快速检索与定位特定类型的规则信息并提升审核效率。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规则关联</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系统支持规则间的依赖关系定义功能（如规则A触发后规则B自动跳过等），以便管理员能够构建复杂的规则链与规则网络并满足高级质控需求。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规则状态管理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系统允许管理员将审核规则设置为启用状态、禁用状态或灰度测试状态等不同状态信息，以便对规则的应用范围与效果进行灵活控制与管理。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规则批量管理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系统支持一键启用/禁用多条审核规则信息，并提供按分类或标签筛选功能以便管理员能够高效管理大量规则信息并减少操作复杂度。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规则优先级设置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系统允许管理员按规则重要性设置优先级信息（如致命错误优先级高于警告优先级高于提示优先级等），以便在审核过程中优先处理关键错误并提升审核效率与准确性。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规则冲突检测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系统自动检测规则间的逻辑矛盾信息（如字段必填与字段可为空等矛盾情况），并提示管理员进行调整以避免规则冲突导致的审核错误与数据质量问题。</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批量规则导入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系统支持从Excel、JSON等文件格式批量导入审核规则信息，并自动校验文件格式与规则内容正确性以确保导入过程的顺畅与高效性。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标准化模板</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系统提供标准化的规则导入模板文件，并包含必填字段与格式说明等关键信息以便管理员能够轻松创建符合要求的导入文件并提升导入效率与准确性。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智能自动审核</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多维度规则匹配</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根据数据类型与质控需求等信息自动加载对应的规则库信息，并对数据进行全面校验处理。校验过程涵盖完整性校验（如检查必填字段是否缺失等）、逻辑性校验（如验证数据间逻辑关系是否正确等）与规范性校验（如确保数据格式符合标准等）等多个维度信息，以确保数据的精准性与合规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动态规则加载</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系统根据数据类型的变化动态加载相应的规则库信息，并实时更新校验规则以适应不同质控场景的需求变化与数据格式要求。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规则优先级处理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系统按规则严重性对匹配到的错误信息进行分级处理操作（如优先阻断致命错误信息等），以确保关键错误得到及时处理并避免对数据质量与质控效果产生负面影响。</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智能建议生成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对于匹配到的错误信息或异常数据情况，系统自动生成智能化的修正建议信息（如建议补充麻醉方式：全麻/局麻等），以便用户能够快速定位并修正错误数据并提升数据质量与质控效率。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逻辑冲突提示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当系统检测到数据间的逻辑冲突情况时（如手术时间晚于出院时间等矛盾情况），系统自动给出修正方案提示信息并协助用户快速解决问题以避免逻辑错误对数据质量与质控效果产生不良影响。</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异常类型识别</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自动识别多种类型的异常数据情况（如缺失值情况标记为必填项缺失、逻辑错误情况标记为数据冲突以及格式错误情况标记为格式不规范等），并为用户提供相应的错误提示信息与修正建议以便用户能够快速定位并解决问题。</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风险等级划分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系统依据识别到的异常数据情况，自动判定数据的风险等级，如高风险、中风险及低风险，以便管理员或用户能够根据不同风险等级采取相应的处理措施，确保数据质量与质控效果。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批量自动审核</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系统支持多条数据的同时校验功能，通过高效的批量处理模式显著提升审核速度与处理效率，减少人工审核的工作量与时间成本。</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人工复核与操作</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数据详情视图</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系统提供结构化的数据展示视图（如表格、JSON格式等），并以高亮方式显示系统标记的异常字段信息，使用户能够了解数据的完整性与异常情况，为人工复核提供有力支持。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审核快速定位</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用户可通过错误类型、字段名称、数据ID等关键词信息快速跳转至问题数据所在位置，以便快速定位并解决审核过程中发现的问题，提升复核效率。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审核操作类型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系统支持三种审核操作类型：审核通过、退回及作废。管理员或用户可根据实际情况选择合适的操作类型，并填写相应的审核意见或退回原因等信息，以便后续跟踪与追溯。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批量条件审核</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系统支持按条件筛选数据（如错误类型=时间冲突等）后进行批量退回或作废操作，有效减少人工复核的工作量与时间成本，提升处理效率。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模板化退回</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系统预设多种常见的退回原因模板（如必填字段缺失、格式错误等），管理员或用户可一键选择并应用模板，快速完成退回操作并提升工作效率。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审核进度提示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系统实时显示当前审核进度信息（如已审核80/100条，剩余20条等），使用户能够了解审核工作的进展情况，并合理安排后续工作计划。</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审核结果反馈</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多维度结果展示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系统以方式明确标注每条数据的审核状态结果（如通过、退回、作废等），并提供错误详情信息以便用户快速了解问题所在。</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错误详情</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系统列出所有异常字段、错误类型（如必填项缺失、时间冲突等）及具体位置（如手术记录.主刀医生等）等关键信息，为管理员或用户提供详尽的错误报告与修正依据。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系统建议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对于识别到的错误数据情况，系统自动提供修正方向建议（如建议补充麻醉方式：全麻/局麻等）或参考标准信息（如诊断名称需符合ICD-10编码等），以便用户能够快速修正错误并提升数据质量。</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人工备注整合</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系统支持显示管理员在人工复核过程中填写的退回原因、争议处理结果等附加信息，以便后续跟踪与追溯，并为用户提供审核记录与依据。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多渠道反馈</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通过多种渠道（如系统内通知、邮件通知等）向用户反馈审核结果信息。在系统内通知方面，系统通过弹窗提醒或消息中心推送等方式即时通知用户审核结果；在邮件通知方面，系统发送结构化的邮件通知信息，包含审核结果摘要及操作链接等关键内容，以便用户能够随时随地查看与处理审核结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结果反馈推送</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系统实现自动审核结果的即时推送功能，并在人工复核结果完成后5分钟内通知相关用户，确保审核结果的及时性与有效性。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审核流程自定义</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审核流程设计器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系统提供图形化的审核流程设计器工具，管理员可通过拖拽组件（如节点、条件分支等）的方式设计审核流程，并支持实时预览流程走向与逻辑关系。</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流程节点类型配置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系统支持添加多种类型的流程节点（如系统自动审核节点、人工复核节点等），并允许管理员根据实际需求配置节点的属性与行为规则等信息。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流程节点顺序调整</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管理员可通过拖拽方式轻松调整流程节点的顺序信息，以适应不同质控场景与业务需求的变化情况。</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流程节点条件设置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系统支持配置节点触发条件信息（如系统自动审核通过后进入人工复核节点等），并支持条件分支功能（如错误类型=时间冲突时跳过某节点等），以实现灵活的流程控制与决策支持。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流程仿真测试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系统提供流程仿真测试功能，管理员可通过模拟数据输入的方式验证流程逻辑的正确性与有效性，并及时发现与解决潜在的问题与风险点。</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审核流程模板配置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按专科（如心内科、骨科等）、数据类型（如手术记录、检查报告等）或业务场景（如急诊、常规诊疗等）创建审核流程模板信息。模板包含节点顺序、规则集、操作权限等详细配置信息，以便管理员能够快速复用与部署审核流程模板。</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审核规则动态绑定</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在审核流程模板中，系统支持关联规则库中的规则集信息（如急诊数据宽松校验规则集等），并根据实际业务需求动态加载与应用相应的审核规则，以实现灵活的规则配置与流程控制功能。</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审核流程执行与监控</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流程实例管理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系统全面跟踪每条数据的审核流程实例信息，显示当前节点、处理人、处理时间等关键内容，以便管理员或用户能够随时了解审核流程的进展情况与状态变化。</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超时预警与干预</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若节点处理超时（如24小时内未进行复核操作等），系统自动提醒处理人或转交上级进行审核处理，以确保审核流程的及时性与有效性。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流程日志审计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系统记录每个节点的操作日志信息（如处理时间、处理人、操作类型及结果等），为管理员提供全面的审计与追溯依据，以便及时发现与解决问题并优化审核流程设计。</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（104）</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专科质控数据管理</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专科质控数据列表展示</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分页与排序</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支持用户依据时间、医院、专科等关键字段，对数据进行灵活且精准的分页展示。每页显示的条数可根据用户的实际需求进行个性化配置，例如设置为10条/页，以满足不同用户在不同场景下的浏览习惯与需求。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字段自定义显示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系统提供自定义的字段显示功能，用户可根据自身业务需求和关注点，自由选择需要显示的字段，如患者姓名、手术名称、主刀医生、手术时间等，同时能够隐藏那些与当前工作无关的字段。</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多条件筛选与查询</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快速筛选器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内置便捷快速的筛选器，为用户提供一系列常用的筛选条件选择框，如时间范围、医院、专科、手术类型等。用户只需通过简单的点击操作，即可快速筛选出符合特定条件的数据，无需手动输入复杂的筛选语句。</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高级筛选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有更复杂筛选需求的用户，系统提供了高级筛选功能。该功能支持用户进行组合条件查询，例如可以设置“骨科且手术时间&gt;2小时”或“心内科且并发症=是”等复杂的筛选条件。通过高级筛选，用户能够精准地定位到符合特定业务逻辑和需求的数据，满足多样化的数据查询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数据操作与交互</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批量操作</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系统支持用户对多选数据进行批量操作，包括批量导出、标记异常、分配处理人等。用户只需一次性选择多条数据，即可同时对这些数据执行相应的操作。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查看详情</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用户需要了解某条数据的详细信息时，只需点击该数据条目，系统即可跳转至该条数据的完整详情页面。在该页面中，不仅展示了所有字段（包括在列表中被隐藏的字段）的信息，还提供了与该数据相关的关联信息，如病历、检查报告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数据状态与标签管理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状态标识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对数据状态进行标识，将数据状态分为“正常”“异常”“待审核”“已归档”等类型，并通过不同的颜色或图标进行直观区分。同时，系统支持状态流转规则的配置，例如规定“异常”数据需经过质控员确认后才能转为“已处理”状态。这种状态标识和流转规则的设置，使得数据的处理流程更加规范、透明，便于用户跟踪和管理数据的状态变化。</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自定义标签管理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了方便用户对数据进行分类管理，系统支持为数据添加自定义标签，如“高风险”“需复查”等。用户可以根据数据的特征和业务需求，为数据打上相应的标签。此外，系统还提供标签搜索功能，用户可以通过输入标签名称，快速筛选出所有带有该标签的数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（112）</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专科质控数据统计分析</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医院上报统计概览</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医院上报数统计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系统能够精确统计并展示各医院上报的数据总记录数，让用户对各医院的数据上报规模有一个直观的了解。</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各医院上报数对比</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提供对比功能，通过柱状图等形式展示各医院之间的上报数对比情况。用户可以清晰地看到不同医院在数据上报数量上的差异，为进一步分析各医院的工作情况提供有力依据。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医院上报结构分析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析并展示各医院上报数据的结构，包括不同专科、不同数据类型（如手术记录、患者信息等）的分布情况。通过这种结构分析，用户可以了解各医院在不同专科和数据类型上的数据上报重点和特点，有助于发现潜在的问题和优化方向。</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医院上报时间趋势</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分析并展示各医院数据上报的时间趋势，如每日、每周、每月等上报的数据量。通过折线图或柱状图等形式，直观地展示各医院数据上报频率的变化趋势，帮助用户掌握各医院数据上报的时间规律和动态变化。</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医院上报完整性统计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对各医院上报数据的完整性进行全面统计，包括缺失值比例、完整记录数等关键指标。通过这些统计数据，用户可以评估各医院数据上报的质量，发现数据缺失的问题，并采取相应的措施进行改进。</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医院上报及时性统计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并展示各医院数据上报的及时性情况，如延迟上报的记录数、平均延迟时间等。这些数据能够反映各医院在数据上报时间方面的表现，帮助用户及时发现并解决数据上报不及时的问题，确保数据的时效性和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各质控专科数据上报统计</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专科数据上报概览</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系统全面统计并展示各质控专科内不同疾病或统计项目的上报数据总量，让用户对各专科的数据上报情况有一个整体的了解。</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数据分布分析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深入分析并展示各质控专科内不同疾病或统计项目的数据分布特征，如数据的集中趋势、离散程度等。通过这种分布分析，用户可以了解各专科内不同疾病或统计项目的数据特点和规律，为专科质控提供有针对性的参考。</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各专科数据上报时间趋势</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统计各疾病或统计项目在不同时间段（如日、周、月）的上报数据量，并通过图表等形式展示其变化趋势。</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各专科数据上报完整性统计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各质控专科内不同疾病或统计项目的数据上报完整性进行统计，展示其完整记录数、缺失值比例等指标。通过这些统计数据，用户可以评估各专科内不同疾病或统计项目的数据质量，发现数据缺失的问题并进行针对性的改进。</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各专科数据上报及时性统计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并展示各质控专科内不同疾病或统计项目的数据上报及时性情况，如延迟上报的记录数、平均延迟时间等。这些数据能够反映各专科内不同疾病或统计项目在数据上报时间方面的表现，帮助用户及时发现并解决数据上报不及时的问题，确保专科质控数据的时效性和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（123）</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专科质控指标监测</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指标数据监测分析模块</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指标数据实时更新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各医院上报的数据即时转化为质控指标数据，并动态更新至系统，确保数据的实时性与准确性，为医疗质量管理提供即时反馈。</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指标仪表盘概览</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通过仪表盘界面，实时展示关键质控指标的动态数据，如手术成功率、并发症发生率等，为管理者提供一目了然的决策支持。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数据表格展示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提供数据表格，全面展示各医院、各科室的质控指标数据，便于用户深入剖析与对比。</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同比分析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通过计算并展示各指标与去年同期相比的变化情况，帮助用户洞察指标的长期发展趋势，为战略规划提供依据。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环比分析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计算并展示各指标与上一周期（如上月、上周）相比的变化，揭示指标的短期波动规律，便于用户及时调整管理策略。</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质控指标对比</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提供各医院间相同质控指标的横向对比功能，助力用户深入了解不同医院在相同指标上的表现差异，促进经验交流与共享。</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数据结果导出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系统支持将监测数据结果以Excel、CSV等格式导出，方便用户进行进一步的数据分析与处理。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即席查询</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场景划分定义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根据医疗质量评价的不同场景（如手术质量、护理质量、患者安全、感染控制等）精细划分并定义指标内容，每个场景下的指标均可独立设置，包括指标名称、定义、计算方法、数据来源等，满足多样化评价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场景权限控制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系统管理员可根据用户角色和职责，为不同场景下的指标设置精细化的访问权限，确保敏感或特定场景下的数据仅能被授权用户访问，保障数据安全。</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用户可根据需求自由选择维度（如时间、机构、患者特征、科室等）对指标数据进行全面查询，获取多维度数据视图。</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指标数据统计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系统支持展示指标的多种统计值，如平均值、最大值、最小值、总和等，帮助用户快速把握数据整体概况。</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可视化指标过滤工具</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提供拖拽界面，用户可通过拖拽维度或指标到过滤区域，快速实现数据过滤。拖拽操作支持多选，用户可同时选择多个维度或指标进行复杂过滤。</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条目筛选过滤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支持条目级筛选，用户可选择特定条目（如某个医院、某个科室）来精准过滤数据。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文本匹配过滤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用户可通过输入关键词来快速匹配和过滤相关数据，提高查询效率。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自定义标签筛选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用户可根据自定义的标签（如高风险患者、特殊手术类型）来灵活过滤数据，满足个性化查询需求。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逻辑条件匹配过滤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用户可利用逻辑运算符（如AND、OR、NOT）组合多个过滤条件，构建复杂的过滤逻辑，实现精准数据筛选。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指标升降序展示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用户可对查询结果中的维度或指标进行升序或降序排序，排序操作支持多字段排序，用户可同时选择多个字段并设置其排序顺序，以满足不同展示需求。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多样图表展示查询结果</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提供柱状图、饼图、环形图、折线图、表格等多种图表展示方式，用户可根据数据特点和展示需求选择合适的图表类型。图表支持自定义设置，如颜色、字体、标签等，以满足用户的个性化审美需求。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数据深度下钻</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用户可在查询结果的基础上进行深入的下钻分析，逐级查看数据的详细明细，深入了解数据背后的原因和趋势。</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数据明细查看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下钻分析过程中，系统提供详细的数据明细查看功能，用户可查看每个数据点的具体数值、来源、时间、相关维度等信息。数据明细支持导出功能，用户可将明细数据导出为Excel、CSV等格式进行进一步深入分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监测指标配置</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指标池构建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系统构建一个全面的指标池，包含所有可用的医疗质量控制评价指标。用户可从指标池中选择需要监测的指标，构建自定义的监测指标集，满足个性化监测需求。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自定义监测规则</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用户可为每个选定的指标自定义监测规则，包括监测指标名称、监测条件说明等。监测规则支持灵活配置，以适应不同医疗机构的特定监测需求。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配置过滤条件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用户可根据实际需求设置过滤条件，以进一步细化监测范围。过滤条件可基于时间、机构、患者特征等多个维度进行设置，提高监测的针对性和准确性。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设定阈值范围</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平台可为每个指标设定合理的阈值范围，包括上限和下限。当指标数据超出阈值范围时，系统将自动触发预警机制。</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设定触发条件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用户可定义触发预警的具体条件，如连续多次超出阈值、单次超出阈值达到一定幅度等。触发条件支持灵活设置，以满足不同监测场景的需求。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设定预警消息级别</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平台支持为每个预警设定不同的消息级别，如紧急、重要、一般等。消息级别有助于用户快速识别和处理不同严重程度的预警信息。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设定消息推送方式</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平台支持选择多种预警消息的推送方式，如邮件、短信、系统通知等。用户可根据实际需求选择合适的推送方式，确保预警信息能够及时送达相关人员。</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指标监测预警模块</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指标预警实时监测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基于预设的规则或算法，系统能够自动检测并标识出质控指标中的异常值，实现实时监控与预警。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指标预警规则设定</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允许用户灵活设定异常值检测规则，如阈值设定、趋势分析等。用户可根据实际需求调整预警规则，提高预警的准确性和有效性。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异常值标识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在数据展示界面上清晰标识出异常值，便于用户快速定位问题所在，并采取相应的处理措施。</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预警指标概览</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系统提供实时指标监控预警查看界面，展示各指标的预警消息积累量和新增预警数，帮助用户全面了解预警情况。</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预警指标详情</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用户可点击预警消息查看详情，包括触发预警的机构单位、预警时间、预警指标统计值、报警等级、超过警戒线情况等详细信息。预警消息详情有助于用户深入了解预警的具体情况和原因。</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预警指标统计值展示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系统展示预警指标的多种统计值，如当前值、平均值、最大值、最小值等。用户可通过对比统计值了解预警指标的具体表现情况，为决策提供依据。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预警指标数据下钻</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系统支持对预警指标进行数据下钻分析，以图表形式展示历史数据变化趋势和指标数据波动情况。数据下钻功能有助于用户快速了解数据变化情况，深入分析数据异常问题。</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指标数据波动变化分析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系统对预警指标的数据波动变化进行深度分析，展示波动范围、波动频率等关键信息。用户可通过数据波动变化分析了解预警指标的稳定性和异常情况，为制定应对措施提供依据。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多维度数据对比展示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系统支持多维度数据对比展示功能，如不同机构、不同时间段、不同患者群体等维度的对比。用户可通过多维度数据对比更全面地了解预警指标的表现情况，为改进医疗质量提供有力支持。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预警指标数据导出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系统支持将预警数据以Excel、CSV等格式导出，方便用户进行进一步的数据分析和处理。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预警原因分析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提供异常原因的分析和建议报告，帮助用户快速定位问题根源并制定相应的改进措施。</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预警消息处理流程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系统内置预警消息处理流程管理功能，包括处理时间、处理人员、处理措施等关键信息的记录与追踪。用户可通过系统查看预警消息的处理进度和结果，确保问题得到及时有效的解决。</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预警消息跟踪</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系统支持对预警消息进行跟踪和反馈管理功能，确保问题得到持续关注和解决。用户可通过系统查看预警消息的跟踪记录和处理结果评估改进措施的有效性。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（163）</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临床专科质控管理</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医疗质量评价</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关键指标动态显示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系统首页动态展示区域内医院截至最新更新时间的关键指标分析结果，包括急诊和门诊、住院、手术医疗质量指标等核心数据，为管理者提供即时、全面的质量概况。</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指标需求自定义配置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根据医院实际指标需求，通过主题评价配置工具进行灵活修改与配置。用户可自定义选择需要展示的指标及其展示方式，以满足不同医院的特定评价需求。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主题评价配置功能</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提供组件拖拽配置功能，用户可通过拖拽组件轻松完成主题的可视化呈现展示。拖拽配置方式降低了用户操作难度，提高了配置效率。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可视化组件工具</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提可视化组件库，包括布局、面板、网格、文本、页签、链接组、下拉框等多种组件类型。用户可根据需求选择合适的组件来构建主题评价页面。</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多维度筛选器工具</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提供多种通用维度值筛选器、用户权限筛选器、日期筛选器、时间粒度筛选器、维度级联筛选器等筛选组件，方便用户从不同维度对数据进行筛选和分析。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主题评价看板</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主题评价功能主要面向医疗机构管理者或相关职能科室设计。提供面向场景、角色的主题评价看板，方便医院管理人员及临床科室实时精准掌握数据分析结果，为决策提供支持。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主题指标快速配置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主题内容及指标类型可根据客户需求快速配置上线应用。用户可自定义主题内容和指标类型，以满足不同场景和角色的评价需求。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分析结果呈现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主题评价以图形化的形式呈现分析结果，包括数据卡片、柱形图、折线图、雷达图、面积图等多种统计分析常用图表类型。图形化呈现方式有助于用户快速理解数据分析结果并做出决策。</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分析详情下钻查看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支持下钻查看分析详情功能，用户可深入了解数据分析结果的具体构成和细节信息。下钻功能有助于用户发现潜在问题和优化点，提升医疗质量管理水平。</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多维度切换与分析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支持科室、时间等多维度切换功能，实现用户的多角度分析呈现需求。用户可根据不同维度查看数据分析结果以获取更全面的信息支持决策制定。</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主题应用数据支撑</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主题应用数据来源于医疗质量评价系统内部的大数据分析与挖掘结果。系统采用面向主题的方式对大数据进行深度处理与分析形成针对某一主题的主题数据库为医疗质量评价提供坚实的数据支撑基础。</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导航栏自定义配置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支持自定义主题评价内容的导航栏设置功能。用户可通过Excel便捷配置菜单导航栏内容实现导航栏内容的一键导入与发布上线提高配置效率与灵活性。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仪表盘自定义配置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基于不同主题的数据分析内容支持自定义看板的布局样式、图表展示方式、tab切换设计以及多维度的过滤查询检索功能等。同时支持图形化组件展示数据如指标卡片、柱状图、折线图、表格等多种图表类型以及主题数据的一键导出PDF和图表数据的导出功能方便用户快速使用数据结果并进行分享与交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督导管理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督导评价表管理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系统提供督导指标体系，如消毒操作、手卫生合规性、感染登记和报告、感染风险评估等关键指标。用户可根据医院实际情况自定义或选择适用的督导指标，确保评估工作的全面性和针对性。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督导评分体系建立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为每个督导指标分配相应的评分标准，支持定量评分（如1-10分）和定性评价（如优、良、中、差）等多种评分方式。用户可根据指标的重要性和执行难度灵活调整评分标准，确保评估结果的公正性和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督导任务管理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系统提供评估管理模块支持用户创建、编辑和管理督导任务。用户可设定任务的目标范围、时间节点等关键信息确保评估工作的有序进行与高效执行。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任务流程配置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系统支持用户自定义督导任务的执行流程包括任务指派、执行、审核、反馈等多个环节。通过流程配置可确保评估工作的规范化和标准化提高评估效率和质量水平。</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督导任务指派</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系统支持用户将督导任务指派给相应的评估人员确保任务能够得到专业且有效的执行。用户可根据评估人员的专业背景、工作经验等因素合理分配任务以提高评估结果的准确性和可靠性水平。</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任务分配记录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系统记录任务分配情况包括任务名称、分配时间、评估人员等信息便于用户追踪任务执行情况并及时发现问题与解决方案确保评估工作的顺利进行与完成度提升。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任务进度跟踪</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系统实时跟踪督导任务的执行情况，并展示任务的进度和状态信息。用户可通过系统查看任务的完成情况，及时发现并解决问题，确保评估工作能够按时完成并取得预期效果。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评估结果监控</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系统支持用户对评估结果进行实时监控与查看，包括评分情况、问题点、改进建议等关键信息。通过评估结果监控，可及时了解医院医疗服务的质量和安全水平，为决策制定提供有力支持。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督导反馈</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系统支持用户对评估结果进行反馈与指导，提出改进意见和建议。通过反馈与指导，可促进医院医疗服务的持续改进与提升，达到更高水平的服务质量与患者满意度。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评估过程记录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系统支持评估人员详细记录评估过程，包括实地观察情况、文件审核结果、访谈记录等重要信息。通过评估过程记录，可确保评估工作的可追溯性与可验证性，提升评估结果的可信度与权威性。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评估数据存档</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系统将评估数据和结果进行存档保存，便于用户后续查询与分析使用。通过评估数据存档，可为医院医疗服务的持续改进提供坚实的数据支持基础。</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督导任务统计分析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系统支持对督导数据进行全面统计与分析，并生成督导评估报告。通过督导数据分析，可深入了解医院医疗服务的整体情况与存在的问题点，为改进方向与策略制定提供依据。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改进建议生成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系统根据评估结果和问题点自动生成改进建议，为医院医疗服务的持续改进提供明确方向与策略支持，促进医疗服务质量的不断提升。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质控报告管理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医疗质控报告自动生成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系统根据分析结果自动生成医疗质控报告，内容详实准确，反映医疗机构的医疗服务质量状况，为管理者提供全面客观的决策支持。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报告数据填充</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根据分析后的医疗数据自动填充报告模板中的相应位置，支持数据的动态更新，确保报告内容始终与最新数据保持一致，提高报告的时效性与准确性。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报告图表生成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根据数据特点自动生成柱状图、折线图、饼图等多种图表类型，直观展示数据趋势和比例关系，支持图表的自定义设置，如颜色、字体、标签等，以满足用户的审美需求与个性化展示要求。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报告文字描述生成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自动生成数据分析和评价的文字描述，内容包括关键指标的解释、数据变化的解读等详细信息，支持文字描述的个性化调整，用户可根据实际情况修改或补充描述内容，以提高报告的可读性与易懂性。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报告内容自动化校验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在报告生成后自动进行内容校验，确保数据填充准确、图表嵌入正确、文字描述无误，校验内容包括数据一致性、图表与数据匹配度、文字描述逻辑性等，以提高报告的准确性与可信度。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报告内容版本管理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记录报告内容的修改历史信息，包括修改时间、修改人、修改内容等，版本记录有助于追踪报告内容的变更过程，确保报告的可追溯性与合规性要求。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报告模板新建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提供模板新建功能，用户可选择空白模板或从预设模板库中选择基础模板进行创建，支持用户自定义模板名称、描述及适用场景（如科室、病种、质控周期等）。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模板编辑器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提供模板编辑器，支持用户在线编辑模板内容，包括文字、图表、表格等元素的添加、删除和修改操作，支持拖拽式布局调整，用户可自由拖拽元素位置，实现个性化布局。</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元素属性设置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模板中的每个元素（如文本框、图表占位符等）提供详细的属性设置功能，包括字体、颜色、大小、对齐方式等，支持元素间的关联设置，如数据字段与图表占位符的绑定操作，确保数据填充时图表能够正确生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报告模板库管理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提供模板库管理功能，支持用户查看、搜索和筛选已创建的模板内容，支持模板的分类存储操作，如病种、质控指标等分类方式，方便用户快速找到所需模板并进行使用与编辑。</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模板权限管理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提供模板权限设置功能，支持用户设置模板的访问权限，如只读、可编辑、可删除等，支持按用户角色或具体用户进行权限分配操作，确保模板的安全性与合规性要求。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报告模板预览</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提供模板预览功能，支持用户在编辑过程中随时预览模板的生成效果，支持预览时填充示例数据，以便用户更直观地查看模板的实际效果。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报告模板导入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支持从外部文件（如Word、Excel等）导入模板内容操作，方便用户将现有报告模板转换为系统支持的格式进行使用与编辑，提供导入向导功能，引导用户完成模板导入过程，并确保导入的模板格式正确、内容完整。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报告模板导出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支持将系统内的模板导出为外部文件（如Word、PDF等）操作，方便用户进行离线编辑或分享使用，导出时保留模板的所有元素和属性设置信息，确保导出的模板与系统内模板一致。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报告周期设置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系统支持设置报告生成的周期类型，如每月、每季度、半年、每年等，用户可根据实际需求灵活调整报告生成周期。</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周期配置管理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用户可为不同的报告模板或质控指标设置不同的生成周期类型，提供周期配置列表功能，方便用户查看、编辑或删除已设置的报告周期信息。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周期冲突检测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系统自动检测周期设置中的冲突问题，如多个报告在同一时间生成可能导致系统负载过高等情况，提供冲突提示和解决方案功能，帮助用户调整周期设置以避免冲突发生。</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报告任务自动生成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根据用户设置的报告周期，系统自动生成相应的报告生成任务内容，任务包含报告模板、生成时间、数据源等关键信息，确保报告能够按时生成并推送至相关人员。</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任务队列管理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系统维护一个任务队列，按照生成时间对报告生成任务进行有序排序。提供任务队列的查看、编辑和删除功能，方便用户管理待生成报告任务，确保任务的有序执行与高效管理。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任务依赖关系处理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支持设置任务之间的依赖关系，如某报告生成前需先完成另一报告或数据收集任务。系统自动处理任务依赖关系，确保任务按正确顺序执行，避免数据不一致或任务冲突的发生。</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自动化执行引擎</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系统内置高效的自动化执行引擎，按照预设时间自动触发报告生成任务。支持任务的并行执行和串行执行，提高任务执行效率，确保报告能够按时、准确地生成。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生成历史记录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系统记录每次报告生成的历史信息，包括生成时间、生成人、报告版本等关键要素。提供生成历史记录的查询和导出功能，方便用户追溯报告生成历史，了解报告变更过程。</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报告推送配置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支持用户选择报告推送的目标人员或部门，如科室负责人、质控专家、院领导等。提供人员或部门的搜索和筛选功能，方便用户快速定位推送目标，提高报告推送的精准性与效率。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多渠道推送方式</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支持邮件、短信、系统消息等多种推送方式，用户可根据实际需求选择合适的推送方式。提供推送方式的配置界面，用户可设置推送模板、发送时间等参数，以满足不同场景下的推送需求。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报告推送通知提醒</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在报告推送后，系统自动发送通知提醒给接收人，告知报告已生成并推送。通知内容包含报告名称、生成时间、推送方式等关键信息，方便接收人及时了解报告情况。</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未接收提醒</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对于长时间未接收报告的接收人，系统自动发送未接收提醒通知。提供未接收提醒的阈值设置功能，用户可根据实际需求调整提醒时间，确保报告能够顺利送达相关人员。</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灵活调整推送策略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支持用户随时调整报告推送策略，如更改推送方式、推送时间、推送目标等。提供推送策略调整记录功能，方便用户追踪策略变更历史，了解推送策略的调整过程与效果。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推送扩展性设计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系统采用模块化设计思想，方便后续添加新的推送方式或通知类型。支持与其他系统（如消息队列、通知服务等）进行集成，扩展报告推送和通知能力，提高系统的灵活性与可扩展性。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临床专科质量整改</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整改内容创建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支持用户根据异常预警报告，精准定制整改通知内容，包括整改要求、整改期限、责任人等关键信息。提供整改通知模板功能，方便用户快速生成符合规范的整改通知，提高工作效率。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内容基本信息录入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在系统中创建新的整改任务，并全面录入基本信息，如整改任务名称、关联异常预警编号、涉及科室/病种、整改责任人等。提供下拉选择或自动填充功能，以便快速选择关联信息，减少手动输入错误，提高数据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整改要求设置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详细设置整改要求，包括需要达到的标准、整改的具体内容、整改的期限等。支持富文本编辑功能，允许用户添加格式、图片、链接等多媒体元素，以便更清晰地表达整改要求，提高整改任务的明确性与可操作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整改措施制定</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制定具体的整改措施，包括实施步骤、方法、资源需求等详细内容。提供整改措施模板功能，用户可根据模板快速填写整改措施，也可自定义模板以适应不同情况。支持添加附件功能，如整改方案文档、流程图等，以便更全面地展示整改措施与方案。</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整改责任人分配</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用户可为整改任务精准分配责任人，明确整改工作的具体执行者。支持多人分配功能，以便在需要时多人协作完成整改任务。提供责任人联系方式和职责说明信息，确保整改工作的顺利进行与责任到人。</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整改期限设置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用户可合理设置整改任务的开始时间和结束时间，明确整改工作的期限要求。提供期限提醒功能，系统会在整改期限临近时自动发送提醒通知给责任人，督促其按时完成整改任务，避免整改延期或遗漏。</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整改优先级设定</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用户可根据整改任务的紧急程度和重要性设定优先级等级，如高、中、低等。系统会根据优先级对整改任务进行排序和展示，以便用户优先处理重要且紧急的整改任务，提高整改工作的效率与效果。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整改内容审核</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内容创建完成后，需提交给相关管理人员进行审核。审核人员可在系统中查看整改内容详情，并提出修改意见或确认通过审核。提供审核历史记录功能，方便用户追踪整改内容的审核过程与结果，确保整改内容的合规性与有效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整改任务精准分配</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根据整改内容自动或手动选择整改责任人，确保任务精准分配到具体个人或团队。支持按科室、病种、异常类型等维度进行任务分配，提高任务分配的精准度与合理性。提供任务分配确认机制，责任人需确认接收任务，避免任务遗漏或误解。</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整改通知定制化生成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根据整改内容自动生成定制化整改通知，包含任务名称、整改要求、期限、责任人等关键信息。支持通知模板定制功能，用户可根据不同整改类型或科室需求设置不同的通知格式和内容。通知中可嵌入整改措施、相关附件链接等详细信息，方便责任人快速了解整改详情并采取行动。</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多渠道通知下发</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通过邮件、系统消息、短信等多种渠道下发整改通知，确保责任人能够及时接收并了解整改任务要求。提供通知下发记录功能，包括下发时间、接收人、接收状态等关键信息，方便用户追踪通知下发情况与接收效果。对于未接收或接收失败的通知，系统可自动重发或提醒用户手动重发，确保整改通知的准确传达与接收。</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整改任务进度跟踪</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实时跟踪整改任务的执行进度情况，包括已完成、进行中、未开始等状态信息。提供进度更新功能，责任人可随时在系统中更新任务进度并上传相关证明材料以供审核与查看。支持进度提醒和预警功能，当任务进度滞后或临近期限时系统自动发送提醒通知给责任人督促其加快进度确保整改任务按时完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整改任务催办</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逾期未完成的整改任务系统可自动发送催办通知给责任人提醒其加快进度并尽快完成任务要求。支持催办次数和频率设置功能避免过度催办造成干扰与负担。当催办无效时系统可将任务升级给上级管理人员或相关部门进行协调与处理确保整改任务得到及时有效的解决与落实。</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整改下发记录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系统详细记录每次整改下发的详细信息，内容包括下发时间、接收人、通知内容、下发渠道等关键要素信息，方便用户追踪整改下发情况与接收效果，为后续整改工作的跟进与评估提供有力支持依据。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整改下发流程管理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将整改下发与整改流程管理进行有机集成，确保整改任务在流程中的顺畅流转与高效执行。当整改任务下发后，系统自动触发后续流程节点，如整改执行、审核、反馈等环节，实现整改工作的闭环管理与持续优化。</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整改情况统计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对各科室的整改情况进行全面统计与分析，内容包括整改完成率、整改及时率、整改效果等关键指标信息。提供统计报表和图表展示方式，直观展示整改情况与成效，为医院管理层提供决策支持依据与参考价值。</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整改效果评估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根据整改前后的指标数据变化情况进行科学评估，分析整改效果，如指标改善程度、达标情况等内容。支持设置评估标准和权重参数，以更准确地反映整改效果与成效，为医院持续改进医疗服务质量提供有力支撑与保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整改效果跟踪</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系统对整改效果进行持续跟踪与记录，分析整改前后的指标变化趋势与差异，提供整改效果对比图表，直观展示整改成效与改进空间，为医院针对不同病种制定精准化整改策略提供依据与参考。</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整改策略调整</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整改效果跟踪与预警信息，用户可灵活调整整改策略，如增加整改措施、延长整改期限、调整责任人等，以适应不同病种与情况的整改需求，确保整改工作的有效性与针对性，为持续改进整改工作提供有力支持与保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（236）</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在线培训与考核</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学习培训管理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多领域培训内容录入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系统支持录入并编辑临床专科等医学领域的专业知识培训内容，内容广泛涵盖基础医学理论、临床操作技能、最新医疗技术进展及科研成果。管理员可通过简便的操作界面，高效整合并更新各类学习资源。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内容编辑与录入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提供富文本编辑器，管理员可录入和编辑文本内容，如课程描述、学习目标等，确保信息的准确性和丰富性。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多媒体上传</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允许上传和嵌入图片、视频、PDF等多媒体文件。同时，提供内容模板，帮助管理员快速录入标准化内容，提高工作效率。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内容审核与发布</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录入的内容需经过严格的审核流程，以确保其准确性和合规性。审核通过后，内容将被发布到培训平台，供学员学习。</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课程分类标准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根据医学领域、课程类型（如基础医学理论、临床操作技能等）以及技能层级（如初级、中级、高级）等多维度设定课程分类标准。通过分类管理界面，管理员可新增、编辑、删除分类，以实现课程的精细化管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课程归类与存储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根据设定的分类标准，系统可自动或手动将上传的课程归类到相应的分类下。同时，提供课程存储路径的灵活配置，确保课程文件的安全存储和高效访问。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分类层级管理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支持多级分类体系，管理员可创建子分类，形成树状结构，便于对课程进行更加精细的管理。分类层级导航功能则方便用户快速定位到所需的课程分类。</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课程标签体系</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允许管理员为课程创建自定义标签，如“热门课程”“最新更新”“必修课程”等。通过标签管理界面，管理员可新增、编辑、删除标签，并设置标签的适用范围和规则，以提高课程的检索效率和个性化推荐。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标签检索与过滤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提供标签检索功能，用户可通过输入标签名称快速定位到带有该标签的课程。同时，支持多标签组合过滤，用户可同时选择多个标签进行课程筛选，从而提高检索的精准度和效率。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标签统计与分析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系统统计每个标签下课程的数量、学习人数、学习时长等数据，为管理员提供课程热度和学习趋势的直观分析。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实时记录学习进度</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系统实时记录每位医务人员的学习进度，包括登录时间、学习课程名称、学习时长、学习进度等。同时，支持记录暂停、继续、完成等学习状态变化，确保学习活动的完整性和可追溯性。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学习时长统计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系统统计每位医务人员的学习时长，包括总学习时长、每日学习时长、课程学习时长等。提供学习时长趋势图，展示医务人员的学习时长变化情况，有助于管理员了解学员的学习投入程度。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学习进度分析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系统分析医务人员的学习进度，如已完成的课程比例、未完成的课程数量、预计完成时间等。通过进度分析，管理员可及时发现学习滞后或未完成的情况，并采取相应措施进行干预。</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学习行为分析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系统深入分析医务人员的学习行为，如学习频率、学习时段、学习偏好等。根据分析结果，为医务人员提供个性化的学习建议和资源推荐，以提高学习效率和效果。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学习进度条展示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为每位医务人员提供个性化的学习进度条，展示其学习进度和完成情况。进度条有助于医务人员清晰了解自己的学习状态，激发学习动力。</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学习成果图表展示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使用图表（如柱状图、饼图、折线图等）展示医务人员的学习成果，如学分获得情况、课程完成情况等。图表支持交互操作，如缩放、筛选、导出等。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学习进度提醒</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当医务人员的学习进度落后或接近截止日期时，系统自动发送提醒消息，提醒其加快学习进度。提醒消息可通过站内信、邮件、短信等多种方式发送，确保医务人员及时收到并作出响应。</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个人学习进度查询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便捷的学习进度查询功能，医务人员可随时登录系统查看自己的学习进度和成果。包括已学课程的列表、学习时长的统计、学习进度的可视化进度条等，帮助医务人员清晰了解自己的学习状态并规划后续学习计划。</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智能考试管理模块</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多元化在线考核</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系统设置全面的在线考核功能，支持选择题、判断题、简答题等多种题型。通过多元化的考核方式，全面评估医务人员的知识掌握情况和实际应用能力。</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题目录入与编辑</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支持管理员录入题目的基本信息，包括题目内容、题型、难度级别、所属知识点等。提供富文本编辑器，方便管理员输入复杂的题目内容，如包含图片、公式等。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题目编辑与更新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允许管理员对已录入的题目进行编辑和更新，包括修改题目内容、选项、答案等。提供版本控制功能，记录题目的修改历史，方便回溯和恢复。</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题目分类管理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支持按知识点、难度级别、题型等多维度对题目进行分类管理。通过分类树状结构，管理员可快速定位和检索题目，提高题目管理的效率。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题目标签化</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允许管理员为题目添加自定义标签，如“高频考点”、“易错题”等。通过标签化管理，提高题目的检索效率和筛选精度。同时，支持按标签进行题目检索和筛选，方便管理员根据需求快速找到相关题目。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题目审核</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设置题目审核流程，确保题目内容的准确性和合规性。审核人员可对题目进行批注和修改建议，提高题目质量。通过严格的审核机制，维护考核的权威性和公正性。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题目发布</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审核通过的题目可发布到题库中，供考核使用。题库中的题目可根据需求进行组合和筛选，以形成不同难度和知识点的试卷。</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题目检索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提供关键词搜索功能，允许管理员通过输入题目内容、知识点、标签等关键词快速定位到相关题目。此功能有助于管理员在庞大的题库中快速找到所需题目，提高工作效率。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题目导入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支持从外部文件（如Excel、CSV等）批量导入题目。提供导入模板和格式校验功能，确保导入数据的准确性和完整性。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题目导出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支持将题库中的题目导出为Excel、CSV等格式文件。提供导出选项设置，如导出范围、导出格式等，满足不同的使用需求。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人工组卷</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允许管理员从题库中手动选择题目组成试卷，支持按题型、难度、知识点等维度进行筛选和排序。提供题目预览功能，方便管理员在组卷过程中查看题目详情并作出调整。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智能组卷</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根据预设的题目抽取规则（如题型比例、难度分布、知识点覆盖等），从题库中随机抽取题目组成试卷。支持设置抽取题目的数量、范围、排除已考题目等参数，提高试卷的多样性和公平性。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智能组卷参数设置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允许管理员设置自动生成试卷的参数，如试卷难度、题型比例、考试时间等。提供参数模板功能，方便管理员快速应用预设的试卷生成规则。</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试卷审核</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设置试卷审核流程，确保试卷内容的准确性和合规性。审核人员可对试卷进行批注和修改建议，提高试卷质量。通过严格的审核机制，确保考核的准确性和公正性。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试卷发布</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审核通过的试卷可发布到试卷库中，供学员使用。学员可根据需求选择相应的试卷进行在线考核。</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试卷统计与分析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统计每张试卷的使用次数、参与人数、平均分等数据。通过数据分析，了解学员的考核情况和知识点掌握程度。同时，为管理员提供决策支持依据和参考价值。</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（270）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试卷库管理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支持按学科、课程、难度级别、考试类型等多维度对试卷进行分类存储管理。通过分类管理功能，方便管理员快速检索和调用所需试卷。</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（271）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试卷快速检索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提供关键词搜索功能，允许管理员通过输入试卷名称、适用对象等关键词快速定位到相关试卷。此功能有助于管理员在庞大的试卷库中快速找到所需试卷，提高工作效率。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（272）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试卷导出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支持将试卷导出为PDF、Word等格式文件，方便打印和分发。提供导出选项设置功能，如导出范围、导出格式、是否包含答案等，满足不同的使用需求。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（273）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考核结果自动生成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每次考核完之后系统自动生成考核结果（如得分、答错题目、正确答案解析等），并提供考核结果导出功能。通过自动生成考核结果功能，减轻管理员的工作负担并提高工作效率。同时，为管理员提供后续分析和处理的数据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（274）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考核评估与分析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内置先进的评估分析模型，对医务人员的考核结果进行深入评估和分析。综合考虑得分、答错题目、答题时间等多维度数据，全面评价医务人员的知识掌握程度和学习成效。通过评估分析结果，为管理员提供决策支持依据和个性化培训建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（275）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考核分析报告</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考核分析报告，包括整体情况分析、知识点掌握情况分析、个人对比分析等。报告以图表和文本形式呈现，直观展示考核结果和评估分析情况。通过报告，管理员可深入了解医务人员的考核表现和存在问题，为持续改进培训效果和提供有力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w:t>
            </w:r>
          </w:p>
        </w:tc>
        <w:tc>
          <w:tcPr>
            <w:tcW w:w="12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医院临床专科学习培训系统（移动端）</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督导管理</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实时督导记录反馈</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实时数据更新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手机端与PC端实现数据实时同步，确保督导人员在移动端能即时获取最新督导任务、评价表等信息，PC端的任何更新内容都能即时反映在手机端，提高督导工作的时效性和准确性。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一键启动督导</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督导人员通过手机端可迅速启动督导任务，直接调用预先设定的督导评价表，操作简便快捷，无需繁琐步骤，显著提升督导效率。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实时便捷记录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督导任务功能为现场督导人员提供直观易用的操作界面，使其能够迅速对医院医疗服务的关键环节进行实时记录，如医疗操作流程的规范性、医患沟通的有效性等，确保督导工作的全面性和深入性。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现场数据采集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利用手机端的拍照、录音、录像等功能，督导人员可方便地在现场采集证据，如拍摄消毒操作过程、记录访谈内容等，为后续的督导评估提供有力支持。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多维度记录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支持从医疗质量、医疗安全、服务态度等多个维度进行记录，确保督导内容的全面性和准确性，为医院服务质量的持续提升提供有力保障。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数据分类标注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收集到的数据可进行分类标注，如按医疗环节（诊断、治疗、护理等）、问题类型（操作不规范、设备故障等）进行分类，便于后续的数据分析和问题追踪。</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实时评估反馈</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督导人员可根据实时记录的内容，即时对医疗服务进行评估，给出初步的评价和建议，为后续的督导改进工作提供参考依据。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智能填写引导</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根据评价表中的督导指标，系统提供智能填写引导功能，如提示填写消毒操作的具体时间、手卫生合规性的观察结果等，确保评价表的填写完整且准确。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便捷评分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支持在手机端直接进行评分操作，可选择定量评分（如滑动选择分数）或定性评价（如点击选择优、良、中、差等级别），使评分过程更加便捷高效。</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实时进度更新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督导人员在执行任务过程中，可实时更新任务进度，管理人员可及时了解任务执行情况，确保督导工作的顺利进行。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消息推送提醒</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当任务信息发生变化时，系统自动向相关人员推送消息提醒，如任务分配通知、进度更新提醒等，确保信息的及时传达和有效沟通。</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任务进度跟踪</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系统实时跟踪督导任务的执行情况，并展示任务的进度和状态信息。用户可通过系统查看任务的完成情况，及时发现并解决问题，确保评估工作的按时推进。</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督导任务管理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全面任务展示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督导专家可通过该功能查看指派给当前移动端用户的所有督导任务，包括任务名称、任务描述、任务时间、任务地点等详细信息，便于对督导任务进行全面了解和管理。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任务状态区分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对任务状态进行明确区分，如未开始、进行中、已完成等，方便专家了解任务的执行情况，合理安排工作计划。</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智能筛选排序</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支持按任务时间、任务状态、任务地点等条件进行筛选和排序，方便专家快速找到关注的任务，提高工作效率。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一键发起评价</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当专家前往医疗机构进行督导评价工作时，可直接从该功能模块一键发起督导评价操作，简化评价流程，提高工作效率。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机构督导报告管理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报告内容自动生成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基于对医疗服务质控工作实施过程和结果的全面评估，系统自动生成详细的督导报告，减少人工编写报告的时间和精力，提高报告生成的效率和准确性。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问题分析精准定位</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报告深入分析医疗服务工作中的问题，通过具体的数据和案例进行支撑，精准定位问题的根源，为后续的整改工作提供明确方向。</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便捷下载分享</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支持将生成的督导报告以多种格式（如PDF、Word等）进行分享，方便医院管理团队和相关人员查看和分析报告内容。</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学习培训</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培训课程管理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在线培训课程资源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提供在线培训课程资源，涵盖医疗服务的各个领域和专业知识，满足不同学员的学习需求，提升学员的专业素养和技能水平。</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灵活学习方式选择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支持学员根据自己的时间和进度进行学习，可随时暂停、继续学习，提高学习的自主性和灵活性。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实时进度更新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系统实时更新学员的学习进度，让学员随时了解自己的学习情况，合理安排学习计划。</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学习提醒设置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系统会在已进行中的课程规定的时间发送提醒消息，确保学员按时完成学习任务，避免学习进度的滞后。</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课程详细信息展示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用户可以查看各种培训课程的详细信息，包括课程主题、课程目标、课程内容大纲等，帮助用户了解课程内容和价值。</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课程评价参考</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展示其他学员对该课程的评价和反馈，为用户提供参考依据，帮助用户选择合适的课程进行学习。</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课程多维度搜索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支持用户根据课程主题、分类、级别、关键词等多维度进行搜索，快速找到适配的课程资源，提高学习资源的获取效率。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学习目标明确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提供明确的课程学习目标，让用户通过学习该课程能够达到什么样的效果。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我的课程管理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章节学习进度展示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用户可以查看自己所参与培训课程的具体章节学习进度，了解每个章节的完成情况，便于调整学习计划。</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学习时长统计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统计用户在不同课程上的学习时长，帮助用户合理安排学习时间，提高学习效率。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学习过程详细记录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系统详细记录医护人员的学习过程，包括是否浏览学习内容、开始时间、学习时长、暂停时间等，为学习效果的评估提供全面的数据支持。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学习任务详情展示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展示用户已完成的学习任务详情，包括任务名称、任务内容、完成时间等，方便用户回顾和总结学习成果。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课程详情管理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多种格式学习资源下载</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提供丰富的学习资源和教材的下载功能，包括课件（PPT、PDF等）、录音（MP3等）、视频（MP4等）等多种格式，满足不同用户的学习需求和偏好。</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资源分类清晰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下载的学习资源按课程章节和类型进行分类管理，方便用户查找和使用，提高学习资源的利用效率。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资源更新通知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当课程资源有更新时，系统会及时通知用户，并提供更新内容的详细说明，让用户了解更新的重点和价值，保持学习资源的时效性和准确性。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（35）</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在线考试管理</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考试管理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考试任务信息查看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各个医疗机构学员可以通过该功能查看考试任务的详细信息，包括考试名称、考试时间、考试地点、考试方式、考试内容范围等，为考试做好充分准备。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考试提醒设置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学员可设置考试提醒功能，系统会在考试前规定的时间发送提醒消息，确保学员不会错过考试，避免不必要的损失。</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稳定在线考试环境</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系统提供稳定的在线考试环境，确保考试过程中不会出现卡顿、掉线等问题，保障考试的顺利进行和结果的公正性。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在线多种题型支持</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支持多种题型如选择题、填空题、简答题、论述题等，全面考察学员的知识掌握程度和实际应用能力。</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考试成绩查询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考试完成后，学员可查询自己的考试成绩和排名情况，了解自己的学习成果和不足之处。</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成绩分析报告</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提供成绩分析报告功能，分析学员在不同题型和知识点上的得分情况，为学员的学习改进提供有针对性的建议。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我的考试</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考试任务列表展示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学员可以查看将要进行或者已完成的考试任务列表信息，包括考试名称、考试时间、考试状态等，方便学员合理安排考试时间和复习计划。</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任务排序与筛选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支持按考试时间、考试状态等条件对考试任务进行排序和筛选操作，方便学员快速找到关注的考试任务。</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在线考试便捷入口访问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提供便捷的在线考试入口访问功能，学员通过此功能可直接打开试卷开始线上考试，减少操作步骤和时间成本。</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考试规则提示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在进入考试前，系统会显示考试规则和注意事项信息内容，提醒学员遵守考试纪律和要求，确保考试的公正性和规范性。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在线考试</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清晰考题展示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学员可以查看考题并填写答案内容信息，考题展示清晰直观方便学员阅读和作答提高答题效率和准确性。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答题进度提示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系统实时提示学员的答题进度和剩余时间信息内容让学员了解自己的答题情况并合理安排答题时间，避免时间不足导致答题不完整的情况。</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灵活修改操作</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在未提交试卷之前学员可以反复查看试题，并修改答案内容信息，修改操作简单方便，提高答题的正确性和满意度。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成绩管理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详细成绩展示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提供详细的成绩列表信息。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深度分析报告</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提供深度的成绩分析报告。</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（50）</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用户信息管理</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注册登录</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多种授权方式</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支持通过手机号、微信、邮箱等多种方式进行账号授权操作满足不同用户的使用习惯和需求提高账号授权的便捷性和安全性。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信息验证机制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在用户授权账号信息后进行严格的验证操作确保信息的真实性和有效性防止恶意注册和虚假账号的存在保障系统的安全性和可靠性。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快速登录体验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用户打开小程序后可自动完成登录操作无需再次输入账号密码信息提高登录效率和便捷性减少用户等待时间和操作步骤。</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支持多账号绑定</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允许用户绑定多个第三方账号信息如同时绑定微信和手机号方便用户在不同场景下灵活登录和使用系统提高账号的灵活性和便捷性。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实名认证</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详细信息填写</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注册后用户需提交相关单位、职称、证件照片等详细信息内容确保用户身份的真实性和准确性系统提供清晰的填写指引帮助用户正确填写信息内容。</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证件上传规范</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对证件照片的上传有明确的规范要求如照片格式、大小、清晰度等确保上传的证件照片能够有效用于实名认证提高实名认证的准确性和可靠性。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审核流程透明</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管理员通过PC端后台查看并完成实名认证审核操作审核流程公开透明用户可在个人中心查看审核进度和结果信息提高实名认证的可信度和用户满意度。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审核反馈机制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若审核不通过系统会及时向用户反馈不通过的原因信息并提供修改建议方便用户重新提交认证信息提高实名认证的通过率和用户满意度。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权限开放依据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实名认证结果作为用户使用系统部分功能的依据条件只有通过实名认证的用户才能参与特定的督导任务、培训活动等保障系统的安全性和规范性提高系统的使用价值和用户粘性。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（59）</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消息提醒</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质量控制管理消息</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实时消息推送</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系统采用实时机制向用户推送质量控制管理工作消息提醒内容包括质控预警、督导任务提醒、培训提醒、考试提醒等确保用户及时获取重要信息内容提高信息传达的及时性和有效性。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消息内容详细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消息内容详细具体包含关键信息如任务名称、时间、地点、要求等让用户清楚了解消息的含义和重要性提高用户处理消息的准确性和效率。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多维度分类</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系统对消息进行分类和筛选操作支持按消息类型（如督导、培训、考试等）、时间范围、重要程度等多维度进行分类方便用户快速找到关注的信息内容提高信息查找的便捷性和效率。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智能筛选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提供智能筛选功能用户可根据自己的需求设置筛选条件系统自动筛选出符合条件的消息内容提高信息查找的精准度和效率。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消息标记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用户可对重要的消息进行标记操作方便后续查看和处理标记后的消息会在消息列表中突出显示提醒用户重点关注提高消息处理的优先级和效率。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消息处理反馈</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用户处理完消息后系统会记录处理结果信息如已读、已处理等方便用户了解自己的消息处理情况提高消息处理的透明度和可追溯性。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（65）</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系统设置</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界面个性化设置</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主题风格选择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提供多种主题风格供用户选择用户可根据自己的喜好设置系统的界面风格提高使用的舒适度和个性化体验。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字体大小调整</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支持用户调整系统界面的字体大小方便不同视力需求的用户使用提高系统的可访问性和包容性。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账号安全设置</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密码修改</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用户可随时修改登录密码信息保障账号的安全性防止账号被盗用和滥用情况的发生。</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绑定手机修改</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提供绑定手机修改功能用户可在原绑定手机无法使用的情况下及时更换绑定手机信息确保账号的正常使用和提高账号的安全性。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w:t>
            </w:r>
          </w:p>
        </w:tc>
        <w:tc>
          <w:tcPr>
            <w:tcW w:w="12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临床专科质控可视化分析管理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整体数据概览</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关键指标汇总展示</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患者总数与分布</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全面展现当前全院在院患者的总览情况，深入剖析患者按科室、疾病类型、年龄层次及性别维度的分布格局。</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疾病种类与病例数统计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以直观图表形式详尽展示各类疾病的患者数量及其占比，提供详尽的疾病列表，涵盖病例数、治愈率及死亡率等核心指标，助力精准医疗决策。</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手术总量与类型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统计全院手术总量，并细致分类展示按科室及手术类型（如择期手术、急诊手术）的分布状况。深入分析手术类型的相关统计，包括手术数量、成功率及并发症发生率等，为手术质量管理提供坚实数据支撑。</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住院效率指标</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展示住院总天数、平均住院日及床位周转率等关键效率指标，通过科室对比与趋势分析，呈现医院运营效率的提升空间。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时间趋势分析</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趋势图展示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运用折线图、柱状图等多样图表形式，动态呈现患者总数、手术总量等关键指标的时间变化趋势。支持多指标叠加展示，便于用户全面对比不同指标的发展态势。</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对比分析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支持不同时间段之间的数据对比分析，如同比、环比等，深度剖析数据变化背后的原因，为用户提供深入的数据洞察与解读。</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数据筛选与过滤</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科室筛选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实现按科室级别的精细数据筛选，全面展示特定科室的关键指标与详细数据。支持科室的层级筛选功能，如按大科、小科等维度进行深度剖析。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疾病类型筛选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依据疾病类型进行精准数据筛选，详尽展示特定疾病的关键指标与病例详情。支持按ICD-10编码、疾病名称等多种分类方式进行灵活筛选。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时间段筛选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设置时间段筛选条件，精准展示特定时间段内的关键指标与数据详情。支持自定义开始时间与结束时间，满足用户多样化的数据查询需求。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组合筛选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支持多个筛选条件的组合运用，实现更为精细的数据查看与分析。提供筛选条件的保存与复用功能，方便用户快速切换不同的数据视图，提升数据分析效率。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数据可视化展示</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图表展示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以柱状图、饼图、折线图等多样图表形式，直观呈现关键指标的分布情况。支持图表的交互功能，如缩放、平移及数据提示等，增强用户的数据探索体验。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仪表盘展示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采用仪表盘形式，实时展示患者总数、手术总量等关键指标的最新数据。提供仪表盘的自定义设置功能，如背景颜色、字体大小及指标显示方式等，满足用户个性化的展示需求。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热力图展示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运用热力图形式，直观呈现关键指标在地理空间或时间维度上的分布情况。提供热力图的色彩映射与阈值设置功能，帮助用户更深入地理解数据背后的规律与趋势。</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临床专科数据概览</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专科疾病分类与统计</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专科分类展示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按照国际疾病分类标准（如ICD-10）或医院自定义分类体系，清晰展示各专科的疾病种类及其层级结构。便于用户深入了解不同疾病的细分情况与特点。</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病例数统计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精准统计各专科不同疾病的病例数，全面展示疾病的发生频率与分布情况。支持按时间段（如日、周、月、年）进行病例数统计与分析，助力用户把握疾病的时间分布特征与发展趋势。</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发病率与治愈率分析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计算各专科疾病的发病率与治愈率等核心指标，客观评估疾病的严重程度与治疗效果。提供发病率与治愈率的趋势分析功能，帮助用户深入了解疾病的变化规律与防控策略。</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患者特征分析</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患者基本信息统计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统计患者的年龄、性别、职业及地域等基本信息，提供详尽的患者基本信息分布图表（如年龄分布直方图、性别比例饼图等），为精准医疗服务提供有力支持。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患者特征与疾病关联分析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剖析患者特征与疾病类型、严重程度及治疗效果之间的内在联系。提供关联分析的结果展示功能（如相关性系数、回归分析结果等），为临床决策提供科学依据。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高风险患者识别</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基于患者特征与疾病情况的综合分析，精准识别出高风险患者群体。提供高风险患者的详细列表与特征描述功能，便于医院及时采取针对性的干预措施与护理服务。</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专科治疗情况概览</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治疗方法统计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统计各专科疾病采用的不同治疗方法及其使用频率。提供治疗方法的分布图表（如柱状图、饼图等），助力用户了解治疗方法的应用现状与效果评估。</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治疗周期分析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剖析不同疾病的治疗周期及其变化规律。提供治疗周期的趋势分析功能，帮助用户评估治疗效率并优化治疗流程。</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治疗效果评估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评估不同治疗方法的效果（如治愈率、好转率、死亡率等），提供治疗效果的对比分析功能。帮助用户选择最优治疗方案并提升整体医疗质量。</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专科数据对比</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科室对比与排名</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对各医院不同专科的疾病数据进行全面对比与排名分析，直观展示科室间的差异与优势领域。为医院管理层的战略决策提供有力数据支撑。</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科室疾病数据对比</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深入对比不同科室的疾病病例数、发病率及治愈率等关键指标。提供对比结果的图表展示功能（如柱状图、折线图等），便于用户直观理解科室间的差异与协作空间。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科室排名</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依据关键指标对科室进行科学排名分析，全面展示科室间的优劣势与发展潜力。为医院的资源配置与绩效考核提供客观依据。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数据统计</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手术量与类型统计</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手术量统计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实时采集并整合各医疗机构多科室的手术量数据，包括手术总量及各类具体手术数量，通过数据对比和分析，了解各科室的手术开展情况和医疗资源配置情况。</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手术分类统计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对各类手术进行细分统计，如按骨折类型（开放性骨折、闭合性骨折等）统计手术数量，帮助管理者深入了解各类型手术的开展情况和患者需求。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多维度筛选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支持根据手术类型、执行医生、手术时间周期等维度筛选数据，帮助管理者快速定位和分析所需数据，提高工作效率。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数据排序</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支持根据手术量、手术类型等关键指标对数据进行升序或降序排序，帮助管理者快速识别手术量较大的科室或医生，为医疗资源的优化配置提供参考。</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住院天数与效率统计</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住院天数汇总统计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汇总各医疗机构专科患者的住院天数数据，包括平均住院天数、总住院天数等关键指标，通过数据分析，了解各科室的住院效率和患者治疗周期。</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住院天数分布图展示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通过箱线图、直方图等形式直观展示住院天数的分布特征，包括中位数、四分位数范围、上下限及异常值等，帮助管理者识别住院天数过长或过短的病例，为医疗质量的持续改进提供参考。</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异常值检测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内置基于统计学原理的异常值检测算法，自动对住院天数数据进行异常值检测，帮助管理者快速识别潜在的医疗质量和效率问题。</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算法标识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对检测到的异常住院天数病例进行自动标识，方便管理者快速定位和处理问题病例，提高医疗质量和效率。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预警信息生成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对于住院天数过长或过短的病例，系统自动生成预警信息并推送给相关管理人员，提醒其关注并处理潜在问题。</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病例标识功能</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在系统中实时标识异常住院天数病例，方便管理者快速查找和处理问题病例，提高医疗质量和患者满意度。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（36）</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指标监测管理</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效率指标监测管理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效率指标完成率展示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实时计算并展示各医疗机构专科疾病的效率指标完成率，如平均住院日完成率等，通过数据对比和分析，评估各科室的医疗效率和质量水平。</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多维度数据统计与分析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按科室、医生、时间段等多维度统计和分析效率指标数据，通过数据可视化展示和对比分析，帮助管理者全面了解各科室的医疗效率和质量情况，为医疗资源的优化配置和持续改进提供参考。</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区域医院效率指标对比</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通过图表形式直观展示各医院在效率指标完成率方面的表现差异，帮助管理者识别高效和低效科室或医院，为医疗资源的优化配置和持续改进提供数据支持。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疾病效率指标对比</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允许管理者选择特定疾病，对比同一病种在不同医院之间的效率指标完成率，分析差异原因并提出改进措施，同时展示对比疾病的详细效率指标数据。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费用指标监测管理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费用指标图形化展示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以图形化方式直观展示区域中各医疗机构、各病种的费用指标情况，包括平均手术费、平均住院总费用、平均住院总药费等，帮助管理者快速了解医疗成本构成和费用控制情况。</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多维度费用数据统计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按科室、医生、时间段、疾病类型等多维度统计和分析费用指标数据，通过数据对比和分析，帮助管理者深入了解医疗成本的构成和变化趋势，为费用控制和医保政策制定提供参考。</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区域医院费用指标对比</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通过图表形式直观展示各医院在费用指标方面的表现差异，帮助管理者识别高费用和低费用科室或医院，为医疗资源的优化配置和费用控制提供数据支持。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疾病费用指标对比</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允许管理者选择特定疾病进行费用指标对比，分析不同医院或科室在特定疾病治疗方面的费用差异和原因，为费用控制和医保支付政策制定提供参考。</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质控指标监测管理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质控指标图形化展示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以仪表盘、条形图、饼图等多种图形化方式直观展示区域中各疾病（如骨科、妇产科、风湿免疫科等）的质控指标完成率，包括治愈率、好转率、并发症发生率、患者满意度等关键指标。支持动态更新功能，确保数据实时反映最新质控情况，便于管理者快速掌握各医院及科室的质控水平。</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多维度质控数据统计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多维度质控数据统计功能，支持按科室、医生、时间段（日、周、月、年等）以及疾病类型等维度进行细分统计。通过详细的数据分析，帮助管理者深入了解不同维度下的质控表现，为制定针对性的质控改进措施提供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区域医院质控指标对比</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图表形式直观展示各医院在质控指标完成率方面的表现差异，包括平均治愈率、平均好转率、并发症平均发生率等关键指标。支持医院间横向对比，帮助管理者识别质控优秀的医院和科室，并推广其成功经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疾病质控指标对比</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者选择特定疾病，对比同一病种在不同医院之间的质控指标完成率，深入分析质控差异的原因。提供详细的质控指标数据对比表，展示不同医院在治愈率、好转率、并发症发生率等方面的具体表现，为医院制定针对性的质控策略提供数据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多条件设置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灵活的多条件设置功能，支持用户根据实际需求设置多种筛选条件，如医疗机构级别（三级医院、二级医院等）、疾病类型（骨科、妇产科、风湿免疫科等）、时间段（日、周、月、季度、年或自定义时间范围）等。用户可以根据具体需求灵活组合这些条件，以便更精确地定位所需质控数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逻辑组合筛选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在多条件设置的基础上，支持逻辑组合筛选功能，如“与”、“或”、“非”关系组合。用户可以通过这些逻辑运算符将多个筛选条件进行组合，实现复杂的筛选需求。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（50）</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指标数据分析</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报表统计管理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数据统计报表生成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根据配置的筛选条件和数据关系，自动生成统计报表。提供求和、平均值、最大值、最小值、中位数、标准差等多种统计分析方法，满足用户多样化的报表需求。报表生成过程自动化，减少人工干预，提高工作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数据统计报表定制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提供报表定制功能，支持用户根据需求定制报表格式，包括表格样式、字体大小、颜色等。同时支持报表布局的自定义调整，如列宽、行高等参数的灵活设置，确保报表的易读性和美观性。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数据多维度分组</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支持对筛选后的数据进行多维度分组统计，如按医疗机构、疾病类型、时间段等维度进行分组。通过分组统计，用户可以更深入地了解不同组别之间的数据特征和规律，为数据分析和决策提供有力支持。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分组数据分析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在分组统计的基础上，提供分组数据分析功能。通过详细的数据对比分析，帮助用户识别不同组别之间的差异和关联关系，为制定针对性的改进措施提供依据。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分组结果展示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以图表或表格形式直观展示分组统计结果，方便用户查看和分析数据。支持图表类型的自定义选择和数据标签的显示设置，确保用户能够根据自己的需求灵活展示分组结果。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数据透视表生成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提供强大的数据透视表生成功能，允许用户自由拖拽字段进行多维度的数据分析和交叉验证。支持透视表样式的自定义设置和数据钻取功能，帮助用户深入挖掘数据背后的规律和趋势。</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数据下钻</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支持数据下钻功能，用户可以通过点击透视表中的某一数据点或维度标签来深入查看更详细的数据信息。方便用户逐层深入分析数据并找到问题的根源所在。</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数据可视化图表展示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提供多种数据可视化图表展示方式，如饼图、柱状图、折线图等。支持图表的自定义设置和数据交互功能（如放大、缩小、拖动等操作），方便用户直观理解数据和发现数据中的潜在规律。</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图表自定义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提供图表自定义功能，支持用户调整图表的颜色、字体大小、图例位置等参数以满足个性化需求。同时支持图表类型的灵活切换和组合展示，方便用户根据自己的需求灵活展示数据。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图表交互</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支持图表的交互功能，如鼠标悬停显示具体数据点信息、数据标签的显示与隐藏等。方便用户通过交互操作深入了解数据和发现数据中的潜在关联关系。</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数据图表导出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支持将筛选后的数据、统计分析结果和图表等导出为Excel、CSV、PDF、PNG、SVG等多种格式。方便用户进行进一步的数据分析、报告制作和分享交流。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批量导出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提供批量导出功能，支持用户一次性导出多个报表或图表以提高工作效率，减少用户手动操作的时间和成本。</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导出权限管理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设置导出权限管理功能，确保数据安全性和合规性。支持对不同用户或用户组设置不同的导出权限级别以限制其对数据的访问和导出操作。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数据趋势分析</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时间序列分析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实时绘制患者数量、就诊次数、手术量等关键指标的时间序列图直观展示数据随时间的变化趋势帮助管理者了解医疗活动的动态变化情况和周期性规律等。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时间粒度调整</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支持调整时间粒度（如按小时、天、周、月等）以展示不同时间粒度下的时间序列图满足用户的不同分析需求如短期波动分析或长期趋势预测等。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趋势预测模型应用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集成ARIMA、LSTM等统计模型与机器学习算法基于历史数据对未来趋势进行精准预测与模拟帮助管理者提前了解未来医疗活动的可能情况并制定相应的应对策略和计划等。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模型参数调整</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允许用户根据实际需求调整模型参数以优化预测效果提高预测准确性和可靠性等。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预测结果可视化</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以图表形式直观展示预测结果方便用户了解未来趋势走向并据此制定相应的决策和行动计划等。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多维度趋势对比</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支持按时间段、医疗机构、疾病类型等多维度对比关键指标的变化趋势分析不同维度下的差异和关联关系帮助管理者全面了解医疗活动的复杂性和多样性等。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要素分析</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人员结构分析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全面统计并展示各医疗机构医生、护士的数量和专业分布情况分析人员结构的合理性和优化空间为医疗资源的合理配置和人才培养提供依据等。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工作负荷分析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统计每周疾病接诊量、手术量等工作负荷指标评估人员工作强度和压力水平为合理安排工作时间和减轻工作负担提供依据等。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床位资源分析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统计床位利用率、周转率等关键指标分析床位资源的使用效率和优化策略为医疗资源的合理配置和床位管理提供依据等。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资源均衡性评估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通过对比不同医疗机构或科室之间的资源分配情况评估资源均衡性和合理性并提出改进建议以促进医疗资源的公平分配和高效利用等。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患者满意度分析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整合患者满意度调查数据深入分析患者对医疗服务各方面的满意度水平如服务态度、医疗技术水平、就医环境等并提出改进措施以提高患者满意度和忠诚度等。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多维度数据关联分析</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关联规则挖掘</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运用关联规则挖掘技术发现不同要素之间的关联关系如医疗资源分配与患者满意度之间的关联等帮助管理者深入了解医疗活动的复杂性和相互影响等。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聚类分析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通过聚类分析将具有相似特征的数据分组分析不同组别的特点和差异为制定针对性的医疗策略提供依据等。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时间序列分析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分析要素指标随时间的变化规律，发现潜在关联和趋势为预测和决策提供依据等。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根本原因识别</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基于关联分析结果识别影响医疗质量和效率的根本原因如资源分配不均、患者满意度低等并提出相应的解决策略和改进措施等。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（78）</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指标管理</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指标管理创建</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自定义指标创建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管理员可根据实际需求自定义新增指标明确指标名称、定义、计算公式、评价标准及数据来源等为医疗质量管理和持续改进提供定制化的指标支持等。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指标模板提供</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提供常见指标模板方便管理员快速创建指标减少重复工作提高工作效率等。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指标分类设置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在创建指标时可设置指标所属分类便于后续管理和查询方便用户根据分类快速定位所需指标等。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指标信息修改</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对已存在的质控指标进行修订涵盖名称更新、计算公式调整、评价标准修订等并支持版本记录功能方便用户追溯指标变更历史等。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指标版本记录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每次对指标进行添加、修改、删除等操作后系统自动记录指标版本信息包括修改时间、修改内容、修改人等方便用户了解指标变更情况并进行对比分析等。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指标版本回滚</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允许管理员在必要时将指标回滚到之前某个版本以确保数据连续性和稳定性避免因指标变更带来的不必要风险和损失等。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指标验证</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指标逻辑验证</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在新增或修改指标时系统自动进行逻辑验证检查指标定义、计算公式等是否合理避免因指标错误导致的数据分析偏差和决策失误等。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指标格式核查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对指标数据格式进行检查确保数据准确性和一致性避免因数据格式错误导致的数据分析困难和决策失误等。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验证结果反馈</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将验证结果反馈给管理员提示修改错误或不合理之处方便管理员及时纠正并优化指标定义和计算公式等。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多维度指标分类</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依据疾病类型、科室划分、质控类别等对指标进行分类方便管理和查询方便用户根据不同维度快速定位所需指标并进行对比分析等。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指标版本管理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提供指标版本管理功能支持版本对比和记录查询等方便管理员了解指标变化情况并制定相应的应对策略和计划等。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指标文档编制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每个质控指标提供全面详细的文档编制功能涵盖指标定义、计算公式、量化评价标准、数据来源及具体使用场景等方便用户了解指标含义和使用方法等。同时文档与对应指标紧密关联用户点击指标可快速查看详细文档提高用户查询效率和便捷性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指标更新与查询</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文档关联实现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实现指标文档与对应指标的紧密关联，用户点击指标即可快速查看详细文档，支持文档快速定位与跳转，提高用户查找效率。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内容更新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根据指标变化或管理需求调整，支持更新指标文档内容，包括定义修订、公式调整、评价标准变动等，确保文档与当前指标状态的一致性。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版本管理同步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在更新文档时，同步记录版本信息，确保文档版本与指标版本的一致性，方便用户了解文档修改历史。</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更新记录查询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提供文档更新记录查询功能，用户可以方便地查看文档的修改历史，了解每次修改的内容和时间。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高效搜索引擎</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集成高效搜索引擎与检索算法，支持用户按关键词、指标名称、分类等多种方式快速搜索检索指标文档，提高信息检索效率。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检索结果预览</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支持检索结果预览功能，用户无需打开文档即可了解大致内容，提高信息获取效率。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（96）</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临床专科指标中台</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数据集构建</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原始库表连接与选择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支持原始数据库表的连接操作，用户可自由选择特定的表及字段来构建数据集。为数据分析与可视化展示提供坚实的基础。</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多表生成数据集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支持用户同时选择多个表进行数据集构建操作。通过连接或合并多个表的数据，生成一个综合的数据集以满足复杂的分析需求。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原始数据表与自定义数据集连接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支持将原始数据表与已创建的自定义数据集进行连接操作。生成新的数据集以实现数据的进一步整合与挖掘价值。</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数据集关联关系创建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新建的数据集与已有数据表或已有自定义数据集建立关联关系。在创建关联关系时，用户可自由选择表名、字段名或数据集名、字段名等关键信息。确保同类型的字段能够建立有效的关联关系，同时避免重复关联的问题发生。</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可视化组件构建</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提供数据集列表供用户选择。用户可根据实际需求选择需要构建可视化视图的数据集以支持后续的数据分析与展示工作。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字段转换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系统自动识别数据集中的数值型字段并将其作为度量指标；同时识别非数值型字段并将其作为维度信息进行展示。简化用户的操作步骤并提升数据分析效率。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度量与指标创建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支持在现有字段基础上通过函数计算或逻辑计算等方式创建新的度量/指标。以满足用户特定的分析需求并拓展数据集的应用价值。</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度量/指标选择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提供度量/指标列表供用户选择。用户可根据实际需求选择需要展示的度量或指标以构建直观的数据可视化视图。</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维度拉取</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用户可从维度列表中自由选择一个或多个维度用于数据的分组与展示操作。通过灵活的维度选择功能实现数据的多维度分析与展示效果。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视图类型选择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支持将视图以列表或统计图等多种形式进行展示。用户可根据实际需求选择合适的视图类型以满足不同场景下的数据分析与展示需求。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可视化图表配置</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图形类型切换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饼图、柱状图、条形图、柱状堆叠图、面积图、热力图、环形图、玫瑰图、折线图及蛛网图等多种图形类型供用户选择。用户可根据数据特点与分析需求选择合适的图形类型以实现直观的数据可视化展示效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图形样式调整</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支持对图形的颜色、字体及标签等样式进行灵活调整以满足用户个性化的展示需求。通过细致的图形样式调整功能提升数据可视化视图的美观度与易读性。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图形颜色调整</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提供颜色选择器或预设颜色方案供用户选择或自定义图形的颜色搭配方案。通过灵活的图形颜色调整功能实现数据可视化视图的个性化定制效果。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图形标题设置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支持用户输入图表的标题并设置标题的字体大小、颜色及对齐方式等样式信息以满足不同场景下的展示需求。通过明确的图形标题设置功能提升数据可视化视图的辨识度与可读性。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可视化视图路径</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路径设置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提供文件夹或目录结构供用户选择或创建保存路径以便将可视化视图进行有序存储与管理。通过保存路径设置功能提升用户的数据管理效率与便捷性。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组件命名</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支持用户为可视化视图命名以便后续识别与调用操作更加便捷高效。通过明确的组件命名功能提升用户的数据管理体验与工作效率。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可视化视图下载</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视图下载为图片</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提供下载按钮或菜单供用户选择将可视化视图下载为PNG、JPEG等图片格式以便进行分享或存档操作。通过灵活的视图下载功能提升用户的数据传播效率与便捷性。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指标数据下载</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支持用户下载可视化视图背后的指标明细数据以便进行进一步的分析与处理操作。提供CSV、Excel等多种数据格式以满足用户多样化的数据需求与应用场景。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仪表板样式参数配置</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背景设置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支持选择纯色背景、渐变背景或上传自定义图片作为背景以满足用户个性化的展示需求。提供背景颜色、透明度及图片位置等调整选项以便用户进行细致的样式调整与优化工作。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标题设置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允许用户输入仪表板的标题并设置标题的字体大小、颜色、对齐方式等样式信息以满足不同场景下的展示需求。支持标题的隐藏或显示切换功能以便用户根据实际需求进行灵活调整。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整体风格设置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多种预设风格模板供用户选择应用以快速实现仪表板的个性化定制效果。同时支持自定义风格设置功能以便用户根据实际需求进行更加细致的样式调整与优化工作包括边框设置、阴影效果及圆角处理等高级样式选项。</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组件布局配置</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组件添加与删除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提供组件库供用户选择并添加需要的组件（如图表、表格及文本等）到仪表板中以构建直观的数据可视化视图。同时支持删除不再需要的组件以提升仪表板的整洁度与可读性。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组件布局调整</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允许用户通过拖拽方式灵活调整组件的位置以实现更加合理的布局效果。支持设置组件的排列方式（如水平排列、垂直排列及网格排列等）以满足不同场景下的展示需求。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组件大小调整</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提供组件大小调整手柄供用户通过拖拽方式调整组件的宽度与高度以实现更加精准的布局效果。同时支持设置组件的最小与最大尺寸限制以防止组件过小或过大影响整体展示效果。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图表/表格风格与配色设置</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图表风格设置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提供多种图表类型（如柱状图、折线图及饼图等）的风格设置选项以便用户根据实际需求进行细致调整与优化工作。支持调整图表的边框样式、背景颜色及网格线等细节信息以提升图表的美观度与易读性。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表格风格设置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允许用户设置表格的边框样式、背景颜色及字体等样式信息以满足不同场景下的展示需求。同时支持表格的排序、筛选及分页等功能设置以便用户进行更加高效的数据管理与分析工作。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配色方案选择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提供单色、双色及多色等多种预设配色方案供用户选择应用以实现数据可视化视图的个性化定制效果。同时支持自定义配色方案功能以便用户根据实际需求进行更加细致的样式调整与优化工作。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过滤组件主题设置</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过滤组件类型选择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提供下拉框、滑块及日期选择器等多种过滤组件类型供用户选择应用以满足不同场景下的数据筛选与过滤需求。通过过滤组件类型选择功能提升用户的数据分析效率与便捷性。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过滤组件样式设置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允许用户设置过滤组件的边框样式、背景颜色及字体等样式信息以实现更加美观与易用的过滤组件界面效果。同时支持过滤组件的交互效果设置（如悬停效果及点击效果等）以提升用户的使用体验与满意度。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过滤组件主题应用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提供预设的过滤组件主题供用户选择应用以实现快速的数据筛选与过滤功能定制效果。同时支持自定义过滤组件主题功能以便用户根据实际需求进行更加细致的样式调整与优化工作以满足不同场景下的展示需求。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仪表板样式配置</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样式效果预览</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提供实时预览功能，用户可以在调整仪表板样式的过程中随时查看实际效果，确保样式设置符合预期，提升用户体验和满意度。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样式效果复用与分享</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允许用户在其他仪表板中复用已保存的样式效果，减少重复劳动。同时，支持将样式效果分享给其他用户或团队，促进知识共享和协作。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过滤器设置</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过滤器创建与编辑</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提供过滤器创建向导，用户可以轻松定义过滤条件（如数值范围、文本匹配、日期范围等），以满足不同的数据分析需求。同时，支持编辑和删除已创建的过滤器，方便用户进行灵活调整。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过滤器与组件绑定</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允许用户选择需要绑定的组件，并将过滤器应用到这些组件上，实现数据的精确筛选和展示。支持设置过滤器的触发方式（如手动触发、自动触发等），提升数据分析的灵活性和实时性。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过滤效果预览与调整</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提供实时预览功能，用户可以在设置过滤条件的过程中随时查看过滤效果，确保过滤条件设置准确。同时，支持调整过滤条件和触发方式，以满足用户不断变化的数据分析需求。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仪表盘版本</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仪表板发布</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允许用户将已保存的仪表板发布到系统中，供其他用户查看和使用。支持设置仪表板的访问权限（如公开、私有、指定用户等），确保数据的安全性和合规性。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仪表板版本管理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提供仪表板版本管理功能，用户可以查看和回滚到之前的版本，确保数据的可追溯性和稳定性。同时，支持对仪表板进行备注和描述，以便后续识别和管理。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w:t>
            </w:r>
          </w:p>
        </w:tc>
        <w:tc>
          <w:tcPr>
            <w:tcW w:w="1276"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临床专科质控数据集成与处理中心</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数据全景看板</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核心指标动态监测</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数据采集与刷新机制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构建高效的数据采集体系，实时捕捉数据源中的最新动态，并通过灵活的定时或触发式刷新策略，确保数据看板能够即时反映最新情况，提升决策时效性。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数据更新频率设置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允许用户依据具体业务需求，精准设定数据更新的频率，如秒级、分钟级或小时级，从而在确保数据时效性的同时，优化系统性能，实现资源的高效利用。</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数据延迟监控</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实施严密的数据延迟监控机制，当数据从采集到展示的时间超过预设阈值时，系统自动触发报警，确保数据的实时性和准确性，为决策提供坚实的数据支撑。</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指标选择与配置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提供丰富全面的指标库，支持用户根据业务需求自定义指标，并灵活配置指标的展示样式、计算逻辑及单位等，满足不同场景下的数据分析需求。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可视化展示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采用图表、仪表盘、数字卡片等多种直观易懂的可视化形式，生动展现关键指标的变化趋势，使复杂数据一目了然，助力用户快速洞察业务状况。</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指标趋势分析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提供历史数据对比和趋势分析功能，帮助用户深入挖掘指标的变化规律及周期性特征，为未来的业务决策提供有力的数据支持。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数据异常报警</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异常检测规则设置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允许用户设定异常检测规则，如阈值超出、同比环比变化率等，实现对数据异常的精准识别，确保数据的准确性和可靠性。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报警方式选择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提供多样化的报警方式，包括邮件、短信、系统内通知等，确保用户能够随时随地接收到异常报警信息，及时响应并处理数据问题。</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异常处理流程跟踪</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全面记录异常处理的全过程，涵盖报警时间、处理人员、处理措施及最终结果等关键信息，便于后续的分析与改进，提升数据管理水平。</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多维度筛选与下钻</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维度选择与配置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提供多维度的筛选与配置功能，支持用户根据业务需求自定义维度，并配置维度的层级关系及筛选逻辑，满足复杂的数据分析需求。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筛选条件设置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允许用户设置多个筛选条件，如时间范围、地域等，实现数据的精准定位与分析，为业务决策提供有力支持。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筛选结果实时展示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根据用户设定的筛选条件，实时展示筛选结果，并支持结果的导出与分享功能，方便用户进行数据交流与协作。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数据下钻分析</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下钻层级设置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精确定义数据下钻的层级结构，如从总览到细节、从汇总到明细等，满足不同层次的分析需求，助力用户深入探索数据背后的业务逻辑。</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下钻路径导航</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提供下钻路径导航功能，帮助用户快速定位到需要查看的详细数据区域，提升数据分析效率。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细节数据展示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在下钻到细节层级时，全面展示更详细的数据信息，如单个交易记录、用户行为日志等，为用户提供丰富的数据洞察视角。</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自定义维度设置</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自定义维度创建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赋予用户高度的自主权，允许其根据业务需求创建自定义维度，并管理维度的属性、层级关系及映射规则，满足个性化的数据分析需求。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维度数据映射</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支持将自定义维度与数据源中的字段进行精准映射与关联，确保数据的准确性、一致性和完整性。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自定义维度应用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将自定义维度广泛应用于数据筛选与下钻分析中，显著提升数据分析的灵活性和深度，为业务决策提供更为精准的数据支持。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数据可视化与交互</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多种图表类型选择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提供柱状图、折线图、饼图、散点图等多种图表类型供用户选择，满足不同数据的可视化展示需求，使数据呈现更加生动直观。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数据标签与注释</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在图表上添加详尽的数据标签和注释信息，帮助用户更深入地理解数据的含义和背景信息，提升数据解读的准确性和效率。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数据拖拽与缩放</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允许用户通过拖拽和缩放操作，灵活调整图表的展示范围和细节程度，以便更深入地探索数据的内在规律和特征。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图表联动与钻取</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实现多个图表之间的联动分析功能，当用户点击某个图表中的元素时，其他相关图表将同步更新展示内容。同时支持下钻到更详细的数据层级，满足深层次的数据分析需求。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数据提示与详细信息查看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当鼠标悬停在图表元素上时，自动显示数据提示信息；点击元素时，则展示更详细的原始数据或相关信息，为用户提供便捷的数据查询途径。</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数据血缘追综</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全链路可视化分析</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数据链路可视化</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展示数据从源头到目的地的整个流动过程，涵盖数据采集、处理、存储、分析和应用等各个环节。用户可以在一个视图中了解数据的全链路流动情况，提升数据管理的透明度和可追溯性。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数据流动路径分析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流动路径分析功能，用户可以深入查看数据在每个环节中的处理逻辑、转换规则以及数据量的变化情况。这有助于用户更全面地理解数据在流动过程中的变化和演进规律，为数据治理和优化提供有力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链路节点详细信息展示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用户点击或悬停在数据链路上的某个节点时，系统会即时显示该节点的详细信息，包括节点名称、类型、处理逻辑、输入输出数据格式、负责人等关键信息。这有助于用户深入了解每个节点的功能和作用，为数据治理和优化提供精准的数据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血缘依赖矩阵</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数据依赖关系展示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以矩阵或图形化方式展示数据之间的依赖关系，用户可以清晰地看到哪些数据依赖于其他数据，以及数据之间的依赖强度和方向。</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依赖关系查询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提供依赖关系查询功能，用户可以通过输入数据名称、类型或其他属性来快速查询与之相关的依赖数据。系统会显示查询结果，并高亮显示相关的依赖关系路径，方便用户快速定位和分析数据之间的依赖关系。</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依赖关系变更通知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当数据之间的依赖关系发生变化时，系统会自动检测并即时通知相关用户。通知方式可以包括邮件、短信、系统内通知等多种形式，确保用户能够及时了解到依赖关系的变化情况，并采取相应的应对措施。</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血缘追踪报告与审计</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血缘追踪报告生成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用户的需求和设定条件，系统可以自动生成详尽的血缘追踪报告。报告内容包括数据链路图、依赖关系矩阵、数据流动路径分析、节点详细信息等多个方面。报告可以以PDF、Excel或其他格式导出保存，方便用户进行分享和存档处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历史血缘追踪与回溯</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系统支持历史血缘追踪和回溯功能，用户可以查看数据在过去某个时间点或时间段内的血缘关系情况。这有助于用户更全面地了解数据的历史演变过程和依赖关系变化情况，为数据治理和优化提供有力支持。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血缘追踪配置与管理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血缘关系配置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允许用户根据业务需求灵活配置数据之间的血缘关系模型，包括定义依赖规则、设置依赖强度、指定负责人等关键信息。这有助于用户建立符合实际业务场景的血缘关系模型，提升数据管理的规范性和有效性。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血缘追踪任务管理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血缘追踪任务的管理功能，用户可以创建、编辑、删除和调度血缘追踪任务。系统支持定时任务、触发式任务等多种任务类型以满足用户不同的追踪需求。同时用户可以实时监控任务的执行状态和进度情况，确保血缘追踪工作的顺利进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血缘追踪权限管理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设置严格的血缘追踪功能访问权限控制机制，确保只有授权用户才能查看和管理血缘关系信息。权限管理可以基于角色、用户组或单个用户进行设置以满足不同用户的权限需求。这有助于保护数据的安全性和隐私性并防止未授权访问行为的发生。</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（35）</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数据资产地图</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全景视图</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数据资产分类展示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将海量数据资产依据业务域、数据类型、数据来源等多重维度进行科学分类，并以直观的树状结构或清晰的平铺列表形式进行展示，提升了用户定位所需数据资产的效率与便捷性。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数据资产状态监控</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施全天候、全方位的数据资产状态监控机制，对数据的可用性、完整性、准确性等关键指标进行实时监控，并通过醒目的颜色编码或图标直观标识不同状态（如绿色代表正常，红色代表异常），确保用户能够迅速发现并妥善处理数据问题，保障数据资产的稳定可靠。</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数据资产使用情况统计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数据资产的使用情况进行全面的统计与分析，涵盖访问次数、使用频率、使用部门或用户等多维度信息，以图表或报告形式直观展示，帮助用户了解数据资产的受欢迎程度与使用效率，为数据治理与优化策略的制定提供有力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数据资产详情查看</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数据资产详细信息展示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用户点击某一数据资产时，系统即刻呈现该资产的详尽信息，包括资产名称、详细描述、来源渠道、数据格式、文件大小、创建时间、最近更新时间以及负责人等关键要素，为用户全面了解数据资产的基本情况提供一站式服务。</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数据资产预览与下载</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便捷的数据资产预览功能，用户无需下载即可快速浏览数据的内容与结构，满足初步评估需求。同时，支持灵活的数据资产下载服务，用户可根据实际需求选择下载全部数据或部分数据，极大地方便了数据的使用与传播。</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数据资产关联关系展示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深度挖掘并直观展示数据资产之间的复杂关联关系，如数据表间的关联、数据字段间的映射等，帮助用户清晰理解数据资产之间的逻辑联系与依赖关系，为数据整合与分析提供有力支持。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数据资产搜索与筛选</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数据资产搜索功能</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配备强大的搜索引擎，支持用户通过关键词、业务域、数据类型等多种条件快速定位所需数据资产，显著提升数据检索效率与准确性。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数据资产筛选与排序</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系统提供筛选与排序功能，用户可根据名称、大小、更新时间等多维度条件对数据资产进行精准筛选，或按业务域、数据类型等标准进行有序排序，助力用户高效浏览与管理数据资产。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数据资产治理与监控</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治理状态实时监控</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构建全面的数据资产治理状态监控体系，对数据质量、合规性、安全性等核心指标进行实时监控，并通过仪表盘或报警机制即时通知用户治理状态的变化，确保数据资产始终符合业务要求与法规标准。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数据资产治理流程管理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提供规范化的数据资产治理流程管理服务，涵盖数据质量检查、数据清洗、数据标准化、数据脱敏等关键环节的定义、执行与监控，助力用户构建完善的数据治理体系，提升数据资产的价值与利用率。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数据资产权限管理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实施严格的数据资产权限管理机制，基于角色、用户组或单个用户等维度灵活设置访问权限与使用权限，确保只有授权用户才能访问与使用特定数据资产，有效保障数据资产的安全性与合规性。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数据资产地图配置与管理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地图配置与定制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赋予用户高度的自定义权限，允许其根据业务需求灵活配置与定制数据资产地图的展示方式、布局结构、颜色编码等关键要素，以满足不同用户的个性化需求，提升数据资产管理的便捷性与高效性。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数据资产地图版本管理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提供完善的数据资产地图版本管理服务，支持用户保存不同版本的地图配置信息，并在需要时轻松切换或回滚至特定版本，确保地图配置的灵活性与可追溯性，降低管理风险与成本。</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数据资产日志与审计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建立全面的数据资产访问日志记录与审计机制，详细记录用户访问数据资产地图的时间、用户身份、访问资产等关键信息，并提供便捷的审计功能以监控与追踪用户的访问行为，确保数据资产地图的安全性与合规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（49）</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数据标准</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标准字典管理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新增接口数据标准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赋予用户自主定义接口数据标准的能力，用户可以详细规定接口数据的格式、类型、长度及取值范围等关键要素。这有助于确保接口数据在传输和交换过程中的一致性和可用性并提升数据处理的效率和质量。</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字典数据导入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将外部的数据标准文件或数据批量导入到标准字典库中。系统提供便捷的数据导入接口或工具，并在导入过程中进行数据校验和转换处理以确保导入数据的准确性和规范性。这有助于提升数据标准管理的效率和便捷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接口数据标准列表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全面展示所有已定义的接口数据标准信息，包括标准的名称、描述、格式、类型等关键要素。系统提供强大的搜索、筛选和排序功能方便用户快速找到所需的数据标准并进行查看、编辑或删除操作。这有助于确保数据标准的准确性和时效性并提升数据管理的效率和质量。</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标准字典库维护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负责维护标准字典库的完整性和准确性工作，包括添加新字典项、修改现有字典项或删除不再需要的字典项等操作。系统提供详细的字典项信息展示功能并支持批量操作以提升维护效率。这有助于确保标准字典库的规范性和有效性并支撑业务系统的正常运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标准字典版本管理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施标准字典版本管理机制，记录每次修改的历史信息包括修改时间、修改人及修改内容等关键要素。系统支持版本回滚和对比功能方便用户查看不同版本之间的差异情况。这有助于确保数据标准的可追溯性和一致性并支撑业务系统的稳定运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标准字典应用配置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灵活配置标准字典在实际业务中的应用场景，如将其关联到具体的业务模块或数据字段中以实现数据的规范化和标准化处理。系统提供便捷的应用配置界面或工具方便用户进行操作和管理。这有助于提升业务系统的数据质量和处理效率并支撑企业的数字化转型进程。</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业务数据标准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手工新增业务标准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通过手工方式新增业务数据标准项，用户可以详细定义新的业务数据项名称、数据类型、长度、取值范围及约束条件等关键要素。同时提供数据项的描述和注释功能以便其他用户理解数据项的含义和用途。这有助于提升业务数据标准的准确性和完整性并支撑业务系统的正常运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模板管理工具录入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通过模板管理工具批量导入业务数据标准信息。用户可以预先定义数据标准的模板格式并按照模板填写数据项信息最后通过工具导入到系统中。模板管理工具提供数据校验和转换功能以确保导入数据的准确性和规范性。这有助于提升业务数据标准管理的效率和便捷性并支撑大规模数据处理场景的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文件数据导入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将外部的业务数据标准文件或数据批量导入到系统中以满足大规模数据处理场景的需求。系统提供多种数据格式（如Excel、CSV、JSON等）的导入接口或工具并在导入过程中进行数据校验和清洗处理以确保导入数据的准确性和一致性。这有助于提升业务数据标准管理的效率和质量并支撑业务系统的稳定运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业务数据标准列表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全面展示所有已定义的业务数据标准信息包括数据项名称、数据类型、长度、取值范围及约束条件等关键要素。系统提供强大的搜索、筛选和排序功能方便用户快速找到所需的数据标准项并进行查看、编辑或删除操作。这有助于确保业务数据标准的准确性和时效性并提升数据管理的效率和质量。</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业务数据标准筛选</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丰富的筛选条件或筛选器允许用户根据特定条件（如数据类型、长度、取值范围及约束条件等）筛选业务数据标准信息。用户还可以组合多个筛选条件进行复杂查询以满足不同场景下的数据分析需求。这有助于提升数据查询的效率和准确性并支撑业务系统的决策支持工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业务数据标准编辑</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点击列表中的某个业务数据标准项查看其详细信息（如数据项名称、数据类型、长度、取值范围及约束条件等）并进行编辑操作。系统提供便捷的编辑界面或工具支持用户直接修改数据标准项的关键要素信息。这有助于确保业务数据标准的准确性和时效性并支撑业务系统的正常运行和优化工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数据标准版本管理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施严格的数据标准版本管理机制，记录每次修改的历史信息包括修改时间、修改人及修改内容等关键要素。系统支持版本回滚和对比功能方便用户查看不同版本之间的差异情况并评估治理效果。这有助于确保数据标准的可追溯性和一致性并支撑业务系统的稳定运行和优化工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版本回滚</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根据实际需求执行数据标准版本的回滚操作，即将数据标准恢复到之前的某个特定版本状态。这有助于确保数据标准的稳定性和可靠性并防止因新版本引入的问题导致业务系统出现故障或异常情况的发生。同时系统提供版本对比功能方便用户评估不同版本之间的差异情况并做出相应的决策调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（63）</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数据集成</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数据源管理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多源异构数据源配置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系统具备异构数据源接入能力，支持配置多种类型的数据源，实现数据的统一接入和管理。这有助于提升数据的集成效率和灵活性并支撑多源异构数据场景下的数据分析需求。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连接参数配置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提供详细的连接参数配置界面或工具，允许用户根据数据源类型配置相应的连接参数（如数据库的连接字符串、API的URL和认证信息、FTP的连接信息等）。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数据源查询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提供数据源查询功能允许用户根据条件（如数据源名称、类型等）快速定位所需的数据源信息并进行查看和管理操作。这有助于提升数据管理的效率和便捷性并支撑大规模数据源场景下的数据集成需求。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数据源列表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全面展示所有已配置的数据源列表信息包括数据源名称、类型、连接状态等关键要素。系统提供排序和筛选功能方便用户快速找到所需的数据源并进行相应的管理操作（如编辑、删除等）。这有助于确保数据源的准确性和时效性并支撑业务系统的正常运行和优化工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编辑数据源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点击数据源列表中的某个数据源项查看其详细信息（如连接参数、数据源描述等）并进行编辑操作（如修改连接参数、更新数据源描述等）。这有助于确保数据源信息的准确性和时效性并支撑业务系统的正常运行和优化工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删除数据源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提供便捷的数据源删除功能允许用户删除不再需要的数据源配置以释放系统资源并优化数据源管理结构。系统在删除数据源前会进行确认提示以防止误删除操作的发生。</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数据源详情</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点击数据源列表中的某个数据源项可以查看其详细信息包括连接参数、数据源描述、创建时间、修改时间等关键要素信息。这有助于用户全面了解数据源的配置情况并进行相应的管理决策调整工作。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三医联动一张网平台数据对接</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医疗机构信息对接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通过接口从平台系统获取医疗机构的详细信息。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医护人员信息对接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通过接口从平台系统收集医护人员的详细信息，包括医护人员姓名、性别、年龄、身份证号、执业证书编号、所在科室、职称（如主任医师、主治医师等）、专业领域（如感染科、呼吸科等）。</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实时更新医护人员信息，当有医护人员信息发生变更（如职称晋升、科室调动等）时，能够及时同步到本地系统，保证数据的时效性。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患者基本信息对接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接口对接后，自动收集感染性疾病患者的基本信息，如患者姓名、性别、出生日期、身份证号、联系方式、家庭住址等。</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对于患者的隐私信息，需确保在传输和存储过程中采用加密技术，保障数据的安全性。同时，能够处理患者信息的唯一标识，以便在不同医疗场景下准确关联患者的相关诊疗数据。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诊断结果对接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从平台系统获取感染性疾病患者的诊断结果信息，包括初步诊断、确诊诊断、诊断日期、诊断依据（如症状表现、检查结果等）。支持多种诊断结果的格式，如文本描述、疾病编码（如 ICD - 10 编码）等，方便后续对疾病进行分类统计和分析。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治疗方案对接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接口对接实现自动收集针对感染性疾病患者的治疗方案，包括治疗目标（如控制感染、缓解症状等）、主要治疗措施（如药物治疗、手术治疗、物理治疗等）、治疗计划（如治疗周期、治疗阶段等）。</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能够详细记录不同治疗措施的具体内容，如药物治疗的药品名称、剂量、用药频率等，为医疗质量评估和治疗效果分析提供数据支持。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用药记录对接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通过接口获取感染性疾病患者的用药记录，包括药品通用名、商品名、规格、用药时间、用药剂量、用药途径（如口服、注射等）、用药频次等。</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实时跟踪患者的用药情况，能够及时发现用药异常（如药物不良反应、重复用药等），并提供预警功能，保障患者用药安全。</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检查结果对接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接口对接后，自动收集患者的各类检查结果，如血液检查（血常规、生化指标等）、影像学检查（X 光、CT、MRI 等）、病原学检查（细菌培养、病毒核酸检测等）的结果。</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支持不同格式的检查结果数据，如文本报告、图像文件等，确保检查结果的完整性和准确性，方便医生进行综合诊断和病情评估。</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数据同步与更新</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建立数据同步机制，确保本地系统与“三医联动一张网”信息平台系统的数据保持一致。当平台系统中的数据发生变更（如新增患者信息、修改诊断结果等）时，能够及时将更新后的数据同步到本地系统。</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提供数据更新日志，记录每次数据同步的时间、更新内容等信息，方便进行数据审计和追溯。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数据安全与权限管理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在接口对接过程中，采用加密技术（如 SSL/TLS 加密）保障数据传输的安全性，防止数据在传输过程中被窃取或篡改。</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建立严格的权限管理机制，对不同用户角色（如医生、护士、管理人员等）设置不同的数据访问权限，确保只有授权人员能够访问和处理相关临床数据。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接口监控与异常处理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实时监控接口的运行状态，包括接口的连接情况、数据传输速率、响应时间等指标，及时发现接口运行异常（如连接中断、数据传输失败等）。</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当出现异常情况时，能够自动触发异常处理机制，如重试数据传输、发送报警通知等，确保接口的稳定运行和数据的正常对接。</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数据采集任务调度</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采集任务创建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高效创建新的数据采集任务。用户可指定任务名称、详细描述、数据源、目标数据集等核心信息，并可根据实际需求选择全量采集、增量采集等多种数据采集类型。同时，系统支持用户通过配置界面，精细化设置任务执行参数，如采集频率、时间窗口、数据过滤条件等，以满足不同业务场景下的数据采集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采集任务编辑</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赋予用户高度灵活的任务编辑权限，允许其对已存在的数据采集任务进行全方位调整与优化。用户可轻松修改任务的基本信息、执行参数、数据源或目标数据集等关键要素，并可根据业务需求更新任务的调度策略，如调整执行时间、更改频率或设置新的触发条件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采集任务删除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保障系统资源的合理配置与高效利用，提供便捷的采集任务删除功能。用户可轻松删除不再需要的数据采集任务，并通过系统提供的确认机制，有效防止误删操作的发生。任务删除后，相关的调度记录和日志信息将被自动清理或归档，确保系统数据的整洁与有序。</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采集任务启动/停止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赋予用户实时控制数据采集任务执行状态的能力。用户可根据需要手动启动或停止数据采集任务，启动任务后，系统将严格按照预设的调度策略开始执行数据采集操作；停止任务则能立即中断当前正在执行的数据采集流程，并有效防止任务被再次调度执行。这些功能确保了数据采集工作的灵活性与可控性，满足了用户在不同业务场景下的实际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调度策略配置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多种先进的调度策略配置，包括定时调度（如按小时、天、周、月等周期执行）和触发式调度（如基于特定事件或条件触发执行）等。用户可根据业务需求为任务配置复杂的调度逻辑，如组合多个调度条件或设置任务间的依赖关系等。同时，系统提供直观的调度策略可视化配置界面，方便用户进行设置与调整，提升了数据采集任务的自动化与智能化水平。</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采集任务监控</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施全方位、实时的数据采集任务监控机制，对任务的执行状态进行全天候跟踪与记录。系统可直观展示任务是否正在运行、上次执行时间、下次执行时间等关键信息，并详细记录任务的执行日志，包括任务开始时间、结束时间、执行结果（成功/失败）以及错误信息（如有）等。这些功能为用户提供了全面的任务执行情况概览，有助于用户及时发现并处理潜在问题，确保数据采集工作的顺利进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异常处理与告警</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构建完善的异常处理与告警机制，当数据采集任务执行失败或出现异常时，系统能够迅速捕获并记录错误信息。同时，支持用户配置灵活的告警规则，如当任务连续失败次数超过预设阈值时触发告警等。告警方式多样，包括邮件、短信、系统通知等，确保用户能够第一时间收到异常信息并采取相应措施，有效降低数据采集风险与损失。</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任务依赖管理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任务依赖关系管理功能，支持用户配置任务之间的复杂依赖关系，确保某些任务在特定任务完成后才能顺利执行。系统提供依赖关系的可视化展示与编辑界面，方便用户直观理解与管理任务间的依赖逻辑，有效提升了数据采集任务的协同效率与整体执行效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采集日志查询导出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日志查询与导出功能，方便用户快速追踪数据采集任务的执行历史与排查潜在问题。用户可根据任务名称、执行时间等条件筛选并查询相关日志信息，并可将查询结果导出为Excel、CSV等格式的文件进行进一步分析与存档。</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任务基本信息配置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允许用户为数据采集任务指定唯一的名称和详细的描述信息，以便于任务的识别与管理。这些基本信息将作为任务的重要标识，贯穿于任务创建、执行、监控与删除等全生命周期管理过程中。</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任务类型选择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多种数据采集任务类型供用户选择，如数据采集、数据转换、数据加载等，以满足不同数据处理场景下的实际需求。用户可根据业务特点与数据处理流程选择合适的任务类型，并配置相应的执行参数与调度策略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数据源与目标配置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灵活指定数据采集任务的数据来源（数据源）和数据输出目标（如数据集、数据库表等）。系统支持多种异构数据源的配置与管理，包括关系型数据库、NoSQL数据库、API接口、文件接口等，确保用户能够轻松实现数据的跨源采集与整合。</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定时调度</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允许用户设置数据采集任务的定时执行策略，包括按小时、天、周、月等周期执行。用户可根据业务需求灵活调整执行频率与时间窗口等参数，以确保数据采集任务的及时性与准确性。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触发式调度</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提供基于特定事件或条件的触发式调度功能，如数据更新、文件到达等。当满足预设条件时，系统将自动触发数据采集任务的执行，无需人工干预即可实现数据的实时采集与更新。</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复杂调度逻辑</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支持用户配置复杂的调度逻辑，如组合多个调度条件、设置任务间的依赖关系与执行顺序等。这些功能有效提升了数据采集任务的灵活性与协同效率，满足了复杂业务场景下的数据处理需求。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数据采集参数配置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针对数据采集任务提供精细化的参数配置功能，包括采集频率、时间窗口、数据过滤条件等。用户可根据实际需求调整这些参数以优化数据采集效果与性能。</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数据转换参数配置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对于需要进行数据转换的任务类型（如数据转换、数据加载等），系统提供直观的数据转换参数配置界面。用户可在此设置数据转换的规则与逻辑，如字段映射、数据格式转换等，以确保数据的准确性与一致性。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数据加载参数配置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针对数据加载任务类型提供灵活的数据加载参数配置功能。用户可指定数据加载的目标位置、加载方式（如全量加载、增量加载）等关键参数，以满足不同数据处理场景下的实际需求。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任务优先级设置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允许用户为数据采集任务分配不同的优先级级别，以确保高优先级任务能够得到优先执行。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并发控制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提供灵活的并发控制功能，允许用户限制同时执行的数据采集任务数量。这一功能有助于避免系统资源的过度消耗与潜在的性能瓶颈问题，确保数据采集工作的稳定与高效运行。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任务完成通知</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支持用户配置任务完成后的通知方式，如邮件、短信、系统通知等。当数据采集任务成功执行完毕后，系统将自动触发相应的通知机制以告知用户任务执行情况，便于用户及时了解并跟进后续工作。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任务异常告警设置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为数据采集任务配置异常告警规则，当任务执行失败或出现异常时系统将自动触发告警机制并通知相关人员。这一功能有助于用户及时发现并处理潜在问题，确保数据采集工作的顺利进行与数据质量的持续提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数据集创建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允许用户轻松创建新的数据集，并指定数据集名称、详细描述及存储位置，以满足不同业务场景下的数据存储需求。</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支持从多种数据源（如数据库、文件、API等）导入数据，以快速初始化数据集，提高数据准备效率。</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提供数据预览功能，帮助用户在创建数据集前查看数据内容和结构，确保数据的准确性和完整性。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数据集编辑</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允许用户灵活修改数据集的基本信息，如名称、描述等，以适应业务变化或数据更新需求。</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支持对数据集进行结构变更，如添加、删除或修改字段，以满足数据模型调整的需要。</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提供数据更新功能，允许用户将新数据导入到现有数据集中，支持全量更新和增量更新，确保数据的时效性和准确性。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允许用户删除不再需要的数据集，以释放系统资源，提高系统性能。</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提供删除确认机制，通过弹窗或提示信息确保用户不会误删数据集，保障数据的安全性。</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删除数据集时，相关的数据、查询和报表等也会被自动清理或归档，确保系统数据的整洁和有序。</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提供查询功能，允许用户根据条件灵活查询数据集中的数据，满足不同的数据分析需求。</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支持多种查询方式，如简单查询、高级查询（使用SQL语句或查询构建器），提高查询的灵活性和效率。</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查询结果可以以表格、图表等形式直观展示，方便用户进行数据分析和可视化，提升数据洞察能力。</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数据集列表展示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展示所有已创建的数据集列表，包括数据集名称、描述、创建时间、修改时间等关键信息，方便用户快速了解数据集概况。</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提供排序、筛选和搜索功能，帮助用户快速定位所需的数据集，提高数据查找效率。</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支持数据集列表的导出功能，如导出为Excel或CSV文件，方便用户进行数据的进一步处理或分享。</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数据集详情查看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允许用户查看数据集的详细信息，包括数据集结构、字段定义、数据预览等，帮助用户全面了解数据集的内容和结构。</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提供数据集统计信息，如数据量、记录数、字段分布等，帮助用户快速了解数据集的基本情况，为数据分析提供基础。</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支持数据集元数据的查看和管理，如数据来源、更新频率、数据质量等，确保数据的可追溯性和可靠性。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数据集权限管理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提供数据集权限管理功能，允许管理员为用户或用户组分配数据集的访问权限，支持多种权限级别（如只读、读写、管理等），确保数据的安全性和合规性。</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提供权限审计功能，记录用户对数据集的访问和操作历史，方便管理员进行权限管理和安全审计。</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数据集关联</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支持数据集之间的关联操作，如基于共同字段进行关联查询，帮助用户发现数据之间的内在联系和规律，提升数据分析的深度和广度。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数据集合并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提供数据集合并功能，允许用户将多个数据集合并为一个新的数据集，以满足数据整合和综合分析的需求。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数据集去重</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在数据集合并过程中支持数据去重、字段映射和数据类型转换等操作，确保合并后的数据集质量高、结构统一，提高数据分析的准确性和效率。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数据集导出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提供数据集导出功能，支持将数据导出为多种格式（如Excel、CSV、JSON等），方便用户进行数据的进一步处理、分享或存档。</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（113）</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数据治理</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治理规则管理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规则库结构设计</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设计一套高效、灵活的数据治理规则存储结构，确保规则能够按照逻辑清晰、易于管理的方式进行组织。</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采用分层或模块化设计，便于规则的分类、检索和更新，提高规则管理的效率和准确性。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规则元数据管理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管理规则的元数据，包括规则的名称、详细描述、创建时间、修改时间、版本信息等关键要素。</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提供元数据编辑和更新功能，确保元数据的准确性和时效性，方便用户追踪规则的变更历史。</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规则可视化配置页面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提供直观、易用的可视化配置页面，允许用户通过图形界面轻松配置数据治理规则。</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降低规则配置的技术门槛，使非技术人员也能快速上手，提高规则配置的效率和准确性。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规则存储与版本控制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实现规则的持久化存储，确保规则数据的安全性和稳定性。</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引入版本控制机制，记录规则的历史版本信息，支持规则的回滚和对比操作。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数据传输</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消息队列创建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支持创建消息队列，用于数据的异步传输和处理。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消息队列删除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提供消息队列的删除功能，确保不再使用的队列可以被及时清理。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消息队列配置修改</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支持对消息队列的配置进行修改，如调整队列大小、修改消息过期时间等。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消息队列查询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提供消息队列的查询功能，方便管理员查看当前系统中已配置的队列信息。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数据连接状态监控</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实时监控WebSocket连接的状态，包括连接是否建立、是否断开等，以便及时处理异常情况。</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数据传输协议选择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支持多种数据传输协议，如HTTP、FTP、SMTP等，根据实际需求可选择合适的传输协议。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数据传输加密配置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提供数据传输加密配置功能，确保数据在传输过程中的安全性。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数据传输监控</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实时监控数据传输的过程，包括传输速度、传输成功率等，以便及时发现并处理传输过程中的问题。</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数据传输异常报警</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当数据传输过程中出现异常时，系统自动发出报警信息，提醒管理员进行干预。</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数据重传机制配置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支持配置数据重传机制，确保在传输失败时能够自动重传数据，提高数据传输的可靠性。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数据传输日志查询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提供数据传输日志的查询功能，方便管理员查看传输过程中的详细信息。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数据传输日志导出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支持将数据传输日志导出为文件，方便进行离线分析和存档。</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数据清洗</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重复数据检测规则配置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支持配置重复数据检测规则，用于识别数据集中的重复记录。</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重复数据删除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根据配置的重复数据检测规则，自动删除数据集中的重复记录。</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缺失值处理方法选择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提供多种缺失值处理方法，如填充默认值、使用均值/中位数填充等，系统可根据根据实际需求选择合适的方法。</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缺失值填充操作</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根据选择的缺失值处理方法，自动填充数据集中的缺失值。</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异常值检测规则配置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支持配置异常值检测规则，用于识别数据集中的异常记录。</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异常值处理操作</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根据配置的异常值检测规则，自动处理数据集中的异常记录，如删除、修正等。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数据清洗规则新增</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允许管理员新增数据清洗规则，以满足特定数据清洗需求。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数据清洗规则修改</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支持对数据清洗规则进行修改，以适应数据变化或清洗策略的调整。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数据清洗规则删除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提供数据清洗规则的删除功能，确保不再使用的规则可以被及时清理。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数据清洗规则查询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支持按规则名称、类型等条件查询数据清洗规则信息。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数据清洗任务创建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允许管理员创建新的数据清洗任务，指定清洗规则、目标数据集等。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数据清洗任务编辑</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支持对已存在的数据清洗任务进行修改，如调整清洗规则、更改目标数据集等。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数据清洗任务删除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提供数据清洗任务的删除功能，确保不再需要的任务可以被及时清理。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数据清洗任务查询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支持按任务名称、状态等条件查询数据清洗任务信息。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数据清洗任务执行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允许管理员手动触发数据清洗任务的执行，或根据预设的调度策略自动执行任务。系统实时监控任务执行状态，确保数据清洗工作能够准确、高效地完成。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数据清洗进度实时查看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实时展示数据清洗任务的进度信息，如已清洗数据量、剩余清洗时间等。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数据清洗日志查询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提供数据清洗日志的查询功能，方便管理员查看清洗过程中的详细信息。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数据清洗日志导出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支持将数据清洗日志导出为文件，方便进行离线分析和存档。</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数据转换</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数据标准化规则配置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支持配置数据标准化规则，用于将不同格式、单位的数据转换为统一的标准格式和单位。</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数据标准化操作</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根据配置的数据标准化规则，自动对数据进行标准化处理。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数据归一化规则配置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支持配置数据归一化规则，用于将数据缩放到指定的范围内，以便于后续的数据分析和处理。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数据归一化操作</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根据配置的数据归一化规则，自动对数据进行归一化处理。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数据类型转换规则配置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支持配置数据类型转换规则，用于将数据从一种类型转换为另一种类型，如字符串转数字、日期转时间戳等。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数据类型转换操作</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根据配置的数据类型转换规则，自动对数据进行类型转换处理。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数据格式转换规则配置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支持配置数据格式转换规则，用于将数据从一种格式转换为另一种格式，如CSV转JSON、XML转数据库表等。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数据格式转换操作</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根据配置的数据格式转换规则，自动对数据进行格式转换处理。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数据映射与转换规则新增</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允许管理员新增数据映射与转换规则，以满足特定数据映射与转换需求。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数据映射与转换规则修改</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支持对数据映射与转换规则进行修改，以适应数据变化或转换策略的调整。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数据映射与转换规则删除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提供数据映射与转换规则的删除功能，确保不再使用的规则可以被及时清理。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数据映射与转换规则查询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支持按规则名称、类型等条件查询数据映射与转换规则信息。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数据转换任务创建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允许管理员创建新的数据转换任务，指定转换规则、目标数据集等。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数据转换任务编辑</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支持对已存在的数据转换任务进行修改，如调整转换规则、更改目标数据集等。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数据转换任务删除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提供数据转换任务的删除功能，确保不再需要的任务可以被及时清理。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数据转换任务查询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支持按任务名称、状态等条件查询数据转换任务信息。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数据转换任务执行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允许管理员手动触发数据转换任务的执行，或根据预设的调度策略自动执行任务。系统实时监控任务执行状态，包括转换进度、错误日志等，确保数据转换工作能够准确、高效地完成。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数据转换进度实时查看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实时展示数据转换任务的进度信息，如已转换数据量、剩余转换时间等。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数据转换日志查询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提供数据转换日志的查询功能，方便管理员查看转换过程中的详细信息。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数据转换日志导出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支持将数据转换日志导出为文件，方便进行离线分析和存档。</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数据整合</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数据源整合规则配置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支持配置数据源整合规则，用于将来自不同数据源的数据进行整合和统一。</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数据源整合操作</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根据配置的数据源整合规则，自动对来自不同数据源的数据进行整合处理。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数据关联规则配置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支持配置数据关联规则，用于识别并关联数据集中相关的记录。</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数据关联操作</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根据配置的数据关联规则，自动对数据集中的记录进行关联处理。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数据去重规则配置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支持配置数据去重规则，用于在数据整合过程中识别并去除重复记录。</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数据去重操作</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根据配置的数据去重规则，自动在数据整合过程中去除重复记录。</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数据整合规则新增</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允许管理员新增数据整合规则，以满足特定数据整合需求。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数据整合规则修改</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支持对数据整合规则进行修改，以适应数据变化或整合策略的调整。</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数据整合规则删除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提供数据整合规则的删除功能，确保不再使用的规则可以被及时清理。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数据整合规则查询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支持按规则名称、类型等条件查询数据整合规则信息。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数据整合任务创建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允许管理员创建新的数据整合任务，指定整合规则、目标数据集等。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数据整合任务编辑</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支持对已存在的数据整合任务进行修改，如调整整合规则、更改目标数据集等。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数据整合任务删除</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提供数据整合任务的删除功能，确保不再需要的任务可以被及时清理。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数据整合任务查询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支持按任务名称、状态等条件查询数据整合任务信息。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数据整合任务执行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允许管理员手动触发数据整合任务的执行，或根据预设的调度策略自动执行任务。系统实时监控任务执行状态，包括整合进度、错误日志等，确保数据整合工作能够准确、高效地完成。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数据整合进度实时查看</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实时展示数据整合任务的进度信息，如已整合数据量、剩余整合时间等。</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数据整合日志查询</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提供数据整合日志的查询功能，方便管理员查看整合过程中的详细信息。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数据整合日志导出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支持将数据整合日志导出为文件，方便进行离线分析和存档。</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数据集治理结果</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流程节点划分与追溯</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治理流程进行细致的节点划分，每个节点均记录关键操作与状态信息，支持节点的全面追溯和灵活查询。用户可轻松了解治理流程的每个环节，包括节点执行时间、操作人员、处理逻辑等，确保治理过程的透明度和可审计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节点级治理结果详情</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针对每个治理流程节点，详细展示治理结果信息，涵盖数据质量评估指标（如完整性、准确性、一致性等）、合规性检查结果（如是否符合业务规则、数据标准、法律法规等）。用户可深入查看每个节点的具体治理成效，为后续优化提供数据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治理数据比对</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提供治理前后的数据比对功能，支持用户选择关键字段、数据范围进行细致对比。通过展示数据差异，帮助用户快速评估治理效果，识别数据质量提升点或潜在问题，为治理策略调整提供有力依据。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治理结果分析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治理结果进行多维度数据分析，包括治理成效统计、问题分布分析、趋势预测等。通过图表、报表等形式直观呈现分析结果，帮助用户深入理解治理效果，发现潜在规律，为数据治理工作的持续优化提供决策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数据治理报告</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生成全面的数据治理报告，内容涵盖治理效果概述、问题总结与分类、改进建议与措施等。报告以结构化形式呈现，支持导出为PDF、Excel等格式，方便用户向上级汇报、与团队分享或作为决策参考，助力数据治理工作的闭环管理和持续改进。</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（190）</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数据质量</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数据质量监控</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实时数据监控</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实时监控数据流入流出情况，自动检测数据异常，如数据缺失、数据重复、数据格式错误等，确保数据流的稳定性和准确性。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异常检测规则配置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允许用户灵活配置异常检测规则，包括数据格式错误、数据缺失、数据重复等多种类型，支持规则的动态调整和优化，以适应不断变化的数据质量需求。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数据质量指标监控</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设定并持续监控关键数据质量指标，如完整性、准确性、一致性、及时性等，定期生成质量报告，为数据治理提供量化依据。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指标实时计算</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实时监控并计算数据质量指标，即时反映当前数据质量状况，支持指标的实时更新和查询，确保数据的时效性和可用性。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数据质量评估</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数据质量评分</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根据预设的评分模型对数据集进行全面评分，量化数据质量水平，为数据治理效果提供直观评价。</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评分历史追踪</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记录数据质量评分的历史变化，形成评分趋势图，便于追踪数据质量的改进情况和评估治理效果。</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数据质量对比分析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支持按时间、数据源、业务部门等维度进行数据质量对比分析，利用数据仓库技术存储多维度数据，提供灵活的查询和对比功能，助力数据治理策略的制定和优化。</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数据质量规则管理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规则模板选择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提供一系列预定义的规则模板，如数据格式校验、数据范围校验、数据唯一性校验等，用户可根据实际需求快速选择合适的模板进行规则创建。</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自定义规则编写</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支持用户根据特定业务需求编写自定义规则，提供灵活的规则表达式或脚本语言接口，满足复杂的数据质量校验需求。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规则参数配置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允许用户对规则参数进行细致配置，确保规则的准确性和有效性。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规则存储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建立规则库，用于存储所有创建和配置的数据质量规则，确保规则的可追溯性和可复用性，降低规则管理成本。</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规则分类与标签</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对规则进行分类和打标签，便于用户快速查找和筛选符合特定需求的规则，提高规则管理的效率。</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规则版本控制</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支持规则版本控制，记录规则的修改历史和版本信息，允许用户回滚到之前的规则版本，确保规则管理的灵活性和安全性。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规则引擎集成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集成规则引擎，负责执行数据质量规则，对数据进行实时或批量的校验，确保数据的准确性和合规性。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规则验证结果记录</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记录规则执行后的验证结果，包括符合规则的数据记录、不符合规则的数据记录以及具体的错误信息，为后续的数据清洗和修复提供依据。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规则执行效率监控</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监控规则执行的时间和资源消耗，评估规则的执行效率，及时发现并解决性能瓶颈问题，确保数据质量监控的顺畅进行。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规则文档生成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自动生成规则文档，包括规则的描述、参数配置、执行逻辑、验证结果等信息，便于用户理解和维护规则，提高规则管理的透明度。</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规则知识库建设</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建立规则知识库，收集和管理与数据质量规则相关的知识、经验和最佳实践，促进团队之间的知识共享和协作，提升数据治理的整体水平。</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xml:space="preserve">数据质量报告与可视化  </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定期自动生成报告</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系统按照预设的时间周期（如每日、每周、每月）自动生成数据质量报告，涵盖关键指标、问题汇总、趋势分析等，为数据治理提供定期回顾和总结。</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自定义报告模板</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允许用户根据需求自定义报告模板，包括选择指标、调整布局、添加图表等，满足个性化的报告需求。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即时报告生成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支持用户随时生成即时报告，快速响应临时分析需求，提供即时的数据质量洞察。</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按时间维度分析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提供按时间（如日、周、月、季、年）的数据质量趋势分析，帮助用户识别长期问题和周期性变化，为数据治理策略的调整提供依据。</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数据源维度分析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支持按不同数据源（如数据库、文件、API等）分析数据质量，定位问题源头，优化数据源管理。</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业务维度分析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提供按业务部门或业务流程的数据质量分析，支持业务决策，促进数据质量与业务目标的对齐。</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数据质量地图</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以地图形式展示不同地域或业务区域的数据质量情况，支持地理维度分析，为区域数据治理提供可视化支持。</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交互式仪表盘</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提供交互式仪表盘，用户可自定义展示内容和布局，支持拖拽、缩放、筛选等操作，提供灵活的数据质量监控和分析体验。</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图表与图形展示</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支持柱状图、折线图、饼图、散点图等多种图表类型，直观展示数据质量指标和趋势，帮助用户快速理解数据质量状况。</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（217）</w:t>
            </w:r>
          </w:p>
        </w:tc>
        <w:tc>
          <w:tcPr>
            <w:tcW w:w="127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数据应用</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报表模板设计</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模板选择</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提供报表模板供用户选择，包括表格型、图表型、混合型等，满足不同场景下的报表展示需求。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（218）</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字段配置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用户可根据具体需求，灵活选择报表中展示的数据字段，如指标名称、数值、时间等，实现报表内容的定制化。</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（219）</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样式设置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支持用户自定义报表的字体、颜色、边框等样式，提升报表的可读性和美观度，使报表更加符合用户的审美和使用习惯。</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（220）</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数据填充与计算</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数据抽取</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从用户指定的数据源中，精准抽取用户选择的指标数据，确保数据的准确性和及时性。</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（221）</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数据计算</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根据指标的定义和计算方法，对抽取的数据进行必要的计算和处理，如求和、平均值、比例等，满足用户的数据分析需求。</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（222）</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数据校验</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对填充的数据进行严格的校验，确保数据的准确性和完整性，避免数据错误对报表结果的影响。</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（223）</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报表生成与导出</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报表生成</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根据用户设计的模板和填充的数据，自动生成最终的报表，实现报表的快速生成和定制化。</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（224）</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报表预览</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提供报表预览功能，让用户在实际导出前查看报表效果，确保报表内容符合用户预期。</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（225）</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导出格式</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支持用户将报表导出为Excel、PDF、Word等多种格式，方便用户进行后续处理、分享和存档。</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（226）</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报表管理</w:t>
            </w: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报表列表</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展示用户生成的所有报表，支持用户按时间、名称等关键词进行搜索，方便用户快速定位和管理报表。</w:t>
            </w:r>
          </w:p>
        </w:tc>
      </w:tr>
      <w:tr>
        <w:tblPrEx>
          <w:tblLayout w:type="fixed"/>
          <w:tblCellMar>
            <w:top w:w="0" w:type="dxa"/>
            <w:left w:w="108" w:type="dxa"/>
            <w:bottom w:w="0" w:type="dxa"/>
            <w:right w:w="108" w:type="dxa"/>
          </w:tblCellMar>
        </w:tblPrEx>
        <w:trPr>
          <w:trHeight w:val="240" w:hRule="atLeast"/>
        </w:trPr>
        <w:tc>
          <w:tcPr>
            <w:tcW w:w="846" w:type="dxa"/>
            <w:tcBorders>
              <w:top w:val="nil"/>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（227）</w:t>
            </w: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操作按钮</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提供查看、编辑、删除、分享等操作按钮，方便用户对报表进行全方位的管理，如查看报表详情、修改报表内容、删除不再需要的报表、将报表分享给团队成员等。</w:t>
            </w:r>
          </w:p>
        </w:tc>
      </w:tr>
      <w:tr>
        <w:tblPrEx>
          <w:tblLayout w:type="fixed"/>
          <w:tblCellMar>
            <w:top w:w="0" w:type="dxa"/>
            <w:left w:w="108" w:type="dxa"/>
            <w:bottom w:w="0" w:type="dxa"/>
            <w:right w:w="108" w:type="dxa"/>
          </w:tblCellMar>
        </w:tblPrEx>
        <w:trPr>
          <w:trHeight w:val="240" w:hRule="atLeast"/>
        </w:trPr>
        <w:tc>
          <w:tcPr>
            <w:tcW w:w="846"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w:t>
            </w:r>
          </w:p>
        </w:tc>
        <w:tc>
          <w:tcPr>
            <w:tcW w:w="1276"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临床专科质控定制场景开发</w:t>
            </w: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临床专科质控定制指标开发:呼吸内科专业指标体系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呼吸内科专业指标体系：住院成人社区获得性肺炎（CAP）患者进行CAP严重程度评估的比例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呼吸内科专业指标体系：急性肺血栓栓塞症（PTE）患者确诊检查比例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呼吸内科专业指标体系：急性PTE患者行深静脉血栓相关检查比例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呼吸内科专业指标体系：急性PTE患者行危险分层相关检查比例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呼吸内科专业指标体系：住院期间行溶栓治疗的高危急性PTE患者比例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呼吸内科专业指标体系：急性PTE患者住院期间抗凝治疗比例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呼吸内科专业指标体系：急性PTE患者住院死亡率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呼吸内科专业指标体系：急性PTE患者住院期间发生大出血比例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呼吸内科专业指标体系：慢阻肺急性加重患者住院期间行动脉血气分析比例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呼吸内科专业指标体系：慢阻肺急性加重患者住院期间胸部影像学检查比例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呼吸内科专业指标体系：慢阻肺急性加重患者住院期间心电图检查比例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呼吸内科专业指标体系：慢阻肺急性加重患者住院期间超声心动图检查比例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呼吸内科专业指标体系：慢阻肺急性加重患者住院期间抗感染治疗前病原学送检比例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呼吸内科专业指标体系：慢阻肺急性加重患者住院期间雾化吸入支气管扩张剂应用比例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呼吸内科专业指标体系：慢阻肺急性加重患者住院死亡率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呼吸内科专业指标体系：使用有创机械通气的慢阻肺急性加重患者死亡率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呼吸内科专业指标体系：低危CAP患者住院比例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呼吸内科专业指标体系：CAP患者住院期间抗感染治疗前病原学送检比例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呼吸内科专业指标体系：CAP患者住院死亡率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呼吸内科专业指标体系：住院CAP患者接受机械通气的比例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呼吸内科专业指标体系：门诊肺功能检查率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临床专科质控定制指标开发:内分泌专业指标体系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内分泌专业指标体系：糖尿病患者诊断分型正确率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内分泌专业指标体系：2型糖尿病患者周围神经病变的筛查率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内分泌专业指标体系：2型糖尿病患者视网膜病变的筛查率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内分泌专业指标体系：2型糖尿病患者糖尿病肾病的筛查率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内分泌专业指标体系：糖尿病酮症酸中毒患者抢救的成功率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内分泌专业指标体系：弥漫性毒性甲状腺肿（Graves病）的规范化诊断率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内分泌专业指标体系：住院病例甲级病案率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内分泌专业指标体系：医疗质量安全不良事件报告率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内分泌专业指标体系：静脉血栓栓塞症规范预防率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内分泌专业指标体系：抗菌药物使用强度（DDDs）</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内分泌专业指标体系：卫生技术人员职称结构</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内分泌专业指标体系：医护比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临床专科质控定制指标开发:普通外科专业指标体系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普通外科专业指标体系：出院患者微创手术占比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普通外科专业指标体系：出院患者手术占比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普通外科专业指标体系：出院患者4级手术占比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普通外科专业指标体系：非计划再次手术例数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普通外科专业指标体系：四级手术术前多学科完成率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普通外科专业指标体系：一类切口手术部位感染率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普通外科专业指标体系：围手术期患者死亡率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普通外科专业指标体系：床均医疗质量安全不良事件报告率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普通外科专业指标体系：每百名出院人次医疗质量安全不良事件报告率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普通外科专业指标体系：医疗服务收入占医疗收入比例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普通外科专业指标体系：平均床位使用率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普通外科专业指标体系：平均住院日</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普通外科专业指标体系：肿瘤治疗前临床TNM分期评估率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普通外科专业指标体系：抗菌药物使用强度（DDDs）</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普通外科专业指标体系：低风险组病例死亡率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临床专科质控定制指标开发:泌尿外科专业指标体系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泌尿外科专业医疗质量安全不良事件报告率1：床均医疗质量安全不良事件报告率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泌尿外科专业医疗质量安全不良事件报告率2：每百名出院人次医疗质量安全不良事件报告率。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泌尿外科专业指标体系：住院患者围手术期死亡率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泌尿外科专业指标体系：四级手术术前MDT完成率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泌尿外科专业指标体系：四级手术占比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泌尿外科专业指标体系：结石手术术后感染并发症发现率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泌尿外科专业指标体系：年门诊量</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泌尿外科专业指标体系：年住院人数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泌尿外科专业指标体系：年手术例数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泌尿外科专业指标体系：平均住院天数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临床专科质控定制指标开发:耳喉鼻科专业指标体系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耳喉鼻科专业指标体系：入出院诊断符合率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耳喉鼻科专业指标体系：出院病人治愈好转率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耳喉鼻科专业指标体系：住院患者抗菌药物使用强度（DDD）</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耳喉鼻科专业指标体系：I类切口手术抗菌药物预防使用率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耳喉鼻科专业指标体系：I类切口手术部位感染率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耳喉鼻科专业指标体系：非计划再次手术率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耳喉鼻科专业指标体系：出院31日内非计划再住院率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耳喉鼻科专业指标体系：医院感染发病率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耳喉鼻科专业指标体系：手术患者并发症发生率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耳喉鼻科专业指标体系：四级手术术前多学科讨论完成率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临床专科质控定制指标开发:感染性疾病专业指标体系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感染性疾病专业医疗质量安全不良事件报告率1:床均医疗质量安全不良事件报告率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感染性疾病专业医疗质量安全不良事件报告率2:每百名出院人次医疗质量安全不良事件报告率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感染性疾病专业运营指标1:感染性疾病科门诊量</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感染性疾病专业运营指标2:门诊次均费用</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感染性疾病专业运营指标3:出院患者人次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感染性疾病专业运营指标4:出院患者次均费用</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感染性疾病专业运营指标5:出院患者平均住院日</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感染性疾病专业专科能力指标1：感染性疾病专业医生为本院其他科室感染性疾病诊断和抗菌药物合理应用提供的院内会诊人次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感染性疾病专业专科能力指标2：感染性疾病专业临床医生参加医院抗菌药专家点评工作频次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感染性疾病专业专科能力指标3：住院患者抗菌药物治疗前病原学送检率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感染性疾病专业单病种能力（呼吸道感染性疾病）（全院）1：开展呼吸道病原体核酸检测种类</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感染性疾病专业单病种能力（呼吸道感染性疾病）（全院）2：年度呼吸道感染性疾病核诊率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感染性疾病专业单病种能力（流行性感冒）（全院）1：全院流感患者病原学送检率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感染性疾病专业单病种能力（流行性感冒）（全院）2：抗流感病毒药物使用前流感病原学诊断阳性率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感染性疾病专业单病种能力（流行性感冒）（全院）3：门诊流感患者使用抗菌药物使用率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感染性疾病专业单病种能力（流行性感冒）（全院）4：住院流感患者使用抗菌药物使用率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感染性疾病专业单病种能力（流行性感冒）（全院）5：流感患者病死率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感染性疾病专业单病种能力（流行性感冒）（全院）6：流感相关死亡占比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感染性疾病专业单病种能力（乙肝）（全院）1:全院年度慢性乙肝抗病毒治疗人次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感染性疾病专业单病种能力（乙肝）（全院）2:全院年度慢性乙肝抗病毒治疗患者行HBVDNA检测人次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感染性疾病专业单病种能力（丙肝）（全院）1：抗HCV阳性患者HCVRNA检测率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感染性疾病专业单病种能力（丙肝）（全院）2：部分高危人群抗-HCV检测率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感染性疾病专业单病种能力（丙肝）（全院）3：HCVRNA阳性患者抗病毒治疗率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感染性疾病专业单病种能力（丙肝）（全院）4：HCVRNA阳性患者抗病毒治疗前行HCV基因型送检率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感染性疾病专业单病种能力（感染性腹泻）（全院）1：感染性腹泻患者病原学送检率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感染性疾病专业单病种能力（感染性腹泻）（全院）2：感染性腹泻患者病原学诊断阳性率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感染性疾病专业单病种能力（感染性腹泻）（全院）3：感染性腹泻患者抗菌药物使用率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感染性疾病专业单病种能力（感染性腹泻）（全院）4：感染性腹泻患者口服补液盐（ORS）使用率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感染性疾病专业单病种能力（肺结核）（全院）1：肺结核病可疑症状者痰检率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感染性疾病专业单病种能力（肺结核）（全院）2：新增肺结核确诊患者</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感染性疾病专业单病种能力（艾滋病）（全院）1：全院HIV血清学抗体初筛检测人数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感染性疾病专业单病种能力（艾滋病）（全院）2：全院HIV确诊人数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感染性疾病专业单病种能力（艾滋病）（全院）3：年度新增抗艾滋病毒治疗患者人数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感染性疾病专业单病种能力（艾滋病）（全院）4：抗病毒治疗前CD4+细胞检测人数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临床专科质控定制指标开发:重症医学专业指标体系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重症医学专业指标体系：ICU患者收治率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重症医学专业指标体系：ICU患者收治床日率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重症医学专业指标体系：APACHEII评分≥15分患者比例（入ICU24小时内）</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重症医学专业指标体系：感染性休克3小时集束化治疗完成率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重症医学专业指标体系：感染性休克6小时集束化治疗完成率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重症医学专业指标体系：ICU抗菌药物治疗前病原学送检率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重症医学专业指标体系：ICU深静脉血栓（DVT）预防率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重症医学专业指标体系：ICU患者预计病死率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重症医学专业指标体系：ICU患者标化病死指数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重症医学专业指标体系：ICU非计划气管插管拔管率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重症医学专业指标体系：ICU气管插管拔管后48h内再插管率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重症医学专业指标体系：非计划转入ICU率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重症医学专业指标体系：转出ICU后48h内重返率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重症医学专业指标体系：ICU呼吸机相关性肺炎（VAP）发病率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重症医学专业指标体系：ICU血管内导管相关血流感染（CRBSI）发病率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重症医学专业指标体系：ICU导尿管相关泌尿系统感染（CAUTI）发病率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重症医学专业指标体系：中重度急性呼吸窘迫综合征（ARDS）患者俯卧位通气实施率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临床专科质控定制指标开发:妇科专业指标体系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妇科专业指标体系：总手术量</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妇科专业指标体系：住院人次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妇科专业指标体系：平均住院日</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妇科专业指标体系：床位使用率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妇科专业指标体系：出院患者手术占比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妇科专业指标体系：三级手术率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妇科专业指标体系：四级手术率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妇科专业指标体系：I类手术切口感染率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妇科专业指标体系：31天内非计划再住院率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妇科专业指标体系：非计划再手术率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妇科专业指标体系：临床路径入径率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妇科专业指标体系：临床路径完成率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妇科专业指标体系：临床路径变异率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妇科专业指标体系：异位妊娠单病种例数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妇科专业指标体系：异位妊娠单病种平均住院日</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妇科专业指标体系：异位妊娠单病种次均费用</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妇科专业指标体系：异位妊娠单病种病死率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妇科专业指标体系：子宫平滑肌瘤单病种例数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妇科专业指标体系：子宫平滑肌瘤单病种平均住院日</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妇科专业指标体系：子宫平滑肌瘤单病种次均费用</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妇科专业指标体系：子宫平滑肌瘤单病种病死率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妇科专业指标体系：宫颈癌单病种例数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妇科专业指标体系：宫颈癌单病种平均住院日</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妇科专业指标体系：宫颈癌单病种次均费用</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妇科专业指标体系：宫颈癌单病种病死率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妇科专业指标体系：新技术、新项目开展例数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妇科专业指标体系：不良事件例数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临床专科质控定制指标开发:小儿内科专业（含小儿肿瘤）指标体系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小儿内科专业（含小儿肿瘤）指标体系：川崎病住院人次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小儿内科专业（含小儿肿瘤）指标体系：川崎病住院患者10天内使用大剂量免疫球蛋白人次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小儿内科专业（含小儿肿瘤）指标体系：川崎病住院人次中冠状动脉瘤发生人次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小儿内科专业（含小儿肿瘤）指标体系：川崎病冠状动脉瘤发生率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小儿内科专业（含小儿肿瘤）指标体系：因惊厥住院的人次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小儿内科专业（含小儿肿瘤）指标体系：因惊厥住院行脑电图检查的人次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小儿内科专业（含小儿肿瘤）指标体系：因惊厥住院行脑电图检查率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小儿内科专业（含小儿肿瘤）指标体系：因惊厥住院诊断为癫痫患者人次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小儿内科专业（含小儿肿瘤）指标体系：川崎病住院病例数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小儿内科专业（含小儿肿瘤）指标体系：川崎病确诊的平均天数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小儿内科专业（含小儿肿瘤）指标体系：川崎病住院患者10天内使用大剂量免疫球蛋白病例数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小儿内科专业（含小儿肿瘤）指标体系：川崎病住院患者使用大剂量免疫球蛋白病例数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小儿内科专业（含小儿肿瘤）指标体系：川崎病冠状动脉病变发生病例数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小儿内科专业（含小儿肿瘤）指标体系：川崎病冠状动脉病变发生率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小儿内科专业（含小儿肿瘤）指标体系：川崎病冠状动脉病变华法林抗凝治疗2周内INR达标的病例数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小儿内科专业（含小儿肿瘤）指标体系：川崎病冠状动脉病变进行华法林治疗病例数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小儿内科专业（含小儿肿瘤）指标体系：主要不良心血管事件发生率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小儿内科专业（含小儿肿瘤）指标体系：抗血栓治疗期间严重出血事件发生率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小儿内科专业（含小儿肿瘤）指标体系：川崎病相关的病死率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小儿内科专业（含小儿肿瘤）指标体系：因惊厥住院的病例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小儿内科专业（含小儿肿瘤）指标体系：因惊厥住院行脑电图检查的病例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小儿内科专业（含小儿肿瘤）指标体系：因惊厥住院行脑电图检查率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小儿内科专业（含小儿肿瘤）指标体系：因惊厥住院诊断为癫痫病例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小儿内科专业（含小儿肿瘤）指标体系：儿童癫痫诊断分型率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小儿内科专业（含小儿肿瘤）指标体系：儿童癫痫持续状态诊断分型率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小儿内科专业（含小儿肿瘤）指标体系：癫痫诊断前脑电图检查中视频脑电图使用率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小儿内科专业（含小儿肿瘤）指标体系：儿童癫痫分类中癫痫综合征诊断率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小儿内科专业（含小儿肿瘤）指标体系：儿童癫痫病因诊断率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小儿内科专业（含小儿肿瘤）指标体系：儿童抗癫痫发作药物长期使用率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小儿内科专业（含小儿肿瘤）指标体系：癫痫持续状态死亡率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临床专科质控定制指标开发:小儿外科专业指标体系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患儿门诊人次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患儿出院人次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患儿门诊人次数与出院人次数比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患儿手术人次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患儿出院患儿手术占比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患儿出院患儿微创手术占比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患儿出院患儿四级手术比例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患儿日间手术占择期手术比例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患儿手术患儿并发症发生率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患儿非计划重返再住院率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患儿I类切口手术部位感染率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患儿抗菌药物使用强度</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患儿住院患儿围手术期死亡率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患儿每百出院人次报告不良事件例数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患儿四级手术术前多学科讨论完成率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患儿I类切口手术抗菌药物预防使用率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单病种例数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单病种平均住院日</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单病种次均费用</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单病种次均药费</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单病种微创（腹腔镜）手术占比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单病种手术患儿并发症发生率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单病种病死率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临床专科质控定制指标开发:精神医学专业指标体系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精神医学专业指标体系：门诊总人次（不含健康体检人次，出诊和复诊人次，孕期和产后检查人次，预约手术、局部健康检查人次。）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精神医学专业指标体系：门诊总费用（不含健康体检费用，包括挂号费、诊疗费、检查、化验、治疗、手术、卫生材料、药品（中草药、中成药、西药）、其他费用）</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精神医学专业指标体系：门诊药品总费用</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精神医学专业指标体系：实际开放总床日数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精神医学专业指标体系：实际占用总床日数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出院患者总人数（包括治愈、好转，未愈、死亡及其他人数。①“死亡”：包括已办住院手续后死亡、未办理住院手续而实际上已收容入院的死亡者。②“其他”：指正常分娩和未产出院、未治和住院经检查无病出院、无并发症的人工流产或绝育手术出院者。）</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精神医学专业指标体系：出院患者占用总床日数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精神医学专业指标体系：入出院诊断符合率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精神医学专业指标体系：住院患者总死亡人数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精神医学专业指标体系：医院药品收入占医疗收入的比例（%）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精神医学专业指标体系：出院患者国家基本药物目录品种使用金额</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精神医学专业指标体系：发生压疮的出院患者人次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精神医学专业指标体系：医院内跌倒/坠床发生次数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精神医学专业指标体系：出院患者医院感染发生例数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精神医学专业指标体系：医疗质量安全不良事件报告率（每百张实际开放床位年报告≥10件）</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精神医学专业指标体系：病案首页主要编码正确率（达到100%）</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精神医学专业指标体系：出院时多种（≥3种）抗精神病药或抗抑郁剂联合使用率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精神医学专业指标体系：住院期间约束和隔离措施使用率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精神医学专业指标体系：开展优质护理病房（区）数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临床专科质控定制指标开发:心血管疾病专业指标体系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心血管内科质控指标体系（三级医院）：非瓣膜性心房颤动（房颤）患者血栓栓塞风险评估率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心血管内科质控指标体系（三级医院）：非瓣膜性房颤患者出院抗凝药物使用率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心血管内科质控指标体系（三级医院）：瓣膜性房颤患者出院华法林使用率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心血管内科质控指标体系（三级医院）：房颤患者出血风险评估率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心血管内科质控指标体系（三级医院）：房颤患者左心耳封堵术并发症发生率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心血管内科质控指标体系（三级医院）：心力衰竭患者入院24小时内利钠肽检测率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心血管内科质控指标体系（三级医院）：心力衰竭患者入院48小时内心脏功能评估率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心血管内科质控指标体系（三级医院）：心力衰竭伴容量超负荷患者住院期间利尿剂治疗率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心血管内科质控指标体系（三级医院）：心力衰竭患者出院血管紧张素转化酶抑制剂（ACEI）或血管紧张素受体阻断剂（ARB）或血管紧张素受体脑啡肽酶抑制剂（ARNI）使用率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心血管内科质控指标体系（三级医院）：心力衰竭患者出院β受体阻滞剂使用率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心血管内科质控指标体系（三级医院）：心力衰竭患者出院醛固酮受体拮抗剂使用率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心血管内科质控指标体系（三级医院）：心力衰竭患者住院期间心脏再同步化治疗（CRT）使用率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心血管内科质控指标体系（三级医院）：心力衰竭患者住院死亡率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心血管内科质控指标体系（三级医院）：心力衰竭患者出院30天随访率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心血管内科质控指标体系（三级医院）：心力衰竭患者出院后30天内心力衰竭再入院率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心血管内科质控指标体系（三级医院）：心力衰竭患者出院后30天死亡率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心血管内科质控指标体系（三级医院）：动态血压监测率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心血管内科质控指标体系（三级医院）：心血管风险评估率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心血管内科质控指标体系（三级医院）：原发性醛固酮增多症肾素醛固酮检测规范率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心血管内科质控指标体系（三级医院）：原发性醛固酮增多症确诊试验开展率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心血管内科质控指标体系（三级医院）：急性ST段抬高型心肌梗死（STEMI）患者到院10分钟内完成12导联（及以上）心电图检查率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心血管内科质控指标体系（三级医院）：急性STEMI患者到院1小时内阿司匹林治疗率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心血管内科质控指标体系（三级医院）：急性STEMI患者到院1小时内P2Y12受体拮抗剂治疗率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心血管内科质控指标体系（三级医院）：发病24小时内急性STEMI患者再灌注治疗率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心血管内科质控指标体系（三级医院）：发病24小时内急性STEMI患者到院90分钟内进行直接经皮冠状动脉介入治疗（PCI）的比例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心血管内科质控指标体系（三级医院）：发病24小时内急性STEMI患者到院30分钟内给予静脉溶栓治疗的比例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心血管内科质控指标体系（三级医院）：急性STEMI患者到院24小时内β受体阻滞剂治疗率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心血管内科质控指标体系（三级医院）：急性STEMI患者住院期间应用超声心动图（UCG）评价左心室射血分数（LVEF）的比例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心血管内科质控指标体系（三级医院）：急性STEMI患者出院阿司匹林使用率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心血管内科质控指标体系（三级医院）：急性STEMI患者出院P2Y12受体拮抗剂使用率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心血管内科质控指标体系（三级医院）：急性STEMI患者出院β受体阻滞剂使用率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心血管内科质控指标体系（三级医院）：急性STEMI患者出院血管紧张素转换酶抑制剂（ACEI）或血管紧张素Ⅱ受体拮抗剂（ARB）使用率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心血管内科质控指标体系（三级医院）：急性STEMI患者出院他汀类药物使用率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心血管内科质控指标体系（三级医院）：急性STEMI患者住院死亡率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心血管内科质控指标体系（三级医院）：急性STEMI患者30天死亡率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心血管内科质控指标体系（三级医院）：急性STEMI患者出院后30天内非计划再入院率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心血管内科质控指标体系（三级医院）：非ST段抬高型急性冠脉综合征患者危险分层完成率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临床专科质控定制指标开发:心血管内科质控指标体系（二级医院）</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心血管内科质控指标体系（二级医院）：非瓣膜性心房颤动（房颤）患者血栓栓塞风险评估率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心血管内科质控指标体系（二级医院）：非瓣膜性房颤患者出院抗凝药物使用率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心血管内科质控指标体系（二级医院）：瓣膜性房颤患者出院华法林使用率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心血管内科质控指标体系（二级医院）：房颤患者出血风险评估率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心血管内科质控指标体系（二级医院）：心力衰竭患者入院24小时内利钠肽检测率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心血管内科质控指标体系（二级医院）：心力衰竭患者入院48小时内心脏功能评估率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心血管内科质控指标体系（二级医院）：心力衰竭伴容量超负荷患者住院期间利尿剂治疗率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心血管内科质控指标体系（二级医院）：心力衰竭患者出院血管紧张素转化酶抑制剂（ACEI）或血管紧张素受体阻断剂（ARB）或血管紧张素受体脑啡肽酶抑制剂（ARNI）使用率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心血管内科质控指标体系（二级医院）：心力衰竭患者出院β受体阻滞剂使用率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心血管内科质控指标体系（二级医院）：心力衰竭患者出院醛固酮受体拮抗剂使用率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心血管内科质控指标体系（二级医院）：心力衰竭患者</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心血管内科质控指标体系（二级医院）：住院死亡率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心血管内科质控指标体系（二级医院）：心力衰竭患者出院30天随访率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心血管内科质控指标体系（二级医院）：心力衰竭患者出院后30天内心力衰竭再入院率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心血管内科质控指标体系（二级医院）：心力衰竭患者出院后30天死亡率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心血管内科质控指标体系（二级医院）：动态血压监测率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心血管内科质控指标体系（二级医院）：心血管风险评估率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心血管内科质控指标体系（二级医院）：原发性醛固酮增多症肾素醛固酮检测规范率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心血管内科质控指标体系（二级医院）：原发性醛固酮增多症确诊试验开展率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心血管内科质控指标体系（二级医院）：急性ST段抬高型心肌梗死（STEMI）患者到院10分钟内完成12导联（及以上）心电图检查率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心血管内科质控指标体系（二级医院）：急性STEMI患者到院1小时内阿司匹林治疗率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心血管内科质控指标体系（二级医院）：急性STEMI患者到院1小时内P2Y12受体拮抗剂治疗率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心血管内科质控指标体系（二级医院）：发病24小时内急性STEMI患者再灌注治疗率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心血管内科质控指标体系（二级医院）：发病24小时内急性STEMI患者到院90分钟内进行直接经皮冠状动脉介入治疗（PCI）的比例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心血管内科质控指标体系（二级医院）：发病24小时内急性STEMI患者到院30分钟内给予静脉溶栓治疗的比例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心血管内科质控指标体系（二级医院）：急性STEMI患者到院24小时内β受体阻滞剂治疗率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心血管内科质控指标体系（二级医院）：急性STEMI患者住院期间应用超声心动图（UCG）评价左心室射血分数（LVEF）的比例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心血管内科质控指标体系（二级医院）：急性STEMI患者出院阿司匹林使用率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心血管内科质控指标体系（二级医院）：急性STEMI患者出院P2Y12受体拮抗剂使用率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心血管内科质控指标体系（二级医院）：急性STEMI患者出院β受体阻滞剂使用率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心血管内科质控指标体系（二级医院）：急性STEMI患者出院血管紧张素转换酶抑制剂（ACEI）或血管紧张素Ⅱ受体拮抗剂（ARB）使用率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心血管内科质控指标体系（二级医院）：急性STEMI患者出院他汀类药物使用率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心血管内科质控指标体系（二级医院）：急性STEMI患者住院死亡率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心血管内科质控指标体系（二级医院）：急性STEMI患者30天死亡率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心血管内科质控指标体系（二级医院）：急性STEMI患者出院后30天内非计划再入院率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心血管内科质控指标体系（二级医院）：非ST段抬高型急性冠脉综合征患者危险分层完成率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临床专科质控定制指标开发:心血管系统疾病专业质控指标体系（三级医院）</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心血管系统疾病专业质控指标体系（三级医院）：非瓣膜性心房颤动（房颤）患者血栓栓塞风险评估率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心血管系统疾病专业质控指标体系（三级医院）：非瓣膜性房颤患者出院抗凝药物使用率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心血管系统疾病专业质控指标体系（三级医院）：瓣膜性房颤患者出院华法林使用率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心血管系统疾病专业质控指标体系（三级医院）：房颤患者出血风险评估率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心血管系统疾病专业质控指标体系（三级医院）：房颤患者左心耳封堵术并发症发生率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心血管系统疾病专业质控指标体系（三级医院）：心力衰竭患者入院24小时内利钠肽检测率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心血管系统疾病专业质控指标体系（三级医院）：心力衰竭患者入院48小时内心脏功能评估率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心血管系统疾病专业质控指标体系（三级医院）：心力衰竭伴容量超负荷患者住院期间利尿剂治疗率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心血管系统疾病专业质控指标体系（三级医院）：心力衰竭患者出院血管紧张素转化酶抑制剂（ACEI）或血管紧张素受体阻断剂（ARB）或血管紧张素受体脑啡肽酶抑制剂（ARNI）使用率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心血管系统疾病专业质控指标体系（三级医院）：心力衰竭患者出院β受体阻滞剂使用率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心血管系统疾病专业质控指标体系（三级医院）：心力衰竭患者出院醛固酮受体拮抗剂使用率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心血管系统疾病专业质控指标体系（三级医院）：心力衰竭患者住院期间心脏再同步化治疗（CRT）使用率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心血管系统疾病专业质控指标体系（三级医院）：心力衰竭患者住院死亡率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心血管系统疾病专业质控指标体系（三级医院）：心力衰竭患者出院30天随访率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心血管系统疾病专业质控指标体系（三级医院）：心力衰竭患者出院后30天内心力衰竭再入院率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心血管系统疾病专业质控指标体系（三级医院）：心力衰竭患者出院后30天死亡率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心血管系统疾病专业质控指标体系（三级医院）：动态血压监测率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心血管系统疾病专业质控指标体系（三级医院）：心血管风险评估率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心血管系统疾病专业质控指标体系（三级医院）：原发性醛固酮增多症肾素醛固酮检测规范率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心血管系统疾病专业质控指标体系（三级医院）：原发性醛固酮增多症确诊试验开展率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心血管系统疾病专业质控指标体系（三级医院）：急性ST段抬高型心肌梗死（STEMI）患者到院10分钟内完成12导联（及以上）心电图检查率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心血管系统疾病专业质控指标体系（三级医院）：急性STEMI患者到院1小时内阿司匹林治疗率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心血管系统疾病专业质控指标体系（三级医院）：急性STEMI患者到院1小时内P2Y12受体拮抗剂治疗率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心血管系统疾病专业质控指标体系（三级医院）：发病24小时内急性STEMI患者再灌注治疗率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心血管系统疾病专业质控指标体系（三级医院）：发病24小时内急性STEMI患者到院90分钟内进行直接经皮冠状动脉介入治疗（PCI）的比例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心血管系统疾病专业质控指标体系（三级医院）：发病24小时内急性STEMI患者到院30分钟内给予静脉溶栓治疗的比例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心血管系统疾病专业质控指标体系（三级医院）：急性STEMI患者到院24小时内β受体阻滞剂治疗率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心血管系统疾病专业质控指标体系（三级医院）：急性STEMI患者住院期间应用超声心动图（UCG）评价左心室射血分数（LVEF）的比例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心血管系统疾病专业质控指标体系（三级医院）：急性STEMI患者出院阿司匹林使用率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心血管系统疾病专业质控指标体系（三级医院）：急性STEMI患者出院P2Y12受体拮抗剂使用率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心血管系统疾病专业质控指标体系（三级医院）：急性STEMI患者出院β受体阻滞剂使用率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心血管系统疾病专业质控指标体系（三级医院）：急性STEMI患者出院血管紧张素转换酶抑制剂（ACEI）或血管紧张素Ⅱ受体拮抗剂（ARB）使用率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心血管系统疾病专业质控指标体系（三级医院）：急性STEMI患者出院他汀类药物使用率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心血管系统疾病专业质控指标体系（三级医院）：急性STEMI患者住院死亡率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心血管系统疾病专业质控指标体系（三级医院）：急性STEMI患者30天死亡率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心血管系统疾病专业质控指标体系（三级医院）：急性STEMI患者出院后30天内非计划再入院率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心血管系统疾病专业质控指标体系（三级医院）：非ST段抬高型急性冠脉综合征患者危险分层完成率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心血管系统疾病专业质控指标体系（三级医院）：单纯冠状动脉旁路移植术住院死亡率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心血管系统疾病专业质控指标体系（三级医院）：单纯冠状动脉旁路移植术后机械通气时间大于等于24小时发生率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心血管系统疾病专业质控指标体系（三级医院）：单纯冠状动脉旁路移植术后胸骨深部感染发生率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心血管系统疾病专业质控指标体系（三级医院）：单纯冠状动脉旁路移植术后脑卒中发生率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心血管系统疾病专业质控指标体系（三级医院）：单纯冠状动脉旁路移植术非计划二次手术率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心血管系统疾病专业质控指标体系（三级医院）：单纯冠状动脉旁路移植术后急性肾衰竭发生率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心血管系统疾病专业质控指标体系（三级医院）：单纯冠状动脉旁路移植术前24小时β受体阻滞剂使用率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心血管系统疾病专业质控指标体系（三级医院）：单纯冠状动脉旁路移植术围术期输血率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心血管系统疾病专业质控指标体系（三级医院）：纯冠状动脉旁路移植术中乳内动脉血管桥使用率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心血管系统疾病专业质控指标体系（三级医院）：单纯冠状动脉旁路移植术后24小时内阿司匹林使用率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心血管系统疾病专业质控指标体系（三级医院）：单纯冠状动脉旁路移植术出院他汀类药物使用率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心血管系统疾病专业质控指标体系（三级医院）：单纯冠状动脉旁路移植术出院阿司匹林使用率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心血管系统疾病专业质控指标体系（三级医院）：单纯冠状动脉旁路移植术出院β受体阻滞剂使用率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心血管系统疾病专业质控指标体系（三级医院）：二尖瓣手术住院死亡率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心血管系统疾病专业质控指标体系（三级医院）：二尖瓣手术后机械通气时间大于等于24小时发生率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心血管系统疾病专业质控指标体系（三级医院）：二尖瓣手术后胸骨深部感染发生率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心血管系统疾病专业质控指标体系（三级医院）：二尖瓣手术后脑卒中发生率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心血管系统疾病专业质控指标体系（三级医院）：二尖瓣手术非计划二次手术率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心血管系统疾病专业质控指标体系（三级医院）：二尖瓣手术后急性肾衰竭发生率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心血管系统疾病专业质控指标体系（三级医院）：因退行性病变导致二尖瓣关闭不全的患者二尖瓣修复术治疗率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心血管系统疾病专业质控指标体系（三级医院）：二尖瓣手术出院抗凝药物使用率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心血管系统疾病专业质控指标体系（三级医院）：二尖瓣手术术中经食道超声使用率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心血管系统疾病专业质控指标体系（三级医院）：主动脉瓣手术住院死亡率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心血管系统疾病专业质控指标体系（三级医院）：主动脉瓣手术后机械通气时间大于等于24小时发生率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心血管系统疾病专业质控指标体系（三级医院）：主动脉瓣手术后胸骨深部感染发生率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心血管系统疾病专业质控指标体系（三级医院）：主动脉瓣手术后脑卒中发生率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心血管系统疾病专业质控指标体系（三级医院）：主动脉瓣手术非计划二次手术率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心血管系统疾病专业质控指标体系（三级医院）：主动脉瓣手术后急性肾衰竭发生率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心血管系统疾病专业质控指标体系（三级医院）：主动脉瓣手术出院抗凝药物使用率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心血管系统疾病专业质控指标体系（三级医院）：主动脉瓣手术术中经食道超声使用率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心血管系统疾病专业质控指标体系（三级医院）：主动脉瓣置换术人工瓣有效瓣膜面积指数大于0.85cm2/m2发生率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心血管系统疾病专业质控指标体系（三级医院）：主动脉腔内修复术住院死亡率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心血管系统疾病专业质控指标体系（三级医院）：主动脉腔内修复术后机械通气时间大于等于24小时发生率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心血管系统疾病专业质控指标体系（三级医院）：主动脉腔内修复术非计划二次手术率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心血管系统疾病专业质控指标体系（三级医院）：主动脉腔内修复术后内漏发生率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心血管系统疾病专业质控指标体系（三级医院）：主动脉腔内修复术后脑卒中发生率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心血管系统疾病专业质控指标体系（三级医院）：主动脉腔内修复术后急性肾衰竭发生率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心血管系统疾病专业质控指标体系（三级医院）：主动脉腔内修复术后脊髓损伤发生率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心血管系统疾病专业质控指标体系（三级医院）：主动脉腔内修复术后心肌梗死发生率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心血管系统疾病专业质控指标体系（三级医院）：主动脉腔内修复术30天内CTA复查率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心血管系统疾病专业质控指标体系（三级医院）：主动脉腔内修复术后30天随访率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心血管系统疾病专业质控指标体系（三级医院）：主动脉腔内修复术前β受体阻滞剂使用率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心血管系统疾病专业质控指标体系（三级医院）：主动脉腔内修复术前他汀类药物使用率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心血管系统疾病专业质控指标体系（三级医院）：心脏骤停患者复苏成功率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临床专科质控定制指标开发:药事管理专业指标体系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药事管理专业指标体系：药学专业技术人员占比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药事管理专业指标体系：每百张床位临床药师人数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药事管理专业指标体系：门诊处方审核率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药事管理专业指标体系：急诊处方审核率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药事管理专业指标体系：住院用药医嘱审核率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药事管理专业指标体系：静脉用药集中调配医嘱干预率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药事管理专业指标体系：门诊处方点评率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药事管理专业指标体系：门诊处方合格率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药事管理专业指标体系：住院患者药学监护率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药事管理专业指标体系：用药错误报告率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药事管理专业指标体系：严重或新的药品不良反应上报率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药事管理专业指标体系：住院患者抗菌药物使用率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药事管理专业指标体系：住院患者抗菌药物使用强度</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药事管理专业指标体系：住院患者特殊使用级抗菌药物使用量占比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药事管理专业指标体系：Ⅰ类切口手术抗菌药物预防使用率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药事管理专业指标体系：住院患者静脉输液使用率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药事管理专业指标体系：住院患者中药注射剂静脉输液使用率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药事管理专业指标体系：急诊患者糖皮质激素静脉输液使用率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药事管理专业指标体系：住院患者质子泵抑制药注射剂静脉使用率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临床专科质控定制指标开发:医学信息指标体系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医学信息指标体系：电子病历应用水平分级</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医学信息指标体系：电子病历完整性</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医学信息指标体系：电子健康卡使用率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医学信息指标体系：医保电子凭证使用率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医学信息指标体系：互联互通成熟度测评</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医学信息指标体系：临床决策支持系统应用率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医学信息指标体系：智慧服务应用率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医学信息指标体系：互联网医疗服务应用率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医学信息指标体系：检验检查结果互认率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医学信息指标体系：数据及时性</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医学信息指标体系：数据完整性</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医学信息指标体系：数据一致性</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医学信息指标体系：病案首页填报率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医学信息指标体系：数据安全管理制度</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医学信息指标体系：等保安全</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医学信息指标体系：密码评级</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医学信息指标体系：安全事件发生率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医学信息指标体系：信息化建设投入强度</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医学信息指标体系：关键设备国产化</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临床专科质控定制指标开发:门诊管理指标体系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门诊患者平均预约诊疗率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临床专科质控定制指标开发:病案管理指标体系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病案管理指标体系：住院病案管理人员月均负担出院患者病历数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病案管理指标体系：门诊病案管理人员月均负担门诊患者病历数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病案管理指标体系：病案编码人员月均负担出院患者病历数</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病案管理指标体系：入院记录24小时内完成率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病案管理指标体系：手术记录24小时内完成率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病案管理指标体系：出院记录24小时内完成率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病案管理指标体系：病案首页24小时内完成率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病案管理指标体系：CT/MRI检查记录符合率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病案管理指标体系：病理检查记录符合率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病案管理指标体系：细菌培养检查记录符合率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病案管理指标体系：抗菌药物使用记录符合率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病案管理指标体系：恶性肿瘤化学治疗记录符合率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病案管理指标体系：恶性肿瘤放射治疗记录符合率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病案管理指标体系：手术相关记录完整率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病案管理指标体系：植入物相关记录符合率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病案管理指标体系：临床用血相关记录符合率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病案管理指标体系：医师查房记录完整率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病案管理指标体系：患者抢救记录及时完成率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病案管理指标体系：出院患者病历2日归档率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病案管理指标体系：出院患者病历归档完整率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病案管理指标体系：主要诊断填写正确率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病案管理指标体系：主要诊断编码正确率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病案管理指标体系：主要手术填写正确率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病案管理指标体系：主要手术编码正确率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病案管理指标体系：不合理复制病历发生率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病案管理指标体系：知情同意书规范签署率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病案管理指标体系：甲级病历率</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临床专科质控定制指标开发:运营管理指标体系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运营效率指标:医疗服务收入（不含药品、耗材、检查检验收入）占医疗收入比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运营效率指标:万元收入能耗支出</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运营效率指标:人员支出占业务支出比重</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运营效率指标:门诊次均费用</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运营效率指标:门诊次均药品费用占比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运营效率指标:住院次均费用</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运营效率指标:住院次均药品费占比</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restart"/>
            <w:tcBorders>
              <w:top w:val="nil"/>
              <w:left w:val="single" w:color="auto" w:sz="4" w:space="0"/>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临床专科质控定制指标开发:远程医疗指标体系</w:t>
            </w: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远程医疗指标体系：远程会议室面积合计（平方米）</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远程医疗指标体系：提供远程诊疗服务总人次（人次）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远程医疗指标体系：接受远程诊疗服务总人次（人次）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远程医疗指标体系：提供远程多学科会诊例数（例）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远程医疗指标体系：提供远程病理诊断例数（例）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远程医疗指标体系：提供远程心电诊断例数（例）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远程医疗指标体系：提供远程超声诊断例数（例）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远程医疗指标体系：提供远程影像诊断（CT、MRI、CR、DR）例数（例）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远程医疗指标体系：提供远程胎心监测例数（例）</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远程医疗指标体系：互联网医院诊疗人次数（人次）</w:t>
            </w:r>
          </w:p>
        </w:tc>
      </w:tr>
      <w:tr>
        <w:tblPrEx>
          <w:tblLayout w:type="fixed"/>
          <w:tblCellMar>
            <w:top w:w="0" w:type="dxa"/>
            <w:left w:w="108" w:type="dxa"/>
            <w:bottom w:w="0" w:type="dxa"/>
            <w:right w:w="108" w:type="dxa"/>
          </w:tblCellMar>
        </w:tblPrEx>
        <w:trPr>
          <w:trHeight w:val="240" w:hRule="atLeast"/>
        </w:trPr>
        <w:tc>
          <w:tcPr>
            <w:tcW w:w="84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76"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134" w:type="dxa"/>
            <w:tcBorders>
              <w:top w:val="nil"/>
              <w:left w:val="nil"/>
              <w:bottom w:val="single" w:color="auto" w:sz="4" w:space="0"/>
              <w:right w:val="single" w:color="auto" w:sz="4" w:space="0"/>
            </w:tcBorders>
            <w:shd w:val="clear" w:color="000000" w:fill="FFFFFF"/>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w:t>
            </w:r>
          </w:p>
        </w:tc>
        <w:tc>
          <w:tcPr>
            <w:tcW w:w="390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远程医疗指标体系：互联网+护理诊疗人次数（人次）</w:t>
            </w:r>
          </w:p>
        </w:tc>
      </w:tr>
    </w:tbl>
    <w:p>
      <w:pPr>
        <w:rPr>
          <w:rFonts w:hint="eastAsia"/>
          <w:color w:val="000000" w:themeColor="text1"/>
          <w:highlight w:val="none"/>
          <w14:textFill>
            <w14:solidFill>
              <w14:schemeClr w14:val="tx1"/>
            </w14:solidFill>
          </w14:textFill>
        </w:rPr>
        <w:sectPr>
          <w:headerReference r:id="rId5" w:type="first"/>
          <w:footerReference r:id="rId8" w:type="first"/>
          <w:headerReference r:id="rId3" w:type="default"/>
          <w:footerReference r:id="rId6" w:type="default"/>
          <w:headerReference r:id="rId4" w:type="even"/>
          <w:footerReference r:id="rId7" w:type="even"/>
          <w:pgSz w:w="11907" w:h="16840"/>
          <w:pgMar w:top="1440" w:right="1803" w:bottom="1440" w:left="1803" w:header="851" w:footer="992" w:gutter="0"/>
          <w:pgNumType w:fmt="decimal" w:start="1"/>
          <w:cols w:space="720" w:num="1"/>
          <w:docGrid w:linePitch="326" w:charSpace="0"/>
        </w:sectPr>
      </w:pPr>
    </w:p>
    <w:bookmarkEnd w:id="4"/>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5" w:name="_Toc205895472"/>
      <w:bookmarkStart w:id="6" w:name="_Toc208484023"/>
      <w:bookmarkStart w:id="7" w:name="OLE_LINK66"/>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1.3.2 </w:t>
      </w:r>
      <w:r>
        <w:rPr>
          <w:rFonts w:hint="eastAsia" w:ascii="方正仿宋_GB2312" w:hAnsi="方正仿宋_GB2312" w:eastAsia="方正仿宋_GB2312" w:cs="方正仿宋_GB2312"/>
          <w:color w:val="000000" w:themeColor="text1"/>
          <w:highlight w:val="none"/>
          <w14:textFill>
            <w14:solidFill>
              <w14:schemeClr w14:val="tx1"/>
            </w14:solidFill>
          </w14:textFill>
        </w:rPr>
        <w:t>医院患者主索引服务和多码协同应用</w:t>
      </w:r>
      <w:bookmarkEnd w:id="5"/>
      <w:bookmarkEnd w:id="6"/>
    </w:p>
    <w:bookmarkEnd w:id="7"/>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医疗机构患者主索引标准统一主要提供电子健康卡服务、跨域主索引服务、跨域认证服务、密码服务等功能。医疗机构通过分布式电子健康卡服务接入上级电子健康卡平台，并与院内患者档案管理系统进行交互。基于电子健康卡ID作为院内患者主索引，需要统一制定主索引匹配规则和标准，医院主索引体系遵循标准进行搭建。通过统一的患者主索引服务，支撑医疗机构患者就诊全场景，能够促进医疗机构患者就诊数据横向与纵向的互通。</w:t>
      </w:r>
    </w:p>
    <w:tbl>
      <w:tblPr>
        <w:tblStyle w:val="11"/>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
        <w:gridCol w:w="637"/>
        <w:gridCol w:w="1843"/>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序号</w:t>
            </w:r>
          </w:p>
        </w:tc>
        <w:tc>
          <w:tcPr>
            <w:tcW w:w="63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功能模块</w:t>
            </w:r>
          </w:p>
        </w:tc>
        <w:tc>
          <w:tcPr>
            <w:tcW w:w="1843"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功能子模块</w:t>
            </w:r>
          </w:p>
        </w:tc>
        <w:tc>
          <w:tcPr>
            <w:tcW w:w="552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功能描述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一</w:t>
            </w:r>
          </w:p>
        </w:tc>
        <w:tc>
          <w:tcPr>
            <w:tcW w:w="8008" w:type="dxa"/>
            <w:gridSpan w:val="3"/>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bookmarkStart w:id="8" w:name="OLE_LINK70"/>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医院节点电子健康卡主索引服务系统</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w:t>
            </w:r>
          </w:p>
        </w:tc>
        <w:tc>
          <w:tcPr>
            <w:tcW w:w="637"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统一索引管理</w:t>
            </w: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索引管理-支持按证件类型进行搜索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在页面加载过程中，证件类型作为查询条件，查询加载证件类型信息，用户只需要通过下拉就可以选择证件类型，进行搜索同一个类型的索引信息。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索引管理-支持通过证件号码进行搜索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管理员可以此条件搜索此证件号码的所对应索引信息。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索引管理-支持姓名进行搜索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管理员可以此条件搜索此姓名的所对应索引信息。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索引管理-支持主索引ID进行搜索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管理员可以此条件搜索主索引ID的所对应索引信息。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索引管理-支持选择机构进行搜索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在页面加载的过程中，会加载系统里所支持的机构信息，按机构名进行排序，管理员可以选择查询机构所对应的索引信息。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索引管理-支持选择认证类型进行搜索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在页面加载的过程中，系统会自动加载认证类型信息，可以选择认证类型所对应的索引信息。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索引管理-支持选择业务系统类型进行搜索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在页面加载的过程中，系统会自动加载业务系统列表信息，可以选择业务系统所对应的索引信息。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索引管理-支持选择注册类型进行搜索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在页面加载的过程中，系统会自动加载注册类型列表信息，可以选择注册类型所对应的索引信息。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相似索引管理-预览相似索引</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管理员点击预览按钮，系统会自动查询两个相似的索引信息，对于每个重要属性进行对比，并且提示相似部分的信息。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相似索引管理-删除相似索引</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如果此相似索引，不需要做任何处理，可以删除此相似索引信息。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相似索引管理-索引1合并2</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管理员可以操作决定，从索引1合并索引2，也就是说用索引2作为主索引，索引1下的信息都会绑定索引2信息下。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相似索引管理-索引2合并索引1</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管理员可以操作决定，从索引2合并索引1，也就是说用索引1作为主索引，索引2下的信息都会绑定索引1信息下。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合并索引管理-支持姓名查询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通过姓名查询所对应的索引信息。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合并索引管理-操作搜索的索引作为主索引</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在合并索引管理的过程中，需要首先查询出来相应的索引，然后选择此索引作为主索引，待查义出来一个索引信息进行合并。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合并索引管理-主索引合并</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在前面查询出来相应的主索引，选择作为主索引之后，再查询一个索引信息，操作进行主索引合并，再查询出来索引信息合并到前面选择作为主索引信息的索引信息之上。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合并索引管理-支持手机号码查询索引信息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管理员可以输入手机号码查询索引信息。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合并索引管理-支持选择机构进行搜索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在页面加载的过程中，会加载系统里所支持的机构信息，按机构名进行排序，管理员可以选择查询机构所对应的索引信息。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合并索引管理-支持通过证件号码进行搜索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管理员可以此条件搜索此证件号码的所对应索引信息。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合并索引管理-支持按证件类型进行搜索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在页面加载过程中，证件类型作为查询条件，查询加载证件类型信息，用户只需要通过下拉就可以选择证件类型，进行搜索同一个类型的索引信息。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合并索引管理-支持卡号进行搜索索引信息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管理员可以输入卡号，查询所对应的索引信息。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拆分索引-支持主索引ID进行搜索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管理员可以此条件搜索主索引ID的所对应索引信息。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拆分索引-支持按证件类型进行搜索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在页面加载过程中，证件类型作为查询条件，查询加载证件类型信息，用户只需要通过下拉就可以选择证件类型，进行搜索同一个类型的索引信息。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拆分索引-支持姓名查询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通过姓名查询所对应的索引信息。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拆分索引-支持通过证件号码进行搜索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管理员可以此条件搜索此证件号码的所对应索引信息。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拆分索引-点击索引ID查阅索引信息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在查询出来索引信息列表，点击索引ID，可以查询完整的索引信息，包含证件信息、用户基本信息、电话列表信息、地址列表信息、绑定的卡号信息列表。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拆分索引-拆分索引功能</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点击查询出来的合并索引列表信息，点击拆分按钮，可以对合并过的索引信息进行拆分。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省市县区信息管理-支持编码信息查询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管理员可以输入区域的编码信息查询区域编码信息。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省市县区信息管理-支持区域名称查询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管理员可以输入区域名称查询区域编码信息。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省市县区信息管理-支持输入上级区域编码信息查询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区域编码信息存在上下级关系，管理员可以输入上级编码信息，可以查询所管辖区域的所有区域编码信息。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待授权信息管理-支持授权ID查询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管理员可以通过授权ID进行查询授权信息，查阅相应的授权状态等信息。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待授权信息管理-支持创建时间查询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管理员可以输入一个模糊的创建时间，查询所指定模糊时间的授权请求信息。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待授权信息管理-支持更新时间区间段查询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管理员可以选择一个更新时间区间段查询这段时间的授权请求信息。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待授权信息管理-支持请求手机号码查询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管理员可以输入一个手机号码查询此号码所发起的授权请求信息。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待授权信息管理-修改授权请求信息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管理员可以修改授权请求信息，实现特定的授权请求信息操作。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待授权信息管理-删除授权请求信息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对于不需要授权请求信息，管理员可以删除相应的请求信息操作。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卡片管理-支持卡片ID查询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管理员可以输入卡片UID值查询所对应的卡片信息。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卡片管理-支持创建时间查询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管理员可以输入一个模糊的创建时间，查询所指定模糊时间的卡片信息。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卡片管理-支持更新时间区间段查询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管理员可以选择一个更新时间区间段查询这段时间的卡片信息。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卡片管理-支持卡片类型查询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在页面加载的时候，会自动系统所支持卡片类型信息，管理员可以选择卡片类查询所对应的卡片信息。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卡片管理-支持选择机构进行搜索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在页面加载的过程中，会加载系统里所支持的机构信息，按机构名进行排序，管理员可以选择机构，查询机构所对对应的卡片信息列表。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卡片管理-支持查询主卡信息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卡片信息管理，支持机构多张就诊卡，可以指定哪张就诊卡是主就诊卡信息，便于医疗机构的电子病历向主就诊卡进行归集。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卡片管理-复制卡片信息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管理员可以使用些复制功能，可以快速带入前面的卡片信息，可以修改部分信息，快速创建一个卡片信息。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卡片管理-修改卡片信息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管理员可以通过此功能修改卡片信息。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卡片管理-删除卡片信息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管理员可能通过此功能删除不需要的卡片信息。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字典管理-支持字典类型查询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管理员可以通过字典类型，查询出来所对应的字典信息。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字典管理-新增字典信息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管理员可以通过此功能增加相应的字典信息。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字典管理-复制字典信息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管理员可以使用些复制功能，可以快速带入前面的字典信息，可以修改部分信息，快速创建一个字典信息。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字典管理-修改字典信息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管理员可以通过此功能修改字典信息。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字典管理-删除字典信息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管理员可能通过此功能删除不需要的字典信息。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日志管理-支持应用ID查询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管理员可以通过输入业务系统的APPID，查询所对应的日志信息，便于排查对接过程中的问题。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日志管理-支持创建时间查询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管理员可以输入一个模糊的创建时间，查询所指定模糊时间的日志信息。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日志管理-支持更新时间区间段查询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管理员可以选择一个更新时间区间段查询这段时间的日志信息。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日志管理-支持通过请求信息查询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管理员可以通过输入请求信息模糊查询所对应的日志信息，便于排查问题。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日志管理-支持通过响应信息查询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管理员可以根据业务系统接入所收到的响应信息，查询所对应的日志信息。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日志管理-支持服务URL查询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管理员可以输入服务URL信息查询所对应的日志信息。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日志管理-支持状态码查询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管理员可以输入系统所返回的状态码查询所对应的日志信息。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日志管理-支持更新时间区间段查询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管理员可以选择一个更新时间区间段查询这段时间的日志信息。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MQ待发消息查询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针对MQ系统暂时不能访问的情况下，系统内部为了保障系统正常运行，会记录下来此消息，此处主要提供查询服务，可以查看哪些信息当前没有发送出去。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机构管理-支持机构ID查询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管理员可以通过输入机构ID查询所对应的机构信息。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机构管理-支持创建时间查询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管理员可以输入一个模糊的创建时间，查询所指定模糊时间的机构信息。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机构管理-支持更新时间区间段查询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管理员可以选择一个更新时间区间段查询这段时间的机构信息。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机构管理-支持机构名称查询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管理员可以输入机构名称模糊查询所对应的机构信息。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机构管理-支持机构简称查询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管理员可以输入机构简称所对应的机构信息。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机构管理-复制机构信息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管理员可以使用些复制功能，可以快速带入前面的机构信息，可以修改部分信息，快速创建一个机构信息。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机构管理-修改机构功能</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管理员可以通过此功能修改机构信息。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机构管理-删除机构功能</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管理员可能通过此功能删除不需要的机构信息。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终端管理-支持终端ID查询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管理员可以输入终端ID查询所对应的终端信息。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终端管理-支持终端名称查询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管理员可以输入终端端名称查询所对应的终端信息。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终端管理-支持应用系统查询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在页面加载的过程中，系统会自动加载所有应用系统信息，管理员可以选择应用系统，查询出应用系统所对应的终端信息。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终端管理-复制终端信息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管理员可以使用些复制功能，可以快速带入前面的终端信息，可以修改部分信息，快速创建一个终端信息。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终端管理-修改终端信息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管理员可以通过此功能修改终端信息。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终端管理-删除终端信息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管理员可能通过此功能删除不需要的终端信息。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发送消息日志查询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对于发送给业务系统订阅消息的，需要对发送的信息进行相应的记录，提供按时间，业务系统名称等条件进行筛选相应的发送消息日志，便于系统管理员对业务系统接受消息的情况进行审计确认。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待处理发送消息查询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业务系统接受消息失败的情况下，跨域主索引会自动记录信息成为待处理发送消息，以便延后进行再次发送给业务系统，确认信息准确发送给业务系统，提供给系统管理员查询正在要发送给业务系统的消息，筛选条件支持新增时间，消息类型，订阅系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订阅系统管理</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跨域主索引注册、更新、合并、拆分等情况下，系统会发送消息给业务系统，以便各个业务系统对数据进行同步更新，此管理服务主要用于设置有哪些业务系统订阅系统，新增订阅业务系统，更新订阅业务系统，屏蔽订阅业务系统等，此管理服务支持设置订阅系统订阅哪些类型订阅消息，同时提供筛选条件包括接入系统，接收地址等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索引总览</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作为管理员掌握电子健康卡跨域主索引系统整体的运行情况，总览包括统计系统中的总量，近一周7天索引注册趋势，索引注册证件类型对比等。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业务系统信息管理-支持应用ID查询应用系统信息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管理员可以输入应用ID查询应用系统信息。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业务系统信息管理-支持应用名称查询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管理员可以输入应用名称查询接入应用系统信息。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业务系统信息管理-支持应用系统状态查询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管理员可以选择应用状态信息，查询出所对应的应用系统信息列表。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业务系统信息管理-复制业务系统信息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管理员可以使用些复制功能，可以快速带入前面的应用系统信息，可以修改部分信息，快速创建一个应用系统信息。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业务系统信息管理-修改业务系统信息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管理员可以通过此功能修改应用系统信息。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业务系统信息管理-删除业务系统信息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管理员可能通过此功能删除不需要的应用系统信息。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83</w:t>
            </w:r>
          </w:p>
        </w:tc>
        <w:tc>
          <w:tcPr>
            <w:tcW w:w="637"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认证授权</w:t>
            </w: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认证授权客户端管理-支持客户端备案ID查询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管理员可以输入国家网络身份认证平台所分配的备案ID查询客户端认证授权信息。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认证授权客户端管理-支持公安机构ID查询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在客户端向国家网络身份认证平台进行备案的情况下，会对此应用分配所对应机构ID，可以通过此机构ID查询客户端信息。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认证授权客户端管理-支持应用状态查询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在页面加载的过程中，系统自动加客户端应用状态信息，管理员可以选择应用督导员，查询所对应的授权客户端信息列表。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实名认证等级管理-增加认证等级参数</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选择相应的认证等级，配置相应的认证参数。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实名认证等级管理-复制认证等级参数</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管理员可以使用些复制功能，可以快速带入前面的应用系统信息，可以修改部分信息，快速创建一个应用系统信息。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实名认证等级管理-修改认证等级参数</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管理员可以通过此功能修改认证等级参数信息。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实名认证等级管理-删除认证等级参数</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管理员可能通过此功能删除不需要的认证等级参数信息。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认证授权规则管理-支持业务场景查询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管理员可以通过选择业务场景查询所对应的认证规则信息。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认证授权规则管理-支持认证类型查询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管理员可以选择认证类型查询所对应的认证规则信息。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认证授权规则管理-支持客户端查询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管理可以通过选择客户端查询所对应的认证规则信息。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认证授权规则管理-支持认证渠道查询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管理员可以选择认证渠道查询所对应的认证规则信息。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认证授权规则管理-复制认证规则信息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管理员可以使用些复制功能，可以快速带入前面的认证规则信息，可以修改部分信息，快速创建一个认证规则信息。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认证授权规则管理-修改认证规则信息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管理员可以通过此功能修改认证规则信息。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认证授权规则管理-删除认证规则信息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管理员可能通过此功能删除不需要的认证规则信息。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认证渠道管理-支持通过渠道名称进行搜索</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管理可以输入渠道名搜索所对应的渠道信息。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认证渠道管理-复制认证规则信息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管理员可以使用些复制功能，可以快速带入前面的认证规则信息，可以修改部分信息，快速创建一个认证规则信息。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认证渠道管理-修改认证规则信息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管理员可以通过此功能修改认证规则信息。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认证渠道管理-删除认证规则信息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管理员可能通过此功能删除不需要的认证规则信息。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向省平台进行日志信息同步-读取日志上传的接口信息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从配置文件或从数据库读取相应的配置信息，系统将加载这些信息进行日志信息上传。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向省平台进行日志信息同步-请求信息的签名服务</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根据上级电子健康卡跨域主索引服务系系统接接口文档，对请求信息进行签名，防止数据被篡改。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向省平台进行日志信息同步-请求信息的加解密服务</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根据上级电子健康卡跨域主索引服务系系统接接口文档，对请求信息进行加解密，防止数据被泄漏。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104</w:t>
            </w:r>
          </w:p>
        </w:tc>
        <w:tc>
          <w:tcPr>
            <w:tcW w:w="637"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医院电子健康卡跨域主索引数据大屏展示</w:t>
            </w: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索引总量</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统计系统里面所有索引数据总量。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索引服务总量</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统计系统进行索引服务的数据总量。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昨天注册量</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统计昨天主索引注册的有多少个主索引数据。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昨天服务量</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统计昨天系统有提供了多少服务次数。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监测服务状态</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监测系统最近10次的服务状态。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多码协同的各种码使用量</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统计系统里的各种所有码的使用量进行对比。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近12个月的注册量趋势</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统计系统里近12个月的索引注册量数据，生成相应的趋势图。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近12月系统服务量趋势</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统计系统里近12个月的索引服务量数据，生成相应的趋势图。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分年龄段对比索引用户数据</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按年龄段统计索引注册量，进行对比年龄段的分布。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认证授权的场景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根据所设置的场景，对比各个场景使用认证授权的数据量，掌握各个场景的使用。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近7天的索引注册量</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统计索引近7天的注册量，生成相应的趋势图。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近7天的索引服务量</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统计索引近7天的服务量，生成相应的趋势图。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统计各个业务系统应的使用量</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统计各个业务系统应用的使用索引的数据量，生成相应的排行榜。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w:t>
            </w:r>
          </w:p>
        </w:tc>
        <w:tc>
          <w:tcPr>
            <w:tcW w:w="8008" w:type="dxa"/>
            <w:gridSpan w:val="3"/>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医院节点电子健康卡管理系统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117</w:t>
            </w:r>
          </w:p>
        </w:tc>
        <w:tc>
          <w:tcPr>
            <w:tcW w:w="637" w:type="dxa"/>
            <w:vMerge w:val="restart"/>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应用授权管理</w:t>
            </w: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机构信息管理-机构信息管理列表</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应用管理系统提供接入机构信息管理功能，登记接入机构的编号、组织机构代码、机构名称、机构类别、机构性质、机构接入日期等相关信息，同时具备接入机构信息登记、变更、注销、黑名单管理等功能。电子健康卡应用管理系统可通过多种方式来保证接入机构的接入安全，如采用密钥认证、内容加密等。</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应用管理系统对接入机构进行管理：机构通过前置系统接入到电子健康卡管理信息系统。建立系统访问控制，对合法的接入机构开放服务。接入机构的终端上申请账户的软件应满足电子健康卡应用管理系统的各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机构信息管理-新增机构信息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电子健康卡机构信息登记及管理功能。医疗卫生机构部署机构终端用于申请二维码，登记接入机构的编号、名称、机构性质等相关信息。医疗卫生机构接入电子健康卡管理信息系统也一并纳入电子健康卡API授权管理机制，医疗机构提供机构名称、机构性质、应用系统名称等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机构信息管理-编辑机构信息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系统提供已接入机构信息变更的功能。系统管理人员可修改本机构注册的基本信息，包括医院名称、医院类型、医院等级、医院地址、联系电话等，可对所有已接入本系统的医疗机构信息进行修改和更新。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机构信息管理-查询机构信息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系统提供已接入机构信息查询的功能。系统管理人员可查询接入医院基础信息，包括医院编号、医院名称、医院类型、接入时间等，对本系统权限范围内的所有已接入医疗机构的内容进行查询查看。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机构信息管理-删除机构信息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医疗机构退出的功能。当医疗机构出现违规或其他变化时，卫健委可直接中止与该医疗机构的合作关系，通过在系统上注销该机构的注册信息，中断电子健康卡二维码验证服务，系统端也不再提供任何与电子健康卡相关的业务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机构信息管理-机构黑名单设置</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机构黑名单管理功能，用于封堵因网络攻击、接入合规性、健康卡使用合规性的管理，针对实际情况下需要临时停用或封堵的机构进行黑名单设置，进入黑名单的机构则此机构下所有应用均无法正常使用系统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机构信息管理-机构信息导入</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新增医疗机构信息批量导入功能。系统管理人员可通过下载医疗机构信息模板，填写完善医院名称、医院类型、医院等级、医院地址、联系电话等信息后，在后台点击上传Excel表格，批量导入医疗机构信息，快速实现医疗机构的基础数据初始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应用管理-应用管理列表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应用管理系统提供应用（客户端应用软件，含APP、微信小程序、支付宝小程序、微信公众号、支付宝生活号等）信息管理功能，登记应用的名称等相关信息，同时对接入电子健康卡的应用进行信息登记、查询、变更、注销管理。电子健康卡应用管理系统可通过采用多种方式来保证应用的接入安全，如采用摘要认证方式、数据内容加密等。</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电子健康卡应用管理系统对接入电子健康卡系统的应用进行管理：建立系统访问控制，对合法的应用开放服务。对于合法的应用，提供电子健康卡注册和展码功能。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应用管理-新增应用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移动应用接入电子健康卡系统的注册登记功能。医疗机构的应用、卫健委的区域应用、以及其他第三方渠道的所有应用均需要在卡管系统上进行注册登记，注册登记信息包括：应用所属机构名称、应用名称、应用应用范围等各类应用关键信息，完成注册并生成注册登记编号，从而对数目繁多的电子健康卡应用接入渠道进行统一的认证和监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应用管理-编辑应用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移动应用应用接入信息变更功能。系统管理人员可以对修改已接入应用的基础信息，包括医院名称、应用名称、应用类型、应用状态、联系人、联系电话等，对此机构内接入电子健康卡系统的应用进行数据更新和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应用管理-查询应用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移动应用应用接入信息查询功能。系统管理人员可根据特定维度筛选条件，筛选过滤特定应用，并形成可视化列表，供管理人员查询，具体可查询所有已接入的移动应用渠道信息，包括机构名称、机构编码、应用编号、特征码、状态、授权时间等，并且可以按照创建时间、应用状态、应用名称不同的查询条件，进行查看查询。方便管理人员了解应用接入全貌，方便管理人员有效管控电子健康卡接入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应用管理-删除应用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已注册移动应用渠道注销的功能。当医疗机构的应用应用不再提供服务时，则可对此机构已经注册的应用进行注销，注销后应用将不再允许访问电子健康卡管理信息系统，该功能能够方便电子健康卡卡管系统对所有接入应用的运行状态进行有效的监测和统计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应用管理-一键状态启停</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针对各类应用的启停状态访问控制功能。通过严格的访问控制规则来确保只有指定的应用应用方能与电子健康卡管理信息系统建立连接服务，并建立启停状态机制，完全封堵已停用应用的访问。并且可根据实际情况需要，设置临时禁用，提高电子健康卡系统权限管理灵活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应用管理-应用终端关联跳转</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系统提供应用与终端一对多的关联关系维护功能。实现由应用直接关联跳转至应用对应终端的维护功能界面。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应用管理-应用权限配置</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系统支持管理员对接入的应用接口访问权限进行配置，根据接入应用的功能要求及权限要求，以限制对特定接口的访问。以保证对每个应用及每类接口进行精细的权限管理，提高接口访问的安全性。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应用管理-应用信息导入</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新增应用信息批量导入功能。系统管理人员可通过下载应用信息接入模板，填写完善应用所属机构名称、应用名称、应用应用范围等各类应用关键信息后，在后台点击上传Excel表格，批量导入应用信息，快速实现应用信息的基础数据初始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应用管理-应用信息导出</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系统提供新增应用信息批量导出功能。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终端管理-终端管理列表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应用管理系统提供识读终端信息管理功能，接入机构的识读终端需要登记终端基本信息包含：识读终端的编号、所属机构等相关信息进行注册登记功能。登记的识读终端包括扫码枪、扫码墩、带扫码功能的自助服务终端等设备，设备登记信息包含：终端编号、应用名称、应用编号、医院名称、医院编号、渠道类型、终端状态、接入时间等，同时可以对识读终端信息进行管理包含：信息修改、信息删除、信息批量导入等功能。</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识读终端通过接入机构的前置系统接入电子健康卡应用管理系统时，接入机构应向电子健康卡应用管理机构上送其识读终端的相关信息。接入机构应对采取有效方式对终端进行认证，保障识读终端接入的安全性。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终端管理-新增终端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识读终端信息登记及管理功能。为确保电子健康卡二维码识读安全，统一登记备案医疗卫生机构接入系统的识读终端都需将机构和设备信息统一上传登记备案，系统通过备案登记认证方能生成授权终端号，完成备案识读终端的相关信息。具体信息包括识读终端所属机构、识读终端编号、识读终端名称、识读终端状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终端管理-编辑终端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识读终端信息变更功能。系统管理人员可以对修改已接入本系统所有机构的识读终端信息，包括关联机构名称、应用名称、终端名称、终端用途、终端接入时间等，对此机构内接入电子健康卡系统的应用进行数据更新和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终端管理-查询终端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识读终端信息查询的功能。系统管理人员可查询已接入本系统所有机构的识读终端信息，包括关联机构名称、应用名称、终端名称、终端用途、终端接入时间等，对本系统权限范围内的所有已接入、已停用的识读终端，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终端管理-删除终端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系统提供识读终端退出功能。当识读终端出现故障或其他问题时，平台管理人员可直接取消该终端的接入授权，并根据新的终端重新注册信息，保证电子健康卡二维码识读终端更换的灵活性和便捷性。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终端管理-一键状态启停</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针对各类终端的启停状态访问控制功能。通过严格的访问控制规则来确保只有指定的识读终端方能与电子健康卡管理信息系统建立连接服务，并建立启停状态机制，完全封堵已停用终端的访问。并且可根据实际情况需要，设置临时禁用，提高电子健康卡系统权限管理灵活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终端管理-终端导入</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新增应用信息批量导入功能。系统管理人员可通过下载应用信息接入模板，填写关联机构名称、应用名称、终端名称、终端用途、终端接入时间等后，在后台点击上传Excel表格，批量导入终端信息，快速实现识读终端的基础数据初始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141</w:t>
            </w:r>
          </w:p>
        </w:tc>
        <w:tc>
          <w:tcPr>
            <w:tcW w:w="637"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电子健康卡配置管理</w:t>
            </w: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字典表管理-字典列表</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基础数据字典的维护功能。此功能提供一个界面，系统管理员可以在此查看所有已创建的字典条目。列表中将展示每个字典的基本信息，如字典名称、登记时间、更新时间等，以便系统管理员能够快速了解当前系统中字典的整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字典表管理-新增字典</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字典新增功能。此功能允许系统管理员创建新的字典条目。系统管理员需要输入字典的相关信息，包括但不限于字典类型、字典名称、字典值等。系统在验证信息无误后，将新字典添加到字典列表中，并保存至数据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字典表管理-编辑字典</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字典编辑功能。为系统管理员提供修改现有字典信息的能力。系统管理员可以选择一个字典条目进行编辑，更改其字典名称、字典值或其他相关属性。编辑完成后，系统会更新数据库中的相应记录，确保字典信息的准确性和时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字典表管理-查询字典</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提供字典的查询功能。支持系统管理员通过多种条件查询特定的字典条目，如按字典类型、字典名称、字典值等。此功能旨在帮助系统管理员快速定位所需的信息，提高工作效率。查询结果将以列表形式展示，方便系统管理员浏览和进一步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字典表管理-删除字典</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允许系统管理员从系统中移除不再需要的字典条目。在执行删除操作前，系统会提示系统管理员确认，以防止误操作导致的数据丢失。一旦确认，该字典及其相关信息将被永久删除，不再出现在字典列表中。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字典表管理-一键状态启停</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一种快捷方式，让系统管理员能够快速改变单个字典的状态，即启用或禁用。如在维护期间临时禁用某些字典，或在完成维护后重新启用它们。操作简便，只需选择目标字典并点击相应的按钮即可完成状态切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Param公共参数管理-公共参数列表</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系统管理员可以在此查看所有已定义的公共参数。列表中将展示每个参数的基本信息，如参数键、参数值、备注、创建时间、更新时间等，以便系统管理员能够快速了解当前系统中公共参数的整体情况。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Param公共参数管理-新增公共参数</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创建新的公共参数条目。系统管理员需要输入参数的相关信息，包括但不限于参数键、参数值、备注、创建时间、更新时间等。系统在验证信息无误后，将新参数添加到公共参数列表中，并保存至数据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Param公共参数管理-编辑公共参数</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系统管理员提供修改现有公共参数信息的能力。系统管理员可以选择一个参数条目进行编辑，更改其参数键、参数值、备注或其他相关属性。编辑完成后，系统会更新数据库中的相应记录，确保公共参数信息的准确性和时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Param公共参数管理-查询公共参数</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支持系统管理员通过多种条件查询特定的公共参数条目，如按参数键、参数值、状态等。查询结果以列表形式展示。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Param公共参数管理-删除公共参数</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允许系统管理员从系统中移除不再需要的公共参数条目。在执行删除操作前，系统会提示操作确认，以防止误操作导致的数据丢失。一旦确认，该参数及其相关信息将被永久删除，不再出现在公共参数列表中。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Param公共参数管理-一键状态启停</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提供一种快捷方式，让用户能够快速改变共参数的状态，即启用或禁用。如在维护期间临时禁用某些参数，或在完成维护后重新启用它们。操作简便，只需选择目标参数并点击相应的按钮即可完成状态切换。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Properties机构个性化属性管理-机构个性化属性列表</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所有已定义的机构个性化属性。列表中将展示每个属性的基本信息，如属性配置名称、属性配置值、机构编号、机构名称、应用编号、应用名称等，以便系统管理员能够快速了解当前系统中个性化属性的整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Properties机构个性化属性管理-新增属性</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创建新的机构个性化属性条目。系统管理员需要输入属性的相关信息，包括但不限于属性配置名称、属性配置值、机构编号、机构名称、应用编号、应用名称等。系统在验证信息无误后，将新属性添加到属性列表中，并保存至数据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Properties机构个性化属性管理-编辑属性</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系统管理员提供修改现有机构个性化属性信息的能力。系统管理员可以选择一个属性条目进行编辑，更改其属性配置名称、属性配置值、机构编号、机构名称、应用编号、应用名称等相关内容。编辑完成后，系统会更新数据库中的相应记录，确保个性化属性信息的准确性和时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Properties机构个性化属性管理-查询属性</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支持系统管理员通过多种条件查询特定的机构个性化属性条目，如按属性配置名称、属性配置值、机构编号、机构名称、应用编号、应用名称、状态等。查询结果以列表形式展示。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Properties机构个性化属性管理-删除属性</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从系统中移除不再需要的机构个性化属性条目。在执行删除操作前，系统会提示系统管理员确认，以防止误操作导致的数据丢失。一旦确认，该属性及其相关信息将被永久删除，不再出现在属性列表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Properties机构个性化属性管理-一键状态启停</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提供一种快捷方式，让系统管理员能够快速改变机构个性化属性的状态，即启用或禁用。比如在维护期间临时禁用某些属性，或在完成维护后重新启用它们。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卡管节点信息管理-卡管节点列表</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所有已定义的卡管节点。列表中将展示每个节点的基本信息，如节点名称、节点ID、入网编码、上级节点名称、上级节点入网编码等信息，以便维护当前系统中卡管节点的整体情况。这些节点是电子健康卡建设管理的关键组成部分，用于确保国家电子健康卡应用监测系统的联通和上下级节点之间的信息同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卡管节点信息管理-新增节点</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创建新的卡管节点条目。系统管理员需要输入节点的相关信息，包括但不限于如节点名称、节点ID、入网编码、上级节点名称、上级节点入网编码等信息。系统在验证信息无误后，将新节点添加到节点列表中，并保存至数据库。这一功能对于扩展电子健康卡网络、增加新的管理节点至关重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卡管节点信息管理-编辑节点</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系统管理员提供修改现有卡管节点信息的能力。系统管理员可以选择一个节点条目进行编辑，更改其节点名称、节点ID、入网编码、上级节点名称、上级节点入网编码等信息。编辑完成后，系统会更新数据库中的相应记录，确保节点信息的准确性和时效性。这有助于系统管理员根据实际情况调整节点配置，优化电子健康卡的应用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卡管节点信息管理-查询节点</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支持系统管理员通过多种条件查询特定的卡管节点条目，如按入网编码、节点名称等。查询结果以列表形式展示。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卡管节点信息管理-删除节点</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从系统中移除不再需要的卡管节点条目。在执行删除操作前，系统会提示系统管理员确认，以防止误操作导致的数据丢失。一旦确认，该节点及其相关信息将被永久删除，不再出现在节点列表中。这一功能在必要时可用于清理无效或过时的节点，保持电子健康卡网络的整洁和高效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加密机信息管理-加密机信息列表</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所有已配置的加密机信息。列表中将展示每个加密机的基本信息，如加密机ID、卡管ID、唯一编码、型号信息等，以便系统管理员能够快速了解当前系统中加密机的整体情况。这有助于系统管理员监控和管理整个加密机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加密机信息管理-新增加密机</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添加新的加密机到系统中。系统管理员需要输入加密机的相关信息，包括但不限于加密机ID、卡管ID、唯一编码、型号、连接参数等。系统在验证信息无误后，将新加密机的信息添加到加密机信息列表中，并保存至数据库。这一功能对于扩展加密机网络、增加新的安全设备至关重要，确保系统的安全性得到增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加密机信息管理-编辑加密机</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系统管理员提供修改现有加密机信息的能力。系统管理员可以选择一个加密机条目进行编辑，更改其加密机ID、卡管ID、唯一编码、型号、连接参数等。编辑完成后，系统会更新数据库中的相应记录，确保加密机信息的准确性和时效性。这有助于系统管理员根据实际情况调整加密机配置，优化系统的安全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加密机信息管理-查询加密机</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支持系统管理员通过多种条件查询特定的加密机信息，如按卡管ID、唯一编码、型号等。查询结果以列表形式展示。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加密机信息管理-删除加密机</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从系统中移除不再需要的加密机信息。在执行删除操作前，系统会提示系统管理员确认，以防止误操作导致的数据丢失。一旦确认，该加密机及其相关信息将被永久删除，不再出现在加密机信息列表中。这一功能在必要时可用于清理无效或过时的加密机信息，保持系统信息的整洁和高效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跨域认证管理-跨域认证节点列表</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所有已配置的跨域认证节点。列表中将展示每个节点的基本信息，如节点名称、入网编码、应用编号、应用密钥、联网类型等，以便系统管理员能够快速了解当前系统中跨域认证节点的整体情况。这有助于系统管理员监控和管理整个跨域认证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跨域认证管理-新增跨域认证节点</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添加新的跨域认证节点到系统中。系统管理员需要输入节点的相关信息，包括但不限于节点名称、入网编码、应用编号、应用密钥、联网类型等。系统在验证信息无误后，将新节点的信息添加到跨域认证节点列表中，并保存至数据库。这一功能对于扩展跨域认证网络、增加新的认证节点至关重要，确保系统的跨域认证能力得到增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跨域认证管理-编辑跨域认证节点</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系统管理员提供修改现有跨域认证节点信息的能力。系统管理员可以选择一个节点条目进行编辑，更改其节点名称、入网编码、应用编号、应用密钥、联网类型等。编辑完成后，系统会更新数据库中的相应记录，确保节点信息的准确性和时效性。这有助于系统管理员根据实际情况调整节点配置，优化系统的跨域认证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跨域认证管理-审核跨域认证节点</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对新增或修改后的跨域认证节点进行审核。系统管理员可以查看待审核节点的详细信息，并决定是否批准其生效。审核通过后，节点将正式加入跨域认证网络；若审核不通过，则需返回修改。这一功能确保了跨域认证节点的合法性和安全性，防止未经验证的节点接入系统。审核功能主要是下级卡管节点通过接口形式登记注册的跨域认证节点信息的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跨域认证管理-查询跨域认证节点</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支持系统管理员通过多种条件查询特定的跨域认证节点信息，如按入网编码、节点名称进行查询。查询结果以列表形式展示。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跨域认证管理-删除跨域认证节点</w:t>
            </w:r>
          </w:p>
        </w:tc>
        <w:tc>
          <w:tcPr>
            <w:tcW w:w="5528"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从系统中移除不再需要的跨域认证节点信息。在执行删除操作前，系统会提示系统管理员确认，以防止误操作导致的数据丢失。一旦确认，该节点及其相关信息将被永久删除，不再出现在跨域认证节点列表中。这一功能在必要时可用于清理无效或过时的节点信息，保持系统信息的整洁和高效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175</w:t>
            </w:r>
          </w:p>
        </w:tc>
        <w:tc>
          <w:tcPr>
            <w:tcW w:w="637"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电子健康卡信息管理</w:t>
            </w: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电子健康卡信息管理-电子健康卡信息列表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所有已注册的电子健康卡信息。列表中将展示每张电子健康卡的基本信息，如健康卡ID、主索引ID、姓名、身份证号、发卡机构、发卡时间、状态等，并对姓名、身份证号、手机号进行脱敏处理，以便系统管理员能够快速了解当前系统中电子健康卡的整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电子健康卡信息管理-查询电子健康卡信息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支持系统管理员通过多种条件查询特定的电子健康卡信息，如按姓名、身份证号、健康卡ID、主索引ID、时间范围等。查询结果将以列表形式展示。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电子健康卡信息管理-编辑电子健康卡信息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系统管理员提供修改现有电子健康卡信息的能力。系统管理员可以选择一张电子健康卡进行编辑，更改其持卡人名族、手机号、家庭电话、住址等辅助信息。编辑完成后，系统会更新数据库中的相应记录，确保电子健康卡信息的准确性和时效性。这有助于系统管理员根据实际情况调整电子健康卡配置，优化系统的健康管理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电子健康卡信息管理-注销电子健康卡信息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允许系统管理员从系统中注销不再需要的电子健康卡信息。在执行注销操作前，系统会提示系统管理员确认，以防止误操作导致的数据丢失。一旦确认，该电子健康卡及其相关信息将被标记为注销状态。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电子健康卡信息管理-电子健康卡信息黑名单配置</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配置电子健康卡的黑名单。系统管理员可以将某些电子健康卡加入黑名单，这些卡将被禁止使用，通常是因为卡片遗失、被盗或存在其他安全风险。系统管理员可以通过输入卡号、持卡人信息等方式查询到需要设置黑名单的电子健康卡信息，并配置其为黑名单条目，并设置相应的拉黑说明。黑名单配置有助于增强系统的安全性，防止非法使用电子健康卡的情况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电子健康卡线上应用账户绑定关系管理-电子健康卡绑定关系列表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所有已建立的电子健康卡在线上第三方用户体系下的外部单点应用账户关系绑定。列表中将展示每条绑定关系的基本信息，如应用编号、渠道ID、默认渠道ID、健康卡ID、证件号、证件类型、姓名、关联时间等，以便系统管理员能够快速了解当前系统中电子健康卡与医疗账户之间的绑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电子健康卡线上应用账户绑定关系管理-编辑电子健康卡绑定关系</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系统管理员提供修改现有电子健康卡绑定关系的能力。系统管理员可以选择一条绑定关系进行编辑，更改其绑定的应用编号、渠道ID、默认渠道ID、健康卡ID等相关信息。这有助于系统管理员根据实际情况调整绑定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电子健康卡线上应用账户绑定关系管理-查询电子健康卡绑定关系</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通过多种条件查询特定的电子健康卡绑定关系，如按应用编号、渠道ID、默认渠道ID、健康卡ID、证件号、姓名等。此功能旨在帮助系统管理员快速定位所需的信息，提高工作效率。查询结果将以列表形式展示，方便系统管理员浏览和进一步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电子健康卡线上应用账户绑定关系管理-删除电子健康卡绑定关系</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从系统中移除不再需要的电子健康卡绑定关系。在执行删除操作前，系统会提示系统管理员确认，以防止误操作导致的数据丢失。一旦确认，该绑定关系及其相关信息将被永久删除，不再出现在绑定关系列表中。例如，当持卡人取消了与某个医疗账户的绑定，或者绑定关系存在错误时，系统管理员可以使用此功能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线上电子卡绑定关系-线上电子卡绑定关系列表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所有已建立的线上电子卡绑定关系。列表中将展示每条绑定关系的基本信息，如健康卡ID、主索引ID、证件号、卡号、关联状态、默认标识、关联时间等，以便系统管理员能够快速了解当前系统中线上电子卡与账户之间的绑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线上电子卡绑定关系-编辑线上电子卡绑定关系</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系统管理员提供修改现有线上电子卡绑定关系的能力。系统管理员可以选择一条绑定关系进行编辑，更改其绑定的卡号、默认标志、关联关系情况。例如，如果需要更换绑定的账户或调整绑定关系的状态（如从“正常关联”改为“取消关联”），系统管理员可以通过此功能进行操作。编辑完成后，系统会更新数据库中的相应记录，确保绑定关系信息的准确性和时效性。这有助于系统管理员根据实际情况调整绑定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线上电子卡绑定关系-查询线上电子卡绑定关系</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通过多种条件查询特定的线上电子卡绑定关系，如按健康卡ID、主索引ID、卡号、证件号等。此功能旨在帮助系统管理员快速定位所需的信息，提高工作效率。查询结果将以列表形式展示，方便系统管理员浏览和进一步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线上电子卡绑定关系-删除线上电子卡绑定关系</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从系统中移除不再需要的线上电子卡绑定关系。在执行删除操作前，系统会提示系统管理员确认，以防止误操作导致的数据丢失。一旦确认，该绑定关系及其相关信息将被永久删除，不再出现在绑定关系列表中。这一功能在必要时可用于清理无效或过期的绑定关系，保持系统信息的整洁和高效管理。例如，当持卡人取消了与某个账户的绑定，或者绑定关系存在错误时，系统管理员可以使用此功能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188</w:t>
            </w:r>
          </w:p>
        </w:tc>
        <w:tc>
          <w:tcPr>
            <w:tcW w:w="637"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电子健康卡日志管理</w:t>
            </w: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电子健康卡变更日志-电子健康卡变更日志列表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所有电子健康卡的变更记录。列表中将展示每条变更日志的基本信息，如应用编号、终端编号、外部变更流水号、变更时间、健康卡ID等。这有助于系统管理员全面了解电子健康卡在系统中的历史变更情况，便于追踪和审计。通过这个功能，系统管理员能够快速识别出任何异常变更或需要进一步审查的操作，确保系统的数据完整性和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电子健康卡变更日志-查询电子健康卡变更日志</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通过多种条件查询特定的电子健康卡变更日志，如按应用编号、健康卡ID、变更日期范围等。此功能旨在帮助系统管理员快速定位所需的信息，提高工作效率。查询结果将以列表形式展示，方便系统管理员浏览和进一步分析。这对于维护和监控电子健康卡的变更情况非常重要，特别是在进行问题排查、合规性检查或审计时，能够提供准确的历史数据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190</w:t>
            </w:r>
          </w:p>
        </w:tc>
        <w:tc>
          <w:tcPr>
            <w:tcW w:w="637"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二维码管理</w:t>
            </w: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二维码生成信息-二维码生成信息列表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所有已生成的二维码的信息。列表中将展示每条二维码的基本信息，包括但不限于证件号、姓名、健康卡ID、二维码内容、生成类型、生成日期等。这有助于系统管理员全面了解系统中二维码的生成情况，便于管理和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二维码生成信息-查询二维码生成信息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通过多种条件查询特定的二维码生成信息，如证件号、姓名、健康卡ID等。此功能旨在帮助系统管理员快速定位所需的信息，提高工作效率。查询结果将以列表形式展示，方便系统管理员浏览和进一步分析。这对于维护和监控二维码的生成情况非常重要，特别是在进行问题排查、数据分析或审计时，能够提供准确的历史数据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二维码验码管理-二维码验证信息列表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所有已进行的二维码验证记录。列表中将展示每条验证信息的基本内容，包括但不限于验证时间、流水号、二维码内容、健康卡ID、证件号、姓名。这有助于系统管理员全面了解系统中二维码的验证情况，便于管理和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二维码验码管理-查询二维码验证信息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通过多种条件查询特定的二维码验证信息，如按流水号、证件号、健康卡ID、姓名等。此功能旨在帮助系统管理员快速定位所需的信息，提高工作效率。查询结果将以列表形式展示，方便系统管理员浏览和进一步分析。这对于维护和监控二维码的验证情况非常重要，特别是在进行问题排查、数据分析或审计时，能够提供准确的历史数据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二维码授权信息管理-二维码授权信息列表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所有已授权的二维码的信息。列表中将展示每条授权信息的基本内容，包括但商户名称、授权结果、日期、姓名、证件号、健康卡ID等。这有助于系统管理员全面了解系统中二维码的授权情况，便于管理和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二维码授权信息管理-查询二维码授权信息</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支持系统管理员通过多种条件查询特定的二维码授权信息，如按授权编号、外部流水号、证件号、姓名、健康卡ID等。查询结果将以列表形式展示。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196</w:t>
            </w:r>
          </w:p>
        </w:tc>
        <w:tc>
          <w:tcPr>
            <w:tcW w:w="637"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电子健康卡运行分析</w:t>
            </w: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发卡情况统计-发卡情况统计报表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和分析发卡的整体情况。该报表将展示发卡的统计数据，包括但不限于发卡总数、不同时间段内的发卡量、各应用或终端的发卡分布等。通过数据表格进行展示，系统管理员能够全面了解发卡活动的趋势和特点，为决策提供数据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发卡情况统计-按时间范围查询发卡情况</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根据特定的时间范围查询发卡情况。系统管理员可以选择起始日期和结束日期，系统将自动筛选并展示该时间段内的发卡记录。这有助于系统管理员分析特定时期的发卡趋势，以便更好地理解用户动态和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发卡情况统计-按应用或终端查询发卡情况</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支持系统管理员按照不同的应用或终端设备查询发卡情况。系统管理员可以选择通过应用或终端的作为统计口径，系统将显示与之相关的所有发卡记录。这一功能便于系统管理员了解不同渠道的发卡效果。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199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发卡情况统计-发卡情况统计报表导出pdf</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将发卡情况统计报表导出为PDF格式的功能。系统管理员可以一键生成包含所有相关数据报表的PDF文件，方便保存、打印或分享给其他相关人员。PDF格式的报表保持了原始数据的完整性和排版的美观性，确保信息传递的准确性和专业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发卡情况统计-发卡情况统计报表导出excel</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将发卡情况统计报表导出为Excel格式。通过这一功能，系统管理员可以获得一份详细的电子表格，其中包含了所有的统计数据。Excel格式的报表便于进一步的数据处理和分析，满足系统管理员对数据深度挖掘的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201</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用卡情况统计-用卡情况统计报表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和分析用卡的整体情况。该报表将展示用卡的统计数据，包括但不限于用卡总数、不同时间段内的用卡量、各应用或终端的用卡分布等。通过数据表格进行展示，系统管理员能够全面了解用卡活动的趋势和特点，为决策提供数据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202</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用卡情况统计-按时间范围查询用卡情况</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根据特定的时间范围查询用卡情况。系统管理员可以选择起始日期和结束日期，系统将自动筛选并展示该时间段内的用卡记录。这有助于系统管理员分析特定时期的用卡趋势，以便更好地理解用户动态和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203</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用卡情况统计-按应用或终端查询用卡情况</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支持系统管理员按照不同的应用或终端设备查询用卡情况。系统管理员可以选择通过应用或终端的作为统计口径，系统将显示与之相关的所有用卡记录。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204</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用卡情况统计-用卡情况统计报表导出pdf</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将用卡情况统计报表导出为PDF格式的功能。系统管理员可以一键生成包含所有相关报表的PDF文件，方便保存、打印或分享给其他相关人员。PDF格式的报表保持了原始数据的完整性和排版的美观性，确保信息传递的准确性和专业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205</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用卡情况统计-用卡情况统计报表导出excel</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将用卡情况统计报表导出为Excel格式。通过这一功能，系统管理员可以获得一份详细的电子表格，其中包含了所有的统计数据。Excel格式的报表便于进一步的数据处理和分析，满足系统管理员对数据深度挖掘的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206</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运行情况报表统计-运行情况统计报表</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管理员可以在此查看和分析系统的整体运行情况。该报表将展示主扫授权、被扫识读、发卡、用卡等不同维度的数据统计，支持按医疗机构和按时间范围进行细化分析。通过数据报表，系统管理员能够全面了解系统的运行状况，为优化管理和决策提供数据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207</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运行情况报表统计-按时间范围查询整体运行情况</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根据特定的时间范围查询系统的整体运行情况。系统管理员可以选择起始日期和结束日期，系统将自动筛选并展示该时间段内的主扫授权、被扫识读、发卡、用卡等各项统计数据。这有助于系统管理员分析特定时期的系统运行趋势，以便更好地理解用户动态和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208</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运行情况报表统计-按接入机构查询整体运行情况</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系统管理员按照不同的医疗机构查询系统的整体运行情况。系统管理员可以选择特定的医疗机构，系统将显示与之相关的所有运行数据，包括主扫授权次数、被扫识读次数、发卡数量、用卡频率等。这一功能便于系统管理员了解各医疗机构的系统使用效果，识别出表现优异或需要改进的机构，从而优化资源配置和服务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209</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运行情况报表统计-运行情况统计报表导出pdf</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将运行情况统计报表导出为PDF格式的功能。系统管理员可以一键生成包含所有相关数据报表的PDF文件，方便保存、打印或分享给其他相关人员。PDF格式的报表保持了原始数据的完整性和排版的美观性，确保信息传递的准确性和专业性。导出的PDF文件中将详细记录主扫授权、被扫识读、发卡、用卡等各项数据，并按医疗机构和时间范围进行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210</w:t>
            </w:r>
          </w:p>
        </w:tc>
        <w:tc>
          <w:tcPr>
            <w:tcW w:w="637"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843"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运行情况报表统计-运行情况统计报表导出excel</w:t>
            </w:r>
          </w:p>
        </w:tc>
        <w:tc>
          <w:tcPr>
            <w:tcW w:w="5528" w:type="dxa"/>
            <w:shd w:val="clear" w:color="000000" w:fill="FFFFFF"/>
            <w:vAlign w:val="center"/>
          </w:tcPr>
          <w:p>
            <w:pPr>
              <w:widowControl/>
              <w:spacing w:line="240" w:lineRule="auto"/>
              <w:ind w:firstLine="0" w:firstLineChars="0"/>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允许系统管理员将运行情况统计报表导出为Excel格式。通过这一功能，系统管理员可以获得一份详细的电子表格，其中包含了所有的统计数据，包括主扫授权、被扫识读、发卡、用卡等各项数据，并按医疗机构和时间范围进行汇总。Excel格式的报表便于进一步的数据处理和分析，满足系统管理员对数据深度挖掘的需求。</w:t>
            </w:r>
          </w:p>
        </w:tc>
      </w:tr>
    </w:tbl>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9" w:name="_Toc203986942"/>
      <w:bookmarkStart w:id="10" w:name="_Toc208484025"/>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1.3.3 </w:t>
      </w:r>
      <w:r>
        <w:rPr>
          <w:rFonts w:hint="eastAsia" w:ascii="方正仿宋_GB2312" w:hAnsi="方正仿宋_GB2312" w:eastAsia="方正仿宋_GB2312" w:cs="方正仿宋_GB2312"/>
          <w:color w:val="000000" w:themeColor="text1"/>
          <w:highlight w:val="none"/>
          <w14:textFill>
            <w14:solidFill>
              <w14:schemeClr w14:val="tx1"/>
            </w14:solidFill>
          </w14:textFill>
        </w:rPr>
        <w:t>区域影像共享中心</w:t>
      </w:r>
      <w:bookmarkEnd w:id="9"/>
      <w:bookmarkEnd w:id="10"/>
    </w:p>
    <w:p>
      <w:pPr>
        <w:ind w:firstLine="420" w:firstLineChars="20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bookmarkStart w:id="11" w:name="OLE_LINK72"/>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区域影像共享中心以服务临床、便民惠民、提升医疗服务水平为建设目标，通过大数据、云计算等先进技术，实现患者诊疗数据的大汇聚，进一步推动促进省内医疗机构间检查互联互通、共享互认工作，为区域内包含医学影像数据的深度应用提供数据支持。</w:t>
      </w:r>
    </w:p>
    <w:p>
      <w:pP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（1）搭建区域影像共享中心。通过异构集成技术从医疗机构影像数据中心和云HIS/云PACS获取患者诊疗数据，实现检查资料数字化存储和传输，达成诊疗数据高效传输、互联互通的目的。</w:t>
      </w:r>
    </w:p>
    <w:p>
      <w:pP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（2）通过医学影像云计算引擎，提供影像在线检共享浏览业务，通过URL链接集成调阅，项目内医疗机构全覆盖，实现区域医疗机构影像数据统一调阅。</w:t>
      </w:r>
    </w:p>
    <w:bookmarkEnd w:id="11"/>
    <w:tbl>
      <w:tblPr>
        <w:tblStyle w:val="11"/>
        <w:tblW w:w="8500" w:type="dxa"/>
        <w:tblInd w:w="0" w:type="dxa"/>
        <w:tblLayout w:type="fixed"/>
        <w:tblCellMar>
          <w:top w:w="0" w:type="dxa"/>
          <w:left w:w="108" w:type="dxa"/>
          <w:bottom w:w="0" w:type="dxa"/>
          <w:right w:w="108" w:type="dxa"/>
        </w:tblCellMar>
      </w:tblPr>
      <w:tblGrid>
        <w:gridCol w:w="425"/>
        <w:gridCol w:w="714"/>
        <w:gridCol w:w="699"/>
        <w:gridCol w:w="6662"/>
      </w:tblGrid>
      <w:tr>
        <w:tblPrEx>
          <w:tblLayout w:type="fixed"/>
          <w:tblCellMar>
            <w:top w:w="0" w:type="dxa"/>
            <w:left w:w="108" w:type="dxa"/>
            <w:bottom w:w="0" w:type="dxa"/>
            <w:right w:w="108" w:type="dxa"/>
          </w:tblCellMar>
        </w:tblPrEx>
        <w:trPr>
          <w:trHeight w:val="20" w:hRule="atLeast"/>
        </w:trPr>
        <w:tc>
          <w:tcPr>
            <w:tcW w:w="425"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编号</w:t>
            </w:r>
          </w:p>
        </w:tc>
        <w:tc>
          <w:tcPr>
            <w:tcW w:w="714" w:type="dxa"/>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功能模块</w:t>
            </w:r>
          </w:p>
        </w:tc>
        <w:tc>
          <w:tcPr>
            <w:tcW w:w="699" w:type="dxa"/>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功能子模块</w:t>
            </w:r>
          </w:p>
        </w:tc>
        <w:tc>
          <w:tcPr>
            <w:tcW w:w="6662" w:type="dxa"/>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功能描述</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w:t>
            </w:r>
          </w:p>
        </w:tc>
        <w:tc>
          <w:tcPr>
            <w:tcW w:w="714" w:type="dxa"/>
            <w:vMerge w:val="restart"/>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影像共享中心省端</w:t>
            </w:r>
          </w:p>
        </w:tc>
        <w:tc>
          <w:tcPr>
            <w:tcW w:w="699" w:type="dxa"/>
            <w:tcBorders>
              <w:top w:val="nil"/>
              <w:left w:val="nil"/>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影像共享中心</w:t>
            </w:r>
          </w:p>
        </w:tc>
        <w:tc>
          <w:tcPr>
            <w:tcW w:w="6662"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一、数据采集归档服务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1、数据采集接收</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根据指定的数据采集标准及规则对上传的数据实时接收，包括单体医院影像数据中心上传的数据和对接云PACS/云HIS获取的数据。</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2、数据存储、匹配及关联</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根据指定的存放规则写入存储空间。按患者将接受的数据进行分类，归档整合，患者信息与影像路径实时匹配，影像与患者信息关联。</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二、指定路径存储</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按规则将诊疗数据传到指定存储地址，影像数据上传时会按照一定的规则生成数据存放路径。</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并能够提供查询患者影像数据功能，根据查询结果显示对应详情。根据RIS库中患者检查信息中的相关检查设备类型、影像号、检查号等相关信息去PACS库检索相关影像信息。</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三、检查基础信息库</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1、信息库建立</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按照患者的个人信息统一标准，建立各类检查数据基础信息库，包括基本信息库表、检查信息库表、患者检查报告库表、检查设备库表、医疗机构库表、送检科室库表、申请医生库表、患者图像路径库表、用户管理库表、权限管理库表等。</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2、信息入库</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处理以上各类信息入库。</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3、数据加密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对入库数据进行加密处理。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4、数据转换</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对患者索引信息和诊断信息转换为数据库存储格式存储集中储存。</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5、管理人员身份信息接收及接收</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支持接收并管理人员信息和身份标识。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6、数据查询及详情查看</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提供查询和索引功能，支持对索引结果查看详情，如查询结果数据过多，超过20条，可通过分页进行查看。</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四、影像云存储服务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影像文件以DICOM文件格式短暂存储。非DICOM数据以数据库形式进行存储。</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1、文件管理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医学影像数据以DICOM文件形式出现，所谓文件管理，就是应用系统中实现文件统一管理的一组软件、被管理的文件以及为实施文件管理所需要的一些数据结构，从而进行云存储配置。</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2、目录建立</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针对CR/DR DICOM影像文件、RF、MG多图像DICOM影像、CT、MRI、PETCT、ECT多序列DICOM影像、DSA、US动态DICOM图像按检查号、检查时间、检查类型创建多级目录。</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针对超声的JPEG、AVI等格式影像文件，内镜的JPEG格式影像文件、心电的JPEG、PDF格式影像文件以及扫描申请单的JPEG格式文件按检查号、检查时间、检查类型、图像创建多级目录。</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3、文件存储</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其中，DICOM影像文件依照DICOM3.0标准格式存储，非DICOM的影像文件，按获取的格式文件存储。</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4、文件格式转换</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支持JPEG格式文件转换成DICOM格式文件存储。</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5、交叉索引</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医学影像类数据与非影像类数据应共同使用患者唯一索引。</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医学影像数据中心以患者ID交叉索引和跨机构文档共享服务为基础实现跨系统跨平台的影像数据的整合和共享。</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6、文档管理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集中管理患者的医学影像数据，提供数据管理、业务服务和事物处理，存储和管理各医疗机构产生的医学影像数据文件。设备产生的数据以DICOM影像文件的方式体现，其特点是：数据量大，文件格式标准化。</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7、文档业务服务及事务处理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文档获取的服务：当安全访问节点需要调阅存储池中的文档数据时，根据注册中心提供的检索条件，在存储仓库通过索引ID将患者的医学影像数据等实体返回的服务。同时支持文档共享服务，提供文档业务服务，提供文档事务处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五、影像数据完整性质控</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为保证影像数据及报告的完整性，影像共享中心采集端会对数据完整性进行判断和质控。</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HIS系统中获取患者实时开单信息，数据采集后将影像数据和申请单信息进行比对，避免影像数据有遗漏。前置采集服务同时获取退费信息，将退费的检查排除采集范围内。针对报告修改的情况，一段时间内可以替换原有报告并在系统中做好相应标识，对超过规定时间的报告修改不再做二次采集。通过以上三种方式，保证影像及报告数据在的完整性，并对检查退费和报告修改的记录保留在系统中。</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六、影像平台管理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(一）影像采集节点管理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1.采集服务列表</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包括采集服务名称、采集服务ID、机构名称、机构编码、采集服务IP、任务类型、QR本地AE、QR服务器IP、FTP地址、LAN地址、LAN映射盘符、采集服务版本号、服务端版本号。</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2.添加采集服务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提供采集节点列表维护功能。</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（二）对象存储节点管理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1.存储节点列表</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包括存储节点名称、存储节点id、连接用户名、本地路径、FTP路径、LAN路径、S3路径、容量使用情况、阈值(单位:百分比)。</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2.添加存储节点</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提供存储节点添加服务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（三）检查管理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1.支持按姓名、机构、平台唯一标识、检查号、病历号、检查设备类型、影像状态、检查日期，进行患者影像信息快速检索查询。</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2.支持补采服务，可按照病历号、报告号、日期、检查类型进行患者影像数据批量导入。</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支持患者影像数据查看服务，包含机构名称、平台唯一标识、姓名、检查号、病历号、年龄、性别、类型、部位、设备类型、系统类型、身份证号、身份证合法性、检查时间、影像状态等内容查看。</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（四）系统用户管理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1.用户管理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支持按照用户ID、用户名、用户昵称、是否禁用，进行用户快速检索查询。</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支持用户的新增和批量删除服务。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支持用户ID、用户账号、用户昵称、用户类型、角色、最后登录IP、最后登录时间、是否禁用等用户信息的详细展示。</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2.角色管理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支持按照角色ID、角色名称、角色状态进行角色查询功能。</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支持角色的新增和批量删除服务。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支持按照角色ID、角色名称、角色状态进行详细角色信息展示。</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3.机构管理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支持按照机构名称、机构编码进行机构的快速查询。</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支持机构的新增和批量删除服务。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支持按照机构名称、机构编码、服务端、备注进行机构信息的详细展示。</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w:t>
            </w:r>
          </w:p>
        </w:tc>
        <w:tc>
          <w:tcPr>
            <w:tcW w:w="71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699" w:type="dxa"/>
            <w:tcBorders>
              <w:top w:val="nil"/>
              <w:left w:val="nil"/>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医学影像云计算引擎</w:t>
            </w:r>
          </w:p>
        </w:tc>
        <w:tc>
          <w:tcPr>
            <w:tcW w:w="6662"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一、影像云处理引擎</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1、实时划分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采用影像云计算引擎服务集群，对二维静态/动态影像云计算单元实时划分。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2、资源划分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对各类影像数据进行内存、网络、显卡等各类资源划分。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3、数据加载、运算、显示</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遵循DICOM标准，支持CR、DR、RF、MG、CT、MRI、DSA等DICOM影像数据及超声、内镜、病理、心电等影像数据即时加载和运算，将以上类型数据的计算结果实时在终端显示。</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影像应用服务内部统一图像云计算单元，通过患者索引服务获取的影像数据存储地址直接快速从数据中心获取所需的原始影像数据，实现影像计算处理在云端，计算结果显示在用户端的功能；且在5G、4G、WiFi的网络带宽环境下，平台可实时调阅医学影像和图像在线处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利用影像云处理服务器集群，实现面向用户的连接和访问，在分配过程中采用压力分配、动态资源调整、任务迁移等策略来提高中心计算层的工作效率。</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通过网络实现影像终端可视化，且支持用户按照个性化定制并发浏览、图像处理服务需求。平台应支持多任务、多并发负载均衡。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二、静态DICOM影像在线即时计算服务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1、混合传输</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遵循DICOM标准，支持CR、DR、RF、MG、CT、MRI、DSA等DICOM云端混合传输，支持超声、内镜、病理、心电数据云端混合传输；所有DICOM影像操作支持在线实时计算或混合传输方式。</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支持即时处理终端操作指令、并返回处理结果图像。</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2、分级计算</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支持按Patient、Study、Series、Image四种级别分级计算。</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3、云端图像操作</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终端设备反窗、标注、移动、缩放、等图像操作；支持长度、角度、面积等图像测量；支持CT值/点灰阶值；支持心胸比测量；支持窗宽/窗位调节，可预设窗值模板；支持多序二分屏、四分屏显示，支持分屏图像序列联动。</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三、动态DICOM影像在线即时计算服务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1、图像加载</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遵循DICOM标准，支持DSA、超声等的动态格式DICOM影像加载。</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2、即时处理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支持DSA、超声动态DICOM影像在线实时计算，支持动态DICOM影像即时处理终端操作指令、并返回处理结果图像。</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3、基本操作</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支持终端设备对DSA、超声动态DICOM影像进行播放、暂停、窗宽/窗位等基本处理服务。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四、非DICOM影像在线浏览服务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1、图像加载</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支持对超声、内镜、病理非DICOM格式的影像，如JPG、BMP、EDF等格式图像加载，提供非DICOM格式的影像进行统一的在线即时计算服务。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2、图像操作</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支持终端设备对JPEG影像进行灰度调节、缩放、图像移动等基本处理服务。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3、图像压缩</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支持对图像进行压缩显示，可自定义比例对图像进行压缩。</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4、并发调阅</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支持对同一图像同时在线阅览，同一患者图像一次性查阅。</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五、第三方影像检索传输服务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支持为第三方应用系统提供影像检查数据查询和传输接口。</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1、检查信息查询服务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提供检查信息查询放射、超声、内镜、病理的WebService接口服务，包括患者姓名、性别、就诊号、社保号、身份证号、门诊号、住院号、床位等信息。</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2、检查报告传输服务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患者提供检查报告信息加密后进行调阅放射、超声、内镜、病理、心电WebService接口服务，包括检查描述、报告结论、报告医生、审核医生、报告时间、审核时间等。</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3、DICOM Q/R服务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提供CT、MRI、CR、DR、RF、MG、DSA、US DICOM Q/R服务，第三方可查询、调阅DICOM影像文件。</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w:t>
            </w:r>
          </w:p>
        </w:tc>
        <w:tc>
          <w:tcPr>
            <w:tcW w:w="71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699" w:type="dxa"/>
            <w:tcBorders>
              <w:top w:val="nil"/>
              <w:left w:val="nil"/>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Web 医学影像共享浏览应用系统</w:t>
            </w:r>
          </w:p>
        </w:tc>
        <w:tc>
          <w:tcPr>
            <w:tcW w:w="6662"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一、用户管理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支持主流浏览器在线调阅影像和DICOM医疗图像处理功能，无须下载影像插件等；</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支持授权用户登录，为每个用户分配一个登录账号；</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支持对检查数据分级访问控制，能够指定访问者及访问时间范围。</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二、检查患者检索</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支持患者信息检索，按患者就诊机构、姓名、身份证号等检索条件搜索出历次检查记录；</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支持按医疗机构、按时间段、按检查类型检索。</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支持第三方系统集成链接，通过患者唯一识别号参数“单点登陆”调用。</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三、检查报告调阅</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支持放射、超声、内镜、病理等检查已审核发布的报告调阅；</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支持检查报告内容包括患者姓名、性别、年龄、门诊号/住院号、申请科室、检查号、检查日期、检查项目、检查方式、影像所见、检查结论、报告医生、报告时间、审核医生、审核时间等报告信息；</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支持PDF格式的检查报告展现。</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四、影像实时计算及传输混合展现</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支持CT、MRI、CR、DR、RF、MG、DSA、PET-CT、ECT、US等DICOM影像显示；</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支持DICOM影像布局显示、缩放、移动、序列播放等基本操作；</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支持DICOM影像窗宽/窗位调节、图像对比、测量、标注等图像处理；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支持MPR、MIP、VR三维影像重建处理；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支持超声、内镜、病理等非DICOM影像数据调阅。</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支持提供DICOM Q/R服务，对医疗机构互认的检查DICOM影像文件通过接口服务下载到本地。</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w:t>
            </w:r>
          </w:p>
        </w:tc>
        <w:tc>
          <w:tcPr>
            <w:tcW w:w="714" w:type="dxa"/>
            <w:vMerge w:val="restart"/>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影像共享中心医院端</w:t>
            </w:r>
          </w:p>
        </w:tc>
        <w:tc>
          <w:tcPr>
            <w:tcW w:w="699" w:type="dxa"/>
            <w:tcBorders>
              <w:top w:val="nil"/>
              <w:left w:val="nil"/>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单体医院影像数据中心</w:t>
            </w:r>
          </w:p>
        </w:tc>
        <w:tc>
          <w:tcPr>
            <w:tcW w:w="6662"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一、数据引擎</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遵循HL7标准，支持WebService接口方式；</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遵循DICOM标准，支持DICOM QR接口；</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支持对接关系型数据库，支持中间表、数据库视图等接口方式；</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支持封装成标准的信息交互载体JSON/XML作为消息传递给其他子系统模块；</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支持在调用业务适配器取到标准化后的消息后，具有数据清洗与转化机制，能根据业务规则引擎将原始消息进行清洗，比如清洗后的一些基础信息就可以给到基础信息库进行持久化；</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支持对非结构化数据或者半结构数据，转存到特定的数据存储块，比如影像类的数据；</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支持插拔的插件机制，在不重启引擎服务的情况下对功能进更新，可使用DLL动态库加载方式。</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二、数据仓库</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支持创建数据仓库，对基础信息、结构化医技数据、非结构医技数据统一标准、集中存储；</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支持创建标准化字段、服务配置项、服务采集日志等与非医技数据的基础性的信息库；作数据仓库的功能性的配置，用于管理仓库的存储模式和对数据进行结构化的数据集成；</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支持从放射PACS、超声PACS、内镜PACS，病理PACS，核医学PACS、心电、检验，HIS、EMR、等医用系统的业务库的数据经过标准化采集后以结构化医技数据存储，结构化的数据由数据库中间件进行存储和管理；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支持报告图片、影像临时缓存文件等无法结构化的数据，以结构化文件目录方式存储在指定的存储中；</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支持医技数据以患者索引服务为基础的数据共享，结构化数据、非结构化数据共同使用患者索引；</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三、外部集成服务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支持对临床医技数据共享的外部集成发布，提供基于数据账号的权限认证令牌；</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支持自定义规则对权限认证令牌进行MD5加密；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支持外部服务获取数据时需要首先校验令牌，检验成功后，还需要对数据账号的数据权限进行校验，仅返回权限范围内的医技数据；</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支持通过认证的外部请求，能在服务内部按照请求的资源类型，结合操作方法封装成统一的任务对象，评估任务优先级，分别存放在不同的任务调度队列。</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四、数据采集服务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支持从放射PACS、超声PACS、内镜PACS，病理PACS，核医学PACS、心电、检验，HIS、EMR、等医用系统的业务库的数据经过标准化采集后以结构化医技数据存储。</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支持DICOM Query/Retrieve服务，实时查询检索DICOM全序列影像，采集、传输包括CT、MRI、CR、DR、RF、MG、DSA、PET-CT、ECT、US等影像类型的DICOM影像文件。</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支持影像文件共享读取，按策略采集、传输DICOM、JPEG等格式的影像文件。</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支持从PACS采集已完成审核发布的各类型检查报告文字信息，包括检查描述、报告结论、报告医生、审核医生、报告时间、审核时间等。</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支持数据采集以日期或者患者为对象，支持定时采集和实时采集策略配置，定时采集以日期为对象，实时采集以患者为对象，定时采集可设置时间间隔。</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支持数据采集多线程，可根据服务器性能配置采集的线程池大小。</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五、标准转换引擎</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支持对不同业务系统中采集的数据进行标准化转换；</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支持数据一致性检查，检查字段数据是否合乎要求，对于发现超出正常范围、逻辑上不合理或者相互矛盾的数据，进行校正；</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处理无效值和缺失值，由于业务系统的可能存在的缺陷，导致业务数据中存在无效值或者缺失值，对于此类值，根据数据的必要性和合理性，给与一个合适的默认值或者直接清除，保证入库的数据合乎标准化；</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标准化依据国家卫生健康委员会发布的行业卫生标准文档对医技系统异构的数据进行字段格式的标准化和字段内容的标准化；标准化内容主要包括数据元标识符，数据元名称，定义，数据元值的数据类型，表示格式以及数据元允许值；其中数据元允许值有单独的卫生信息数据元值域代码文档进行取值限制；</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经过数据清洗、数据标准化和数据转换后的数据进行数据结构的组织，数据排序，数据入库存储的设计等。作为数据标准转换引擎的收尾步骤，该模块承载着整个软件系统的数据的规范性、标准性和完整性的保障。</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六、数据归档存储服务</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创建单体医院影像数据存储中心，对患者影像数据集中归档，全部检查记录和医学图像能够长期存储，并形成统一管理体系。</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对采集的影像业务数据，通过门诊号、住院号、身份证号、社保号、姓名、年龄等条件或条件组合进行关联；</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对非结构化的影像数据以文件为对象进行管理，包括新增文件、清理文件以及管理文件的属性和文件存储的路径；文件管理不仅支持在本地磁盘存储的文件，也支持在共享服务器上存储的文件；</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支持患者ID交叉索引和文档共享服务为基础跨系统跨平台的数据整合和共享；</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支持结构化数据和非结构化数据共同使用唯一索引；</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支持接收并管理人员信息和身份标识、提供查询和索引功能。</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w:t>
            </w:r>
          </w:p>
        </w:tc>
        <w:tc>
          <w:tcPr>
            <w:tcW w:w="714"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699" w:type="dxa"/>
            <w:tcBorders>
              <w:top w:val="nil"/>
              <w:left w:val="nil"/>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各接入医院远程同屏会诊应用</w:t>
            </w:r>
          </w:p>
        </w:tc>
        <w:tc>
          <w:tcPr>
            <w:tcW w:w="6662"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一、用户登录</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应用终端按授权用户登录；</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跟据使用用户分配调阅权限。</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二、患者检索</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支持授权用户按会诊患者检索。</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三、患者诊疗数据调阅</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支持调阅患者的入院病历和病历记录；</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支持调阅患者诊疗期间的长期医嘱、临时医嘱；</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支持调阅患者诊疗期间的生化检验结果，对于异常值支持差异颜色字体提示；</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支持调阅患者诊疗期间放射、超声、内镜、病理影像检查已发布的诊断报告。</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支持上传的相关图片资料的调阅。</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四、影像调阅及处理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支持调阅CT、MR、CR、DR、DSA、ECT、PET/CT、数字乳腺、数字胃肠等DICOM影像；</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具有图像窗宽/窗位、移动、缩放、测量、标注等功能；</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支持CT动态影像播放、序列对比、MPR等图像处理功能。</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五、即时会诊呼叫/应答</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支持邀请方即时通过通讯录，向被邀方发出会诊请求；</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支持会诊请求记录；</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支持会诊患者病情概括自动共享；</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支持被邀会诊即时弹出被邀窗口，显示申请会诊方；</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支持可选接受或拒绝该次会诊申请。</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六、会诊实时同屏交互功能</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支持Android、IOS、Windows等跨平台同屏会诊交互；</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支持参与会诊多方同步调阅电子病历、影像检查、检验结果、医嘱等资料；</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支持参与会诊多方影像处理交互操作和电子粉笔标注功能同屏显示。</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七、视音频信号采集交互</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支持多通道视音频信号同屏显示；</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满足采集、传输高清及标清图像的能力；</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支持多路混音，方便在会议中进行讨论；</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支持多方参与者视音频控制。</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八、会诊记录查询</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支持会诊记录查询和会诊状态显示；</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支持会诊患者病历资料调阅。</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九、会诊申请/会诊报告</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支持即时申请、提交会诊申请，可同步将患者病历数据授权分享给被邀请专家，专家可预诊断；</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支持会诊完成后，会诊方书写会诊意见；</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会诊报告模板可根据需求定制；</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支持查看专家会诊报告；</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支持会诊报告打印输出。</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w:t>
            </w:r>
          </w:p>
        </w:tc>
        <w:tc>
          <w:tcPr>
            <w:tcW w:w="714"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区域影像共享中心接口开发</w:t>
            </w:r>
          </w:p>
        </w:tc>
        <w:tc>
          <w:tcPr>
            <w:tcW w:w="699" w:type="dxa"/>
            <w:tcBorders>
              <w:top w:val="nil"/>
              <w:left w:val="nil"/>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医院端院内接口</w:t>
            </w:r>
          </w:p>
        </w:tc>
        <w:tc>
          <w:tcPr>
            <w:tcW w:w="6662" w:type="dxa"/>
            <w:tcBorders>
              <w:top w:val="nil"/>
              <w:left w:val="nil"/>
              <w:bottom w:val="single" w:color="auto" w:sz="4" w:space="0"/>
              <w:right w:val="single" w:color="auto" w:sz="4" w:space="0"/>
            </w:tcBorders>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海南医科大学第一附属医院、海南医科大学第二附属医院、三医云HIS:需对接放射PACS、超声PACS、内镜PACS，病理PACS，核医学PACS、心电系统、LIS，HIS、EMR系统。</w:t>
            </w:r>
          </w:p>
        </w:tc>
      </w:tr>
    </w:tbl>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12" w:name="_Toc203986943"/>
      <w:bookmarkStart w:id="13" w:name="_Toc208484026"/>
      <w:bookmarkStart w:id="14" w:name="_Toc162356908"/>
      <w:bookmarkStart w:id="15" w:name="_Toc85476457"/>
      <w:bookmarkStart w:id="16" w:name="_Toc162875145"/>
      <w:bookmarkStart w:id="17" w:name="_Toc165984766"/>
      <w:bookmarkStart w:id="18" w:name="_Toc162356891"/>
      <w:bookmarkStart w:id="19" w:name="_Toc181302847"/>
      <w:bookmarkStart w:id="20" w:name="_Toc162875128"/>
      <w:bookmarkStart w:id="21" w:name="_Toc165984758"/>
      <w:bookmarkStart w:id="22" w:name="_Toc17128"/>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1.3.4 </w:t>
      </w:r>
      <w:r>
        <w:rPr>
          <w:rFonts w:hint="eastAsia" w:ascii="方正仿宋_GB2312" w:hAnsi="方正仿宋_GB2312" w:eastAsia="方正仿宋_GB2312" w:cs="方正仿宋_GB2312"/>
          <w:color w:val="000000" w:themeColor="text1"/>
          <w:highlight w:val="none"/>
          <w14:textFill>
            <w14:solidFill>
              <w14:schemeClr w14:val="tx1"/>
            </w14:solidFill>
          </w14:textFill>
        </w:rPr>
        <w:t>医院影像辅助诊断系统</w:t>
      </w:r>
      <w:bookmarkEnd w:id="12"/>
      <w:bookmarkEnd w:id="13"/>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本项目通过乳腺癌DR影像辅助诊断、肺癌CT影像辅助诊断、胸部CT影像辅助诊断、宫颈细胞病理辅助诊断等应用的建设，以进一步将人工智能技术融入到影像学、医学图像处理中，结合分析运算，提高诊断准确度，减少漏诊率，提高早期癌症检出率，节省医生阅片时间。人工智能技术可自动分析并解读影像图像，辅助医生进行诊断。在对肺结节的检查中，AI可自动识别和记录肺结节，并鉴别实性结节、磨玻璃结节和混合磨玻璃结节，以辅助医生做出判断与分析，并协助医生在更早期的时候发现肺癌。在肺部感染中，AI可以快速判断肺部的感染程度，评估肺叶和肺段的感染体积及比例，计算肺组织渗出及实变的范围及体积，提供更详细及可靠的诊断依据。在骨折诊断中，AI可以快速判断骨折的类型和严重程度，提供可靠的诊断依据。</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通过建设医院影像辅助诊断系统，可利用自动和智能方法，快速精确地解析影像数据，生成准确的诊断报告，提高医务人员的工作效率，减少差错；运用机器学习和深度学习算法，在大量的影像资料中了解和获得最有价值的特征，以协助医师正确地评估和预测病情，提高准确率；影像诊断报告结论可能存在差异，通过AI技术的规范化的算法和模型，生成标准化诊断报告。</w:t>
      </w:r>
    </w:p>
    <w:tbl>
      <w:tblPr>
        <w:tblStyle w:val="11"/>
        <w:tblW w:w="8500" w:type="dxa"/>
        <w:tblInd w:w="0" w:type="dxa"/>
        <w:tblLayout w:type="fixed"/>
        <w:tblCellMar>
          <w:top w:w="0" w:type="dxa"/>
          <w:left w:w="108" w:type="dxa"/>
          <w:bottom w:w="0" w:type="dxa"/>
          <w:right w:w="108" w:type="dxa"/>
        </w:tblCellMar>
      </w:tblPr>
      <w:tblGrid>
        <w:gridCol w:w="425"/>
        <w:gridCol w:w="563"/>
        <w:gridCol w:w="1238"/>
        <w:gridCol w:w="6274"/>
      </w:tblGrid>
      <w:tr>
        <w:tblPrEx>
          <w:tblLayout w:type="fixed"/>
          <w:tblCellMar>
            <w:top w:w="0" w:type="dxa"/>
            <w:left w:w="108" w:type="dxa"/>
            <w:bottom w:w="0" w:type="dxa"/>
            <w:right w:w="108" w:type="dxa"/>
          </w:tblCellMar>
        </w:tblPrEx>
        <w:trPr>
          <w:trHeight w:val="20" w:hRule="atLeast"/>
        </w:trPr>
        <w:tc>
          <w:tcPr>
            <w:tcW w:w="425"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编号</w:t>
            </w:r>
          </w:p>
        </w:tc>
        <w:tc>
          <w:tcPr>
            <w:tcW w:w="563" w:type="dxa"/>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功能模块</w:t>
            </w:r>
          </w:p>
        </w:tc>
        <w:tc>
          <w:tcPr>
            <w:tcW w:w="1238" w:type="dxa"/>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功能子模块</w:t>
            </w:r>
          </w:p>
        </w:tc>
        <w:tc>
          <w:tcPr>
            <w:tcW w:w="6274" w:type="dxa"/>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功能描述</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w:t>
            </w:r>
          </w:p>
        </w:tc>
        <w:tc>
          <w:tcPr>
            <w:tcW w:w="563" w:type="dxa"/>
            <w:vMerge w:val="restart"/>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乳腺癌 DR 影像辅助诊断</w:t>
            </w: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自动病灶检出</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支持在乳腺钼靶CC位和MLO位影像中圈出可疑病灶，并准确给出病灶位置。</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w:t>
            </w:r>
          </w:p>
        </w:tc>
        <w:tc>
          <w:tcPr>
            <w:tcW w:w="563"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自动征象识别</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能识别肿块、钙化、结构扭曲、不对称等乳腺异常，以及淋巴结、乳头凹陷、皮肤病变等伴随征象。</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w:t>
            </w:r>
          </w:p>
        </w:tc>
        <w:tc>
          <w:tcPr>
            <w:tcW w:w="563"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自动腺体分型</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支持自动鉴别、输出乳腺的A、B、C、D致密性分型。</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w:t>
            </w:r>
          </w:p>
        </w:tc>
        <w:tc>
          <w:tcPr>
            <w:tcW w:w="563"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自动配准</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支持自动对CC位和MLO位中的病灶位置进行自动配准。</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5</w:t>
            </w:r>
          </w:p>
        </w:tc>
        <w:tc>
          <w:tcPr>
            <w:tcW w:w="563"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自动良恶性分级</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支持智能鉴别、输出病灶的BI-RADS分级。</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6</w:t>
            </w:r>
          </w:p>
        </w:tc>
        <w:tc>
          <w:tcPr>
            <w:tcW w:w="563"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自动生成图文报告</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根据识别出的病灶类型、位置与分期分型自动生成结构化报告。</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7</w:t>
            </w:r>
          </w:p>
        </w:tc>
        <w:tc>
          <w:tcPr>
            <w:tcW w:w="563" w:type="dxa"/>
            <w:vMerge w:val="restart"/>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肺癌 CT影像辅助诊断</w:t>
            </w: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肺部疾病CT诊断模块</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1、肺结节智能辅助检测</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自动标注可疑结节：在系统精准识别影像中的肺结节后，在影像上自动展示标注的可疑结节，并在影像上展示结节框与结节编号；</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结节分割测量：在系统精准识别影像中的肺结节后，对病灶进行分割，并对其相关属性进行测量、计算，详细展示出结节层面、结节密度、最长径、平均径、体积等信息；</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结节性质分类：在系统精准识别影像中的肺结节后，根据影像学表现进一步将结节分为钙化结节、实性结节、非实性结节、疑似肿块、胸膜实性结节等5种类型，并展示在病灶列表中；</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结节位置定位：在系统精准识别影像中的肺结节后，自动定位结节所在的肺叶肺段位置及CT影像薄厚层层面，并展示在病灶列表中。</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2、前后片智能比对</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系统精准识别影像中的病灶与属性（大小、位置、密度、体积、性质等）后，系统能管理、自动关联该患者不同时期、不同部位的医疗影像信息，并对相同部位、不同时期或阶段的医疗影像进行对比分析，根据症灶发展变化情况（病灶形态、属性值等）提供临床诊断参考。同时，根据诊后康复情况，便于监测患者病情发展状况，为患者提供复诊建议。</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例如：对于肺部CT影像，系统可以自动调取病人历史影像进行对比，并实现前后片联动，对比分析结节、肿瘤历史影像表现，显示结节或肿瘤倍增等信息。</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肺内小结节、早期肿瘤很难通过形态学一次获得可靠诊断，需要对患者进行定期追踪观察评断病变良恶性，选择适宜的时机给予恰当干预。而结节追踪观察不仅需要找到不同时段的影像资料，还需要找到所有历史结节并逐一对照分析生长变化，判断性质。智能随访功能提供结节对照分析功能，自动搜寻历史影像资料，分析对比结节、肿瘤变化及新生结节，将医生从繁琐对照工作中解放出来。</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3、结构化图文报告</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可以自动将结节影像和相关的描述信息自动生成结构化图文报告，并且可以根据国内外指南（可提供NCCN指南等应用指南标准）对危险结节进行进一步的治疗意见辅助。</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4、常用应用工具</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除了以上临床辅助检测功能外，为便于医生全方位观察、多角度测量病灶，肺部疾病还具有对影像进行快速滚动、移动、反色、长度测量、角度测量、缩放、窗宽/窗位调整、恢复设置、位置探针、播放、隐藏结果、MPR重建、MIP/MinIP重建等功能。同时，为便于医生使用，系统还具有漏诊反馈、假阳反馈、本地病例上传、病例优先处理、预测序列归档（AI结果回传PACS）、大小排序、薄厚层适配、结节隐藏、收藏病例、意见反馈等功能。</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漏诊反馈：在可疑结节列表中，可标记筛查中遗漏的具有临床意义的病灶并点选性质，将漏诊结节自动添加进可疑结节列表中；</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假阳反馈：可对系统预测的医生认为不具备临床意义的病灶进行移除/展示/恢复等操作；</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本地病例上传：登录系统检查列表后可使用病例上传功能，手动发起预测；</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病例优先处理：在病例未被预测时，系统支持对所选病例进行加速优先处理，使当前病例获取最高优先级，抢占资源完成预测；</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预测序列归档（AI检测结果回传PACS）：系统集成了AI预测序列归档功能，支持采用GSPS回传（按照DICOM GSPS协议创建归档序列回传PACS）、关键序列回传（截取原始DICOM中含有病灶的关键层面，标记结节信息，生成独立序列回传PACS）等两种归档方式；</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大小排序：可根据病灶实际平均径信息，将不符合临床意义的病灶在“用户配置”功能中进行设置，对此类病灶进行大小排序；</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薄厚层适配：当预测序列影像为薄层序列时，可自动映射对应的厚层序列，并在可疑结节列表中显示厚层序列中结节所在的层面；</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结节隐藏：可根据病灶实际临床意义，将不符合临床意义的病灶在“用户配置”功能中进行设置，对此类病灶进行隐藏；</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收藏病例：医生可对典型病例进行收藏，用于教学与科研；</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意见反馈：医生可以对软件使用情况编写反馈意见。</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8</w:t>
            </w:r>
          </w:p>
        </w:tc>
        <w:tc>
          <w:tcPr>
            <w:tcW w:w="563"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肺结节CT影像科研模块</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1、结节密度分析</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系统精准识别CT影像中的病灶与属性（大小、位置、密度、体积、性质与良恶性等）后，系统提供结节密度直方图展示，并提供该结节组学相关信息（紧凑度、偏度、峰度、球形度、能量、熵），医生可通过密度直方图观察实性部分与实性区域体积是否增大判断结节倍增情况，以便于应用于随访诊断及进行组学相关的科研研究。</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不同密度的肺结节，其恶性概率不同，部分实性结节的恶性概率最高，其次为磨玻璃结节及实性结节。结节密度分析可辅助医生依据实性部分占比判断良恶性。同时，在前后片对比的时候有些结节虽然整体的大小变化不大，但是实性部分增大，也是辅助诊断趋向于恶性的一大标准，因此，结节密度分析具有很大的临床意义。此外，结节密度分析所提供的结节组学方面的信息更方便医生进行结节组学方面的科研研究。</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2、相似病例大数据挖掘分析</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通过分析载入的医疗影像，能够快速识别病灶位置、形态及属性（大小、位置、密度、体积、性质与良恶性等），并在海量历史数据中筛选出与当前病灶相似度极高的过往病灶。根据分析比对，将历史病例的诊疗方案逐一调度、显示出来，为医生制定当前病例的诊疗方案提供参考。</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以肺部CT智能影像诊疗为例：通过对当前病例图像分析，系统在快速识别病灶类型、大小（长径、短径、体积）、表征等属性后，在海量历史病例数据库中进行搜索，返回与当前病例相似的历史病例，并详细列出相似病例的病灶类型、相似度及病理信息，为医生制定当前病例的治疗方案提供参考。</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智能诊疗功能模块具有如下特点：</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相似病例匹配，匹配精准，并可按相似度进行排序</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病例数据库可添加新病例、随时更新</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基于分布式并行计算架构，搜索速度快，秒级返回病例匹配结果</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9</w:t>
            </w:r>
          </w:p>
        </w:tc>
        <w:tc>
          <w:tcPr>
            <w:tcW w:w="563"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智能随访管理</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1、患者数据库和随访管理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患者检出结节等早期病灶后，可以一键加入患者数据库与随访管理，便于医生对患者的疾病诊断、就医治疗、康复随访进行全周期跟踪管理，以全面提升患者就医体验，提高医生诊疗服务质量，并增加病患粘性。</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通过患者数据库与随访管理，医生可以全面了解病人信息与状况，全程掌握患者病情发展与康复状态，并及时提醒患者就诊随访、为患者提前安排就诊预约并推荐相关专家，为患者提供精准的医疗服务、提高了服务质量，极大地方便了患者就诊。</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患者数据库与随访管理系统主要功能如下：</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（1）一键加入随访记录</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在AI辅助筛查主界面点击“加入随访”按钮，即可将当前检查结果录入随访系统中。随访记录包括患者基础信息、检查报告、随访结果、随访建议、下次随访日期等五部分组成：</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患者基础信息</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检查报告：检查结果内容均来自上一级主界面报告栏，三种结构化报告模板可自动切换。</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随访结果：包括文本模板与Recist两种结果。文本模板指开启前后片后生成的前后片对比报告；Recist指依据Recist实体瘤疗效评估中的规则自动生成的随访结果。</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随访建议：随访建议内容均来自上一级主界面所使用的智能随访指南。若主界面未开启过智能随访指南，默认展示NCCN指南的内容。</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下次随访日期：依据指南与检查日期，自动显示下次随访日期。</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（2）患者随访管理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患者随访管理主要分为随访患者列表和归档患者列表：</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随访患者列表：通过以上“加入随访”加入的随访患者统一管理列表。随访患者列表由列表序号、患者姓名、性别、病例号、报告医师、下次随访日期、本次随访状态、患者电话等内容。</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随访患者管理：进入随访患者详情页面后，可展示该患者所有随访记录，并可对随访记录进行编辑、合并、删除等具体操作。</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归档管理：随访过期较长时间或患者已确认死亡，可对患者进行统一归档处理，以便于为临床科研积累丰富的数据，提高医学水平。</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10</w:t>
            </w:r>
          </w:p>
        </w:tc>
        <w:tc>
          <w:tcPr>
            <w:tcW w:w="563" w:type="dxa"/>
            <w:vMerge w:val="restart"/>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胸部 CT影像辅助诊断</w:t>
            </w: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网络隔离服务</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将人工智能中的图像识别技术和深度学习技术与医疗影像有机结合，通过计算机快速、精准识别影像中的病灶，对病灶的相关属性（大小、位置、密度、体积、性质与良恶性等）进行测量、计算，进一步对病灶做定性判断。并对比类似病例以及该病人不同时期的影像数据，为医生制定当前病例的诊疗方案提供参考。</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针对胸部骨折筛查诊断中经常面临的漏诊、误诊问题，本项目建设的胸部骨折智能解决方案根据胸部CT影像薄层序列智能分析胸部肋骨、椎骨、肩胛骨、锁骨等方面的骨折或病变情况，并将骨折位置直观显示出来。</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11</w:t>
            </w:r>
          </w:p>
        </w:tc>
        <w:tc>
          <w:tcPr>
            <w:tcW w:w="563"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自动预测骨病灶方位</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系统在自动识别骨折病灶后，自动判别、输出以椎骨（脊柱）位置为中心点的前后左右位置，并支持手动修改前后左右位置。</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12</w:t>
            </w:r>
          </w:p>
        </w:tc>
        <w:tc>
          <w:tcPr>
            <w:tcW w:w="563"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自动生成或手动输入肋骨骨折数（骨折位置）</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当系统检出肋骨骨折后，自动判别、输出骨折位于0到12根肋骨中的哪一条肋骨，并支持手动修改、选择肋骨骨折数。</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13</w:t>
            </w:r>
          </w:p>
        </w:tc>
        <w:tc>
          <w:tcPr>
            <w:tcW w:w="563"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骨病灶VR展示</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为帮助医护人员判断骨折位置与严重程度，系统支持VR展示功能，支持360度水平旋转，辅助医生更精准地诊断病灶与位置。</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14</w:t>
            </w:r>
          </w:p>
        </w:tc>
        <w:tc>
          <w:tcPr>
            <w:tcW w:w="563"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结构化报告</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可以自动将骨折影像和相关的描述信息自动生成结构化报告。</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另外，系统可根据医生书写报告习惯，在后台配置骨病灶报告的描述内容与文案模板。</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能够快速准确地识别胸部骨折中的微小伤害与多发病变。</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支持20秒内完成胸部骨折及各种骨性病变筛查；</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支持各类骨性病变检出，包括肋骨、锁骨、肩胛骨、椎骨、胸骨等，并自动给出骨折位置信息（前／后，左／右、肋骨数等位置）；</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对各种骨折性病变均有良好敏感度，包括细微骨皮质凹陷、单侧骨皮质凹陷、不完全骨折、肋骨微骨折、多发微小肋骨骨折、轻度错位、陈旧性骨折等；</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除了检出骨折外，还可以精准识别骨质破坏、骨转移、骨肿瘤、术后、疑似骨折等病变；</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15</w:t>
            </w:r>
          </w:p>
        </w:tc>
        <w:tc>
          <w:tcPr>
            <w:tcW w:w="563" w:type="dxa"/>
            <w:vMerge w:val="restart"/>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宫颈细胞病理辅助诊断</w:t>
            </w: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数据管理</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具备数据管理功能，可以进行批量的数据管理工作，包括：上传、调阅、检测、检索等功能。</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16</w:t>
            </w:r>
          </w:p>
        </w:tc>
        <w:tc>
          <w:tcPr>
            <w:tcW w:w="563"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图像浏览功能</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具备易操作的特性，支持图像及标签预览，支持自由及快速图像缩放，支持病灶快速定位等功能。</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17</w:t>
            </w:r>
          </w:p>
        </w:tc>
        <w:tc>
          <w:tcPr>
            <w:tcW w:w="563"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一键智能检测</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xml:space="preserve">  对导入平台的图像支持一键智能检测，可快速给出片级诊断检测结果，同时支持细胞计数，评价标本质量。</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 xml:space="preserve">  系统支持根据TBS标准检测鳞癌、腺癌、微生物感染等15种异常病变，医生可以点击分类标签栏快速查看相应病变细胞，并可以通过点击细胞预览图快速定位细胞位置。缩略图上具有置信度标识，支持医生对结果进行手工修改。</w:t>
            </w:r>
          </w:p>
        </w:tc>
      </w:tr>
      <w:tr>
        <w:tblPrEx>
          <w:tblLayout w:type="fixed"/>
          <w:tblCellMar>
            <w:top w:w="0" w:type="dxa"/>
            <w:left w:w="108" w:type="dxa"/>
            <w:bottom w:w="0" w:type="dxa"/>
            <w:right w:w="108" w:type="dxa"/>
          </w:tblCellMar>
        </w:tblPrEx>
        <w:trPr>
          <w:trHeight w:val="20" w:hRule="atLeast"/>
        </w:trPr>
        <w:tc>
          <w:tcPr>
            <w:tcW w:w="425"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18</w:t>
            </w:r>
          </w:p>
        </w:tc>
        <w:tc>
          <w:tcPr>
            <w:tcW w:w="563"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p>
        </w:tc>
        <w:tc>
          <w:tcPr>
            <w:tcW w:w="1238"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支持输出结构化检测报告</w:t>
            </w:r>
          </w:p>
        </w:tc>
        <w:tc>
          <w:tcPr>
            <w:tcW w:w="6274" w:type="dxa"/>
            <w:tcBorders>
              <w:top w:val="nil"/>
              <w:left w:val="nil"/>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bCs/>
                <w:color w:val="000000" w:themeColor="text1"/>
                <w:kern w:val="0"/>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rPr>
              <w:t>系统可自动生成符合TBS标准的结构化报告，支持与病理科PACS系统对接，自动返回图文报告，同时报告格式支持自定义。</w:t>
            </w:r>
          </w:p>
        </w:tc>
      </w:tr>
      <w:bookmarkEnd w:id="14"/>
      <w:bookmarkEnd w:id="15"/>
      <w:bookmarkEnd w:id="16"/>
      <w:bookmarkEnd w:id="17"/>
      <w:bookmarkEnd w:id="18"/>
      <w:bookmarkEnd w:id="19"/>
      <w:bookmarkEnd w:id="20"/>
      <w:bookmarkEnd w:id="21"/>
      <w:bookmarkEnd w:id="22"/>
    </w:tbl>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1.4 </w:t>
      </w:r>
      <w:r>
        <w:rPr>
          <w:rFonts w:hint="eastAsia" w:ascii="方正仿宋_GB2312" w:hAnsi="方正仿宋_GB2312" w:eastAsia="方正仿宋_GB2312" w:cs="方正仿宋_GB2312"/>
          <w:color w:val="000000" w:themeColor="text1"/>
          <w:highlight w:val="none"/>
          <w14:textFill>
            <w14:solidFill>
              <w14:schemeClr w14:val="tx1"/>
            </w14:solidFill>
          </w14:textFill>
        </w:rPr>
        <w:t>采购清单</w:t>
      </w:r>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1.4.1 </w:t>
      </w:r>
      <w:r>
        <w:rPr>
          <w:rFonts w:hint="eastAsia" w:ascii="方正仿宋_GB2312" w:hAnsi="方正仿宋_GB2312" w:eastAsia="方正仿宋_GB2312" w:cs="方正仿宋_GB2312"/>
          <w:color w:val="000000" w:themeColor="text1"/>
          <w:highlight w:val="none"/>
          <w14:textFill>
            <w14:solidFill>
              <w14:schemeClr w14:val="tx1"/>
            </w14:solidFill>
          </w14:textFill>
        </w:rPr>
        <w:t>定制软件清单</w:t>
      </w:r>
    </w:p>
    <w:tbl>
      <w:tblPr>
        <w:tblStyle w:val="11"/>
        <w:tblW w:w="8522" w:type="dxa"/>
        <w:tblInd w:w="0" w:type="dxa"/>
        <w:tblLayout w:type="fixed"/>
        <w:tblCellMar>
          <w:top w:w="0" w:type="dxa"/>
          <w:left w:w="108" w:type="dxa"/>
          <w:bottom w:w="0" w:type="dxa"/>
          <w:right w:w="108" w:type="dxa"/>
        </w:tblCellMar>
      </w:tblPr>
      <w:tblGrid>
        <w:gridCol w:w="874"/>
        <w:gridCol w:w="3680"/>
        <w:gridCol w:w="1991"/>
        <w:gridCol w:w="1977"/>
      </w:tblGrid>
      <w:tr>
        <w:tblPrEx>
          <w:tblLayout w:type="fixed"/>
          <w:tblCellMar>
            <w:top w:w="0" w:type="dxa"/>
            <w:left w:w="108" w:type="dxa"/>
            <w:bottom w:w="0" w:type="dxa"/>
            <w:right w:w="108" w:type="dxa"/>
          </w:tblCellMar>
        </w:tblPrEx>
        <w:trPr>
          <w:trHeight w:val="480" w:hRule="atLeast"/>
        </w:trPr>
        <w:tc>
          <w:tcPr>
            <w:tcW w:w="87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序号</w:t>
            </w:r>
          </w:p>
        </w:tc>
        <w:tc>
          <w:tcPr>
            <w:tcW w:w="3680" w:type="dxa"/>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建设内容</w:t>
            </w:r>
          </w:p>
        </w:tc>
        <w:tc>
          <w:tcPr>
            <w:tcW w:w="1991" w:type="dxa"/>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单位</w:t>
            </w:r>
          </w:p>
        </w:tc>
        <w:tc>
          <w:tcPr>
            <w:tcW w:w="1977" w:type="dxa"/>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数量</w:t>
            </w:r>
          </w:p>
        </w:tc>
      </w:tr>
      <w:tr>
        <w:tblPrEx>
          <w:tblLayout w:type="fixed"/>
          <w:tblCellMar>
            <w:top w:w="0" w:type="dxa"/>
            <w:left w:w="108" w:type="dxa"/>
            <w:bottom w:w="0" w:type="dxa"/>
            <w:right w:w="108" w:type="dxa"/>
          </w:tblCellMar>
        </w:tblPrEx>
        <w:trPr>
          <w:trHeight w:val="300" w:hRule="atLeast"/>
        </w:trPr>
        <w:tc>
          <w:tcPr>
            <w:tcW w:w="874"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3680"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临床专科质控中心管理系统</w:t>
            </w:r>
          </w:p>
        </w:tc>
        <w:tc>
          <w:tcPr>
            <w:tcW w:w="199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套</w:t>
            </w:r>
          </w:p>
        </w:tc>
        <w:tc>
          <w:tcPr>
            <w:tcW w:w="1977"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r>
      <w:tr>
        <w:tblPrEx>
          <w:tblLayout w:type="fixed"/>
          <w:tblCellMar>
            <w:top w:w="0" w:type="dxa"/>
            <w:left w:w="108" w:type="dxa"/>
            <w:bottom w:w="0" w:type="dxa"/>
            <w:right w:w="108" w:type="dxa"/>
          </w:tblCellMar>
        </w:tblPrEx>
        <w:trPr>
          <w:trHeight w:val="300" w:hRule="atLeast"/>
        </w:trPr>
        <w:tc>
          <w:tcPr>
            <w:tcW w:w="874"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w:t>
            </w:r>
          </w:p>
        </w:tc>
        <w:tc>
          <w:tcPr>
            <w:tcW w:w="3680" w:type="dxa"/>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医院患者主索引服务和多码协同应用</w:t>
            </w:r>
          </w:p>
        </w:tc>
        <w:tc>
          <w:tcPr>
            <w:tcW w:w="1991"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套</w:t>
            </w:r>
          </w:p>
        </w:tc>
        <w:tc>
          <w:tcPr>
            <w:tcW w:w="1977" w:type="dxa"/>
            <w:tcBorders>
              <w:top w:val="nil"/>
              <w:left w:val="nil"/>
              <w:bottom w:val="single" w:color="auto" w:sz="4" w:space="0"/>
              <w:right w:val="single" w:color="auto" w:sz="4" w:space="0"/>
            </w:tcBorders>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r>
    </w:tbl>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1.4.2 </w:t>
      </w:r>
      <w:r>
        <w:rPr>
          <w:rFonts w:hint="eastAsia" w:ascii="方正仿宋_GB2312" w:hAnsi="方正仿宋_GB2312" w:eastAsia="方正仿宋_GB2312" w:cs="方正仿宋_GB2312"/>
          <w:color w:val="000000" w:themeColor="text1"/>
          <w:highlight w:val="none"/>
          <w14:textFill>
            <w14:solidFill>
              <w14:schemeClr w14:val="tx1"/>
            </w14:solidFill>
          </w14:textFill>
        </w:rPr>
        <w:t>成品软件清单</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2016"/>
        <w:gridCol w:w="2974"/>
        <w:gridCol w:w="578"/>
        <w:gridCol w:w="576"/>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66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序号</w:t>
            </w:r>
          </w:p>
        </w:tc>
        <w:tc>
          <w:tcPr>
            <w:tcW w:w="201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系统名称</w:t>
            </w:r>
          </w:p>
        </w:tc>
        <w:tc>
          <w:tcPr>
            <w:tcW w:w="2974"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一级模块</w:t>
            </w:r>
          </w:p>
        </w:tc>
        <w:tc>
          <w:tcPr>
            <w:tcW w:w="57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单位</w:t>
            </w:r>
          </w:p>
        </w:tc>
        <w:tc>
          <w:tcPr>
            <w:tcW w:w="57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数量</w:t>
            </w:r>
          </w:p>
        </w:tc>
        <w:tc>
          <w:tcPr>
            <w:tcW w:w="1712"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66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201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区域影像共享中心</w:t>
            </w:r>
          </w:p>
        </w:tc>
        <w:tc>
          <w:tcPr>
            <w:tcW w:w="2974"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57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57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1712"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666"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2016" w:type="dxa"/>
            <w:vMerge w:val="restart"/>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影像共享中心省端</w:t>
            </w:r>
          </w:p>
        </w:tc>
        <w:tc>
          <w:tcPr>
            <w:tcW w:w="2974"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影像共享中心</w:t>
            </w:r>
          </w:p>
        </w:tc>
        <w:tc>
          <w:tcPr>
            <w:tcW w:w="578"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套</w:t>
            </w:r>
          </w:p>
        </w:tc>
        <w:tc>
          <w:tcPr>
            <w:tcW w:w="576"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712"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01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974"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医学影像云计算引擎</w:t>
            </w:r>
          </w:p>
        </w:tc>
        <w:tc>
          <w:tcPr>
            <w:tcW w:w="578"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57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1712"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01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974"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Web医学影像共享浏览应用系统</w:t>
            </w:r>
          </w:p>
        </w:tc>
        <w:tc>
          <w:tcPr>
            <w:tcW w:w="578"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57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1712"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666" w:type="dxa"/>
            <w:vMerge w:val="restart"/>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w:t>
            </w:r>
          </w:p>
        </w:tc>
        <w:tc>
          <w:tcPr>
            <w:tcW w:w="2016" w:type="dxa"/>
            <w:vMerge w:val="restart"/>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影像共享中心医院端</w:t>
            </w:r>
          </w:p>
        </w:tc>
        <w:tc>
          <w:tcPr>
            <w:tcW w:w="2974"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单体医院影像数据中心</w:t>
            </w:r>
          </w:p>
        </w:tc>
        <w:tc>
          <w:tcPr>
            <w:tcW w:w="57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套</w:t>
            </w:r>
          </w:p>
        </w:tc>
        <w:tc>
          <w:tcPr>
            <w:tcW w:w="57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6.00 </w:t>
            </w:r>
          </w:p>
        </w:tc>
        <w:tc>
          <w:tcPr>
            <w:tcW w:w="1712"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海南医科大学第一附属医院、海南医科大学第二附属医院、海南省老年病医院、海南省妇女儿童医学中心、海南省安宁医院及三医云HIS。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01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974"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各接入医院远程同屏会诊应用</w:t>
            </w:r>
          </w:p>
        </w:tc>
        <w:tc>
          <w:tcPr>
            <w:tcW w:w="57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套</w:t>
            </w:r>
          </w:p>
        </w:tc>
        <w:tc>
          <w:tcPr>
            <w:tcW w:w="57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6.00 </w:t>
            </w:r>
          </w:p>
        </w:tc>
        <w:tc>
          <w:tcPr>
            <w:tcW w:w="1712"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海南医科大学第一附属医院、海南医科大学第二附属医院、海南省老年病医院、海南省妇女儿童医学中心、海南省安宁医院及三医云HIS。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66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w:t>
            </w:r>
          </w:p>
        </w:tc>
        <w:tc>
          <w:tcPr>
            <w:tcW w:w="201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医院影像辅助诊断系统</w:t>
            </w:r>
          </w:p>
        </w:tc>
        <w:tc>
          <w:tcPr>
            <w:tcW w:w="2974"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57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57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1712"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66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201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乳腺癌DR影像辅助诊断</w:t>
            </w:r>
          </w:p>
        </w:tc>
        <w:tc>
          <w:tcPr>
            <w:tcW w:w="2974"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1.自动病灶检出</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2.自动征象识别</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3.自动腺体分型</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4.自动配准</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5.自动良恶性分级</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6.自动生成图文报告</w:t>
            </w:r>
          </w:p>
        </w:tc>
        <w:tc>
          <w:tcPr>
            <w:tcW w:w="57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套</w:t>
            </w:r>
          </w:p>
        </w:tc>
        <w:tc>
          <w:tcPr>
            <w:tcW w:w="57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4.00 </w:t>
            </w:r>
          </w:p>
        </w:tc>
        <w:tc>
          <w:tcPr>
            <w:tcW w:w="1712" w:type="dxa"/>
            <w:vMerge w:val="restart"/>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海南省人民医院、海南医科大学第一附属医院、海南医科大学第二附属医院涉及乳腺癌DR影像辅助诊断、肺癌CT影像辅助诊断、胸部CT影像辅助诊断、宫颈细胞病理辅助诊断各1套</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海南省妇女儿童医学中心涉及乳腺癌DR影像辅助诊断、肺癌CT影像辅助诊断、宫颈细胞病理辅助诊断内容。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66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w:t>
            </w:r>
          </w:p>
        </w:tc>
        <w:tc>
          <w:tcPr>
            <w:tcW w:w="201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肺癌CT影像辅助诊断</w:t>
            </w:r>
          </w:p>
        </w:tc>
        <w:tc>
          <w:tcPr>
            <w:tcW w:w="2974"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1.肺部疾病CT诊断模块</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2.肺结节CT影像科研模块</w:t>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br w:type="textWrapping"/>
            </w: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3.智能随访管理</w:t>
            </w:r>
          </w:p>
        </w:tc>
        <w:tc>
          <w:tcPr>
            <w:tcW w:w="57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套</w:t>
            </w:r>
          </w:p>
        </w:tc>
        <w:tc>
          <w:tcPr>
            <w:tcW w:w="57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4.00 </w:t>
            </w:r>
          </w:p>
        </w:tc>
        <w:tc>
          <w:tcPr>
            <w:tcW w:w="1712"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66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（3）</w:t>
            </w:r>
          </w:p>
        </w:tc>
        <w:tc>
          <w:tcPr>
            <w:tcW w:w="201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胸部CT影像辅助诊断</w:t>
            </w:r>
          </w:p>
        </w:tc>
        <w:tc>
          <w:tcPr>
            <w:tcW w:w="2974"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根据胸部CT影像薄层序列智能分析胸部肋骨、椎骨、肩胛骨、锁骨等骨折或病变情况，并将骨折位置直观显示出来，大幅度减轻医生体力和眼力负担，同时降低漏诊风险。</w:t>
            </w:r>
          </w:p>
        </w:tc>
        <w:tc>
          <w:tcPr>
            <w:tcW w:w="57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套</w:t>
            </w:r>
          </w:p>
        </w:tc>
        <w:tc>
          <w:tcPr>
            <w:tcW w:w="57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3.00 </w:t>
            </w:r>
          </w:p>
        </w:tc>
        <w:tc>
          <w:tcPr>
            <w:tcW w:w="1712"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66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（4）</w:t>
            </w:r>
          </w:p>
        </w:tc>
        <w:tc>
          <w:tcPr>
            <w:tcW w:w="201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宫颈细胞病理辅助诊断</w:t>
            </w:r>
          </w:p>
        </w:tc>
        <w:tc>
          <w:tcPr>
            <w:tcW w:w="2974"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应用深度学习等人工智能细胞病理诊断技术，对宫颈细胞涂片进行扫描分析、快速初筛，剔除阴性病例，提供异常/可疑病例证据，提升医疗机构病理科工作效率。</w:t>
            </w:r>
          </w:p>
        </w:tc>
        <w:tc>
          <w:tcPr>
            <w:tcW w:w="57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套</w:t>
            </w:r>
          </w:p>
        </w:tc>
        <w:tc>
          <w:tcPr>
            <w:tcW w:w="57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4.00 </w:t>
            </w:r>
          </w:p>
        </w:tc>
        <w:tc>
          <w:tcPr>
            <w:tcW w:w="1712"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r>
    </w:tbl>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1.4.3 </w:t>
      </w:r>
      <w:r>
        <w:rPr>
          <w:rFonts w:hint="eastAsia" w:ascii="方正仿宋_GB2312" w:hAnsi="方正仿宋_GB2312" w:eastAsia="方正仿宋_GB2312" w:cs="方正仿宋_GB2312"/>
          <w:color w:val="000000" w:themeColor="text1"/>
          <w:highlight w:val="none"/>
          <w14:textFill>
            <w14:solidFill>
              <w14:schemeClr w14:val="tx1"/>
            </w14:solidFill>
          </w14:textFill>
        </w:rPr>
        <w:t>系统集成相关配套清单</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2376"/>
        <w:gridCol w:w="2300"/>
        <w:gridCol w:w="607"/>
        <w:gridCol w:w="758"/>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序号</w:t>
            </w:r>
          </w:p>
        </w:tc>
        <w:tc>
          <w:tcPr>
            <w:tcW w:w="237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名称</w:t>
            </w:r>
          </w:p>
        </w:tc>
        <w:tc>
          <w:tcPr>
            <w:tcW w:w="2300"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参数要求</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单位</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数量</w:t>
            </w:r>
          </w:p>
        </w:tc>
        <w:tc>
          <w:tcPr>
            <w:tcW w:w="1815"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一</w:t>
            </w: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系统集成实施服务</w:t>
            </w:r>
          </w:p>
        </w:tc>
        <w:tc>
          <w:tcPr>
            <w:tcW w:w="2300"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1815"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系统集成实施服务</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针对本项目建设内容的系统集成实施服务。</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二</w:t>
            </w: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接口开发</w:t>
            </w:r>
          </w:p>
        </w:tc>
        <w:tc>
          <w:tcPr>
            <w:tcW w:w="2300"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1815"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2376"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区域影像共享中心接口开发</w:t>
            </w:r>
          </w:p>
        </w:tc>
        <w:tc>
          <w:tcPr>
            <w:tcW w:w="2300"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医院端院内接口</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3.00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海南医科大学第一附属医院、海南医科大学第二附属医院及三医云HIS:需对接放射PACS、超声PACS、内镜PACS，病理PACS，核医学PACS、心电系统、LIS，HIS、EMR系统。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三</w:t>
            </w:r>
          </w:p>
        </w:tc>
        <w:tc>
          <w:tcPr>
            <w:tcW w:w="2376" w:type="dxa"/>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推广部署服务</w:t>
            </w:r>
          </w:p>
        </w:tc>
        <w:tc>
          <w:tcPr>
            <w:tcW w:w="2300" w:type="dxa"/>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607" w:type="dxa"/>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758" w:type="dxa"/>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医院患者主索引服务和多码协同应用</w:t>
            </w:r>
          </w:p>
        </w:tc>
        <w:tc>
          <w:tcPr>
            <w:tcW w:w="2300"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restart"/>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海南省人民医院（观澜湖院区）</w:t>
            </w:r>
          </w:p>
        </w:tc>
        <w:tc>
          <w:tcPr>
            <w:tcW w:w="2300"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患者主索引服务和多码协同应用部署</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包含电子健康卡主索引多码协同平台部署，与海南省多码协同平台联通对接、与医院业务系统对接、与医院业务系统同步档案信息、与医院集成平台形成索引同步、与国家网络身份认证公共服务平台对接</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医院节点多码协同应用服务</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医保电子凭证协同、医院电子码对接、基于省平台多码协同的互务能力与医院多码协同整合、医院码与省平台码的扫码识别、医院码与省平台码的二维码转发、医院码与省平台码的身份信息接收、扫码操作类型定义、向省级平台进行日志信息汇聚</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医院节点统一解码动态库</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包含医院业务系统多种接入方式、医院动态库操作日志、业务系统调用显示统一界面授权扫码窗口、医院码等多种码解码</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业务系统实施部署</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包括医院HIS或集成平台、小程序、收费窗口、自助机、签到机、诊间、检验检查、药房等场景改造</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restart"/>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w:t>
            </w: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海南医科大学第一附属医院</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患者主索引服务和多码协同应用部署</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包含电子健康卡主索引多码协同平台部署，与海南省多码协同平台联通对接、与医院业务系统对接、与医院业务系统同步档案信息、与医院集成平台形成索引同步、与国家网络身份认证公共服务平台对接</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医院节点多码协同应用服务</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医保电子凭证协同、医院电子码对接、基于省平台多码协同的互务能力与医院多码协同整合、医院码与省平台码的扫码识别、医院码与省平台码的二维码转发、医院码与省平台码的身份信息接收、扫码操作类型定义、向省级平台进行日志信息汇聚</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医院节点统一解码动态库</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包含医院业务系统多种接入方式、医院动态库操作日志、业务系统调用显示统一界面授权扫码窗口、医院码等多种码解码</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业务系统实施部署</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包括医院HIS或集成平台、小程序、收费窗口、自助机、签到机、诊间、检验检查、药房等场景改造</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restart"/>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（3）</w:t>
            </w: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海南省妇女儿童医学中心</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患者主索引服务和多码协同应用部署</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包含电子健康卡主索引多码协同平台部署，与海南省多码协同平台联通对接、与医院业务系统对接、与医院业务系统同步档案信息、与医院集成平台形成索引同步、与国家网络身份认证公共服务平台对接</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医院节点多码协同应用服务</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医保电子凭证协同、医院电子码对接、基于省平台多码协同的互务能力与医院多码协同整合、医院码与省平台码的扫码识别、医院码与省平台码的二维码转发、医院码与省平台码的身份信息接收、扫码操作类型定义、向省级平台进行日志信息汇聚</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医院节点统一解码动态库</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包含医院业务系统多种接入方式、医院动态库操作日志、业务系统调用显示统一界面授权扫码窗口、医院码等多种码解码</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业务系统实施部署</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包括医院HIS或集成平台、小程序、收费窗口、自助机、签到机、诊间、检验检查、药房等场景改造</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restart"/>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（4）</w:t>
            </w: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海南医科大学第二附属医院</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患者主索引服务和多码协同应用部署</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包含电子健康卡主索引多码协同平台部署，与海南省多码协同平台联通对接、与医院业务系统对接、与医院业务系统同步档案信息、与医院集成平台形成索引同步、与国家网络身份认证公共服务平台对接</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医院节点多码协同应用服务</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医保电子凭证协同、医院电子码对接、基于省平台多码协同的互务能力与医院多码协同整合、医院码与省平台码的扫码识别、医院码与省平台码的二维码转发、医院码与省平台码的身份信息接收、扫码操作类型定义、向省级平台进行日志信息汇聚</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医院节点统一解码动态库</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包含医院业务系统多种接入方式、医院动态库操作日志、业务系统调用显示统一界面授权扫码窗口、医院码等多种码解码</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业务系统实施部署</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包括医院HIS或集成平台、小程序、收费窗口、自助机、签到机、诊间、检验检查、药房等场景改造</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restart"/>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（5）</w:t>
            </w: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海南省安宁医院</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患者主索引服务和多码协同应用部署</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包含电子健康卡主索引多码协同平台部署，与海南省多码协同平台联通对接、与医院业务系统对接、与医院业务系统同步档案信息、与医院集成平台形成索引同步、与国家网络身份认证公共服务平台对接</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医院节点多码协同应用服务</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医保电子凭证协同、医院电子码对接、基于省平台多码协同的互务能力与医院多码协同整合、医院码与省平台码的扫码识别、医院码与省平台码的二维码转发、医院码与省平台码的身份信息接收、扫码操作类型定义、向省级平台进行日志信息汇聚</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医院节点统一解码动态库</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包含医院业务系统多种接入方式、医院动态库操作日志、业务系统调用显示统一界面授权扫码窗口、医院码等多种码解码</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业务系统实施部署</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包括医院HIS或集成平台、小程序、收费窗口、自助机、签到机、诊间、检验检查、药房等场景改造</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restart"/>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（6）</w:t>
            </w: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海南省老年病医院</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患者主索引服务和多码协同应用部署</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包含电子健康卡主索引多码协同平台部署，与海南省多码协同平台联通对接、与医院业务系统对接、与医院业务系统同步档案信息、与医院集成平台形成索引同步、与国家网络身份认证公共服务平台对接</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医院节点多码协同应用服务</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医保电子凭证协同、医院电子码对接、基于省平台多码协同的互务能力与医院多码协同整合、医院码与省平台码的扫码识别、医院码与省平台码的二维码转发、医院码与省平台码的身份信息接收、扫码操作类型定义、向省级平台进行日志信息汇聚</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医院节点统一解码动态库</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包含医院业务系统多种接入方式、医院动态库操作日志、业务系统调用显示统一界面授权扫码窗口、医院码等多种码解码</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66" w:type="dxa"/>
            <w:vMerge w:val="continue"/>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p>
        </w:tc>
        <w:tc>
          <w:tcPr>
            <w:tcW w:w="2376"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业务系统实施部署</w:t>
            </w:r>
          </w:p>
        </w:tc>
        <w:tc>
          <w:tcPr>
            <w:tcW w:w="2300" w:type="dxa"/>
            <w:shd w:val="clear" w:color="000000" w:fill="FFFFFF"/>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包括医院HIS或集成平台、小程序、收费窗口、自助机、签到机、诊间、检验检查、药房等场景改造</w:t>
            </w:r>
          </w:p>
        </w:tc>
        <w:tc>
          <w:tcPr>
            <w:tcW w:w="607"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项　</w:t>
            </w:r>
          </w:p>
        </w:tc>
        <w:tc>
          <w:tcPr>
            <w:tcW w:w="758" w:type="dxa"/>
            <w:shd w:val="clear" w:color="000000" w:fill="FFFFFF"/>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xml:space="preserve">1.00 </w:t>
            </w:r>
          </w:p>
        </w:tc>
        <w:tc>
          <w:tcPr>
            <w:tcW w:w="1815"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　</w:t>
            </w:r>
          </w:p>
        </w:tc>
      </w:tr>
    </w:tbl>
    <w:p>
      <w:pPr>
        <w:pStyle w:val="4"/>
        <w:numPr>
          <w:ilvl w:val="2"/>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w:t>
      </w:r>
      <w:r>
        <w:rPr>
          <w:rFonts w:hint="eastAsia" w:ascii="方正仿宋_GB2312" w:hAnsi="方正仿宋_GB2312" w:eastAsia="方正仿宋_GB2312" w:cs="方正仿宋_GB2312"/>
          <w:color w:val="000000" w:themeColor="text1"/>
          <w:highlight w:val="none"/>
          <w14:textFill>
            <w14:solidFill>
              <w14:schemeClr w14:val="tx1"/>
            </w14:solidFill>
          </w14:textFill>
        </w:rPr>
        <w:t>商务要求</w:t>
      </w:r>
    </w:p>
    <w:p>
      <w:pPr>
        <w:keepNext w:val="0"/>
        <w:keepLines w:val="0"/>
        <w:widowControl w:val="0"/>
        <w:numPr>
          <w:ilvl w:val="0"/>
          <w:numId w:val="0"/>
        </w:numPr>
        <w:suppressLineNumbers w:val="0"/>
        <w:tabs>
          <w:tab w:val="left" w:pos="0"/>
        </w:tabs>
        <w:spacing w:before="0" w:beforeAutospacing="0" w:after="0" w:afterAutospacing="0" w:line="360" w:lineRule="auto"/>
        <w:ind w:right="0" w:rightChars="0"/>
        <w:jc w:val="both"/>
        <w:rPr>
          <w:rFonts w:hint="eastAsia" w:ascii="方正仿宋_GB2312" w:hAnsi="方正仿宋_GB2312" w:eastAsia="方正仿宋_GB2312" w:cs="方正仿宋_GB2312"/>
          <w:b/>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b/>
          <w:color w:val="000000" w:themeColor="text1"/>
          <w:kern w:val="2"/>
          <w:sz w:val="21"/>
          <w:szCs w:val="21"/>
          <w:highlight w:val="none"/>
          <w:lang w:val="en-US" w:eastAsia="zh-CN" w:bidi="ar"/>
          <w14:textFill>
            <w14:solidFill>
              <w14:schemeClr w14:val="tx1"/>
            </w14:solidFill>
          </w14:textFill>
        </w:rPr>
        <w:t>2.1 服务期限</w:t>
      </w:r>
    </w:p>
    <w:p>
      <w:pPr>
        <w:keepNext w:val="0"/>
        <w:keepLines w:val="0"/>
        <w:widowControl w:val="0"/>
        <w:numPr>
          <w:ilvl w:val="0"/>
          <w:numId w:val="0"/>
        </w:numPr>
        <w:suppressLineNumbers w:val="0"/>
        <w:tabs>
          <w:tab w:val="left" w:pos="0"/>
        </w:tabs>
        <w:spacing w:before="0" w:beforeAutospacing="0" w:after="0" w:afterAutospacing="0" w:line="360" w:lineRule="auto"/>
        <w:ind w:right="0" w:rightChars="0" w:firstLine="420" w:firstLineChars="200"/>
        <w:jc w:val="both"/>
        <w:rPr>
          <w:rFonts w:hint="default" w:ascii="方正仿宋_GB2312" w:hAnsi="方正仿宋_GB2312" w:eastAsia="方正仿宋_GB2312" w:cs="方正仿宋_GB2312"/>
          <w:b w:val="0"/>
          <w:bCs/>
          <w:color w:val="000000" w:themeColor="text1"/>
          <w:kern w:val="2"/>
          <w:sz w:val="21"/>
          <w:szCs w:val="21"/>
          <w:highlight w:val="none"/>
          <w:lang w:val="en-US" w:eastAsia="zh-CN" w:bidi="ar"/>
          <w14:textFill>
            <w14:solidFill>
              <w14:schemeClr w14:val="tx1"/>
            </w14:solidFill>
          </w14:textFill>
        </w:rPr>
      </w:pPr>
      <w:r>
        <w:rPr>
          <w:rFonts w:hint="default" w:ascii="方正仿宋_GB2312" w:hAnsi="方正仿宋_GB2312" w:eastAsia="方正仿宋_GB2312" w:cs="方正仿宋_GB2312"/>
          <w:b w:val="0"/>
          <w:bCs/>
          <w:color w:val="000000" w:themeColor="text1"/>
          <w:kern w:val="2"/>
          <w:sz w:val="21"/>
          <w:szCs w:val="21"/>
          <w:highlight w:val="none"/>
          <w:lang w:val="en-US" w:eastAsia="zh-CN" w:bidi="ar"/>
          <w14:textFill>
            <w14:solidFill>
              <w14:schemeClr w14:val="tx1"/>
            </w14:solidFill>
          </w14:textFill>
        </w:rPr>
        <w:t>项目建设周期为24个月，自本合同签订之日起计算24个月内完成全部项目内容。</w:t>
      </w:r>
      <w:r>
        <w:rPr>
          <w:rFonts w:hint="eastAsia" w:ascii="方正仿宋_GB2312" w:hAnsi="方正仿宋_GB2312" w:eastAsia="方正仿宋_GB2312" w:cs="方正仿宋_GB2312"/>
          <w:b w:val="0"/>
          <w:bCs/>
          <w:color w:val="000000" w:themeColor="text1"/>
          <w:kern w:val="2"/>
          <w:sz w:val="21"/>
          <w:szCs w:val="21"/>
          <w:highlight w:val="none"/>
          <w:lang w:val="en-US" w:eastAsia="zh-CN" w:bidi="ar"/>
          <w14:textFill>
            <w14:solidFill>
              <w14:schemeClr w14:val="tx1"/>
            </w14:solidFill>
          </w14:textFill>
        </w:rPr>
        <w:t>中标单位</w:t>
      </w:r>
      <w:r>
        <w:rPr>
          <w:rFonts w:hint="default" w:ascii="方正仿宋_GB2312" w:hAnsi="方正仿宋_GB2312" w:eastAsia="方正仿宋_GB2312" w:cs="方正仿宋_GB2312"/>
          <w:b w:val="0"/>
          <w:bCs/>
          <w:color w:val="000000" w:themeColor="text1"/>
          <w:kern w:val="2"/>
          <w:sz w:val="21"/>
          <w:szCs w:val="21"/>
          <w:highlight w:val="none"/>
          <w:lang w:val="en-US" w:eastAsia="zh-CN" w:bidi="ar"/>
          <w14:textFill>
            <w14:solidFill>
              <w14:schemeClr w14:val="tx1"/>
            </w14:solidFill>
          </w14:textFill>
        </w:rPr>
        <w:t>需提供完善、合理的实施进度计划，并通过完善的项目实施保障措施，保证本项目顺利上线，并配合</w:t>
      </w:r>
      <w:r>
        <w:rPr>
          <w:rFonts w:hint="eastAsia" w:ascii="方正仿宋_GB2312" w:hAnsi="方正仿宋_GB2312" w:eastAsia="方正仿宋_GB2312" w:cs="方正仿宋_GB2312"/>
          <w:b w:val="0"/>
          <w:bCs/>
          <w:color w:val="000000" w:themeColor="text1"/>
          <w:kern w:val="2"/>
          <w:sz w:val="21"/>
          <w:szCs w:val="21"/>
          <w:highlight w:val="none"/>
          <w:lang w:val="en-US" w:eastAsia="zh-CN" w:bidi="ar"/>
          <w14:textFill>
            <w14:solidFill>
              <w14:schemeClr w14:val="tx1"/>
            </w14:solidFill>
          </w14:textFill>
        </w:rPr>
        <w:t>采购人</w:t>
      </w:r>
      <w:r>
        <w:rPr>
          <w:rFonts w:hint="default" w:ascii="方正仿宋_GB2312" w:hAnsi="方正仿宋_GB2312" w:eastAsia="方正仿宋_GB2312" w:cs="方正仿宋_GB2312"/>
          <w:b w:val="0"/>
          <w:bCs/>
          <w:color w:val="000000" w:themeColor="text1"/>
          <w:kern w:val="2"/>
          <w:sz w:val="21"/>
          <w:szCs w:val="21"/>
          <w:highlight w:val="none"/>
          <w:lang w:val="en-US" w:eastAsia="zh-CN" w:bidi="ar"/>
          <w14:textFill>
            <w14:solidFill>
              <w14:schemeClr w14:val="tx1"/>
            </w14:solidFill>
          </w14:textFill>
        </w:rPr>
        <w:t>根据项目实际情况进行建设进度计划调整。本项目免费维保期及质量保证期为2年，自项目竣工验收合格之日起计算。</w:t>
      </w:r>
    </w:p>
    <w:p>
      <w:pPr>
        <w:keepNext w:val="0"/>
        <w:keepLines w:val="0"/>
        <w:widowControl w:val="0"/>
        <w:numPr>
          <w:ilvl w:val="0"/>
          <w:numId w:val="0"/>
        </w:numPr>
        <w:suppressLineNumbers w:val="0"/>
        <w:tabs>
          <w:tab w:val="left" w:pos="0"/>
        </w:tabs>
        <w:spacing w:before="0" w:beforeAutospacing="0" w:after="0" w:afterAutospacing="0" w:line="360" w:lineRule="auto"/>
        <w:ind w:right="0" w:rightChars="0"/>
        <w:jc w:val="both"/>
        <w:rPr>
          <w:rFonts w:hint="eastAsia" w:ascii="方正仿宋_GB2312" w:hAnsi="方正仿宋_GB2312" w:eastAsia="方正仿宋_GB2312" w:cs="方正仿宋_GB2312"/>
          <w:b/>
          <w:color w:val="000000" w:themeColor="text1"/>
          <w:kern w:val="2"/>
          <w:sz w:val="21"/>
          <w:szCs w:val="21"/>
          <w:highlight w:val="none"/>
          <w14:textFill>
            <w14:solidFill>
              <w14:schemeClr w14:val="tx1"/>
            </w14:solidFill>
          </w14:textFill>
        </w:rPr>
      </w:pPr>
      <w:r>
        <w:rPr>
          <w:rFonts w:hint="eastAsia" w:ascii="方正仿宋_GB2312" w:hAnsi="方正仿宋_GB2312" w:eastAsia="方正仿宋_GB2312" w:cs="方正仿宋_GB2312"/>
          <w:b/>
          <w:color w:val="000000" w:themeColor="text1"/>
          <w:kern w:val="2"/>
          <w:sz w:val="21"/>
          <w:szCs w:val="21"/>
          <w:highlight w:val="none"/>
          <w:lang w:val="en-US" w:eastAsia="zh-CN" w:bidi="ar"/>
          <w14:textFill>
            <w14:solidFill>
              <w14:schemeClr w14:val="tx1"/>
            </w14:solidFill>
          </w14:textFill>
        </w:rPr>
        <w:t>2.2付款方式</w:t>
      </w:r>
    </w:p>
    <w:p>
      <w:pPr>
        <w:keepNext w:val="0"/>
        <w:keepLines w:val="0"/>
        <w:widowControl w:val="0"/>
        <w:suppressLineNumbers w:val="0"/>
        <w:spacing w:before="0" w:beforeAutospacing="0" w:after="0" w:afterAutospacing="0" w:line="360" w:lineRule="auto"/>
        <w:ind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自本合同签订之日起，甲方凭乙方开具的正式有效增值税普通发票在3个工作日内，向乙方支付合同金额的30%作为首付款；</w:t>
      </w:r>
    </w:p>
    <w:p>
      <w:pPr>
        <w:keepNext w:val="0"/>
        <w:keepLines w:val="0"/>
        <w:widowControl w:val="0"/>
        <w:suppressLineNumbers w:val="0"/>
        <w:spacing w:before="0" w:beforeAutospacing="0" w:after="0" w:afterAutospacing="0" w:line="360" w:lineRule="auto"/>
        <w:ind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项目建设完成，通过甲方组织的预验收后，甲方在收到乙方开具的正式有效增值税普通发票3个工作日内，向乙方支付合同总额的30%作为预验收款；</w:t>
      </w:r>
    </w:p>
    <w:p>
      <w:pPr>
        <w:keepNext w:val="0"/>
        <w:keepLines w:val="0"/>
        <w:widowControl w:val="0"/>
        <w:suppressLineNumbers w:val="0"/>
        <w:spacing w:before="0" w:beforeAutospacing="0" w:after="0" w:afterAutospacing="0" w:line="360" w:lineRule="auto"/>
        <w:ind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项目整体竣工验收通过后（还需甲方聘请专业的第三方测试机构提供的测试合格确认文件），自甲方签署验收合格确认文件之日起30天内，甲方在收到乙方开具的正式有效增值税普通发票3个工作日内，向乙方支付合同总额的35%作为终验款。</w:t>
      </w:r>
    </w:p>
    <w:p>
      <w:pPr>
        <w:keepNext w:val="0"/>
        <w:keepLines w:val="0"/>
        <w:widowControl w:val="0"/>
        <w:suppressLineNumbers w:val="0"/>
        <w:spacing w:before="0" w:beforeAutospacing="0" w:after="0" w:afterAutospacing="0" w:line="360" w:lineRule="auto"/>
        <w:ind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本合同免费维保期及质保期届满且无质量问题，乙方按照合同约定完成维保服务后，甲方在收到乙方开具的合规增值税普通发票3个工作日内，向乙方支付合同金额5%。</w:t>
      </w:r>
    </w:p>
    <w:p>
      <w:pPr>
        <w:keepNext w:val="0"/>
        <w:keepLines w:val="0"/>
        <w:widowControl w:val="0"/>
        <w:suppressLineNumbers w:val="0"/>
        <w:spacing w:before="0" w:beforeAutospacing="0" w:after="0" w:afterAutospacing="0" w:line="360" w:lineRule="auto"/>
        <w:ind w:right="0" w:firstLine="420" w:firstLineChars="200"/>
        <w:jc w:val="both"/>
        <w:rPr>
          <w:rFonts w:hint="eastAsia" w:ascii="方正仿宋_GB2312" w:hAnsi="方正仿宋_GB2312" w:eastAsia="方正仿宋_GB2312" w:cs="方正仿宋_GB2312"/>
          <w:color w:val="000000" w:themeColor="text1"/>
          <w:kern w:val="2"/>
          <w:sz w:val="2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具体付款方式以签订合同为准。</w:t>
      </w:r>
    </w:p>
    <w:p>
      <w:pPr>
        <w:keepNext w:val="0"/>
        <w:keepLines w:val="0"/>
        <w:widowControl w:val="0"/>
        <w:suppressLineNumbers w:val="0"/>
        <w:spacing w:before="0" w:beforeAutospacing="0" w:after="0" w:afterAutospacing="0" w:line="360" w:lineRule="auto"/>
        <w:ind w:right="0" w:firstLine="420" w:firstLineChars="200"/>
        <w:jc w:val="both"/>
        <w:rPr>
          <w:rFonts w:hint="eastAsia" w:ascii="方正仿宋_GB2312" w:hAnsi="方正仿宋_GB2312" w:eastAsia="方正仿宋_GB2312" w:cs="方正仿宋_GB2312"/>
          <w:color w:val="000000" w:themeColor="text1"/>
          <w:kern w:val="2"/>
          <w:sz w:val="2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中标单位凭以下有效文件与采购人结算：（1）合同；（2）中标单位开具的正式发票；（3）付款申请。中标单位请款时需提供依法纳税的全额发票，并应理解政府部门付款的相关程序。</w:t>
      </w:r>
      <w:r>
        <w:rPr>
          <w:rFonts w:hint="eastAsia" w:ascii="方正仿宋_GB2312" w:hAnsi="方正仿宋_GB2312" w:eastAsia="方正仿宋_GB2312" w:cs="方正仿宋_GB2312"/>
          <w:color w:val="000000" w:themeColor="text1"/>
          <w:sz w:val="21"/>
          <w:szCs w:val="21"/>
          <w:highlight w:val="none"/>
          <w:lang w:val="en-US" w:eastAsia="zh-CN"/>
          <w14:textFill>
            <w14:solidFill>
              <w14:schemeClr w14:val="tx1"/>
            </w14:solidFill>
          </w14:textFill>
        </w:rPr>
        <w:t>实际支付进度以财政厅下达资金为准。申请付款时，如</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sz w:val="21"/>
          <w:szCs w:val="21"/>
          <w:highlight w:val="none"/>
          <w:lang w:val="en-US" w:eastAsia="zh-CN"/>
          <w14:textFill>
            <w14:solidFill>
              <w14:schemeClr w14:val="tx1"/>
            </w14:solidFill>
          </w14:textFill>
        </w:rPr>
        <w:t>提供的材料不完整、不真实，采购人有权暂缓付款而不视为违约。</w:t>
      </w:r>
    </w:p>
    <w:p>
      <w:pPr>
        <w:keepNext w:val="0"/>
        <w:keepLines w:val="0"/>
        <w:widowControl w:val="0"/>
        <w:numPr>
          <w:ilvl w:val="0"/>
          <w:numId w:val="0"/>
        </w:numPr>
        <w:suppressLineNumbers w:val="0"/>
        <w:tabs>
          <w:tab w:val="left" w:pos="0"/>
        </w:tabs>
        <w:spacing w:before="0" w:beforeAutospacing="0" w:after="0" w:afterAutospacing="0" w:line="360" w:lineRule="auto"/>
        <w:ind w:right="0" w:rightChars="0"/>
        <w:jc w:val="both"/>
        <w:rPr>
          <w:rFonts w:hint="eastAsia" w:ascii="方正仿宋_GB2312" w:hAnsi="方正仿宋_GB2312" w:eastAsia="方正仿宋_GB2312" w:cs="方正仿宋_GB2312"/>
          <w:b/>
          <w:color w:val="000000" w:themeColor="text1"/>
          <w:kern w:val="2"/>
          <w:sz w:val="2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2</w:t>
      </w:r>
      <w:r>
        <w:rPr>
          <w:rFonts w:hint="eastAsia" w:ascii="方正仿宋_GB2312" w:hAnsi="方正仿宋_GB2312" w:eastAsia="方正仿宋_GB2312" w:cs="方正仿宋_GB2312"/>
          <w:b/>
          <w:color w:val="000000" w:themeColor="text1"/>
          <w:kern w:val="2"/>
          <w:sz w:val="21"/>
          <w:szCs w:val="21"/>
          <w:highlight w:val="none"/>
          <w:lang w:val="en-US" w:eastAsia="zh-CN" w:bidi="ar"/>
          <w14:textFill>
            <w14:solidFill>
              <w14:schemeClr w14:val="tx1"/>
            </w14:solidFill>
          </w14:textFill>
        </w:rPr>
        <w:t>.3 验收要求</w:t>
      </w:r>
    </w:p>
    <w:p>
      <w:pPr>
        <w:keepNext w:val="0"/>
        <w:keepLines w:val="0"/>
        <w:widowControl w:val="0"/>
        <w:suppressLineNumbers w:val="0"/>
        <w:spacing w:before="0" w:beforeAutospacing="0" w:after="0" w:afterAutospacing="0" w:line="360" w:lineRule="auto"/>
        <w:ind w:right="0"/>
        <w:jc w:val="both"/>
        <w:rPr>
          <w:rFonts w:hint="eastAsia" w:ascii="方正仿宋_GB2312" w:hAnsi="方正仿宋_GB2312" w:eastAsia="方正仿宋_GB2312" w:cs="方正仿宋_GB2312"/>
          <w:color w:val="000000" w:themeColor="text1"/>
          <w:kern w:val="2"/>
          <w:sz w:val="2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2.3.1 交付进度确认：根据项目建设分批实施交付的原则；中标单位需根据建设内容分系统进行实施交付，各系统功能上线达到运行条件后，中标单位可向采购人申请进度确认，采购人根据中标单位提交的进度确认申请及相关资料5个工作日内组织完成进度确认。采购人有权对中标单位履行合同的交付进度进行监督，并对合同交付进度进行确认，对已交付模块承担相应的付款义务。</w:t>
      </w:r>
    </w:p>
    <w:p>
      <w:pPr>
        <w:keepNext w:val="0"/>
        <w:keepLines w:val="0"/>
        <w:widowControl w:val="0"/>
        <w:suppressLineNumbers w:val="0"/>
        <w:spacing w:before="0" w:beforeAutospacing="0" w:after="0" w:afterAutospacing="0" w:line="360" w:lineRule="auto"/>
        <w:ind w:right="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2.3.2 项目验收：项目建设完成后，中标单位可向采购人申请提出项目验收申请，采购人在收到验收申请10个工作日内组织项目预验收工作。项目预验收完成且试运行满三个月并完成相关测评后，中标单位向采购人提交项目竣工验收申请以及全部资料、数据等（包括但不限于详细设计、数据库表结构、数据接口标准文档、使用维护说明、数据字典等纸质与光盘介质材料），并提请竣工验收。预</w:t>
      </w:r>
      <w:r>
        <w:rPr>
          <w:rFonts w:hint="eastAsia" w:ascii="方正仿宋_GB2312" w:hAnsi="方正仿宋_GB2312" w:eastAsia="方正仿宋_GB2312" w:cs="方正仿宋_GB2312"/>
          <w:color w:val="000000" w:themeColor="text1"/>
          <w:sz w:val="21"/>
          <w:szCs w:val="21"/>
          <w:highlight w:val="none"/>
          <w:lang w:eastAsia="zh-CN"/>
          <w14:textFill>
            <w14:solidFill>
              <w14:schemeClr w14:val="tx1"/>
            </w14:solidFill>
          </w14:textFill>
        </w:rPr>
        <w:t>验收、</w:t>
      </w:r>
      <w:r>
        <w:rPr>
          <w:rFonts w:hint="eastAsia" w:ascii="方正仿宋_GB2312" w:hAnsi="方正仿宋_GB2312" w:eastAsia="方正仿宋_GB2312" w:cs="方正仿宋_GB2312"/>
          <w:color w:val="000000" w:themeColor="text1"/>
          <w:sz w:val="21"/>
          <w:szCs w:val="21"/>
          <w:highlight w:val="none"/>
          <w:lang w:val="en-US" w:eastAsia="zh-CN"/>
          <w14:textFill>
            <w14:solidFill>
              <w14:schemeClr w14:val="tx1"/>
            </w14:solidFill>
          </w14:textFill>
        </w:rPr>
        <w:t>竣工验收按</w:t>
      </w:r>
      <w:r>
        <w:rPr>
          <w:rFonts w:hint="eastAsia" w:ascii="方正仿宋_GB2312" w:hAnsi="方正仿宋_GB2312" w:eastAsia="方正仿宋_GB2312" w:cs="方正仿宋_GB2312"/>
          <w:color w:val="000000" w:themeColor="text1"/>
          <w:sz w:val="21"/>
          <w:szCs w:val="21"/>
          <w:highlight w:val="none"/>
          <w:lang w:eastAsia="zh-CN"/>
          <w14:textFill>
            <w14:solidFill>
              <w14:schemeClr w14:val="tx1"/>
            </w14:solidFill>
          </w14:textFill>
        </w:rPr>
        <w:t>《海南省省级政务信息化项目建设管理办法》</w:t>
      </w:r>
      <w:r>
        <w:rPr>
          <w:rFonts w:hint="eastAsia" w:ascii="方正仿宋_GB2312" w:hAnsi="方正仿宋_GB2312" w:eastAsia="方正仿宋_GB2312" w:cs="方正仿宋_GB2312"/>
          <w:color w:val="000000" w:themeColor="text1"/>
          <w:sz w:val="21"/>
          <w:szCs w:val="21"/>
          <w:highlight w:val="none"/>
          <w:lang w:val="en-US" w:eastAsia="zh-CN"/>
          <w14:textFill>
            <w14:solidFill>
              <w14:schemeClr w14:val="tx1"/>
            </w14:solidFill>
          </w14:textFill>
        </w:rPr>
        <w:t>及省信息化相关规定组织执行</w:t>
      </w:r>
      <w:r>
        <w:rPr>
          <w:rFonts w:hint="eastAsia" w:ascii="方正仿宋_GB2312" w:hAnsi="方正仿宋_GB2312" w:eastAsia="方正仿宋_GB2312" w:cs="方正仿宋_GB2312"/>
          <w:color w:val="000000" w:themeColor="text1"/>
          <w:sz w:val="21"/>
          <w:szCs w:val="21"/>
          <w:highlight w:val="none"/>
          <w:lang w:eastAsia="zh-CN"/>
          <w14:textFill>
            <w14:solidFill>
              <w14:schemeClr w14:val="tx1"/>
            </w14:solidFill>
          </w14:textFill>
        </w:rPr>
        <w:t>。</w:t>
      </w:r>
    </w:p>
    <w:p>
      <w:pPr>
        <w:keepNext w:val="0"/>
        <w:keepLines w:val="0"/>
        <w:widowControl w:val="0"/>
        <w:suppressLineNumbers w:val="0"/>
        <w:spacing w:before="0" w:beforeAutospacing="0" w:after="0" w:afterAutospacing="0" w:line="360" w:lineRule="auto"/>
        <w:ind w:right="0"/>
        <w:jc w:val="both"/>
        <w:rPr>
          <w:rFonts w:hint="eastAsia" w:ascii="方正仿宋_GB2312" w:hAnsi="方正仿宋_GB2312" w:eastAsia="方正仿宋_GB2312" w:cs="方正仿宋_GB2312"/>
          <w:color w:val="000000" w:themeColor="text1"/>
          <w:kern w:val="2"/>
          <w:sz w:val="2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2.3.3 软件开发代码注释覆盖率不低于80%。</w:t>
      </w:r>
    </w:p>
    <w:p>
      <w:pPr>
        <w:keepNext w:val="0"/>
        <w:keepLines w:val="0"/>
        <w:widowControl w:val="0"/>
        <w:numPr>
          <w:ilvl w:val="0"/>
          <w:numId w:val="0"/>
        </w:numPr>
        <w:suppressLineNumbers w:val="0"/>
        <w:tabs>
          <w:tab w:val="left" w:pos="0"/>
        </w:tabs>
        <w:spacing w:before="0" w:beforeAutospacing="0" w:after="0" w:afterAutospacing="0" w:line="360" w:lineRule="auto"/>
        <w:ind w:right="0" w:rightChars="0"/>
        <w:jc w:val="both"/>
        <w:rPr>
          <w:rFonts w:hint="eastAsia" w:ascii="方正仿宋_GB2312" w:hAnsi="方正仿宋_GB2312" w:eastAsia="方正仿宋_GB2312" w:cs="方正仿宋_GB2312"/>
          <w:b/>
          <w:color w:val="000000" w:themeColor="text1"/>
          <w:kern w:val="2"/>
          <w:sz w:val="21"/>
          <w:szCs w:val="21"/>
          <w:highlight w:val="none"/>
          <w14:textFill>
            <w14:solidFill>
              <w14:schemeClr w14:val="tx1"/>
            </w14:solidFill>
          </w14:textFill>
        </w:rPr>
      </w:pPr>
      <w:r>
        <w:rPr>
          <w:rFonts w:hint="eastAsia" w:ascii="方正仿宋_GB2312" w:hAnsi="方正仿宋_GB2312" w:eastAsia="方正仿宋_GB2312" w:cs="方正仿宋_GB2312"/>
          <w:b/>
          <w:color w:val="000000" w:themeColor="text1"/>
          <w:kern w:val="2"/>
          <w:sz w:val="21"/>
          <w:szCs w:val="21"/>
          <w:highlight w:val="none"/>
          <w:lang w:val="en-US" w:eastAsia="zh-CN" w:bidi="ar"/>
          <w14:textFill>
            <w14:solidFill>
              <w14:schemeClr w14:val="tx1"/>
            </w14:solidFill>
          </w14:textFill>
        </w:rPr>
        <w:t>2.4 项目实施、售后服务要求</w:t>
      </w:r>
    </w:p>
    <w:p>
      <w:pPr>
        <w:keepNext w:val="0"/>
        <w:keepLines w:val="0"/>
        <w:widowControl w:val="0"/>
        <w:suppressLineNumbers w:val="0"/>
        <w:spacing w:before="0" w:beforeAutospacing="0" w:after="0" w:afterAutospacing="0" w:line="360" w:lineRule="auto"/>
        <w:ind w:right="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2.4.1 项目实施服务要求</w:t>
      </w:r>
    </w:p>
    <w:p>
      <w:pPr>
        <w:keepNext w:val="0"/>
        <w:keepLines w:val="0"/>
        <w:widowControl w:val="0"/>
        <w:suppressLineNumbers w:val="0"/>
        <w:spacing w:before="0" w:beforeAutospacing="0" w:after="0" w:afterAutospacing="0" w:line="360" w:lineRule="auto"/>
        <w:ind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 xml:space="preserve">（1）项目管理与进度要求：综合考虑实际业务需要、项目管理能力和项目风险控制等各种因素，合同签订开始，项目整体计划用24个月时间完成。 中标单位需要提供完善、合理的实施进度计划，并通过完善的项目实施保障措施，保证本项目顺利上线，并配合采购人根据项目实际情况进行建设进度计划调整。 </w:t>
      </w:r>
    </w:p>
    <w:p>
      <w:pPr>
        <w:keepNext w:val="0"/>
        <w:keepLines w:val="0"/>
        <w:widowControl w:val="0"/>
        <w:suppressLineNumbers w:val="0"/>
        <w:spacing w:before="0" w:beforeAutospacing="0" w:after="0" w:afterAutospacing="0" w:line="360" w:lineRule="auto"/>
        <w:ind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 xml:space="preserve">（2）人员培训要求：以本项目部署的所有医疗卫生单位能够掌握系统各项功能的应用为前提，中标单位提供相应的应用软件技术和系统操作等方面的培训，培训应该在本期项目验收完成前进行。 </w:t>
      </w:r>
    </w:p>
    <w:p>
      <w:pPr>
        <w:keepNext w:val="0"/>
        <w:keepLines w:val="0"/>
        <w:widowControl w:val="0"/>
        <w:suppressLineNumbers w:val="0"/>
        <w:spacing w:before="0" w:beforeAutospacing="0" w:after="0" w:afterAutospacing="0" w:line="360" w:lineRule="auto"/>
        <w:ind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（3）</w:t>
      </w:r>
      <w:r>
        <w:rPr>
          <w:rFonts w:hint="eastAsia" w:ascii="方正仿宋_GB2312" w:hAnsi="方正仿宋_GB2312" w:eastAsia="方正仿宋_GB2312" w:cs="方正仿宋_GB2312"/>
          <w:color w:val="000000" w:themeColor="text1"/>
          <w:sz w:val="21"/>
          <w:szCs w:val="21"/>
          <w:highlight w:val="none"/>
          <w:lang w:bidi="ar"/>
          <w14:textFill>
            <w14:solidFill>
              <w14:schemeClr w14:val="tx1"/>
            </w14:solidFill>
          </w14:textFill>
        </w:rPr>
        <w:t>实施阶段驻点要求</w:t>
      </w:r>
      <w:r>
        <w:rPr>
          <w:rFonts w:hint="eastAsia" w:ascii="方正仿宋_GB2312" w:hAnsi="方正仿宋_GB2312" w:eastAsia="方正仿宋_GB2312" w:cs="方正仿宋_GB2312"/>
          <w:color w:val="000000" w:themeColor="text1"/>
          <w:sz w:val="21"/>
          <w:szCs w:val="21"/>
          <w:highlight w:val="none"/>
          <w:lang w:eastAsia="zh-CN" w:bidi="ar"/>
          <w14:textFill>
            <w14:solidFill>
              <w14:schemeClr w14:val="tx1"/>
            </w14:solidFill>
          </w14:textFill>
        </w:rPr>
        <w:t>：</w:t>
      </w: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在项目实施周期内，须提供本地化专属实施服务。中标单位需根据采购人指定办公地点的实际工作需求，配置一线驻点服务团队，驻点团队总人数不少于</w:t>
      </w:r>
      <w:r>
        <w:rPr>
          <w:rFonts w:hint="eastAsia" w:ascii="方正仿宋_GB2312" w:hAnsi="方正仿宋_GB2312" w:eastAsia="方正仿宋_GB2312" w:cs="方正仿宋_GB2312"/>
          <w:color w:val="000000" w:themeColor="text1"/>
          <w:sz w:val="21"/>
          <w:szCs w:val="21"/>
          <w:highlight w:val="none"/>
          <w:lang w:val="en-US" w:eastAsia="zh-CN"/>
          <w14:textFill>
            <w14:solidFill>
              <w14:schemeClr w14:val="tx1"/>
            </w14:solidFill>
          </w14:textFill>
        </w:rPr>
        <w:t>6</w:t>
      </w: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人（其中省三医大数据中心不少于5人，省老年病医院不少于1人），确保项目实施过程中的统筹管理与技术支撑到位。</w:t>
      </w:r>
    </w:p>
    <w:p>
      <w:pPr>
        <w:keepNext w:val="0"/>
        <w:keepLines w:val="0"/>
        <w:widowControl w:val="0"/>
        <w:suppressLineNumbers w:val="0"/>
        <w:spacing w:before="0" w:beforeAutospacing="0" w:after="0" w:afterAutospacing="0" w:line="360" w:lineRule="auto"/>
        <w:ind w:right="0"/>
        <w:jc w:val="both"/>
        <w:rPr>
          <w:rFonts w:hint="eastAsia" w:ascii="方正仿宋_GB2312" w:hAnsi="方正仿宋_GB2312" w:eastAsia="方正仿宋_GB2312" w:cs="方正仿宋_GB2312"/>
          <w:color w:val="000000" w:themeColor="text1"/>
          <w:kern w:val="2"/>
          <w:sz w:val="2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2.4.2 售后服务要求</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方正仿宋_GB2312" w:hAnsi="方正仿宋_GB2312" w:eastAsia="方正仿宋_GB2312" w:cs="方正仿宋_GB2312"/>
          <w:color w:val="000000" w:themeColor="text1"/>
          <w:kern w:val="2"/>
          <w:sz w:val="2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 xml:space="preserve">（1）运行维护体系要求：中标单位履行质量保修义务，软件运维期为软件自竣工验收之日起免费维护二年。运维期内需安排驻点团队总人数不少于2人，此外中标单位应成立专门运维服务小组，以资深技术人员为组长，组员包括对计算机网络与安全、服务器与存储、数据库、应用系统等领域内有着丰富经验的工程师，让本项目的设备维护，达到及时快捷的响应。同时由属地医疗机构安排专门技术人员进行协助。 </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方正仿宋_GB2312" w:hAnsi="方正仿宋_GB2312" w:eastAsia="方正仿宋_GB2312" w:cs="方正仿宋_GB2312"/>
          <w:color w:val="000000" w:themeColor="text1"/>
          <w:kern w:val="2"/>
          <w:sz w:val="2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 xml:space="preserve">（2）服务响应方式：免费提供每周7天/每天24小时不间断的电话支持服务，解答采购人在系统使用、维护过程中遇到的问题，及时提出解决问题的建议和操作方法；远程在线诊断和故障排除，对于电话咨询无法解决的问题，经最终用户授权远程登录到院方网络系统进行免费的故障诊断和故障排除；重大技术问题处理，对重大的技术问题，中标单位应协调组织技术专家小组进行会诊，以确保系统的正常运行。 </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 xml:space="preserve">（3）服务响应时间：中标单位为采购人提供7×24电话、远程协助和软件工程师现场维护，接到采购人报修通知1小时内，中标单位应做出明确响应和安排，8小时内做出故障诊断报告并解决故障问题。如需现场服务的，中标单位应安排具有解决故障能力的工程师在4小时内到达现场。 </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（4）质保期后运维费用标准：本项目质保期后，系统运维费用不高于项目合同额中的10%，具体由采购人与中标单位另行协商。</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（5）网络安全工作详细开展情况</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内容包括不限于弱口令账户信息整改、非必要服务及端口关闭、访问接口认证配置、互联网服务和端口收敛、用户权限逻辑配置核查、安全漏洞修复、相关人员网络安全培训及系统配置变更等，建立问题台账并记录问题整改情况。</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（6）在项目服务周期及后续运维期内，若采购人提出本项目相关的系统新增需求及升级开发要求，中标供应商应无条件配合。</w:t>
      </w:r>
    </w:p>
    <w:p>
      <w:pPr>
        <w:keepNext w:val="0"/>
        <w:keepLines w:val="0"/>
        <w:widowControl w:val="0"/>
        <w:suppressLineNumbers w:val="0"/>
        <w:spacing w:before="0" w:beforeAutospacing="0" w:after="0" w:afterAutospacing="0" w:line="360" w:lineRule="auto"/>
        <w:ind w:right="0"/>
        <w:jc w:val="both"/>
        <w:rPr>
          <w:rFonts w:hint="eastAsia" w:ascii="方正仿宋_GB2312" w:hAnsi="方正仿宋_GB2312" w:eastAsia="方正仿宋_GB2312" w:cs="方正仿宋_GB2312"/>
          <w:b/>
          <w:bCs/>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b/>
          <w:bCs/>
          <w:color w:val="000000" w:themeColor="text1"/>
          <w:kern w:val="2"/>
          <w:sz w:val="21"/>
          <w:szCs w:val="21"/>
          <w:highlight w:val="none"/>
          <w:lang w:val="en-US" w:eastAsia="zh-CN" w:bidi="ar"/>
          <w14:textFill>
            <w14:solidFill>
              <w14:schemeClr w14:val="tx1"/>
            </w14:solidFill>
          </w14:textFill>
        </w:rPr>
        <w:t>2.5知识产权要求</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2.5.1中标单位为采购人开发本项目所有信息系统的所有权及软件著作权归采购人所有，中标单位为实施项目而提供的资料及全部项目工作成果（包括项目计划、需求规格说明书、概要设计说明书、详细设计说明书、测试报告、安装部署手册、操作手册、培训方案、试运行报告、前台页面及软件源代码、项目验收文档等资料）的知识产权权利归采购人所有，中标单位提供的具备知识产权的产品或采购具备知识产权的成熟产品（包括硬件产品和软件产品），知识产权仍归产品提供方所有；基于成熟产品进行二次开发的系统及成果的知识产权归采购人所有。</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2.5.2投标人保证对其销售的产品/服务拥有完全的所有权/处置权或已取得相关授权，不侵犯任何第三方的专利、商标、著作权和其他合法权利，如因专利权、商标权或其它知识产权而引起法律和经济纠纷，由投标人承担所有相关责任的同时不得耽误本项目进度。</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2.5.3投标人保证其提供的软件及服务不含有任何旨在破坏最终用户计算机信息系统和/或获取最终用户隐私信息的恶意代码。</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2.5.4中标单位应在项目完成时，将本项目所有文档汇集成册交付采购人。技术文档（光盘与纸质）及为本项目开发的软件系统（光盘形式，包括注释清晰明了的源代码）各两份。</w:t>
      </w:r>
    </w:p>
    <w:p>
      <w:pPr>
        <w:keepNext w:val="0"/>
        <w:keepLines w:val="0"/>
        <w:widowControl w:val="0"/>
        <w:suppressLineNumbers w:val="0"/>
        <w:spacing w:before="0" w:beforeAutospacing="0" w:after="0" w:afterAutospacing="0" w:line="360" w:lineRule="auto"/>
        <w:ind w:right="0"/>
        <w:jc w:val="both"/>
        <w:rPr>
          <w:rFonts w:hint="eastAsia" w:ascii="方正仿宋_GB2312" w:hAnsi="方正仿宋_GB2312" w:eastAsia="方正仿宋_GB2312" w:cs="方正仿宋_GB2312"/>
          <w:b/>
          <w:bCs/>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b/>
          <w:bCs/>
          <w:color w:val="000000" w:themeColor="text1"/>
          <w:kern w:val="2"/>
          <w:sz w:val="21"/>
          <w:szCs w:val="21"/>
          <w:highlight w:val="none"/>
          <w:lang w:val="en-US" w:eastAsia="zh-CN" w:bidi="ar"/>
          <w14:textFill>
            <w14:solidFill>
              <w14:schemeClr w14:val="tx1"/>
            </w14:solidFill>
          </w14:textFill>
        </w:rPr>
        <w:t>2.6 其他要求</w:t>
      </w:r>
    </w:p>
    <w:p>
      <w:pPr>
        <w:keepNext w:val="0"/>
        <w:keepLines w:val="0"/>
        <w:widowControl w:val="0"/>
        <w:suppressLineNumbers w:val="0"/>
        <w:spacing w:before="0" w:beforeAutospacing="0" w:after="0" w:afterAutospacing="0" w:line="360" w:lineRule="auto"/>
        <w:ind w:right="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 xml:space="preserve">   2.6.1接口预留要求：所采购软件须预留多个标准化、可扩展接口，接口类型涵盖但不限于API接口、数据库接口、消息队列接口等，支持与各医院现有系统及未来拟上线的各类业务系统、监管平台、第三方应用进行无缝对接。接口设计须符合国家医疗行业相关标准及《海南省省级政务信息化项目建设管理办法》要求，具备良好的兼容性和可扩展性，预留接口数量须满足医院未来5年信息化建设扩容需求，且接口开放、规范，支持二次开发及功能扩展，无需额外支付接口开放费用。</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2.6.2数据库全适配要求：所采购软件须实现与国内外主流数据库全适配，包括但不限于支持达梦、人大金仓、南大通用等国产数据库，同时兼容Oracle、MySQL、SQL Server等常用非国产数据库，确保软件可直接对接各医院现有数据库及未来更换的各类数据库系统。适配功能须包括数据读写、数据同步、数据迁移、权限管控等全流程适配，无数据丢失、格式错乱、访问卡顿等问题，保障医疗数据在不同数据库与软件之间的安全、高效流转，满足数据管理及业务开展的核心需求。</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方正仿宋_GB2312" w:hAnsi="方正仿宋_GB2312" w:eastAsia="方正仿宋_GB2312" w:cs="方正仿宋_GB2312"/>
          <w:b/>
          <w:bCs/>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1"/>
          <w:highlight w:val="none"/>
          <w:lang w:val="en-US" w:eastAsia="zh-CN" w:bidi="ar"/>
          <w14:textFill>
            <w14:solidFill>
              <w14:schemeClr w14:val="tx1"/>
            </w14:solidFill>
          </w14:textFill>
        </w:rPr>
        <w:t>2.6.3 本次项目招标采购软件分别部署于政务云和使用医院院内，部署硬件环境由政务云和使用单位提供，投标人需提交书面承诺函，承诺所提供的系统能够满足本项目的国产化适配和主流AI服务器部署要求，包括但不限于与项目有关的国产操作系统、数据库、中间件、AI服务器等软硬件环境实现兼容适配；在项目开发及实施过程中，将严格依照本项目的国产化适配标准和具体需求，完成系统的专项调试、功能优化等工作，确保系统可正常运行；若系统在国产化适配方面出现问题，将承担全部责任，并及时采取有效的补救措施，直至完全满足本项目的要求。</w:t>
      </w:r>
      <w:r>
        <w:rPr>
          <w:rFonts w:hint="eastAsia" w:ascii="方正仿宋_GB2312" w:hAnsi="方正仿宋_GB2312" w:eastAsia="方正仿宋_GB2312" w:cs="方正仿宋_GB2312"/>
          <w:b/>
          <w:bCs/>
          <w:color w:val="000000" w:themeColor="text1"/>
          <w:kern w:val="2"/>
          <w:sz w:val="21"/>
          <w:szCs w:val="21"/>
          <w:highlight w:val="none"/>
          <w:lang w:val="en-US" w:eastAsia="zh-CN" w:bidi="ar"/>
          <w14:textFill>
            <w14:solidFill>
              <w14:schemeClr w14:val="tx1"/>
            </w14:solidFill>
          </w14:textFill>
        </w:rPr>
        <w:t>(提供承诺函，加盖公章)</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方正仿宋_GB2312" w:hAnsi="方正仿宋_GB2312" w:eastAsia="方正仿宋_GB2312" w:cs="方正仿宋_GB2312"/>
          <w:b w:val="0"/>
          <w:bCs w:val="0"/>
          <w:color w:val="000000" w:themeColor="text1"/>
          <w:kern w:val="2"/>
          <w:sz w:val="21"/>
          <w:szCs w:val="21"/>
          <w:highlight w:val="none"/>
          <w:lang w:val="en-US" w:eastAsia="zh-CN" w:bidi="ar"/>
          <w14:textFill>
            <w14:solidFill>
              <w14:schemeClr w14:val="tx1"/>
            </w14:solidFill>
          </w14:textFill>
        </w:rPr>
      </w:pPr>
      <w:r>
        <w:rPr>
          <w:rFonts w:hint="eastAsia" w:ascii="方正仿宋_GB2312" w:hAnsi="方正仿宋_GB2312" w:eastAsia="方正仿宋_GB2312" w:cs="方正仿宋_GB2312"/>
          <w:b w:val="0"/>
          <w:bCs w:val="0"/>
          <w:color w:val="000000" w:themeColor="text1"/>
          <w:kern w:val="2"/>
          <w:sz w:val="21"/>
          <w:szCs w:val="21"/>
          <w:highlight w:val="none"/>
          <w:lang w:val="en-US" w:eastAsia="zh-CN" w:bidi="ar"/>
          <w14:textFill>
            <w14:solidFill>
              <w14:schemeClr w14:val="tx1"/>
            </w14:solidFill>
          </w14:textFill>
        </w:rPr>
        <w:t>2.6.4中标单位应配合第三方系统测试与安全测评、密码测评机构完成测试测评等相关工作。</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A00002EF" w:usb1="4000207B" w:usb2="00000000" w:usb3="00000000" w:csb0="2000019F" w:csb1="00000000"/>
  </w:font>
  <w:font w:name="方正仿宋_GB2312">
    <w:panose1 w:val="02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jc w:val="center"/>
      <w:rPr>
        <w:rFonts w:hint="eastAsia"/>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240" w:lineRule="auto"/>
                            <w:jc w:val="center"/>
                          </w:pPr>
                          <w:r>
                            <w:fldChar w:fldCharType="begin"/>
                          </w:r>
                          <w:r>
                            <w:instrText xml:space="preserve">PAGE   \* MERGEFORMAT</w:instrText>
                          </w:r>
                          <w:r>
                            <w:fldChar w:fldCharType="separate"/>
                          </w:r>
                          <w:r>
                            <w:t>525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spacing w:line="240" w:lineRule="auto"/>
                      <w:jc w:val="center"/>
                    </w:pPr>
                    <w:r>
                      <w:fldChar w:fldCharType="begin"/>
                    </w:r>
                    <w:r>
                      <w:instrText xml:space="preserve">PAGE   \* MERGEFORMAT</w:instrText>
                    </w:r>
                    <w:r>
                      <w:fldChar w:fldCharType="separate"/>
                    </w:r>
                    <w:r>
                      <w:t>525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867CBF"/>
    <w:multiLevelType w:val="multilevel"/>
    <w:tmpl w:val="5B867CBF"/>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B57F3"/>
    <w:rsid w:val="13DA7422"/>
    <w:rsid w:val="1D4B5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120" w:after="120" w:line="360" w:lineRule="auto"/>
      <w:jc w:val="left"/>
      <w:outlineLvl w:val="0"/>
    </w:pPr>
    <w:rPr>
      <w:b/>
      <w:bCs/>
      <w:kern w:val="44"/>
      <w:sz w:val="32"/>
      <w:szCs w:val="32"/>
    </w:rPr>
  </w:style>
  <w:style w:type="paragraph" w:styleId="3">
    <w:name w:val="heading 2"/>
    <w:basedOn w:val="1"/>
    <w:next w:val="1"/>
    <w:unhideWhenUsed/>
    <w:qFormat/>
    <w:uiPriority w:val="0"/>
    <w:pPr>
      <w:keepNext/>
      <w:keepLines/>
      <w:numPr>
        <w:ilvl w:val="1"/>
        <w:numId w:val="1"/>
      </w:numPr>
      <w:ind w:left="0" w:firstLine="0" w:firstLineChars="0"/>
      <w:outlineLvl w:val="1"/>
    </w:pPr>
    <w:rPr>
      <w:rFonts w:eastAsia="黑体" w:asciiTheme="majorHAnsi" w:hAnsiTheme="majorHAnsi" w:cstheme="majorBidi"/>
      <w:color w:val="000000" w:themeColor="text1"/>
      <w:sz w:val="32"/>
      <w:szCs w:val="40"/>
      <w14:textFill>
        <w14:solidFill>
          <w14:schemeClr w14:val="tx1"/>
        </w14:solidFill>
      </w14:textFill>
    </w:rPr>
  </w:style>
  <w:style w:type="paragraph" w:styleId="4">
    <w:name w:val="heading 3"/>
    <w:basedOn w:val="1"/>
    <w:next w:val="1"/>
    <w:unhideWhenUsed/>
    <w:qFormat/>
    <w:uiPriority w:val="0"/>
    <w:pPr>
      <w:keepNext/>
      <w:keepLines/>
      <w:numPr>
        <w:ilvl w:val="2"/>
        <w:numId w:val="1"/>
      </w:numPr>
      <w:ind w:firstLine="0" w:firstLineChars="0"/>
      <w:outlineLvl w:val="2"/>
    </w:pPr>
    <w:rPr>
      <w:rFonts w:eastAsia="黑体" w:asciiTheme="majorHAnsi" w:hAnsiTheme="majorHAnsi" w:cstheme="majorBidi"/>
      <w:color w:val="000000" w:themeColor="text1"/>
      <w:sz w:val="30"/>
      <w:szCs w:val="32"/>
      <w14:textFill>
        <w14:solidFill>
          <w14:schemeClr w14:val="tx1"/>
        </w14:solidFill>
      </w14:textFill>
    </w:rPr>
  </w:style>
  <w:style w:type="paragraph" w:styleId="5">
    <w:name w:val="heading 4"/>
    <w:basedOn w:val="1"/>
    <w:next w:val="1"/>
    <w:unhideWhenUsed/>
    <w:qFormat/>
    <w:uiPriority w:val="0"/>
    <w:pPr>
      <w:keepNext/>
      <w:keepLines/>
      <w:numPr>
        <w:ilvl w:val="3"/>
        <w:numId w:val="1"/>
      </w:numPr>
      <w:ind w:firstLine="0" w:firstLineChars="0"/>
      <w:outlineLvl w:val="3"/>
    </w:pPr>
    <w:rPr>
      <w:rFonts w:eastAsia="黑体" w:cstheme="majorBidi"/>
      <w:color w:val="000000" w:themeColor="text1"/>
      <w:sz w:val="24"/>
      <w:szCs w:val="28"/>
      <w14:textFill>
        <w14:solidFill>
          <w14:schemeClr w14:val="tx1"/>
        </w14:solidFill>
      </w14:textFill>
    </w:rPr>
  </w:style>
  <w:style w:type="paragraph" w:styleId="6">
    <w:name w:val="heading 5"/>
    <w:basedOn w:val="1"/>
    <w:next w:val="1"/>
    <w:unhideWhenUsed/>
    <w:qFormat/>
    <w:uiPriority w:val="0"/>
    <w:pPr>
      <w:keepNext/>
      <w:keepLines/>
      <w:numPr>
        <w:ilvl w:val="4"/>
        <w:numId w:val="1"/>
      </w:numPr>
      <w:spacing w:before="80" w:after="40"/>
      <w:ind w:left="0" w:firstLine="0" w:firstLineChars="0"/>
      <w:outlineLvl w:val="4"/>
    </w:pPr>
    <w:rPr>
      <w:rFonts w:cstheme="majorBidi"/>
      <w:sz w:val="24"/>
      <w:szCs w:val="24"/>
    </w:rPr>
  </w:style>
  <w:style w:type="character" w:default="1" w:styleId="10">
    <w:name w:val="Default Paragraph Font"/>
    <w:semiHidden/>
    <w:uiPriority w:val="0"/>
  </w:style>
  <w:style w:type="table" w:default="1" w:styleId="11">
    <w:name w:val="Normal Table"/>
    <w:semiHidden/>
    <w:uiPriority w:val="0"/>
    <w:tblPr>
      <w:tblLayout w:type="fixed"/>
      <w:tblCellMar>
        <w:top w:w="0" w:type="dxa"/>
        <w:left w:w="108" w:type="dxa"/>
        <w:bottom w:w="0" w:type="dxa"/>
        <w:right w:w="108" w:type="dxa"/>
      </w:tblCellMar>
    </w:tbl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样式1"/>
    <w:basedOn w:val="1"/>
    <w:uiPriority w:val="0"/>
    <w:rPr>
      <w:rFonts w:ascii="Calibri" w:hAnsi="Calibri" w:eastAsia="宋体" w:cs="Times New Roman"/>
      <w:sz w:val="4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2026-06-04T06:43:00Z</dcterms:created>
  <dc:creator>Administrator</dc:creator>
  <cp:lastModifiedBy>Administrator</cp:lastModifiedBy>
  <dcterms:modified xsi:type="dcterms:W3CDTF">2026-06-04T06:43:40Z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