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jc w:val="left"/>
        <w:outlineLvl w:val="9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eastAsia="zh-CN"/>
        </w:rPr>
      </w:pPr>
      <w:bookmarkStart w:id="0" w:name="_GoBack"/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</w:rPr>
        <w:t>资质条件</w:t>
      </w:r>
      <w:bookmarkEnd w:id="0"/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</w:rPr>
        <w:t>：供应商具有国家密码管理局颁发的《商用密码检测机构资质证书》，且证书资质认定业务范围包含商用密码应用安全性评估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eastAsia="zh-CN"/>
        </w:rPr>
        <w:t>。（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</w:rPr>
        <w:t>提供有效期内的证书复印件并加盖公章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eastAsia="zh-CN"/>
        </w:rPr>
        <w:t>）</w:t>
      </w:r>
    </w:p>
    <w:p>
      <w:pPr>
        <w:rPr>
          <w:color w:val="auto"/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panose1 w:val="02000000000000000000"/>
    <w:charset w:val="86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5D5225"/>
    <w:rsid w:val="0E5D5225"/>
    <w:rsid w:val="13DA7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uiPriority w:val="0"/>
    <w:rPr>
      <w:rFonts w:ascii="Calibri" w:hAnsi="Calibri" w:eastAsia="宋体" w:cs="Times New Roman"/>
      <w:sz w:val="4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2026-05-14T12:38:00Z</dcterms:created>
  <dc:creator>Administrator</dc:creator>
  <cp:lastModifiedBy>Administrator</cp:lastModifiedBy>
  <dcterms:modified xsi:type="dcterms:W3CDTF">2026-05-14T12:39:13Z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