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  <w:sz w:val="28"/>
          <w:szCs w:val="36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资质条件</w:t>
      </w:r>
      <w:bookmarkEnd w:id="0"/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： 供应商具备公安部第三研究所颁发的《网络安全等级测评与检测评估机构服务认证证书》或《网络安全服务认证证书-等级保护测评服务认证》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</w:rPr>
        <w:t>（提供有效期内的资质证书复印件加盖公章）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F4C19"/>
    <w:rsid w:val="13DA7422"/>
    <w:rsid w:val="362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2026-05-14T12:30:00Z</dcterms:created>
  <dc:creator>Administrator</dc:creator>
  <cp:lastModifiedBy>Administrator</cp:lastModifiedBy>
  <dcterms:modified xsi:type="dcterms:W3CDTF">2026-05-14T12:30:37Z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