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黑体" w:hAnsi="黑体" w:eastAsia="黑体"/>
          <w:b/>
          <w:color w:val="auto"/>
          <w:spacing w:val="100"/>
          <w:sz w:val="96"/>
          <w:szCs w:val="96"/>
        </w:rPr>
      </w:pPr>
      <w:r>
        <w:rPr>
          <w:rFonts w:hint="eastAsia" w:ascii="黑体" w:hAnsi="黑体" w:eastAsia="黑体"/>
          <w:b/>
          <w:color w:val="auto"/>
          <w:spacing w:val="100"/>
          <w:sz w:val="96"/>
          <w:szCs w:val="96"/>
        </w:rPr>
        <w:t>招标文件</w:t>
      </w:r>
    </w:p>
    <w:p>
      <w:pPr>
        <w:jc w:val="center"/>
        <w:rPr>
          <w:rFonts w:ascii="黑体" w:hAnsi="黑体" w:eastAsia="黑体"/>
          <w:color w:val="auto"/>
        </w:rPr>
      </w:pPr>
      <w:r>
        <w:rPr>
          <w:rFonts w:ascii="黑体" w:hAnsi="黑体" w:eastAsia="黑体"/>
          <w:b/>
          <w:bCs/>
          <w:color w:val="auto"/>
          <w:sz w:val="32"/>
          <w:szCs w:val="32"/>
        </w:rPr>
        <w:drawing>
          <wp:inline distT="0" distB="0" distL="0" distR="0">
            <wp:extent cx="3585845" cy="3860800"/>
            <wp:effectExtent l="0" t="0" r="0" b="6350"/>
            <wp:docPr id="3" name="图片 1"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有德LOGO(小版)"/>
                    <pic:cNvPicPr>
                      <a:picLocks noChangeAspect="1" noChangeArrowheads="1"/>
                    </pic:cNvPicPr>
                  </pic:nvPicPr>
                  <pic:blipFill>
                    <a:blip r:embed="rId6" cstate="print"/>
                    <a:srcRect/>
                    <a:stretch>
                      <a:fillRect/>
                    </a:stretch>
                  </pic:blipFill>
                  <pic:spPr>
                    <a:xfrm>
                      <a:off x="0" y="0"/>
                      <a:ext cx="3588483" cy="3863413"/>
                    </a:xfrm>
                    <a:prstGeom prst="rect">
                      <a:avLst/>
                    </a:prstGeom>
                    <a:noFill/>
                    <a:ln w="9525">
                      <a:noFill/>
                      <a:miter lim="800000"/>
                      <a:headEnd/>
                      <a:tailEnd/>
                    </a:ln>
                  </pic:spPr>
                </pic:pic>
              </a:graphicData>
            </a:graphic>
          </wp:inline>
        </w:drawing>
      </w:r>
    </w:p>
    <w:p>
      <w:pPr>
        <w:spacing w:after="936" w:afterLines="300"/>
        <w:jc w:val="center"/>
        <w:rPr>
          <w:rFonts w:ascii="黑体" w:hAnsi="黑体" w:eastAsia="黑体"/>
          <w:b/>
          <w:color w:val="auto"/>
          <w:sz w:val="28"/>
          <w:szCs w:val="28"/>
        </w:rPr>
      </w:pPr>
      <w:r>
        <w:rPr>
          <w:rFonts w:hint="eastAsia" w:ascii="黑体" w:hAnsi="黑体" w:eastAsia="黑体"/>
          <w:b/>
          <w:color w:val="auto"/>
          <w:sz w:val="28"/>
          <w:szCs w:val="28"/>
        </w:rPr>
        <w:t>（国内公开招标）</w:t>
      </w:r>
    </w:p>
    <w:tbl>
      <w:tblPr>
        <w:tblStyle w:val="21"/>
        <w:tblW w:w="99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44"/>
        <w:gridCol w:w="6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jc w:val="center"/>
        </w:trPr>
        <w:tc>
          <w:tcPr>
            <w:tcW w:w="3544" w:type="dxa"/>
          </w:tcPr>
          <w:p>
            <w:pPr>
              <w:spacing w:before="468" w:beforeLines="150"/>
              <w:ind w:left="683" w:leftChars="325" w:firstLine="769" w:firstLineChars="213"/>
              <w:jc w:val="center"/>
              <w:rPr>
                <w:rFonts w:ascii="黑体" w:hAnsi="黑体" w:eastAsia="黑体"/>
                <w:b/>
                <w:color w:val="auto"/>
                <w:spacing w:val="40"/>
                <w:sz w:val="28"/>
                <w:szCs w:val="28"/>
              </w:rPr>
            </w:pPr>
            <w:r>
              <w:rPr>
                <w:rFonts w:hint="eastAsia" w:ascii="黑体" w:hAnsi="黑体" w:eastAsia="黑体"/>
                <w:b/>
                <w:color w:val="auto"/>
                <w:spacing w:val="40"/>
                <w:sz w:val="28"/>
                <w:szCs w:val="28"/>
              </w:rPr>
              <w:t>项目名称：</w:t>
            </w:r>
          </w:p>
        </w:tc>
        <w:tc>
          <w:tcPr>
            <w:tcW w:w="6412" w:type="dxa"/>
          </w:tcPr>
          <w:p>
            <w:pPr>
              <w:tabs>
                <w:tab w:val="left" w:pos="-108"/>
              </w:tabs>
              <w:spacing w:before="468" w:beforeLines="150"/>
              <w:ind w:left="-107" w:leftChars="-51" w:firstLine="3"/>
              <w:jc w:val="left"/>
              <w:rPr>
                <w:rFonts w:ascii="黑体" w:hAnsi="黑体" w:eastAsia="黑体"/>
                <w:b/>
                <w:color w:val="auto"/>
                <w:sz w:val="28"/>
                <w:szCs w:val="28"/>
              </w:rPr>
            </w:pPr>
            <w:r>
              <w:rPr>
                <w:rFonts w:hint="eastAsia" w:ascii="黑体" w:hAnsi="黑体" w:eastAsia="黑体"/>
                <w:b/>
                <w:color w:val="auto"/>
                <w:sz w:val="28"/>
                <w:szCs w:val="28"/>
              </w:rPr>
              <w:t>东莞市大岭山森林公园2023年食堂承包服务项目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3544" w:type="dxa"/>
          </w:tcPr>
          <w:p>
            <w:pPr>
              <w:ind w:left="683" w:leftChars="325" w:firstLine="769" w:firstLineChars="213"/>
              <w:jc w:val="center"/>
              <w:rPr>
                <w:rFonts w:ascii="黑体" w:hAnsi="黑体" w:eastAsia="黑体"/>
                <w:b/>
                <w:color w:val="auto"/>
                <w:sz w:val="28"/>
                <w:szCs w:val="28"/>
              </w:rPr>
            </w:pPr>
            <w:r>
              <w:rPr>
                <w:rFonts w:hint="eastAsia" w:ascii="黑体" w:hAnsi="黑体" w:eastAsia="黑体"/>
                <w:b/>
                <w:color w:val="auto"/>
                <w:spacing w:val="40"/>
                <w:sz w:val="28"/>
                <w:szCs w:val="28"/>
              </w:rPr>
              <w:t>项目编号：</w:t>
            </w:r>
          </w:p>
        </w:tc>
        <w:tc>
          <w:tcPr>
            <w:tcW w:w="6412" w:type="dxa"/>
          </w:tcPr>
          <w:p>
            <w:pPr>
              <w:tabs>
                <w:tab w:val="left" w:pos="-108"/>
              </w:tabs>
              <w:ind w:left="-107" w:leftChars="-51" w:firstLine="3"/>
              <w:jc w:val="left"/>
              <w:rPr>
                <w:rFonts w:ascii="黑体" w:hAnsi="黑体" w:eastAsia="黑体"/>
                <w:b/>
                <w:color w:val="auto"/>
                <w:sz w:val="28"/>
                <w:szCs w:val="28"/>
              </w:rPr>
            </w:pPr>
            <w:r>
              <w:rPr>
                <w:rFonts w:ascii="黑体" w:hAnsi="黑体" w:eastAsia="黑体"/>
                <w:b/>
                <w:color w:val="auto"/>
                <w:sz w:val="28"/>
                <w:szCs w:val="28"/>
              </w:rPr>
              <w:t>YDZB22DGQY0271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3544" w:type="dxa"/>
          </w:tcPr>
          <w:p>
            <w:pPr>
              <w:ind w:left="683" w:leftChars="325" w:firstLine="769" w:firstLineChars="213"/>
              <w:jc w:val="center"/>
              <w:rPr>
                <w:rFonts w:ascii="黑体" w:hAnsi="黑体" w:eastAsia="黑体"/>
                <w:b/>
                <w:color w:val="auto"/>
                <w:sz w:val="28"/>
                <w:szCs w:val="28"/>
              </w:rPr>
            </w:pPr>
            <w:r>
              <w:rPr>
                <w:rFonts w:hint="eastAsia" w:ascii="黑体" w:hAnsi="黑体" w:eastAsia="黑体"/>
                <w:b/>
                <w:color w:val="auto"/>
                <w:spacing w:val="40"/>
                <w:sz w:val="28"/>
                <w:szCs w:val="28"/>
              </w:rPr>
              <w:t>采购单位：</w:t>
            </w:r>
          </w:p>
        </w:tc>
        <w:tc>
          <w:tcPr>
            <w:tcW w:w="6412" w:type="dxa"/>
          </w:tcPr>
          <w:p>
            <w:pPr>
              <w:tabs>
                <w:tab w:val="left" w:pos="-108"/>
              </w:tabs>
              <w:ind w:left="-107" w:leftChars="-51" w:firstLine="3"/>
              <w:jc w:val="left"/>
              <w:rPr>
                <w:rFonts w:ascii="黑体" w:hAnsi="黑体" w:eastAsia="黑体"/>
                <w:b/>
                <w:color w:val="auto"/>
                <w:sz w:val="28"/>
                <w:szCs w:val="28"/>
              </w:rPr>
            </w:pPr>
            <w:r>
              <w:rPr>
                <w:rFonts w:hint="eastAsia" w:ascii="黑体" w:hAnsi="黑体" w:eastAsia="黑体"/>
                <w:b/>
                <w:color w:val="auto"/>
                <w:sz w:val="28"/>
                <w:szCs w:val="28"/>
              </w:rPr>
              <w:t>东莞市大岭山森林公园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3544" w:type="dxa"/>
          </w:tcPr>
          <w:p>
            <w:pPr>
              <w:ind w:left="683" w:leftChars="325" w:firstLine="770" w:firstLineChars="295"/>
              <w:jc w:val="center"/>
              <w:rPr>
                <w:rFonts w:ascii="黑体" w:hAnsi="黑体" w:eastAsia="黑体"/>
                <w:b/>
                <w:color w:val="auto"/>
                <w:sz w:val="28"/>
                <w:szCs w:val="28"/>
              </w:rPr>
            </w:pPr>
            <w:r>
              <w:rPr>
                <w:rFonts w:hint="eastAsia" w:ascii="黑体" w:hAnsi="黑体" w:eastAsia="黑体"/>
                <w:b/>
                <w:color w:val="auto"/>
                <w:spacing w:val="-10"/>
                <w:sz w:val="28"/>
                <w:szCs w:val="28"/>
              </w:rPr>
              <w:t>采购代理机构</w:t>
            </w:r>
            <w:r>
              <w:rPr>
                <w:rFonts w:hint="eastAsia" w:ascii="黑体" w:hAnsi="黑体" w:eastAsia="黑体"/>
                <w:b/>
                <w:color w:val="auto"/>
                <w:sz w:val="28"/>
                <w:szCs w:val="28"/>
              </w:rPr>
              <w:t>：</w:t>
            </w:r>
          </w:p>
        </w:tc>
        <w:tc>
          <w:tcPr>
            <w:tcW w:w="6412" w:type="dxa"/>
          </w:tcPr>
          <w:p>
            <w:pPr>
              <w:tabs>
                <w:tab w:val="left" w:pos="-108"/>
              </w:tabs>
              <w:ind w:left="-107" w:leftChars="-51" w:firstLine="3"/>
              <w:jc w:val="left"/>
              <w:rPr>
                <w:rFonts w:ascii="黑体" w:hAnsi="黑体" w:eastAsia="黑体"/>
                <w:b/>
                <w:color w:val="auto"/>
                <w:spacing w:val="4"/>
                <w:sz w:val="28"/>
                <w:szCs w:val="28"/>
              </w:rPr>
            </w:pPr>
            <w:r>
              <w:rPr>
                <w:rFonts w:hint="eastAsia" w:ascii="黑体" w:hAnsi="黑体" w:eastAsia="黑体"/>
                <w:b/>
                <w:color w:val="auto"/>
                <w:spacing w:val="4"/>
                <w:sz w:val="28"/>
                <w:szCs w:val="28"/>
              </w:rPr>
              <w:t>广东有德招标采购有限公司</w:t>
            </w:r>
          </w:p>
        </w:tc>
      </w:tr>
    </w:tbl>
    <w:p>
      <w:pPr>
        <w:jc w:val="center"/>
        <w:rPr>
          <w:rFonts w:ascii="黑体" w:hAnsi="黑体" w:eastAsia="黑体"/>
          <w:b/>
          <w:color w:val="auto"/>
          <w:sz w:val="32"/>
          <w:szCs w:val="32"/>
        </w:rPr>
      </w:pPr>
    </w:p>
    <w:p>
      <w:pPr>
        <w:spacing w:before="156" w:beforeLines="50" w:line="360" w:lineRule="auto"/>
        <w:jc w:val="center"/>
        <w:rPr>
          <w:rFonts w:ascii="黑体" w:hAnsi="黑体" w:eastAsia="黑体"/>
          <w:b/>
          <w:color w:val="auto"/>
          <w:spacing w:val="60"/>
          <w:sz w:val="28"/>
          <w:szCs w:val="28"/>
        </w:rPr>
      </w:pPr>
      <w:r>
        <w:rPr>
          <w:rFonts w:hint="eastAsia" w:ascii="黑体" w:hAnsi="黑体" w:eastAsia="黑体"/>
          <w:b/>
          <w:color w:val="auto"/>
          <w:spacing w:val="60"/>
          <w:sz w:val="28"/>
          <w:szCs w:val="28"/>
        </w:rPr>
        <w:t>二〇二二年十</w:t>
      </w:r>
      <w:r>
        <w:rPr>
          <w:rFonts w:hint="eastAsia" w:ascii="黑体" w:hAnsi="黑体" w:eastAsia="黑体"/>
          <w:b/>
          <w:color w:val="auto"/>
          <w:spacing w:val="60"/>
          <w:sz w:val="28"/>
          <w:szCs w:val="28"/>
          <w:lang w:val="en-US" w:eastAsia="zh-CN"/>
        </w:rPr>
        <w:t>二</w:t>
      </w:r>
      <w:r>
        <w:rPr>
          <w:rFonts w:hint="eastAsia" w:ascii="黑体" w:hAnsi="黑体" w:eastAsia="黑体"/>
          <w:b/>
          <w:color w:val="auto"/>
          <w:spacing w:val="60"/>
          <w:sz w:val="28"/>
          <w:szCs w:val="28"/>
        </w:rPr>
        <w:t>月</w:t>
      </w:r>
    </w:p>
    <w:p>
      <w:pPr>
        <w:pageBreakBefore/>
        <w:spacing w:before="156" w:beforeLines="50" w:after="312" w:afterLines="100" w:line="480" w:lineRule="auto"/>
        <w:jc w:val="center"/>
        <w:rPr>
          <w:rFonts w:ascii="黑体" w:hAnsi="黑体" w:eastAsia="黑体"/>
          <w:b/>
          <w:color w:val="auto"/>
          <w:spacing w:val="60"/>
          <w:sz w:val="44"/>
          <w:szCs w:val="44"/>
        </w:rPr>
      </w:pPr>
      <w:r>
        <w:rPr>
          <w:rFonts w:hint="eastAsia" w:ascii="黑体" w:hAnsi="黑体" w:eastAsia="黑体"/>
          <w:b/>
          <w:color w:val="auto"/>
          <w:spacing w:val="60"/>
          <w:sz w:val="44"/>
          <w:szCs w:val="44"/>
        </w:rPr>
        <w:t>温馨提示</w:t>
      </w:r>
    </w:p>
    <w:p>
      <w:pPr>
        <w:pStyle w:val="30"/>
        <w:numPr>
          <w:ilvl w:val="0"/>
          <w:numId w:val="1"/>
        </w:numPr>
        <w:spacing w:line="600" w:lineRule="exact"/>
        <w:ind w:firstLineChars="0"/>
        <w:jc w:val="left"/>
        <w:rPr>
          <w:rFonts w:ascii="黑体" w:hAnsi="黑体" w:eastAsia="黑体"/>
          <w:color w:val="auto"/>
          <w:szCs w:val="21"/>
        </w:rPr>
      </w:pPr>
      <w:r>
        <w:rPr>
          <w:rFonts w:hint="eastAsia" w:ascii="黑体" w:hAnsi="黑体" w:eastAsia="黑体"/>
          <w:color w:val="auto"/>
          <w:szCs w:val="21"/>
        </w:rPr>
        <w:t>投标截止时间一到，本公司不接收任何投标文件，因此，请适当提前到达。</w:t>
      </w:r>
    </w:p>
    <w:p>
      <w:pPr>
        <w:pStyle w:val="30"/>
        <w:numPr>
          <w:ilvl w:val="0"/>
          <w:numId w:val="1"/>
        </w:numPr>
        <w:spacing w:line="600" w:lineRule="exact"/>
        <w:ind w:firstLineChars="0"/>
        <w:jc w:val="left"/>
        <w:rPr>
          <w:rFonts w:ascii="黑体" w:hAnsi="黑体" w:eastAsia="黑体"/>
          <w:color w:val="auto"/>
        </w:rPr>
      </w:pPr>
      <w:r>
        <w:rPr>
          <w:rFonts w:hint="eastAsia" w:ascii="黑体" w:hAnsi="黑体" w:eastAsia="黑体"/>
          <w:color w:val="auto"/>
        </w:rPr>
        <w:t>请正确填写《开标一览表》。多包项目请仔细检查包组号，包组号跟包组名称必须一致。</w:t>
      </w:r>
    </w:p>
    <w:p>
      <w:pPr>
        <w:pStyle w:val="30"/>
        <w:numPr>
          <w:ilvl w:val="0"/>
          <w:numId w:val="1"/>
        </w:numPr>
        <w:spacing w:line="600" w:lineRule="exact"/>
        <w:ind w:firstLineChars="0"/>
        <w:jc w:val="left"/>
        <w:rPr>
          <w:rFonts w:ascii="黑体" w:hAnsi="黑体" w:eastAsia="黑体"/>
          <w:color w:val="auto"/>
        </w:rPr>
      </w:pPr>
      <w:r>
        <w:rPr>
          <w:rFonts w:hint="eastAsia" w:ascii="黑体" w:hAnsi="黑体" w:eastAsia="黑体"/>
          <w:color w:val="auto"/>
        </w:rPr>
        <w:t>请仔细检查投标文件是否已按招标文件盖章、签名(或盖私章)、签署日期。</w:t>
      </w:r>
    </w:p>
    <w:p>
      <w:pPr>
        <w:pStyle w:val="30"/>
        <w:numPr>
          <w:ilvl w:val="0"/>
          <w:numId w:val="1"/>
        </w:numPr>
        <w:spacing w:line="600" w:lineRule="exact"/>
        <w:ind w:firstLineChars="0"/>
        <w:jc w:val="left"/>
        <w:rPr>
          <w:rFonts w:ascii="黑体" w:hAnsi="黑体" w:eastAsia="黑体"/>
          <w:color w:val="auto"/>
        </w:rPr>
      </w:pPr>
      <w:r>
        <w:rPr>
          <w:rFonts w:hint="eastAsia" w:ascii="黑体" w:hAnsi="黑体" w:eastAsia="黑体"/>
          <w:color w:val="auto"/>
        </w:rPr>
        <w:t>加★号的条款必须一一响应。</w:t>
      </w:r>
    </w:p>
    <w:p>
      <w:pPr>
        <w:pStyle w:val="30"/>
        <w:numPr>
          <w:ilvl w:val="0"/>
          <w:numId w:val="1"/>
        </w:numPr>
        <w:spacing w:line="600" w:lineRule="exact"/>
        <w:ind w:firstLineChars="0"/>
        <w:jc w:val="left"/>
        <w:rPr>
          <w:rFonts w:ascii="黑体" w:hAnsi="黑体" w:eastAsia="黑体"/>
          <w:color w:val="auto"/>
        </w:rPr>
      </w:pPr>
      <w:r>
        <w:rPr>
          <w:rFonts w:hint="eastAsia" w:ascii="黑体" w:hAnsi="黑体" w:eastAsia="黑体"/>
          <w:color w:val="auto"/>
        </w:rPr>
        <w:t>投标文件应按顺序编制页码。</w:t>
      </w:r>
    </w:p>
    <w:p>
      <w:pPr>
        <w:numPr>
          <w:ilvl w:val="0"/>
          <w:numId w:val="1"/>
        </w:numPr>
        <w:tabs>
          <w:tab w:val="left" w:pos="709"/>
        </w:tabs>
        <w:spacing w:line="600" w:lineRule="exact"/>
        <w:rPr>
          <w:rFonts w:ascii="黑体" w:hAnsi="黑体" w:eastAsia="黑体"/>
          <w:color w:val="auto"/>
          <w:szCs w:val="21"/>
        </w:rPr>
      </w:pPr>
      <w:r>
        <w:rPr>
          <w:rFonts w:hint="eastAsia" w:ascii="黑体" w:hAnsi="黑体" w:eastAsia="黑体"/>
          <w:color w:val="auto"/>
          <w:szCs w:val="21"/>
        </w:rPr>
        <w:t>投标人如需对项目提出询问或质疑，应按招标文件附件中的询问函和质疑函的格式提交。</w:t>
      </w:r>
    </w:p>
    <w:p>
      <w:pPr>
        <w:tabs>
          <w:tab w:val="left" w:pos="709"/>
        </w:tabs>
        <w:spacing w:before="156" w:beforeLines="50" w:line="600" w:lineRule="exact"/>
        <w:jc w:val="center"/>
        <w:rPr>
          <w:rFonts w:ascii="黑体" w:hAnsi="黑体" w:eastAsia="黑体"/>
          <w:b/>
          <w:color w:val="auto"/>
        </w:rPr>
      </w:pPr>
      <w:r>
        <w:rPr>
          <w:rFonts w:hint="eastAsia" w:ascii="黑体" w:hAnsi="黑体" w:eastAsia="黑体"/>
          <w:b/>
          <w:color w:val="auto"/>
        </w:rPr>
        <w:t>(本提示内容非招标文件的组成部分，仅为善意提醒。如有不一致，以招标文件为准。)</w:t>
      </w:r>
    </w:p>
    <w:p>
      <w:pPr>
        <w:tabs>
          <w:tab w:val="left" w:pos="709"/>
        </w:tabs>
        <w:spacing w:before="156" w:beforeLines="50" w:line="600" w:lineRule="exact"/>
        <w:jc w:val="center"/>
        <w:rPr>
          <w:rFonts w:ascii="黑体" w:hAnsi="黑体" w:eastAsia="黑体"/>
          <w:b/>
          <w:color w:val="auto"/>
          <w:sz w:val="24"/>
          <w:szCs w:val="24"/>
        </w:rPr>
      </w:pPr>
      <w:r>
        <w:rPr>
          <w:rFonts w:hint="eastAsia" w:ascii="黑体" w:hAnsi="黑体" w:eastAsia="黑体"/>
          <w:b/>
          <w:color w:val="auto"/>
          <w:sz w:val="24"/>
          <w:szCs w:val="24"/>
        </w:rPr>
        <w:t>使用微信扫描二维码在线获取招标文件</w:t>
      </w:r>
    </w:p>
    <w:p>
      <w:pPr>
        <w:tabs>
          <w:tab w:val="left" w:pos="709"/>
        </w:tabs>
        <w:spacing w:before="156" w:beforeLines="50" w:line="600" w:lineRule="exact"/>
        <w:jc w:val="center"/>
        <w:rPr>
          <w:rFonts w:ascii="黑体" w:hAnsi="黑体" w:eastAsia="黑体"/>
          <w:b/>
          <w:color w:val="auto"/>
          <w:sz w:val="32"/>
          <w:szCs w:val="32"/>
        </w:rPr>
      </w:pPr>
      <w:r>
        <w:rPr>
          <w:rFonts w:ascii="黑体" w:hAnsi="黑体" w:eastAsia="黑体"/>
          <w:b/>
          <w:color w:val="auto"/>
          <w:sz w:val="32"/>
          <w:szCs w:val="32"/>
        </w:rPr>
        <w:drawing>
          <wp:anchor distT="0" distB="0" distL="114300" distR="114300" simplePos="0" relativeHeight="251659264" behindDoc="0" locked="0" layoutInCell="1" allowOverlap="1">
            <wp:simplePos x="0" y="0"/>
            <wp:positionH relativeFrom="column">
              <wp:posOffset>1411605</wp:posOffset>
            </wp:positionH>
            <wp:positionV relativeFrom="paragraph">
              <wp:posOffset>146685</wp:posOffset>
            </wp:positionV>
            <wp:extent cx="2712085" cy="2576195"/>
            <wp:effectExtent l="0" t="0" r="0" b="0"/>
            <wp:wrapNone/>
            <wp:docPr id="6" name="图片 2" descr="C:\Users\ADMINI~1\AppData\Local\Temp\WeChat Files\6b2d4e1d76675bde2c43827105fa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1\AppData\Local\Temp\WeChat Files\6b2d4e1d76675bde2c43827105fa874.jpg"/>
                    <pic:cNvPicPr>
                      <a:picLocks noChangeAspect="1" noChangeArrowheads="1"/>
                    </pic:cNvPicPr>
                  </pic:nvPicPr>
                  <pic:blipFill>
                    <a:blip r:embed="rId7" cstate="print"/>
                    <a:srcRect/>
                    <a:stretch>
                      <a:fillRect/>
                    </a:stretch>
                  </pic:blipFill>
                  <pic:spPr>
                    <a:xfrm>
                      <a:off x="0" y="0"/>
                      <a:ext cx="2712378" cy="2575909"/>
                    </a:xfrm>
                    <a:prstGeom prst="rect">
                      <a:avLst/>
                    </a:prstGeom>
                    <a:noFill/>
                    <a:ln w="9525">
                      <a:noFill/>
                      <a:miter lim="800000"/>
                      <a:headEnd/>
                      <a:tailEnd/>
                    </a:ln>
                  </pic:spPr>
                </pic:pic>
              </a:graphicData>
            </a:graphic>
          </wp:anchor>
        </w:drawing>
      </w:r>
    </w:p>
    <w:p>
      <w:pPr>
        <w:tabs>
          <w:tab w:val="left" w:pos="709"/>
        </w:tabs>
        <w:spacing w:before="156" w:beforeLines="50" w:line="600" w:lineRule="exact"/>
        <w:rPr>
          <w:rFonts w:ascii="黑体" w:hAnsi="黑体" w:eastAsia="黑体"/>
          <w:b/>
          <w:color w:val="auto"/>
        </w:rPr>
      </w:pPr>
    </w:p>
    <w:p>
      <w:pPr>
        <w:rPr>
          <w:rFonts w:ascii="黑体" w:hAnsi="黑体" w:eastAsia="黑体"/>
          <w:color w:val="auto"/>
        </w:rPr>
      </w:pPr>
    </w:p>
    <w:p>
      <w:pPr>
        <w:jc w:val="right"/>
        <w:rPr>
          <w:rFonts w:ascii="黑体" w:hAnsi="黑体" w:eastAsia="黑体"/>
          <w:color w:val="auto"/>
        </w:rPr>
      </w:pPr>
    </w:p>
    <w:sdt>
      <w:sdtPr>
        <w:rPr>
          <w:rFonts w:ascii="宋体" w:hAnsi="宋体" w:eastAsia="宋体" w:cstheme="minorBidi"/>
          <w:b w:val="0"/>
          <w:bCs w:val="0"/>
          <w:color w:val="auto"/>
          <w:kern w:val="2"/>
          <w:sz w:val="21"/>
          <w:szCs w:val="22"/>
          <w:lang w:val="zh-CN"/>
        </w:rPr>
        <w:id w:val="-671422043"/>
        <w:docPartObj>
          <w:docPartGallery w:val="Table of Contents"/>
          <w:docPartUnique/>
        </w:docPartObj>
      </w:sdtPr>
      <w:sdtEndPr>
        <w:rPr>
          <w:rFonts w:ascii="黑体" w:hAnsi="黑体" w:eastAsia="黑体" w:cstheme="minorBidi"/>
          <w:b w:val="0"/>
          <w:bCs w:val="0"/>
          <w:color w:val="auto"/>
          <w:kern w:val="2"/>
          <w:sz w:val="21"/>
          <w:szCs w:val="22"/>
          <w:lang w:val="zh-CN"/>
        </w:rPr>
      </w:sdtEndPr>
      <w:sdtContent>
        <w:p>
          <w:pPr>
            <w:pStyle w:val="35"/>
            <w:keepNext w:val="0"/>
            <w:keepLines w:val="0"/>
            <w:pageBreakBefore/>
            <w:widowControl w:val="0"/>
            <w:spacing w:before="0" w:line="360" w:lineRule="auto"/>
            <w:jc w:val="center"/>
            <w:rPr>
              <w:rFonts w:ascii="黑体" w:hAnsi="黑体" w:eastAsia="黑体"/>
              <w:color w:val="auto"/>
            </w:rPr>
          </w:pPr>
          <w:bookmarkStart w:id="0" w:name="_Toc391627747"/>
          <w:bookmarkStart w:id="1" w:name="_Toc391367873"/>
          <w:bookmarkStart w:id="2" w:name="_Toc405313951"/>
          <w:r>
            <w:rPr>
              <w:rFonts w:hint="eastAsia" w:ascii="黑体" w:hAnsi="黑体" w:eastAsia="黑体"/>
              <w:color w:val="auto"/>
              <w:lang w:val="zh-CN"/>
            </w:rPr>
            <w:t>目   录</w:t>
          </w:r>
        </w:p>
        <w:p>
          <w:pPr>
            <w:pStyle w:val="16"/>
            <w:rPr>
              <w:rFonts w:eastAsiaTheme="minorEastAsia"/>
              <w:color w:val="auto"/>
              <w:kern w:val="2"/>
              <w:sz w:val="21"/>
            </w:rPr>
          </w:pPr>
          <w:r>
            <w:rPr>
              <w:rFonts w:ascii="黑体" w:hAnsi="黑体"/>
              <w:color w:val="auto"/>
            </w:rPr>
            <w:fldChar w:fldCharType="begin"/>
          </w:r>
          <w:r>
            <w:rPr>
              <w:rFonts w:ascii="黑体" w:hAnsi="黑体"/>
              <w:color w:val="auto"/>
            </w:rPr>
            <w:instrText xml:space="preserve"> TOC \o "1-3" \h \z \u </w:instrText>
          </w:r>
          <w:r>
            <w:rPr>
              <w:rFonts w:ascii="黑体" w:hAnsi="黑体"/>
              <w:color w:val="auto"/>
            </w:rPr>
            <w:fldChar w:fldCharType="separate"/>
          </w:r>
          <w:r>
            <w:rPr>
              <w:color w:val="auto"/>
            </w:rPr>
            <w:fldChar w:fldCharType="begin"/>
          </w:r>
          <w:r>
            <w:rPr>
              <w:color w:val="auto"/>
            </w:rPr>
            <w:instrText xml:space="preserve"> HYPERLINK \l "_Toc90980546" </w:instrText>
          </w:r>
          <w:r>
            <w:rPr>
              <w:color w:val="auto"/>
            </w:rPr>
            <w:fldChar w:fldCharType="separate"/>
          </w:r>
          <w:r>
            <w:rPr>
              <w:rStyle w:val="26"/>
              <w:rFonts w:ascii="黑体" w:hAnsi="黑体"/>
              <w:color w:val="auto"/>
              <w:spacing w:val="20"/>
            </w:rPr>
            <w:t>第一部分 投标邀请函</w:t>
          </w:r>
          <w:r>
            <w:rPr>
              <w:color w:val="auto"/>
            </w:rPr>
            <w:tab/>
          </w:r>
          <w:r>
            <w:rPr>
              <w:color w:val="auto"/>
            </w:rPr>
            <w:fldChar w:fldCharType="begin"/>
          </w:r>
          <w:r>
            <w:rPr>
              <w:color w:val="auto"/>
            </w:rPr>
            <w:instrText xml:space="preserve"> PAGEREF _Toc90980546 \h </w:instrText>
          </w:r>
          <w:r>
            <w:rPr>
              <w:color w:val="auto"/>
            </w:rPr>
            <w:fldChar w:fldCharType="separate"/>
          </w:r>
          <w:r>
            <w:rPr>
              <w:color w:val="auto"/>
            </w:rPr>
            <w:t>4</w:t>
          </w:r>
          <w:r>
            <w:rPr>
              <w:color w:val="auto"/>
            </w:rPr>
            <w:fldChar w:fldCharType="end"/>
          </w:r>
          <w:r>
            <w:rPr>
              <w:color w:val="auto"/>
            </w:rPr>
            <w:fldChar w:fldCharType="end"/>
          </w:r>
        </w:p>
        <w:p>
          <w:pPr>
            <w:pStyle w:val="16"/>
            <w:rPr>
              <w:rFonts w:eastAsiaTheme="minorEastAsia"/>
              <w:color w:val="auto"/>
              <w:kern w:val="2"/>
              <w:sz w:val="21"/>
            </w:rPr>
          </w:pPr>
          <w:r>
            <w:rPr>
              <w:color w:val="auto"/>
            </w:rPr>
            <w:fldChar w:fldCharType="begin"/>
          </w:r>
          <w:r>
            <w:rPr>
              <w:color w:val="auto"/>
            </w:rPr>
            <w:instrText xml:space="preserve"> HYPERLINK \l "_Toc90980547" </w:instrText>
          </w:r>
          <w:r>
            <w:rPr>
              <w:color w:val="auto"/>
            </w:rPr>
            <w:fldChar w:fldCharType="separate"/>
          </w:r>
          <w:r>
            <w:rPr>
              <w:rStyle w:val="26"/>
              <w:rFonts w:ascii="黑体" w:hAnsi="黑体"/>
              <w:color w:val="auto"/>
              <w:spacing w:val="20"/>
            </w:rPr>
            <w:t>第二部分 采购需求</w:t>
          </w:r>
          <w:r>
            <w:rPr>
              <w:color w:val="auto"/>
            </w:rPr>
            <w:tab/>
          </w:r>
          <w:r>
            <w:rPr>
              <w:color w:val="auto"/>
            </w:rPr>
            <w:fldChar w:fldCharType="begin"/>
          </w:r>
          <w:r>
            <w:rPr>
              <w:color w:val="auto"/>
            </w:rPr>
            <w:instrText xml:space="preserve"> PAGEREF _Toc90980547 \h </w:instrText>
          </w:r>
          <w:r>
            <w:rPr>
              <w:color w:val="auto"/>
            </w:rPr>
            <w:fldChar w:fldCharType="separate"/>
          </w:r>
          <w:r>
            <w:rPr>
              <w:color w:val="auto"/>
            </w:rPr>
            <w:t>8</w:t>
          </w:r>
          <w:r>
            <w:rPr>
              <w:color w:val="auto"/>
            </w:rPr>
            <w:fldChar w:fldCharType="end"/>
          </w:r>
          <w:r>
            <w:rPr>
              <w:color w:val="auto"/>
            </w:rPr>
            <w:fldChar w:fldCharType="end"/>
          </w:r>
        </w:p>
        <w:p>
          <w:pPr>
            <w:pStyle w:val="16"/>
            <w:rPr>
              <w:rFonts w:eastAsiaTheme="minorEastAsia"/>
              <w:color w:val="auto"/>
              <w:kern w:val="2"/>
              <w:sz w:val="21"/>
            </w:rPr>
          </w:pPr>
          <w:r>
            <w:rPr>
              <w:color w:val="auto"/>
            </w:rPr>
            <w:fldChar w:fldCharType="begin"/>
          </w:r>
          <w:r>
            <w:rPr>
              <w:color w:val="auto"/>
            </w:rPr>
            <w:instrText xml:space="preserve"> HYPERLINK \l "_Toc90980548" </w:instrText>
          </w:r>
          <w:r>
            <w:rPr>
              <w:color w:val="auto"/>
            </w:rPr>
            <w:fldChar w:fldCharType="separate"/>
          </w:r>
          <w:r>
            <w:rPr>
              <w:rStyle w:val="26"/>
              <w:rFonts w:ascii="黑体" w:hAnsi="黑体"/>
              <w:color w:val="auto"/>
              <w:spacing w:val="20"/>
            </w:rPr>
            <w:t>第三部分 投标须知前附表</w:t>
          </w:r>
          <w:r>
            <w:rPr>
              <w:color w:val="auto"/>
            </w:rPr>
            <w:tab/>
          </w:r>
          <w:r>
            <w:rPr>
              <w:color w:val="auto"/>
            </w:rPr>
            <w:fldChar w:fldCharType="begin"/>
          </w:r>
          <w:r>
            <w:rPr>
              <w:color w:val="auto"/>
            </w:rPr>
            <w:instrText xml:space="preserve"> PAGEREF _Toc90980548 \h </w:instrText>
          </w:r>
          <w:r>
            <w:rPr>
              <w:color w:val="auto"/>
            </w:rPr>
            <w:fldChar w:fldCharType="separate"/>
          </w:r>
          <w:r>
            <w:rPr>
              <w:color w:val="auto"/>
            </w:rPr>
            <w:t>16</w:t>
          </w:r>
          <w:r>
            <w:rPr>
              <w:color w:val="auto"/>
            </w:rPr>
            <w:fldChar w:fldCharType="end"/>
          </w:r>
          <w:r>
            <w:rPr>
              <w:color w:val="auto"/>
            </w:rPr>
            <w:fldChar w:fldCharType="end"/>
          </w:r>
        </w:p>
        <w:p>
          <w:pPr>
            <w:pStyle w:val="16"/>
            <w:rPr>
              <w:rFonts w:eastAsiaTheme="minorEastAsia"/>
              <w:color w:val="auto"/>
              <w:kern w:val="2"/>
              <w:sz w:val="21"/>
            </w:rPr>
          </w:pPr>
          <w:r>
            <w:rPr>
              <w:color w:val="auto"/>
            </w:rPr>
            <w:fldChar w:fldCharType="begin"/>
          </w:r>
          <w:r>
            <w:rPr>
              <w:color w:val="auto"/>
            </w:rPr>
            <w:instrText xml:space="preserve"> HYPERLINK \l "_Toc90980549" </w:instrText>
          </w:r>
          <w:r>
            <w:rPr>
              <w:color w:val="auto"/>
            </w:rPr>
            <w:fldChar w:fldCharType="separate"/>
          </w:r>
          <w:r>
            <w:rPr>
              <w:rStyle w:val="26"/>
              <w:rFonts w:ascii="黑体" w:hAnsi="黑体"/>
              <w:color w:val="auto"/>
              <w:spacing w:val="20"/>
            </w:rPr>
            <w:t>第四部分 投标须知</w:t>
          </w:r>
          <w:r>
            <w:rPr>
              <w:color w:val="auto"/>
            </w:rPr>
            <w:tab/>
          </w:r>
          <w:r>
            <w:rPr>
              <w:color w:val="auto"/>
            </w:rPr>
            <w:fldChar w:fldCharType="begin"/>
          </w:r>
          <w:r>
            <w:rPr>
              <w:color w:val="auto"/>
            </w:rPr>
            <w:instrText xml:space="preserve"> PAGEREF _Toc90980549 \h </w:instrText>
          </w:r>
          <w:r>
            <w:rPr>
              <w:color w:val="auto"/>
            </w:rPr>
            <w:fldChar w:fldCharType="separate"/>
          </w:r>
          <w:r>
            <w:rPr>
              <w:color w:val="auto"/>
            </w:rPr>
            <w:t>18</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"_Toc90980550" </w:instrText>
          </w:r>
          <w:r>
            <w:rPr>
              <w:color w:val="auto"/>
            </w:rPr>
            <w:fldChar w:fldCharType="separate"/>
          </w:r>
          <w:r>
            <w:rPr>
              <w:rStyle w:val="26"/>
              <w:rFonts w:ascii="黑体" w:hAnsi="黑体" w:eastAsia="黑体"/>
              <w:color w:val="auto"/>
              <w:spacing w:val="12"/>
            </w:rPr>
            <w:t>附件1  询问函格式</w:t>
          </w:r>
          <w:r>
            <w:rPr>
              <w:color w:val="auto"/>
            </w:rPr>
            <w:tab/>
          </w:r>
          <w:r>
            <w:rPr>
              <w:color w:val="auto"/>
            </w:rPr>
            <w:fldChar w:fldCharType="begin"/>
          </w:r>
          <w:r>
            <w:rPr>
              <w:color w:val="auto"/>
            </w:rPr>
            <w:instrText xml:space="preserve"> PAGEREF _Toc90980550 \h </w:instrText>
          </w:r>
          <w:r>
            <w:rPr>
              <w:color w:val="auto"/>
            </w:rPr>
            <w:fldChar w:fldCharType="separate"/>
          </w:r>
          <w:r>
            <w:rPr>
              <w:color w:val="auto"/>
            </w:rPr>
            <w:t>33</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"_Toc90980551" </w:instrText>
          </w:r>
          <w:r>
            <w:rPr>
              <w:color w:val="auto"/>
            </w:rPr>
            <w:fldChar w:fldCharType="separate"/>
          </w:r>
          <w:r>
            <w:rPr>
              <w:rStyle w:val="26"/>
              <w:rFonts w:ascii="黑体" w:hAnsi="黑体" w:eastAsia="黑体"/>
              <w:color w:val="auto"/>
              <w:spacing w:val="12"/>
            </w:rPr>
            <w:t>附件2  质疑函格式</w:t>
          </w:r>
          <w:r>
            <w:rPr>
              <w:color w:val="auto"/>
            </w:rPr>
            <w:tab/>
          </w:r>
          <w:r>
            <w:rPr>
              <w:color w:val="auto"/>
            </w:rPr>
            <w:fldChar w:fldCharType="begin"/>
          </w:r>
          <w:r>
            <w:rPr>
              <w:color w:val="auto"/>
            </w:rPr>
            <w:instrText xml:space="preserve"> PAGEREF _Toc90980551 \h </w:instrText>
          </w:r>
          <w:r>
            <w:rPr>
              <w:color w:val="auto"/>
            </w:rPr>
            <w:fldChar w:fldCharType="separate"/>
          </w:r>
          <w:r>
            <w:rPr>
              <w:color w:val="auto"/>
            </w:rPr>
            <w:t>34</w:t>
          </w:r>
          <w:r>
            <w:rPr>
              <w:color w:val="auto"/>
            </w:rPr>
            <w:fldChar w:fldCharType="end"/>
          </w:r>
          <w:r>
            <w:rPr>
              <w:color w:val="auto"/>
            </w:rPr>
            <w:fldChar w:fldCharType="end"/>
          </w:r>
        </w:p>
        <w:p>
          <w:pPr>
            <w:pStyle w:val="16"/>
            <w:rPr>
              <w:rFonts w:eastAsiaTheme="minorEastAsia"/>
              <w:color w:val="auto"/>
              <w:kern w:val="2"/>
              <w:sz w:val="21"/>
            </w:rPr>
          </w:pPr>
          <w:r>
            <w:rPr>
              <w:color w:val="auto"/>
            </w:rPr>
            <w:fldChar w:fldCharType="begin"/>
          </w:r>
          <w:r>
            <w:rPr>
              <w:color w:val="auto"/>
            </w:rPr>
            <w:instrText xml:space="preserve"> HYPERLINK \l "_Toc90980552" </w:instrText>
          </w:r>
          <w:r>
            <w:rPr>
              <w:color w:val="auto"/>
            </w:rPr>
            <w:fldChar w:fldCharType="separate"/>
          </w:r>
          <w:r>
            <w:rPr>
              <w:rStyle w:val="26"/>
              <w:rFonts w:ascii="黑体" w:hAnsi="黑体"/>
              <w:color w:val="auto"/>
              <w:spacing w:val="20"/>
            </w:rPr>
            <w:t>第五部分 评标方法、步骤、标准</w:t>
          </w:r>
          <w:r>
            <w:rPr>
              <w:color w:val="auto"/>
            </w:rPr>
            <w:tab/>
          </w:r>
          <w:r>
            <w:rPr>
              <w:color w:val="auto"/>
            </w:rPr>
            <w:fldChar w:fldCharType="begin"/>
          </w:r>
          <w:r>
            <w:rPr>
              <w:color w:val="auto"/>
            </w:rPr>
            <w:instrText xml:space="preserve"> PAGEREF _Toc90980552 \h </w:instrText>
          </w:r>
          <w:r>
            <w:rPr>
              <w:color w:val="auto"/>
            </w:rPr>
            <w:fldChar w:fldCharType="separate"/>
          </w:r>
          <w:r>
            <w:rPr>
              <w:color w:val="auto"/>
            </w:rPr>
            <w:t>36</w:t>
          </w:r>
          <w:r>
            <w:rPr>
              <w:color w:val="auto"/>
            </w:rPr>
            <w:fldChar w:fldCharType="end"/>
          </w:r>
          <w:r>
            <w:rPr>
              <w:color w:val="auto"/>
            </w:rPr>
            <w:fldChar w:fldCharType="end"/>
          </w:r>
        </w:p>
        <w:p>
          <w:pPr>
            <w:pStyle w:val="16"/>
            <w:rPr>
              <w:rFonts w:eastAsiaTheme="minorEastAsia"/>
              <w:color w:val="auto"/>
              <w:kern w:val="2"/>
              <w:sz w:val="21"/>
            </w:rPr>
          </w:pPr>
          <w:r>
            <w:rPr>
              <w:color w:val="auto"/>
            </w:rPr>
            <w:fldChar w:fldCharType="begin"/>
          </w:r>
          <w:r>
            <w:rPr>
              <w:color w:val="auto"/>
            </w:rPr>
            <w:instrText xml:space="preserve"> HYPERLINK \l "_Toc90980553" </w:instrText>
          </w:r>
          <w:r>
            <w:rPr>
              <w:color w:val="auto"/>
            </w:rPr>
            <w:fldChar w:fldCharType="separate"/>
          </w:r>
          <w:r>
            <w:rPr>
              <w:rStyle w:val="26"/>
              <w:rFonts w:ascii="黑体" w:hAnsi="黑体"/>
              <w:color w:val="auto"/>
              <w:spacing w:val="20"/>
            </w:rPr>
            <w:t>第六部分 合同书格式</w:t>
          </w:r>
          <w:r>
            <w:rPr>
              <w:color w:val="auto"/>
            </w:rPr>
            <w:tab/>
          </w:r>
          <w:r>
            <w:rPr>
              <w:color w:val="auto"/>
            </w:rPr>
            <w:fldChar w:fldCharType="begin"/>
          </w:r>
          <w:r>
            <w:rPr>
              <w:color w:val="auto"/>
            </w:rPr>
            <w:instrText xml:space="preserve"> PAGEREF _Toc90980553 \h </w:instrText>
          </w:r>
          <w:r>
            <w:rPr>
              <w:color w:val="auto"/>
            </w:rPr>
            <w:fldChar w:fldCharType="separate"/>
          </w:r>
          <w:r>
            <w:rPr>
              <w:color w:val="auto"/>
            </w:rPr>
            <w:t>48</w:t>
          </w:r>
          <w:r>
            <w:rPr>
              <w:color w:val="auto"/>
            </w:rPr>
            <w:fldChar w:fldCharType="end"/>
          </w:r>
          <w:r>
            <w:rPr>
              <w:color w:val="auto"/>
            </w:rPr>
            <w:fldChar w:fldCharType="end"/>
          </w:r>
        </w:p>
        <w:p>
          <w:pPr>
            <w:pStyle w:val="16"/>
            <w:rPr>
              <w:rFonts w:eastAsiaTheme="minorEastAsia"/>
              <w:color w:val="auto"/>
              <w:kern w:val="2"/>
              <w:sz w:val="21"/>
            </w:rPr>
          </w:pPr>
          <w:r>
            <w:rPr>
              <w:color w:val="auto"/>
            </w:rPr>
            <w:fldChar w:fldCharType="begin"/>
          </w:r>
          <w:r>
            <w:rPr>
              <w:color w:val="auto"/>
            </w:rPr>
            <w:instrText xml:space="preserve"> HYPERLINK \l "_Toc90980554" </w:instrText>
          </w:r>
          <w:r>
            <w:rPr>
              <w:color w:val="auto"/>
            </w:rPr>
            <w:fldChar w:fldCharType="separate"/>
          </w:r>
          <w:r>
            <w:rPr>
              <w:rStyle w:val="26"/>
              <w:rFonts w:ascii="黑体" w:hAnsi="黑体"/>
              <w:color w:val="auto"/>
              <w:spacing w:val="20"/>
            </w:rPr>
            <w:t>第七部分 投标文件格式</w:t>
          </w:r>
          <w:r>
            <w:rPr>
              <w:color w:val="auto"/>
            </w:rPr>
            <w:tab/>
          </w:r>
          <w:r>
            <w:rPr>
              <w:color w:val="auto"/>
            </w:rPr>
            <w:fldChar w:fldCharType="begin"/>
          </w:r>
          <w:r>
            <w:rPr>
              <w:color w:val="auto"/>
            </w:rPr>
            <w:instrText xml:space="preserve"> PAGEREF _Toc90980554 \h </w:instrText>
          </w:r>
          <w:r>
            <w:rPr>
              <w:color w:val="auto"/>
            </w:rPr>
            <w:fldChar w:fldCharType="separate"/>
          </w:r>
          <w:r>
            <w:rPr>
              <w:color w:val="auto"/>
            </w:rPr>
            <w:t>54</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"_Toc90980555" </w:instrText>
          </w:r>
          <w:r>
            <w:rPr>
              <w:color w:val="auto"/>
            </w:rPr>
            <w:fldChar w:fldCharType="separate"/>
          </w:r>
          <w:r>
            <w:rPr>
              <w:rStyle w:val="26"/>
              <w:rFonts w:ascii="黑体" w:hAnsi="黑体" w:eastAsia="黑体"/>
              <w:color w:val="auto"/>
              <w:spacing w:val="12"/>
            </w:rPr>
            <w:t>1.</w:t>
          </w:r>
          <w:r>
            <w:rPr>
              <w:color w:val="auto"/>
              <w:kern w:val="2"/>
              <w:sz w:val="21"/>
            </w:rPr>
            <w:tab/>
          </w:r>
          <w:r>
            <w:rPr>
              <w:rStyle w:val="26"/>
              <w:rFonts w:ascii="黑体" w:hAnsi="黑体" w:eastAsia="黑体"/>
              <w:color w:val="auto"/>
              <w:spacing w:val="12"/>
            </w:rPr>
            <w:t>资格性自查索引表</w:t>
          </w:r>
          <w:r>
            <w:rPr>
              <w:color w:val="auto"/>
            </w:rPr>
            <w:tab/>
          </w:r>
          <w:r>
            <w:rPr>
              <w:color w:val="auto"/>
            </w:rPr>
            <w:fldChar w:fldCharType="begin"/>
          </w:r>
          <w:r>
            <w:rPr>
              <w:color w:val="auto"/>
            </w:rPr>
            <w:instrText xml:space="preserve"> PAGEREF _Toc90980555 \h </w:instrText>
          </w:r>
          <w:r>
            <w:rPr>
              <w:color w:val="auto"/>
            </w:rPr>
            <w:fldChar w:fldCharType="separate"/>
          </w:r>
          <w:r>
            <w:rPr>
              <w:color w:val="auto"/>
            </w:rPr>
            <w:t>56</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"_Toc90980556" </w:instrText>
          </w:r>
          <w:r>
            <w:rPr>
              <w:color w:val="auto"/>
            </w:rPr>
            <w:fldChar w:fldCharType="separate"/>
          </w:r>
          <w:r>
            <w:rPr>
              <w:rStyle w:val="26"/>
              <w:rFonts w:ascii="黑体" w:hAnsi="黑体" w:eastAsia="黑体"/>
              <w:color w:val="auto"/>
              <w:spacing w:val="12"/>
            </w:rPr>
            <w:t>2.</w:t>
          </w:r>
          <w:r>
            <w:rPr>
              <w:color w:val="auto"/>
              <w:kern w:val="2"/>
              <w:sz w:val="21"/>
            </w:rPr>
            <w:tab/>
          </w:r>
          <w:r>
            <w:rPr>
              <w:rStyle w:val="26"/>
              <w:rFonts w:ascii="黑体" w:hAnsi="黑体" w:eastAsia="黑体"/>
              <w:color w:val="auto"/>
              <w:spacing w:val="12"/>
            </w:rPr>
            <w:t>符合性自查索引表</w:t>
          </w:r>
          <w:r>
            <w:rPr>
              <w:color w:val="auto"/>
            </w:rPr>
            <w:tab/>
          </w:r>
          <w:r>
            <w:rPr>
              <w:color w:val="auto"/>
            </w:rPr>
            <w:fldChar w:fldCharType="begin"/>
          </w:r>
          <w:r>
            <w:rPr>
              <w:color w:val="auto"/>
            </w:rPr>
            <w:instrText xml:space="preserve"> PAGEREF _Toc90980556 \h </w:instrText>
          </w:r>
          <w:r>
            <w:rPr>
              <w:color w:val="auto"/>
            </w:rPr>
            <w:fldChar w:fldCharType="separate"/>
          </w:r>
          <w:r>
            <w:rPr>
              <w:color w:val="auto"/>
            </w:rPr>
            <w:t>57</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"_Toc90980557" </w:instrText>
          </w:r>
          <w:r>
            <w:rPr>
              <w:color w:val="auto"/>
            </w:rPr>
            <w:fldChar w:fldCharType="separate"/>
          </w:r>
          <w:r>
            <w:rPr>
              <w:rStyle w:val="26"/>
              <w:rFonts w:ascii="黑体" w:hAnsi="黑体" w:eastAsia="黑体"/>
              <w:color w:val="auto"/>
              <w:spacing w:val="12"/>
            </w:rPr>
            <w:t>3.</w:t>
          </w:r>
          <w:r>
            <w:rPr>
              <w:color w:val="auto"/>
              <w:kern w:val="2"/>
              <w:sz w:val="21"/>
            </w:rPr>
            <w:tab/>
          </w:r>
          <w:r>
            <w:rPr>
              <w:rStyle w:val="26"/>
              <w:rFonts w:ascii="黑体" w:hAnsi="黑体" w:eastAsia="黑体"/>
              <w:color w:val="auto"/>
              <w:spacing w:val="12"/>
            </w:rPr>
            <w:t>详细评审索引表</w:t>
          </w:r>
          <w:r>
            <w:rPr>
              <w:color w:val="auto"/>
            </w:rPr>
            <w:tab/>
          </w:r>
          <w:r>
            <w:rPr>
              <w:color w:val="auto"/>
            </w:rPr>
            <w:fldChar w:fldCharType="begin"/>
          </w:r>
          <w:r>
            <w:rPr>
              <w:color w:val="auto"/>
            </w:rPr>
            <w:instrText xml:space="preserve"> PAGEREF _Toc90980557 \h </w:instrText>
          </w:r>
          <w:r>
            <w:rPr>
              <w:color w:val="auto"/>
            </w:rPr>
            <w:fldChar w:fldCharType="separate"/>
          </w:r>
          <w:r>
            <w:rPr>
              <w:color w:val="auto"/>
            </w:rPr>
            <w:t>58</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"_Toc90980558" </w:instrText>
          </w:r>
          <w:r>
            <w:rPr>
              <w:color w:val="auto"/>
            </w:rPr>
            <w:fldChar w:fldCharType="separate"/>
          </w:r>
          <w:r>
            <w:rPr>
              <w:rStyle w:val="26"/>
              <w:rFonts w:ascii="黑体" w:hAnsi="黑体" w:eastAsia="黑体"/>
              <w:color w:val="auto"/>
              <w:spacing w:val="12"/>
            </w:rPr>
            <w:t>4.</w:t>
          </w:r>
          <w:r>
            <w:rPr>
              <w:color w:val="auto"/>
              <w:kern w:val="2"/>
              <w:sz w:val="21"/>
            </w:rPr>
            <w:tab/>
          </w:r>
          <w:r>
            <w:rPr>
              <w:rStyle w:val="26"/>
              <w:rFonts w:ascii="黑体" w:hAnsi="黑体" w:eastAsia="黑体"/>
              <w:color w:val="auto"/>
              <w:spacing w:val="12"/>
            </w:rPr>
            <w:t>开标一览表</w:t>
          </w:r>
          <w:r>
            <w:rPr>
              <w:color w:val="auto"/>
            </w:rPr>
            <w:tab/>
          </w:r>
          <w:r>
            <w:rPr>
              <w:color w:val="auto"/>
            </w:rPr>
            <w:fldChar w:fldCharType="begin"/>
          </w:r>
          <w:r>
            <w:rPr>
              <w:color w:val="auto"/>
            </w:rPr>
            <w:instrText xml:space="preserve"> PAGEREF _Toc90980558 \h </w:instrText>
          </w:r>
          <w:r>
            <w:rPr>
              <w:color w:val="auto"/>
            </w:rPr>
            <w:fldChar w:fldCharType="separate"/>
          </w:r>
          <w:r>
            <w:rPr>
              <w:color w:val="auto"/>
            </w:rPr>
            <w:t>59</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"_Toc90980559" </w:instrText>
          </w:r>
          <w:r>
            <w:rPr>
              <w:color w:val="auto"/>
            </w:rPr>
            <w:fldChar w:fldCharType="separate"/>
          </w:r>
          <w:r>
            <w:rPr>
              <w:rStyle w:val="26"/>
              <w:rFonts w:ascii="黑体" w:hAnsi="黑体" w:eastAsia="黑体"/>
              <w:color w:val="auto"/>
              <w:spacing w:val="12"/>
            </w:rPr>
            <w:t>5.</w:t>
          </w:r>
          <w:r>
            <w:rPr>
              <w:color w:val="auto"/>
              <w:kern w:val="2"/>
              <w:sz w:val="21"/>
            </w:rPr>
            <w:tab/>
          </w:r>
          <w:r>
            <w:rPr>
              <w:rStyle w:val="26"/>
              <w:rFonts w:ascii="黑体" w:hAnsi="黑体" w:eastAsia="黑体"/>
              <w:color w:val="auto"/>
              <w:spacing w:val="12"/>
            </w:rPr>
            <w:t>投标明细报价表</w:t>
          </w:r>
          <w:r>
            <w:rPr>
              <w:color w:val="auto"/>
            </w:rPr>
            <w:tab/>
          </w:r>
          <w:r>
            <w:rPr>
              <w:color w:val="auto"/>
            </w:rPr>
            <w:fldChar w:fldCharType="begin"/>
          </w:r>
          <w:r>
            <w:rPr>
              <w:color w:val="auto"/>
            </w:rPr>
            <w:instrText xml:space="preserve"> PAGEREF _Toc90980559 \h </w:instrText>
          </w:r>
          <w:r>
            <w:rPr>
              <w:color w:val="auto"/>
            </w:rPr>
            <w:fldChar w:fldCharType="separate"/>
          </w:r>
          <w:r>
            <w:rPr>
              <w:color w:val="auto"/>
            </w:rPr>
            <w:t>60</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"_Toc90980560" </w:instrText>
          </w:r>
          <w:r>
            <w:rPr>
              <w:color w:val="auto"/>
            </w:rPr>
            <w:fldChar w:fldCharType="separate"/>
          </w:r>
          <w:r>
            <w:rPr>
              <w:rStyle w:val="26"/>
              <w:rFonts w:ascii="黑体" w:hAnsi="黑体" w:eastAsia="黑体"/>
              <w:color w:val="auto"/>
              <w:spacing w:val="12"/>
            </w:rPr>
            <w:t>6.</w:t>
          </w:r>
          <w:r>
            <w:rPr>
              <w:color w:val="auto"/>
              <w:kern w:val="2"/>
              <w:sz w:val="21"/>
            </w:rPr>
            <w:tab/>
          </w:r>
          <w:r>
            <w:rPr>
              <w:rStyle w:val="26"/>
              <w:rFonts w:ascii="黑体" w:hAnsi="黑体" w:eastAsia="黑体"/>
              <w:color w:val="auto"/>
              <w:spacing w:val="12"/>
            </w:rPr>
            <w:t>中小企业声明函（如需）</w:t>
          </w:r>
          <w:r>
            <w:rPr>
              <w:color w:val="auto"/>
            </w:rPr>
            <w:tab/>
          </w:r>
          <w:r>
            <w:rPr>
              <w:color w:val="auto"/>
            </w:rPr>
            <w:fldChar w:fldCharType="begin"/>
          </w:r>
          <w:r>
            <w:rPr>
              <w:color w:val="auto"/>
            </w:rPr>
            <w:instrText xml:space="preserve"> PAGEREF _Toc90980560 \h </w:instrText>
          </w:r>
          <w:r>
            <w:rPr>
              <w:color w:val="auto"/>
            </w:rPr>
            <w:fldChar w:fldCharType="separate"/>
          </w:r>
          <w:r>
            <w:rPr>
              <w:color w:val="auto"/>
            </w:rPr>
            <w:t>61</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"_Toc90980561" </w:instrText>
          </w:r>
          <w:r>
            <w:rPr>
              <w:color w:val="auto"/>
            </w:rPr>
            <w:fldChar w:fldCharType="separate"/>
          </w:r>
          <w:r>
            <w:rPr>
              <w:rStyle w:val="26"/>
              <w:rFonts w:ascii="黑体" w:hAnsi="黑体" w:eastAsia="黑体"/>
              <w:color w:val="auto"/>
              <w:spacing w:val="12"/>
            </w:rPr>
            <w:t>7.</w:t>
          </w:r>
          <w:r>
            <w:rPr>
              <w:color w:val="auto"/>
              <w:kern w:val="2"/>
              <w:sz w:val="21"/>
            </w:rPr>
            <w:tab/>
          </w:r>
          <w:r>
            <w:rPr>
              <w:rStyle w:val="26"/>
              <w:rFonts w:ascii="黑体" w:hAnsi="黑体" w:eastAsia="黑体"/>
              <w:color w:val="auto"/>
              <w:spacing w:val="12"/>
            </w:rPr>
            <w:t>残疾人福利性单位声明函（如需）</w:t>
          </w:r>
          <w:r>
            <w:rPr>
              <w:color w:val="auto"/>
            </w:rPr>
            <w:tab/>
          </w:r>
          <w:r>
            <w:rPr>
              <w:color w:val="auto"/>
            </w:rPr>
            <w:fldChar w:fldCharType="begin"/>
          </w:r>
          <w:r>
            <w:rPr>
              <w:color w:val="auto"/>
            </w:rPr>
            <w:instrText xml:space="preserve"> PAGEREF _Toc90980561 \h </w:instrText>
          </w:r>
          <w:r>
            <w:rPr>
              <w:color w:val="auto"/>
            </w:rPr>
            <w:fldChar w:fldCharType="separate"/>
          </w:r>
          <w:r>
            <w:rPr>
              <w:color w:val="auto"/>
            </w:rPr>
            <w:t>62</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"_Toc90980562" </w:instrText>
          </w:r>
          <w:r>
            <w:rPr>
              <w:color w:val="auto"/>
            </w:rPr>
            <w:fldChar w:fldCharType="separate"/>
          </w:r>
          <w:r>
            <w:rPr>
              <w:rStyle w:val="26"/>
              <w:rFonts w:ascii="黑体" w:hAnsi="黑体" w:eastAsia="黑体"/>
              <w:color w:val="auto"/>
              <w:spacing w:val="12"/>
            </w:rPr>
            <w:t>8.</w:t>
          </w:r>
          <w:r>
            <w:rPr>
              <w:color w:val="auto"/>
              <w:kern w:val="2"/>
              <w:sz w:val="21"/>
            </w:rPr>
            <w:tab/>
          </w:r>
          <w:r>
            <w:rPr>
              <w:rStyle w:val="26"/>
              <w:rFonts w:ascii="黑体" w:hAnsi="黑体" w:eastAsia="黑体"/>
              <w:color w:val="auto"/>
              <w:spacing w:val="12"/>
            </w:rPr>
            <w:t>监狱企业的证明文件（如需）</w:t>
          </w:r>
          <w:r>
            <w:rPr>
              <w:color w:val="auto"/>
            </w:rPr>
            <w:tab/>
          </w:r>
          <w:r>
            <w:rPr>
              <w:color w:val="auto"/>
            </w:rPr>
            <w:fldChar w:fldCharType="begin"/>
          </w:r>
          <w:r>
            <w:rPr>
              <w:color w:val="auto"/>
            </w:rPr>
            <w:instrText xml:space="preserve"> PAGEREF _Toc90980562 \h </w:instrText>
          </w:r>
          <w:r>
            <w:rPr>
              <w:color w:val="auto"/>
            </w:rPr>
            <w:fldChar w:fldCharType="separate"/>
          </w:r>
          <w:r>
            <w:rPr>
              <w:color w:val="auto"/>
            </w:rPr>
            <w:t>63</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"_Toc90980563" </w:instrText>
          </w:r>
          <w:r>
            <w:rPr>
              <w:color w:val="auto"/>
            </w:rPr>
            <w:fldChar w:fldCharType="separate"/>
          </w:r>
          <w:r>
            <w:rPr>
              <w:rStyle w:val="26"/>
              <w:rFonts w:ascii="黑体" w:hAnsi="黑体" w:eastAsia="黑体"/>
              <w:color w:val="auto"/>
              <w:spacing w:val="12"/>
            </w:rPr>
            <w:t>9.</w:t>
          </w:r>
          <w:r>
            <w:rPr>
              <w:color w:val="auto"/>
              <w:kern w:val="2"/>
              <w:sz w:val="21"/>
            </w:rPr>
            <w:tab/>
          </w:r>
          <w:r>
            <w:rPr>
              <w:rStyle w:val="26"/>
              <w:rFonts w:ascii="黑体" w:hAnsi="黑体" w:eastAsia="黑体"/>
              <w:color w:val="auto"/>
              <w:spacing w:val="12"/>
            </w:rPr>
            <w:t>政策适用性说明（如需）</w:t>
          </w:r>
          <w:r>
            <w:rPr>
              <w:color w:val="auto"/>
            </w:rPr>
            <w:tab/>
          </w:r>
          <w:r>
            <w:rPr>
              <w:color w:val="auto"/>
            </w:rPr>
            <w:fldChar w:fldCharType="begin"/>
          </w:r>
          <w:r>
            <w:rPr>
              <w:color w:val="auto"/>
            </w:rPr>
            <w:instrText xml:space="preserve"> PAGEREF _Toc90980563 \h </w:instrText>
          </w:r>
          <w:r>
            <w:rPr>
              <w:color w:val="auto"/>
            </w:rPr>
            <w:fldChar w:fldCharType="separate"/>
          </w:r>
          <w:r>
            <w:rPr>
              <w:color w:val="auto"/>
            </w:rPr>
            <w:t>64</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"_Toc90980564" </w:instrText>
          </w:r>
          <w:r>
            <w:rPr>
              <w:color w:val="auto"/>
            </w:rPr>
            <w:fldChar w:fldCharType="separate"/>
          </w:r>
          <w:r>
            <w:rPr>
              <w:rStyle w:val="26"/>
              <w:rFonts w:ascii="黑体" w:hAnsi="黑体" w:eastAsia="黑体"/>
              <w:color w:val="auto"/>
              <w:spacing w:val="12"/>
            </w:rPr>
            <w:t>10.</w:t>
          </w:r>
          <w:r>
            <w:rPr>
              <w:color w:val="auto"/>
              <w:kern w:val="2"/>
              <w:sz w:val="21"/>
            </w:rPr>
            <w:tab/>
          </w:r>
          <w:r>
            <w:rPr>
              <w:rStyle w:val="26"/>
              <w:rFonts w:ascii="黑体" w:hAnsi="黑体" w:eastAsia="黑体"/>
              <w:color w:val="auto"/>
              <w:spacing w:val="12"/>
            </w:rPr>
            <w:t>投标函</w:t>
          </w:r>
          <w:r>
            <w:rPr>
              <w:color w:val="auto"/>
            </w:rPr>
            <w:tab/>
          </w:r>
          <w:r>
            <w:rPr>
              <w:color w:val="auto"/>
            </w:rPr>
            <w:fldChar w:fldCharType="begin"/>
          </w:r>
          <w:r>
            <w:rPr>
              <w:color w:val="auto"/>
            </w:rPr>
            <w:instrText xml:space="preserve"> PAGEREF _Toc90980564 \h </w:instrText>
          </w:r>
          <w:r>
            <w:rPr>
              <w:color w:val="auto"/>
            </w:rPr>
            <w:fldChar w:fldCharType="separate"/>
          </w:r>
          <w:r>
            <w:rPr>
              <w:color w:val="auto"/>
            </w:rPr>
            <w:t>65</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"_Toc90980565" </w:instrText>
          </w:r>
          <w:r>
            <w:rPr>
              <w:color w:val="auto"/>
            </w:rPr>
            <w:fldChar w:fldCharType="separate"/>
          </w:r>
          <w:r>
            <w:rPr>
              <w:rStyle w:val="26"/>
              <w:rFonts w:ascii="黑体" w:hAnsi="黑体" w:eastAsia="黑体"/>
              <w:color w:val="auto"/>
              <w:spacing w:val="12"/>
            </w:rPr>
            <w:t>11.</w:t>
          </w:r>
          <w:r>
            <w:rPr>
              <w:color w:val="auto"/>
              <w:kern w:val="2"/>
              <w:sz w:val="21"/>
            </w:rPr>
            <w:tab/>
          </w:r>
          <w:r>
            <w:rPr>
              <w:rStyle w:val="26"/>
              <w:rFonts w:ascii="黑体" w:hAnsi="黑体" w:eastAsia="黑体"/>
              <w:color w:val="auto"/>
              <w:spacing w:val="12"/>
            </w:rPr>
            <w:t>资格声明函</w:t>
          </w:r>
          <w:r>
            <w:rPr>
              <w:color w:val="auto"/>
            </w:rPr>
            <w:tab/>
          </w:r>
          <w:r>
            <w:rPr>
              <w:color w:val="auto"/>
            </w:rPr>
            <w:fldChar w:fldCharType="begin"/>
          </w:r>
          <w:r>
            <w:rPr>
              <w:color w:val="auto"/>
            </w:rPr>
            <w:instrText xml:space="preserve"> PAGEREF _Toc90980565 \h </w:instrText>
          </w:r>
          <w:r>
            <w:rPr>
              <w:color w:val="auto"/>
            </w:rPr>
            <w:fldChar w:fldCharType="separate"/>
          </w:r>
          <w:r>
            <w:rPr>
              <w:color w:val="auto"/>
            </w:rPr>
            <w:t>66</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"_Toc90980566" </w:instrText>
          </w:r>
          <w:r>
            <w:rPr>
              <w:color w:val="auto"/>
            </w:rPr>
            <w:fldChar w:fldCharType="separate"/>
          </w:r>
          <w:r>
            <w:rPr>
              <w:rStyle w:val="26"/>
              <w:rFonts w:ascii="黑体" w:hAnsi="黑体" w:eastAsia="黑体"/>
              <w:color w:val="auto"/>
              <w:spacing w:val="12"/>
            </w:rPr>
            <w:t>12.</w:t>
          </w:r>
          <w:r>
            <w:rPr>
              <w:color w:val="auto"/>
              <w:kern w:val="2"/>
              <w:sz w:val="21"/>
            </w:rPr>
            <w:tab/>
          </w:r>
          <w:r>
            <w:rPr>
              <w:rStyle w:val="26"/>
              <w:rFonts w:ascii="黑体" w:hAnsi="黑体" w:eastAsia="黑体"/>
              <w:color w:val="auto"/>
              <w:spacing w:val="12"/>
            </w:rPr>
            <w:t>法定代表人身份证明书</w:t>
          </w:r>
          <w:r>
            <w:rPr>
              <w:color w:val="auto"/>
            </w:rPr>
            <w:tab/>
          </w:r>
          <w:r>
            <w:rPr>
              <w:color w:val="auto"/>
            </w:rPr>
            <w:fldChar w:fldCharType="begin"/>
          </w:r>
          <w:r>
            <w:rPr>
              <w:color w:val="auto"/>
            </w:rPr>
            <w:instrText xml:space="preserve"> PAGEREF _Toc90980566 \h </w:instrText>
          </w:r>
          <w:r>
            <w:rPr>
              <w:color w:val="auto"/>
            </w:rPr>
            <w:fldChar w:fldCharType="separate"/>
          </w:r>
          <w:r>
            <w:rPr>
              <w:color w:val="auto"/>
            </w:rPr>
            <w:t>67</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"_Toc90980567" </w:instrText>
          </w:r>
          <w:r>
            <w:rPr>
              <w:color w:val="auto"/>
            </w:rPr>
            <w:fldChar w:fldCharType="separate"/>
          </w:r>
          <w:r>
            <w:rPr>
              <w:rStyle w:val="26"/>
              <w:rFonts w:ascii="黑体" w:hAnsi="黑体" w:eastAsia="黑体"/>
              <w:color w:val="auto"/>
              <w:spacing w:val="12"/>
            </w:rPr>
            <w:t>13.</w:t>
          </w:r>
          <w:r>
            <w:rPr>
              <w:color w:val="auto"/>
              <w:kern w:val="2"/>
              <w:sz w:val="21"/>
            </w:rPr>
            <w:tab/>
          </w:r>
          <w:r>
            <w:rPr>
              <w:rStyle w:val="26"/>
              <w:rFonts w:ascii="黑体" w:hAnsi="黑体" w:eastAsia="黑体"/>
              <w:color w:val="auto"/>
              <w:spacing w:val="12"/>
            </w:rPr>
            <w:t>法定代表人授权委托书</w:t>
          </w:r>
          <w:r>
            <w:rPr>
              <w:color w:val="auto"/>
            </w:rPr>
            <w:tab/>
          </w:r>
          <w:r>
            <w:rPr>
              <w:color w:val="auto"/>
            </w:rPr>
            <w:fldChar w:fldCharType="begin"/>
          </w:r>
          <w:r>
            <w:rPr>
              <w:color w:val="auto"/>
            </w:rPr>
            <w:instrText xml:space="preserve"> PAGEREF _Toc90980567 \h </w:instrText>
          </w:r>
          <w:r>
            <w:rPr>
              <w:color w:val="auto"/>
            </w:rPr>
            <w:fldChar w:fldCharType="separate"/>
          </w:r>
          <w:r>
            <w:rPr>
              <w:color w:val="auto"/>
            </w:rPr>
            <w:t>68</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"_Toc90980568" </w:instrText>
          </w:r>
          <w:r>
            <w:rPr>
              <w:color w:val="auto"/>
            </w:rPr>
            <w:fldChar w:fldCharType="separate"/>
          </w:r>
          <w:r>
            <w:rPr>
              <w:rStyle w:val="26"/>
              <w:rFonts w:ascii="黑体" w:hAnsi="黑体" w:eastAsia="黑体"/>
              <w:color w:val="auto"/>
              <w:spacing w:val="12"/>
            </w:rPr>
            <w:t>14.</w:t>
          </w:r>
          <w:r>
            <w:rPr>
              <w:color w:val="auto"/>
              <w:kern w:val="2"/>
              <w:sz w:val="21"/>
            </w:rPr>
            <w:tab/>
          </w:r>
          <w:r>
            <w:rPr>
              <w:rStyle w:val="26"/>
              <w:rFonts w:ascii="黑体" w:hAnsi="黑体" w:eastAsia="黑体"/>
              <w:color w:val="auto"/>
              <w:spacing w:val="12"/>
            </w:rPr>
            <w:t>投标人基本情况说明</w:t>
          </w:r>
          <w:r>
            <w:rPr>
              <w:color w:val="auto"/>
            </w:rPr>
            <w:tab/>
          </w:r>
          <w:r>
            <w:rPr>
              <w:color w:val="auto"/>
            </w:rPr>
            <w:fldChar w:fldCharType="begin"/>
          </w:r>
          <w:r>
            <w:rPr>
              <w:color w:val="auto"/>
            </w:rPr>
            <w:instrText xml:space="preserve"> PAGEREF _Toc90980568 \h </w:instrText>
          </w:r>
          <w:r>
            <w:rPr>
              <w:color w:val="auto"/>
            </w:rPr>
            <w:fldChar w:fldCharType="separate"/>
          </w:r>
          <w:r>
            <w:rPr>
              <w:color w:val="auto"/>
            </w:rPr>
            <w:t>69</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"_Toc90980569" </w:instrText>
          </w:r>
          <w:r>
            <w:rPr>
              <w:color w:val="auto"/>
            </w:rPr>
            <w:fldChar w:fldCharType="separate"/>
          </w:r>
          <w:r>
            <w:rPr>
              <w:rStyle w:val="26"/>
              <w:rFonts w:ascii="黑体" w:hAnsi="黑体" w:eastAsia="黑体"/>
              <w:color w:val="auto"/>
              <w:spacing w:val="12"/>
            </w:rPr>
            <w:t>15.</w:t>
          </w:r>
          <w:r>
            <w:rPr>
              <w:color w:val="auto"/>
              <w:kern w:val="2"/>
              <w:sz w:val="21"/>
            </w:rPr>
            <w:tab/>
          </w:r>
          <w:r>
            <w:rPr>
              <w:rStyle w:val="26"/>
              <w:rFonts w:ascii="黑体" w:hAnsi="黑体" w:eastAsia="黑体"/>
              <w:color w:val="auto"/>
              <w:spacing w:val="12"/>
            </w:rPr>
            <w:t>业绩表</w:t>
          </w:r>
          <w:r>
            <w:rPr>
              <w:color w:val="auto"/>
            </w:rPr>
            <w:tab/>
          </w:r>
          <w:r>
            <w:rPr>
              <w:color w:val="auto"/>
            </w:rPr>
            <w:fldChar w:fldCharType="begin"/>
          </w:r>
          <w:r>
            <w:rPr>
              <w:color w:val="auto"/>
            </w:rPr>
            <w:instrText xml:space="preserve"> PAGEREF _Toc90980569 \h </w:instrText>
          </w:r>
          <w:r>
            <w:rPr>
              <w:color w:val="auto"/>
            </w:rPr>
            <w:fldChar w:fldCharType="separate"/>
          </w:r>
          <w:r>
            <w:rPr>
              <w:color w:val="auto"/>
            </w:rPr>
            <w:t>70</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"_Toc90980570" </w:instrText>
          </w:r>
          <w:r>
            <w:rPr>
              <w:color w:val="auto"/>
            </w:rPr>
            <w:fldChar w:fldCharType="separate"/>
          </w:r>
          <w:r>
            <w:rPr>
              <w:rStyle w:val="26"/>
              <w:rFonts w:ascii="黑体" w:hAnsi="黑体" w:eastAsia="黑体"/>
              <w:color w:val="auto"/>
              <w:spacing w:val="12"/>
            </w:rPr>
            <w:t>16.</w:t>
          </w:r>
          <w:r>
            <w:rPr>
              <w:color w:val="auto"/>
              <w:kern w:val="2"/>
              <w:sz w:val="21"/>
            </w:rPr>
            <w:tab/>
          </w:r>
          <w:r>
            <w:rPr>
              <w:rStyle w:val="26"/>
              <w:rFonts w:ascii="黑体" w:hAnsi="黑体" w:eastAsia="黑体"/>
              <w:color w:val="auto"/>
              <w:spacing w:val="12"/>
            </w:rPr>
            <w:t>商务要求偏离表</w:t>
          </w:r>
          <w:r>
            <w:rPr>
              <w:color w:val="auto"/>
            </w:rPr>
            <w:tab/>
          </w:r>
          <w:r>
            <w:rPr>
              <w:color w:val="auto"/>
            </w:rPr>
            <w:fldChar w:fldCharType="begin"/>
          </w:r>
          <w:r>
            <w:rPr>
              <w:color w:val="auto"/>
            </w:rPr>
            <w:instrText xml:space="preserve"> PAGEREF _Toc90980570 \h </w:instrText>
          </w:r>
          <w:r>
            <w:rPr>
              <w:color w:val="auto"/>
            </w:rPr>
            <w:fldChar w:fldCharType="separate"/>
          </w:r>
          <w:r>
            <w:rPr>
              <w:color w:val="auto"/>
            </w:rPr>
            <w:t>71</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"_Toc90980571" </w:instrText>
          </w:r>
          <w:r>
            <w:rPr>
              <w:color w:val="auto"/>
            </w:rPr>
            <w:fldChar w:fldCharType="separate"/>
          </w:r>
          <w:r>
            <w:rPr>
              <w:rStyle w:val="26"/>
              <w:rFonts w:ascii="黑体" w:hAnsi="黑体" w:eastAsia="黑体"/>
              <w:color w:val="auto"/>
              <w:spacing w:val="12"/>
            </w:rPr>
            <w:t>17.</w:t>
          </w:r>
          <w:r>
            <w:rPr>
              <w:color w:val="auto"/>
              <w:kern w:val="2"/>
              <w:sz w:val="21"/>
            </w:rPr>
            <w:tab/>
          </w:r>
          <w:r>
            <w:rPr>
              <w:rStyle w:val="26"/>
              <w:rFonts w:ascii="黑体" w:hAnsi="黑体" w:eastAsia="黑体"/>
              <w:color w:val="auto"/>
              <w:spacing w:val="12"/>
            </w:rPr>
            <w:t>拟投入本项目设备情况表</w:t>
          </w:r>
          <w:r>
            <w:rPr>
              <w:color w:val="auto"/>
            </w:rPr>
            <w:tab/>
          </w:r>
          <w:r>
            <w:rPr>
              <w:color w:val="auto"/>
            </w:rPr>
            <w:fldChar w:fldCharType="begin"/>
          </w:r>
          <w:r>
            <w:rPr>
              <w:color w:val="auto"/>
            </w:rPr>
            <w:instrText xml:space="preserve"> PAGEREF _Toc90980571 \h </w:instrText>
          </w:r>
          <w:r>
            <w:rPr>
              <w:color w:val="auto"/>
            </w:rPr>
            <w:fldChar w:fldCharType="separate"/>
          </w:r>
          <w:r>
            <w:rPr>
              <w:color w:val="auto"/>
            </w:rPr>
            <w:t>72</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"_Toc90980572" </w:instrText>
          </w:r>
          <w:r>
            <w:rPr>
              <w:color w:val="auto"/>
            </w:rPr>
            <w:fldChar w:fldCharType="separate"/>
          </w:r>
          <w:r>
            <w:rPr>
              <w:rStyle w:val="26"/>
              <w:rFonts w:ascii="黑体" w:hAnsi="黑体" w:eastAsia="黑体"/>
              <w:color w:val="auto"/>
              <w:spacing w:val="12"/>
            </w:rPr>
            <w:t>18.</w:t>
          </w:r>
          <w:r>
            <w:rPr>
              <w:color w:val="auto"/>
              <w:kern w:val="2"/>
              <w:sz w:val="21"/>
            </w:rPr>
            <w:tab/>
          </w:r>
          <w:r>
            <w:rPr>
              <w:rStyle w:val="26"/>
              <w:rFonts w:ascii="黑体" w:hAnsi="黑体" w:eastAsia="黑体"/>
              <w:color w:val="auto"/>
              <w:spacing w:val="12"/>
            </w:rPr>
            <w:t>项目技术服务人员情况表</w:t>
          </w:r>
          <w:r>
            <w:rPr>
              <w:color w:val="auto"/>
            </w:rPr>
            <w:tab/>
          </w:r>
          <w:r>
            <w:rPr>
              <w:color w:val="auto"/>
            </w:rPr>
            <w:fldChar w:fldCharType="begin"/>
          </w:r>
          <w:r>
            <w:rPr>
              <w:color w:val="auto"/>
            </w:rPr>
            <w:instrText xml:space="preserve"> PAGEREF _Toc90980572 \h </w:instrText>
          </w:r>
          <w:r>
            <w:rPr>
              <w:color w:val="auto"/>
            </w:rPr>
            <w:fldChar w:fldCharType="separate"/>
          </w:r>
          <w:r>
            <w:rPr>
              <w:color w:val="auto"/>
            </w:rPr>
            <w:t>73</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"_Toc90980573" </w:instrText>
          </w:r>
          <w:r>
            <w:rPr>
              <w:color w:val="auto"/>
            </w:rPr>
            <w:fldChar w:fldCharType="separate"/>
          </w:r>
          <w:r>
            <w:rPr>
              <w:rStyle w:val="26"/>
              <w:rFonts w:ascii="黑体" w:hAnsi="黑体" w:eastAsia="黑体"/>
              <w:color w:val="auto"/>
              <w:spacing w:val="12"/>
            </w:rPr>
            <w:t>19.</w:t>
          </w:r>
          <w:r>
            <w:rPr>
              <w:color w:val="auto"/>
              <w:kern w:val="2"/>
              <w:sz w:val="21"/>
            </w:rPr>
            <w:tab/>
          </w:r>
          <w:r>
            <w:rPr>
              <w:rStyle w:val="26"/>
              <w:rFonts w:ascii="黑体" w:hAnsi="黑体" w:eastAsia="黑体"/>
              <w:color w:val="auto"/>
              <w:spacing w:val="12"/>
            </w:rPr>
            <w:t>项目负责人简历表</w:t>
          </w:r>
          <w:r>
            <w:rPr>
              <w:color w:val="auto"/>
            </w:rPr>
            <w:tab/>
          </w:r>
          <w:r>
            <w:rPr>
              <w:color w:val="auto"/>
            </w:rPr>
            <w:fldChar w:fldCharType="begin"/>
          </w:r>
          <w:r>
            <w:rPr>
              <w:color w:val="auto"/>
            </w:rPr>
            <w:instrText xml:space="preserve"> PAGEREF _Toc90980573 \h </w:instrText>
          </w:r>
          <w:r>
            <w:rPr>
              <w:color w:val="auto"/>
            </w:rPr>
            <w:fldChar w:fldCharType="separate"/>
          </w:r>
          <w:r>
            <w:rPr>
              <w:color w:val="auto"/>
            </w:rPr>
            <w:t>74</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"_Toc90980574" </w:instrText>
          </w:r>
          <w:r>
            <w:rPr>
              <w:color w:val="auto"/>
            </w:rPr>
            <w:fldChar w:fldCharType="separate"/>
          </w:r>
          <w:r>
            <w:rPr>
              <w:rStyle w:val="26"/>
              <w:rFonts w:ascii="黑体" w:hAnsi="黑体" w:eastAsia="黑体"/>
              <w:color w:val="auto"/>
              <w:spacing w:val="12"/>
            </w:rPr>
            <w:t>20.</w:t>
          </w:r>
          <w:r>
            <w:rPr>
              <w:color w:val="auto"/>
              <w:kern w:val="2"/>
              <w:sz w:val="21"/>
            </w:rPr>
            <w:tab/>
          </w:r>
          <w:r>
            <w:rPr>
              <w:rStyle w:val="26"/>
              <w:rFonts w:ascii="黑体" w:hAnsi="黑体" w:eastAsia="黑体"/>
              <w:color w:val="auto"/>
              <w:spacing w:val="12"/>
            </w:rPr>
            <w:t>技术要求偏离表</w:t>
          </w:r>
          <w:r>
            <w:rPr>
              <w:color w:val="auto"/>
            </w:rPr>
            <w:tab/>
          </w:r>
          <w:r>
            <w:rPr>
              <w:color w:val="auto"/>
            </w:rPr>
            <w:fldChar w:fldCharType="begin"/>
          </w:r>
          <w:r>
            <w:rPr>
              <w:color w:val="auto"/>
            </w:rPr>
            <w:instrText xml:space="preserve"> PAGEREF _Toc90980574 \h </w:instrText>
          </w:r>
          <w:r>
            <w:rPr>
              <w:color w:val="auto"/>
            </w:rPr>
            <w:fldChar w:fldCharType="separate"/>
          </w:r>
          <w:r>
            <w:rPr>
              <w:color w:val="auto"/>
            </w:rPr>
            <w:t>75</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"_Toc90980575" </w:instrText>
          </w:r>
          <w:r>
            <w:rPr>
              <w:color w:val="auto"/>
            </w:rPr>
            <w:fldChar w:fldCharType="separate"/>
          </w:r>
          <w:r>
            <w:rPr>
              <w:rStyle w:val="26"/>
              <w:rFonts w:ascii="黑体" w:hAnsi="黑体" w:eastAsia="黑体"/>
              <w:color w:val="auto"/>
              <w:spacing w:val="12"/>
            </w:rPr>
            <w:t>21.</w:t>
          </w:r>
          <w:r>
            <w:rPr>
              <w:color w:val="auto"/>
              <w:kern w:val="2"/>
              <w:sz w:val="21"/>
            </w:rPr>
            <w:tab/>
          </w:r>
          <w:r>
            <w:rPr>
              <w:rStyle w:val="26"/>
              <w:rFonts w:ascii="黑体" w:hAnsi="黑体" w:eastAsia="黑体"/>
              <w:color w:val="auto"/>
              <w:spacing w:val="12"/>
            </w:rPr>
            <w:t>★号条款要求响应一览表（可选）</w:t>
          </w:r>
          <w:r>
            <w:rPr>
              <w:color w:val="auto"/>
            </w:rPr>
            <w:tab/>
          </w:r>
          <w:r>
            <w:rPr>
              <w:color w:val="auto"/>
            </w:rPr>
            <w:fldChar w:fldCharType="begin"/>
          </w:r>
          <w:r>
            <w:rPr>
              <w:color w:val="auto"/>
            </w:rPr>
            <w:instrText xml:space="preserve"> PAGEREF _Toc90980575 \h </w:instrText>
          </w:r>
          <w:r>
            <w:rPr>
              <w:color w:val="auto"/>
            </w:rPr>
            <w:fldChar w:fldCharType="separate"/>
          </w:r>
          <w:r>
            <w:rPr>
              <w:color w:val="auto"/>
            </w:rPr>
            <w:t>76</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"_Toc90980576" </w:instrText>
          </w:r>
          <w:r>
            <w:rPr>
              <w:color w:val="auto"/>
            </w:rPr>
            <w:fldChar w:fldCharType="separate"/>
          </w:r>
          <w:r>
            <w:rPr>
              <w:rStyle w:val="26"/>
              <w:rFonts w:ascii="黑体" w:hAnsi="黑体" w:eastAsia="黑体"/>
              <w:color w:val="auto"/>
              <w:spacing w:val="12"/>
            </w:rPr>
            <w:t>22.</w:t>
          </w:r>
          <w:r>
            <w:rPr>
              <w:color w:val="auto"/>
              <w:kern w:val="2"/>
              <w:sz w:val="21"/>
            </w:rPr>
            <w:tab/>
          </w:r>
          <w:r>
            <w:rPr>
              <w:rStyle w:val="26"/>
              <w:rFonts w:ascii="黑体" w:hAnsi="黑体" w:eastAsia="黑体"/>
              <w:color w:val="auto"/>
              <w:spacing w:val="12"/>
            </w:rPr>
            <w:t>▲号条款要求扣分明细响应表（可选）</w:t>
          </w:r>
          <w:r>
            <w:rPr>
              <w:color w:val="auto"/>
            </w:rPr>
            <w:tab/>
          </w:r>
          <w:r>
            <w:rPr>
              <w:color w:val="auto"/>
            </w:rPr>
            <w:fldChar w:fldCharType="begin"/>
          </w:r>
          <w:r>
            <w:rPr>
              <w:color w:val="auto"/>
            </w:rPr>
            <w:instrText xml:space="preserve"> PAGEREF _Toc90980576 \h </w:instrText>
          </w:r>
          <w:r>
            <w:rPr>
              <w:color w:val="auto"/>
            </w:rPr>
            <w:fldChar w:fldCharType="separate"/>
          </w:r>
          <w:r>
            <w:rPr>
              <w:color w:val="auto"/>
            </w:rPr>
            <w:t>77</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"_Toc90980577" </w:instrText>
          </w:r>
          <w:r>
            <w:rPr>
              <w:color w:val="auto"/>
            </w:rPr>
            <w:fldChar w:fldCharType="separate"/>
          </w:r>
          <w:r>
            <w:rPr>
              <w:rStyle w:val="26"/>
              <w:rFonts w:ascii="黑体" w:hAnsi="黑体" w:eastAsia="黑体"/>
              <w:color w:val="auto"/>
              <w:spacing w:val="12"/>
            </w:rPr>
            <w:t>23.</w:t>
          </w:r>
          <w:r>
            <w:rPr>
              <w:color w:val="auto"/>
              <w:kern w:val="2"/>
              <w:sz w:val="21"/>
            </w:rPr>
            <w:tab/>
          </w:r>
          <w:r>
            <w:rPr>
              <w:rStyle w:val="26"/>
              <w:rFonts w:ascii="黑体" w:hAnsi="黑体" w:eastAsia="黑体"/>
              <w:color w:val="auto"/>
              <w:spacing w:val="12"/>
            </w:rPr>
            <w:t>投标保证金汇入情况说明</w:t>
          </w:r>
          <w:r>
            <w:rPr>
              <w:color w:val="auto"/>
            </w:rPr>
            <w:tab/>
          </w:r>
          <w:r>
            <w:rPr>
              <w:color w:val="auto"/>
            </w:rPr>
            <w:fldChar w:fldCharType="begin"/>
          </w:r>
          <w:r>
            <w:rPr>
              <w:color w:val="auto"/>
            </w:rPr>
            <w:instrText xml:space="preserve"> PAGEREF _Toc90980577 \h </w:instrText>
          </w:r>
          <w:r>
            <w:rPr>
              <w:color w:val="auto"/>
            </w:rPr>
            <w:fldChar w:fldCharType="separate"/>
          </w:r>
          <w:r>
            <w:rPr>
              <w:color w:val="auto"/>
            </w:rPr>
            <w:t>78</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"_Toc90980578" </w:instrText>
          </w:r>
          <w:r>
            <w:rPr>
              <w:color w:val="auto"/>
            </w:rPr>
            <w:fldChar w:fldCharType="separate"/>
          </w:r>
          <w:r>
            <w:rPr>
              <w:rStyle w:val="26"/>
              <w:rFonts w:ascii="黑体" w:hAnsi="黑体" w:eastAsia="黑体"/>
              <w:color w:val="auto"/>
              <w:spacing w:val="12"/>
            </w:rPr>
            <w:t>24.</w:t>
          </w:r>
          <w:r>
            <w:rPr>
              <w:color w:val="auto"/>
              <w:kern w:val="2"/>
              <w:sz w:val="21"/>
            </w:rPr>
            <w:tab/>
          </w:r>
          <w:r>
            <w:rPr>
              <w:rStyle w:val="26"/>
              <w:rFonts w:ascii="黑体" w:hAnsi="黑体" w:eastAsia="黑体"/>
              <w:color w:val="auto"/>
              <w:spacing w:val="12"/>
            </w:rPr>
            <w:t>政府采购投标担保函递交情况说明</w:t>
          </w:r>
          <w:r>
            <w:rPr>
              <w:color w:val="auto"/>
            </w:rPr>
            <w:tab/>
          </w:r>
          <w:r>
            <w:rPr>
              <w:color w:val="auto"/>
            </w:rPr>
            <w:fldChar w:fldCharType="begin"/>
          </w:r>
          <w:r>
            <w:rPr>
              <w:color w:val="auto"/>
            </w:rPr>
            <w:instrText xml:space="preserve"> PAGEREF _Toc90980578 \h </w:instrText>
          </w:r>
          <w:r>
            <w:rPr>
              <w:color w:val="auto"/>
            </w:rPr>
            <w:fldChar w:fldCharType="separate"/>
          </w:r>
          <w:r>
            <w:rPr>
              <w:color w:val="auto"/>
            </w:rPr>
            <w:t>79</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"_Toc90980579" </w:instrText>
          </w:r>
          <w:r>
            <w:rPr>
              <w:color w:val="auto"/>
            </w:rPr>
            <w:fldChar w:fldCharType="separate"/>
          </w:r>
          <w:r>
            <w:rPr>
              <w:rStyle w:val="26"/>
              <w:rFonts w:ascii="黑体" w:hAnsi="黑体" w:eastAsia="黑体"/>
              <w:color w:val="auto"/>
              <w:spacing w:val="12"/>
            </w:rPr>
            <w:t>25.</w:t>
          </w:r>
          <w:r>
            <w:rPr>
              <w:color w:val="auto"/>
              <w:kern w:val="2"/>
              <w:sz w:val="21"/>
            </w:rPr>
            <w:tab/>
          </w:r>
          <w:r>
            <w:rPr>
              <w:rStyle w:val="26"/>
              <w:rFonts w:ascii="黑体" w:hAnsi="黑体" w:eastAsia="黑体"/>
              <w:color w:val="auto"/>
              <w:spacing w:val="12"/>
            </w:rPr>
            <w:t>相关保函格式</w:t>
          </w:r>
          <w:r>
            <w:rPr>
              <w:color w:val="auto"/>
            </w:rPr>
            <w:tab/>
          </w:r>
          <w:r>
            <w:rPr>
              <w:color w:val="auto"/>
            </w:rPr>
            <w:fldChar w:fldCharType="begin"/>
          </w:r>
          <w:r>
            <w:rPr>
              <w:color w:val="auto"/>
            </w:rPr>
            <w:instrText xml:space="preserve"> PAGEREF _Toc90980579 \h </w:instrText>
          </w:r>
          <w:r>
            <w:rPr>
              <w:color w:val="auto"/>
            </w:rPr>
            <w:fldChar w:fldCharType="separate"/>
          </w:r>
          <w:r>
            <w:rPr>
              <w:color w:val="auto"/>
            </w:rPr>
            <w:t>80</w:t>
          </w:r>
          <w:r>
            <w:rPr>
              <w:color w:val="auto"/>
            </w:rPr>
            <w:fldChar w:fldCharType="end"/>
          </w:r>
          <w:r>
            <w:rPr>
              <w:color w:val="auto"/>
            </w:rPr>
            <w:fldChar w:fldCharType="end"/>
          </w:r>
        </w:p>
        <w:p>
          <w:pPr>
            <w:pStyle w:val="17"/>
            <w:rPr>
              <w:color w:val="auto"/>
              <w:kern w:val="2"/>
              <w:sz w:val="21"/>
            </w:rPr>
          </w:pPr>
          <w:r>
            <w:rPr>
              <w:color w:val="auto"/>
            </w:rPr>
            <w:fldChar w:fldCharType="begin"/>
          </w:r>
          <w:r>
            <w:rPr>
              <w:color w:val="auto"/>
            </w:rPr>
            <w:instrText xml:space="preserve"> HYPERLINK \l "_Toc90980580" </w:instrText>
          </w:r>
          <w:r>
            <w:rPr>
              <w:color w:val="auto"/>
            </w:rPr>
            <w:fldChar w:fldCharType="separate"/>
          </w:r>
          <w:r>
            <w:rPr>
              <w:rStyle w:val="26"/>
              <w:rFonts w:ascii="黑体" w:hAnsi="黑体" w:eastAsia="黑体"/>
              <w:color w:val="auto"/>
              <w:spacing w:val="12"/>
            </w:rPr>
            <w:t>26.</w:t>
          </w:r>
          <w:r>
            <w:rPr>
              <w:color w:val="auto"/>
              <w:kern w:val="2"/>
              <w:sz w:val="21"/>
            </w:rPr>
            <w:tab/>
          </w:r>
          <w:r>
            <w:rPr>
              <w:rStyle w:val="26"/>
              <w:rFonts w:ascii="黑体" w:hAnsi="黑体" w:eastAsia="黑体"/>
              <w:color w:val="auto"/>
              <w:spacing w:val="12"/>
            </w:rPr>
            <w:t>唱标信封格式</w:t>
          </w:r>
          <w:r>
            <w:rPr>
              <w:color w:val="auto"/>
            </w:rPr>
            <w:tab/>
          </w:r>
          <w:r>
            <w:rPr>
              <w:color w:val="auto"/>
            </w:rPr>
            <w:fldChar w:fldCharType="begin"/>
          </w:r>
          <w:r>
            <w:rPr>
              <w:color w:val="auto"/>
            </w:rPr>
            <w:instrText xml:space="preserve"> PAGEREF _Toc90980580 \h </w:instrText>
          </w:r>
          <w:r>
            <w:rPr>
              <w:color w:val="auto"/>
            </w:rPr>
            <w:fldChar w:fldCharType="separate"/>
          </w:r>
          <w:r>
            <w:rPr>
              <w:color w:val="auto"/>
            </w:rPr>
            <w:t>84</w:t>
          </w:r>
          <w:r>
            <w:rPr>
              <w:color w:val="auto"/>
            </w:rPr>
            <w:fldChar w:fldCharType="end"/>
          </w:r>
          <w:r>
            <w:rPr>
              <w:color w:val="auto"/>
            </w:rPr>
            <w:fldChar w:fldCharType="end"/>
          </w:r>
        </w:p>
        <w:p>
          <w:pPr>
            <w:spacing w:line="348" w:lineRule="auto"/>
            <w:rPr>
              <w:rFonts w:ascii="黑体" w:hAnsi="黑体" w:eastAsia="黑体"/>
              <w:color w:val="auto"/>
            </w:rPr>
          </w:pPr>
          <w:r>
            <w:rPr>
              <w:rFonts w:ascii="黑体" w:hAnsi="黑体" w:eastAsia="黑体"/>
              <w:b/>
              <w:bCs/>
              <w:color w:val="auto"/>
              <w:lang w:val="zh-CN"/>
            </w:rPr>
            <w:fldChar w:fldCharType="end"/>
          </w:r>
        </w:p>
      </w:sdtContent>
    </w:sdt>
    <w:p>
      <w:pPr>
        <w:pStyle w:val="2"/>
        <w:keepNext w:val="0"/>
        <w:keepLines w:val="0"/>
        <w:pageBreakBefore/>
        <w:spacing w:before="120" w:after="120" w:line="360" w:lineRule="auto"/>
        <w:jc w:val="center"/>
        <w:rPr>
          <w:rFonts w:ascii="黑体" w:hAnsi="黑体" w:eastAsia="黑体"/>
          <w:color w:val="auto"/>
          <w:spacing w:val="20"/>
          <w:sz w:val="32"/>
          <w:szCs w:val="32"/>
        </w:rPr>
      </w:pPr>
      <w:bookmarkStart w:id="3" w:name="_Toc90980546"/>
      <w:r>
        <w:rPr>
          <w:rFonts w:hint="eastAsia" w:ascii="黑体" w:hAnsi="黑体" w:eastAsia="黑体"/>
          <w:color w:val="auto"/>
          <w:spacing w:val="20"/>
          <w:sz w:val="32"/>
          <w:szCs w:val="32"/>
        </w:rPr>
        <w:t>第一部分</w:t>
      </w:r>
      <w:r>
        <w:rPr>
          <w:rFonts w:ascii="黑体" w:hAnsi="黑体" w:eastAsia="黑体"/>
          <w:color w:val="auto"/>
          <w:spacing w:val="20"/>
          <w:sz w:val="32"/>
          <w:szCs w:val="32"/>
        </w:rPr>
        <w:t xml:space="preserve"> </w:t>
      </w:r>
      <w:r>
        <w:rPr>
          <w:rFonts w:hint="eastAsia" w:ascii="黑体" w:hAnsi="黑体" w:eastAsia="黑体"/>
          <w:color w:val="auto"/>
          <w:spacing w:val="20"/>
          <w:sz w:val="32"/>
          <w:szCs w:val="32"/>
        </w:rPr>
        <w:t>投标邀请函</w:t>
      </w:r>
      <w:bookmarkEnd w:id="0"/>
      <w:bookmarkEnd w:id="1"/>
      <w:bookmarkEnd w:id="2"/>
      <w:bookmarkEnd w:id="3"/>
    </w:p>
    <w:p>
      <w:pPr>
        <w:widowControl/>
        <w:spacing w:before="156" w:beforeLines="50" w:after="156" w:afterLines="50" w:line="360" w:lineRule="atLeast"/>
        <w:jc w:val="left"/>
        <w:rPr>
          <w:rFonts w:ascii="黑体" w:hAnsi="黑体" w:eastAsia="黑体" w:cs="宋体"/>
          <w:b/>
          <w:color w:val="auto"/>
          <w:kern w:val="0"/>
          <w:sz w:val="24"/>
          <w:szCs w:val="24"/>
        </w:rPr>
      </w:pPr>
      <w:r>
        <w:rPr>
          <w:rFonts w:hint="eastAsia" w:ascii="黑体" w:hAnsi="黑体" w:eastAsia="黑体" w:cs="宋体"/>
          <w:b/>
          <w:color w:val="auto"/>
          <w:kern w:val="0"/>
          <w:sz w:val="24"/>
          <w:szCs w:val="24"/>
        </w:rPr>
        <w:t>项目概况</w:t>
      </w:r>
    </w:p>
    <w:p>
      <w:pPr>
        <w:tabs>
          <w:tab w:val="left" w:pos="426"/>
        </w:tabs>
        <w:spacing w:before="312" w:beforeLines="100" w:line="360" w:lineRule="auto"/>
        <w:ind w:firstLine="420" w:firstLineChars="200"/>
        <w:rPr>
          <w:rFonts w:ascii="黑体" w:hAnsi="黑体" w:eastAsia="黑体"/>
          <w:color w:val="auto"/>
          <w:szCs w:val="21"/>
        </w:rPr>
      </w:pPr>
      <w:r>
        <w:rPr>
          <w:rFonts w:hint="eastAsia" w:ascii="黑体" w:hAnsi="黑体" w:eastAsia="黑体" w:cs="宋体"/>
          <w:color w:val="auto"/>
          <w:kern w:val="0"/>
          <w:szCs w:val="21"/>
          <w:u w:val="single"/>
        </w:rPr>
        <w:t>东莞市大岭山森林公园2023年食堂承包服务项目</w:t>
      </w:r>
      <w:r>
        <w:rPr>
          <w:rFonts w:hint="eastAsia" w:ascii="黑体" w:hAnsi="黑体" w:eastAsia="黑体" w:cs="宋体"/>
          <w:color w:val="auto"/>
          <w:kern w:val="0"/>
          <w:szCs w:val="21"/>
        </w:rPr>
        <w:t>招标项目的潜在投标人应在</w:t>
      </w:r>
      <w:r>
        <w:rPr>
          <w:rFonts w:hint="eastAsia" w:ascii="黑体" w:hAnsi="黑体" w:eastAsia="黑体" w:cs="宋体"/>
          <w:color w:val="auto"/>
          <w:kern w:val="0"/>
          <w:szCs w:val="21"/>
          <w:u w:val="single"/>
        </w:rPr>
        <w:t>东莞市东城街道东莞大道19号鼎峰卡布斯国际广场A座1603A号（有德招标）或使用微信扫描二维码进行获取（二维码详见招标文件温馨提示）或微信搜索公众号“有德招标东莞分公司”</w:t>
      </w:r>
      <w:r>
        <w:rPr>
          <w:rFonts w:hint="eastAsia" w:ascii="黑体" w:hAnsi="黑体" w:eastAsia="黑体" w:cs="宋体"/>
          <w:color w:val="auto"/>
          <w:kern w:val="0"/>
          <w:szCs w:val="21"/>
        </w:rPr>
        <w:t>获取招标文件，并于</w:t>
      </w:r>
      <w:r>
        <w:rPr>
          <w:rFonts w:hint="eastAsia" w:ascii="黑体" w:hAnsi="黑体" w:eastAsia="黑体" w:cs="宋体"/>
          <w:color w:val="auto"/>
          <w:kern w:val="0"/>
          <w:szCs w:val="21"/>
          <w:u w:val="single"/>
        </w:rPr>
        <w:t>2022</w:t>
      </w:r>
      <w:r>
        <w:rPr>
          <w:rFonts w:hint="eastAsia" w:ascii="黑体" w:hAnsi="黑体" w:eastAsia="黑体" w:cs="宋体"/>
          <w:color w:val="auto"/>
          <w:kern w:val="0"/>
          <w:szCs w:val="21"/>
        </w:rPr>
        <w:t>年</w:t>
      </w:r>
      <w:r>
        <w:rPr>
          <w:rFonts w:hint="eastAsia" w:ascii="黑体" w:hAnsi="黑体" w:eastAsia="黑体" w:cs="宋体"/>
          <w:color w:val="auto"/>
          <w:kern w:val="0"/>
          <w:szCs w:val="21"/>
          <w:u w:val="single"/>
          <w:lang w:val="en-US" w:eastAsia="zh-CN"/>
        </w:rPr>
        <w:t>12</w:t>
      </w:r>
      <w:r>
        <w:rPr>
          <w:rFonts w:hint="eastAsia" w:ascii="黑体" w:hAnsi="黑体" w:eastAsia="黑体" w:cs="宋体"/>
          <w:color w:val="auto"/>
          <w:kern w:val="0"/>
          <w:szCs w:val="21"/>
        </w:rPr>
        <w:t>月</w:t>
      </w:r>
      <w:r>
        <w:rPr>
          <w:rFonts w:hint="eastAsia" w:ascii="黑体" w:hAnsi="黑体" w:eastAsia="黑体" w:cs="宋体"/>
          <w:color w:val="auto"/>
          <w:kern w:val="0"/>
          <w:szCs w:val="21"/>
          <w:u w:val="single"/>
          <w:lang w:val="en-US" w:eastAsia="zh-CN"/>
        </w:rPr>
        <w:t>26</w:t>
      </w:r>
      <w:r>
        <w:rPr>
          <w:rFonts w:hint="eastAsia" w:ascii="黑体" w:hAnsi="黑体" w:eastAsia="黑体" w:cs="宋体"/>
          <w:color w:val="auto"/>
          <w:kern w:val="0"/>
          <w:szCs w:val="21"/>
        </w:rPr>
        <w:t>日</w:t>
      </w:r>
      <w:r>
        <w:rPr>
          <w:rFonts w:hint="eastAsia" w:ascii="黑体" w:hAnsi="黑体" w:eastAsia="黑体" w:cs="宋体"/>
          <w:color w:val="auto"/>
          <w:kern w:val="0"/>
          <w:szCs w:val="21"/>
          <w:u w:val="single"/>
          <w:lang w:val="en-US" w:eastAsia="zh-CN"/>
        </w:rPr>
        <w:t>14</w:t>
      </w:r>
      <w:r>
        <w:rPr>
          <w:rFonts w:hint="eastAsia" w:ascii="黑体" w:hAnsi="黑体" w:eastAsia="黑体" w:cs="宋体"/>
          <w:color w:val="auto"/>
          <w:kern w:val="0"/>
          <w:szCs w:val="21"/>
        </w:rPr>
        <w:t>点</w:t>
      </w:r>
      <w:r>
        <w:rPr>
          <w:rFonts w:hint="eastAsia" w:ascii="黑体" w:hAnsi="黑体" w:eastAsia="黑体" w:cs="宋体"/>
          <w:color w:val="auto"/>
          <w:kern w:val="0"/>
          <w:szCs w:val="21"/>
          <w:u w:val="single"/>
          <w:lang w:val="en-US" w:eastAsia="zh-CN"/>
        </w:rPr>
        <w:t>30</w:t>
      </w:r>
      <w:r>
        <w:rPr>
          <w:rFonts w:hint="eastAsia" w:ascii="黑体" w:hAnsi="黑体" w:eastAsia="黑体" w:cs="宋体"/>
          <w:color w:val="auto"/>
          <w:kern w:val="0"/>
          <w:szCs w:val="21"/>
        </w:rPr>
        <w:t>分（北京时间）前递交投标文件。</w:t>
      </w:r>
    </w:p>
    <w:p>
      <w:pPr>
        <w:pStyle w:val="30"/>
        <w:numPr>
          <w:ilvl w:val="0"/>
          <w:numId w:val="2"/>
        </w:numPr>
        <w:tabs>
          <w:tab w:val="left" w:pos="426"/>
        </w:tabs>
        <w:spacing w:before="312" w:beforeLines="100" w:line="360" w:lineRule="auto"/>
        <w:ind w:firstLineChars="0"/>
        <w:rPr>
          <w:rFonts w:ascii="黑体" w:hAnsi="黑体" w:eastAsia="黑体"/>
          <w:color w:val="auto"/>
          <w:szCs w:val="21"/>
        </w:rPr>
      </w:pPr>
      <w:r>
        <w:rPr>
          <w:rFonts w:hint="eastAsia" w:ascii="黑体" w:hAnsi="黑体" w:eastAsia="黑体"/>
          <w:b/>
          <w:color w:val="auto"/>
          <w:szCs w:val="21"/>
        </w:rPr>
        <w:t>项目基本情况：</w:t>
      </w:r>
    </w:p>
    <w:p>
      <w:pPr>
        <w:tabs>
          <w:tab w:val="left" w:pos="426"/>
        </w:tabs>
        <w:spacing w:line="360" w:lineRule="auto"/>
        <w:ind w:left="420" w:hanging="420" w:hangingChars="200"/>
        <w:rPr>
          <w:rFonts w:ascii="黑体" w:hAnsi="黑体" w:eastAsia="黑体"/>
          <w:color w:val="auto"/>
          <w:szCs w:val="21"/>
          <w:u w:val="single"/>
        </w:rPr>
      </w:pPr>
      <w:r>
        <w:rPr>
          <w:rFonts w:hint="eastAsia" w:ascii="黑体" w:hAnsi="黑体" w:eastAsia="黑体"/>
          <w:color w:val="auto"/>
          <w:szCs w:val="21"/>
        </w:rPr>
        <w:t>项目编号：</w:t>
      </w:r>
      <w:r>
        <w:rPr>
          <w:rFonts w:ascii="黑体" w:hAnsi="黑体" w:eastAsia="黑体"/>
          <w:color w:val="auto"/>
          <w:szCs w:val="21"/>
        </w:rPr>
        <w:t>YDZB22DGQY0271</w:t>
      </w:r>
    </w:p>
    <w:p>
      <w:pPr>
        <w:tabs>
          <w:tab w:val="left" w:pos="426"/>
        </w:tabs>
        <w:spacing w:line="360" w:lineRule="auto"/>
        <w:ind w:left="420" w:hanging="420" w:hangingChars="200"/>
        <w:rPr>
          <w:rFonts w:ascii="黑体" w:hAnsi="黑体" w:eastAsia="黑体"/>
          <w:color w:val="auto"/>
          <w:szCs w:val="21"/>
        </w:rPr>
      </w:pPr>
      <w:r>
        <w:rPr>
          <w:rFonts w:hint="eastAsia" w:ascii="黑体" w:hAnsi="黑体" w:eastAsia="黑体"/>
          <w:color w:val="auto"/>
          <w:szCs w:val="21"/>
        </w:rPr>
        <w:t>项目名称：东莞市大岭山森林公园2023年食堂承包服务项目</w:t>
      </w:r>
    </w:p>
    <w:p>
      <w:pPr>
        <w:tabs>
          <w:tab w:val="left" w:pos="426"/>
        </w:tabs>
        <w:spacing w:line="360" w:lineRule="auto"/>
        <w:ind w:left="420" w:hanging="420" w:hangingChars="200"/>
        <w:rPr>
          <w:rFonts w:ascii="黑体" w:hAnsi="黑体" w:eastAsia="黑体"/>
          <w:color w:val="auto"/>
          <w:szCs w:val="21"/>
        </w:rPr>
      </w:pPr>
      <w:r>
        <w:rPr>
          <w:rFonts w:hint="eastAsia" w:ascii="黑体" w:hAnsi="黑体" w:eastAsia="黑体"/>
          <w:color w:val="auto"/>
          <w:szCs w:val="21"/>
        </w:rPr>
        <w:t>采购方式：公开招标</w:t>
      </w:r>
    </w:p>
    <w:p>
      <w:pPr>
        <w:tabs>
          <w:tab w:val="left" w:pos="426"/>
        </w:tabs>
        <w:spacing w:line="360" w:lineRule="auto"/>
        <w:ind w:left="420" w:hanging="420" w:hangingChars="200"/>
        <w:rPr>
          <w:rFonts w:ascii="黑体" w:hAnsi="黑体" w:eastAsia="黑体"/>
          <w:color w:val="auto"/>
          <w:szCs w:val="21"/>
        </w:rPr>
      </w:pPr>
      <w:r>
        <w:rPr>
          <w:rFonts w:hint="eastAsia" w:ascii="黑体" w:hAnsi="黑体" w:eastAsia="黑体"/>
          <w:color w:val="auto"/>
          <w:szCs w:val="21"/>
        </w:rPr>
        <w:t>预算金额：￥</w:t>
      </w:r>
      <w:r>
        <w:rPr>
          <w:rFonts w:ascii="黑体" w:hAnsi="黑体" w:eastAsia="黑体"/>
          <w:color w:val="auto"/>
          <w:szCs w:val="21"/>
        </w:rPr>
        <w:t>872,000.00</w:t>
      </w:r>
      <w:r>
        <w:rPr>
          <w:rFonts w:hint="eastAsia" w:ascii="黑体" w:hAnsi="黑体" w:eastAsia="黑体"/>
          <w:color w:val="auto"/>
          <w:szCs w:val="21"/>
        </w:rPr>
        <w:t>元</w:t>
      </w:r>
    </w:p>
    <w:p>
      <w:pPr>
        <w:tabs>
          <w:tab w:val="left" w:pos="426"/>
        </w:tabs>
        <w:spacing w:line="360" w:lineRule="auto"/>
        <w:ind w:left="422" w:hanging="422" w:hangingChars="200"/>
        <w:rPr>
          <w:rFonts w:ascii="黑体" w:hAnsi="黑体" w:eastAsia="黑体"/>
          <w:b/>
          <w:bCs/>
          <w:color w:val="auto"/>
          <w:szCs w:val="21"/>
        </w:rPr>
      </w:pPr>
      <w:r>
        <w:rPr>
          <w:rFonts w:hint="eastAsia" w:ascii="黑体" w:hAnsi="黑体" w:eastAsia="黑体"/>
          <w:b/>
          <w:bCs/>
          <w:color w:val="auto"/>
          <w:szCs w:val="21"/>
        </w:rPr>
        <w:t>采购需求：</w:t>
      </w:r>
    </w:p>
    <w:p>
      <w:pPr>
        <w:pStyle w:val="30"/>
        <w:numPr>
          <w:ilvl w:val="0"/>
          <w:numId w:val="3"/>
        </w:numPr>
        <w:tabs>
          <w:tab w:val="left" w:pos="284"/>
        </w:tabs>
        <w:spacing w:line="360" w:lineRule="auto"/>
        <w:ind w:left="420" w:hangingChars="200"/>
        <w:rPr>
          <w:rFonts w:ascii="黑体" w:hAnsi="黑体" w:eastAsia="黑体"/>
          <w:color w:val="auto"/>
          <w:szCs w:val="21"/>
        </w:rPr>
      </w:pPr>
      <w:r>
        <w:rPr>
          <w:rFonts w:hint="eastAsia" w:ascii="黑体" w:hAnsi="黑体" w:eastAsia="黑体"/>
          <w:color w:val="auto"/>
          <w:szCs w:val="21"/>
        </w:rPr>
        <w:t xml:space="preserve">标的内容： </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4859"/>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pct"/>
          </w:tcPr>
          <w:p>
            <w:pPr>
              <w:tabs>
                <w:tab w:val="left" w:pos="284"/>
              </w:tabs>
              <w:spacing w:line="360" w:lineRule="auto"/>
              <w:jc w:val="center"/>
              <w:rPr>
                <w:rFonts w:ascii="黑体" w:hAnsi="黑体" w:eastAsia="黑体"/>
                <w:color w:val="auto"/>
                <w:szCs w:val="21"/>
              </w:rPr>
            </w:pPr>
            <w:r>
              <w:rPr>
                <w:rFonts w:hint="eastAsia" w:ascii="黑体" w:hAnsi="黑体" w:eastAsia="黑体"/>
                <w:color w:val="auto"/>
                <w:szCs w:val="21"/>
              </w:rPr>
              <w:t>序号</w:t>
            </w:r>
          </w:p>
        </w:tc>
        <w:tc>
          <w:tcPr>
            <w:tcW w:w="2771" w:type="pct"/>
          </w:tcPr>
          <w:p>
            <w:pPr>
              <w:tabs>
                <w:tab w:val="left" w:pos="284"/>
              </w:tabs>
              <w:spacing w:line="360" w:lineRule="auto"/>
              <w:jc w:val="center"/>
              <w:rPr>
                <w:rFonts w:ascii="黑体" w:hAnsi="黑体" w:eastAsia="黑体"/>
                <w:color w:val="auto"/>
                <w:szCs w:val="21"/>
              </w:rPr>
            </w:pPr>
            <w:r>
              <w:rPr>
                <w:rFonts w:hint="eastAsia" w:ascii="黑体" w:hAnsi="黑体" w:eastAsia="黑体"/>
                <w:color w:val="auto"/>
                <w:szCs w:val="21"/>
              </w:rPr>
              <w:t>标的名称</w:t>
            </w:r>
          </w:p>
        </w:tc>
        <w:tc>
          <w:tcPr>
            <w:tcW w:w="1667" w:type="pct"/>
          </w:tcPr>
          <w:p>
            <w:pPr>
              <w:tabs>
                <w:tab w:val="left" w:pos="284"/>
              </w:tabs>
              <w:spacing w:line="360" w:lineRule="auto"/>
              <w:jc w:val="center"/>
              <w:rPr>
                <w:rFonts w:ascii="黑体" w:hAnsi="黑体" w:eastAsia="黑体"/>
                <w:color w:val="auto"/>
                <w:szCs w:val="21"/>
              </w:rPr>
            </w:pPr>
            <w:r>
              <w:rPr>
                <w:rFonts w:hint="eastAsia" w:ascii="黑体" w:hAnsi="黑体" w:eastAsia="黑体"/>
                <w:color w:val="auto"/>
                <w:szCs w:val="21"/>
              </w:rPr>
              <w:t>标的数量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tabs>
                <w:tab w:val="left" w:pos="284"/>
              </w:tabs>
              <w:spacing w:line="360" w:lineRule="auto"/>
              <w:jc w:val="center"/>
              <w:rPr>
                <w:rFonts w:ascii="黑体" w:hAnsi="黑体" w:eastAsia="黑体"/>
                <w:color w:val="auto"/>
                <w:szCs w:val="21"/>
              </w:rPr>
            </w:pPr>
            <w:r>
              <w:rPr>
                <w:rFonts w:hint="eastAsia" w:ascii="黑体" w:hAnsi="黑体" w:eastAsia="黑体"/>
                <w:color w:val="auto"/>
                <w:szCs w:val="21"/>
              </w:rPr>
              <w:t>1</w:t>
            </w:r>
          </w:p>
        </w:tc>
        <w:tc>
          <w:tcPr>
            <w:tcW w:w="2771" w:type="pct"/>
          </w:tcPr>
          <w:p>
            <w:pPr>
              <w:tabs>
                <w:tab w:val="left" w:pos="284"/>
              </w:tabs>
              <w:spacing w:line="360" w:lineRule="auto"/>
              <w:jc w:val="center"/>
              <w:rPr>
                <w:rFonts w:ascii="黑体" w:hAnsi="黑体" w:eastAsia="黑体"/>
                <w:color w:val="auto"/>
                <w:szCs w:val="21"/>
              </w:rPr>
            </w:pPr>
            <w:r>
              <w:rPr>
                <w:rFonts w:hint="eastAsia" w:ascii="黑体" w:hAnsi="黑体" w:eastAsia="黑体"/>
                <w:color w:val="auto"/>
                <w:szCs w:val="21"/>
              </w:rPr>
              <w:t>东莞市大岭山森林公园2023年食堂承包服务项目</w:t>
            </w:r>
          </w:p>
        </w:tc>
        <w:tc>
          <w:tcPr>
            <w:tcW w:w="1667" w:type="pct"/>
          </w:tcPr>
          <w:p>
            <w:pPr>
              <w:tabs>
                <w:tab w:val="left" w:pos="284"/>
              </w:tabs>
              <w:spacing w:line="360" w:lineRule="auto"/>
              <w:jc w:val="center"/>
              <w:rPr>
                <w:rFonts w:ascii="黑体" w:hAnsi="黑体" w:eastAsia="黑体"/>
                <w:color w:val="auto"/>
                <w:szCs w:val="21"/>
              </w:rPr>
            </w:pPr>
            <w:r>
              <w:rPr>
                <w:rFonts w:hint="eastAsia" w:ascii="黑体" w:hAnsi="黑体" w:eastAsia="黑体"/>
                <w:color w:val="auto"/>
                <w:szCs w:val="21"/>
              </w:rPr>
              <w:t>1项</w:t>
            </w:r>
          </w:p>
        </w:tc>
      </w:tr>
    </w:tbl>
    <w:p>
      <w:pPr>
        <w:pStyle w:val="30"/>
        <w:numPr>
          <w:ilvl w:val="0"/>
          <w:numId w:val="3"/>
        </w:numPr>
        <w:tabs>
          <w:tab w:val="left" w:pos="284"/>
        </w:tabs>
        <w:spacing w:line="360" w:lineRule="auto"/>
        <w:ind w:left="420" w:hangingChars="200"/>
        <w:rPr>
          <w:rFonts w:ascii="黑体" w:hAnsi="黑体" w:eastAsia="黑体"/>
          <w:color w:val="auto"/>
          <w:szCs w:val="21"/>
        </w:rPr>
      </w:pPr>
      <w:r>
        <w:rPr>
          <w:rFonts w:hint="eastAsia" w:ascii="黑体" w:hAnsi="黑体" w:eastAsia="黑体"/>
          <w:color w:val="auto"/>
          <w:szCs w:val="21"/>
        </w:rPr>
        <w:t>简要技术需求或服务要求：（详见招标文件采购需求）</w:t>
      </w:r>
    </w:p>
    <w:p>
      <w:pPr>
        <w:pStyle w:val="30"/>
        <w:numPr>
          <w:ilvl w:val="0"/>
          <w:numId w:val="3"/>
        </w:numPr>
        <w:tabs>
          <w:tab w:val="left" w:pos="284"/>
        </w:tabs>
        <w:spacing w:line="360" w:lineRule="auto"/>
        <w:ind w:left="420" w:hangingChars="200"/>
        <w:rPr>
          <w:rFonts w:ascii="黑体" w:hAnsi="黑体" w:eastAsia="黑体"/>
          <w:color w:val="auto"/>
          <w:szCs w:val="21"/>
        </w:rPr>
      </w:pPr>
      <w:r>
        <w:rPr>
          <w:rFonts w:hint="eastAsia" w:ascii="黑体" w:hAnsi="黑体" w:eastAsia="黑体"/>
          <w:color w:val="auto"/>
          <w:szCs w:val="21"/>
        </w:rPr>
        <w:t>合同履行期限：履行期限以先达到下述任一情况即服务终止：</w:t>
      </w:r>
    </w:p>
    <w:p>
      <w:pPr>
        <w:pStyle w:val="30"/>
        <w:numPr>
          <w:ilvl w:val="0"/>
          <w:numId w:val="4"/>
        </w:numPr>
        <w:tabs>
          <w:tab w:val="left" w:pos="284"/>
        </w:tabs>
        <w:spacing w:line="360" w:lineRule="auto"/>
        <w:ind w:left="393" w:leftChars="87" w:hanging="210" w:hangingChars="100"/>
        <w:rPr>
          <w:rFonts w:ascii="黑体" w:hAnsi="黑体" w:eastAsia="黑体"/>
          <w:color w:val="auto"/>
          <w:szCs w:val="21"/>
        </w:rPr>
      </w:pPr>
      <w:r>
        <w:rPr>
          <w:rFonts w:hint="eastAsia" w:ascii="黑体" w:hAnsi="黑体" w:eastAsia="黑体"/>
          <w:color w:val="auto"/>
          <w:szCs w:val="21"/>
          <w:u w:val="single"/>
        </w:rPr>
        <w:t xml:space="preserve">壹 </w:t>
      </w:r>
      <w:r>
        <w:rPr>
          <w:rFonts w:hint="eastAsia" w:ascii="黑体" w:hAnsi="黑体" w:eastAsia="黑体"/>
          <w:color w:val="auto"/>
          <w:szCs w:val="21"/>
        </w:rPr>
        <w:t>年，自</w:t>
      </w:r>
      <w:r>
        <w:rPr>
          <w:rFonts w:hint="eastAsia" w:ascii="黑体" w:hAnsi="黑体" w:eastAsia="黑体"/>
          <w:color w:val="auto"/>
          <w:szCs w:val="21"/>
          <w:u w:val="single"/>
        </w:rPr>
        <w:t xml:space="preserve"> 2023</w:t>
      </w:r>
      <w:r>
        <w:rPr>
          <w:rFonts w:hint="eastAsia" w:ascii="黑体" w:hAnsi="黑体" w:eastAsia="黑体"/>
          <w:color w:val="auto"/>
          <w:szCs w:val="21"/>
        </w:rPr>
        <w:t>年</w:t>
      </w:r>
      <w:r>
        <w:rPr>
          <w:rFonts w:hint="eastAsia" w:ascii="黑体" w:hAnsi="黑体" w:eastAsia="黑体"/>
          <w:color w:val="auto"/>
          <w:szCs w:val="21"/>
          <w:u w:val="single"/>
        </w:rPr>
        <w:t xml:space="preserve"> 1 </w:t>
      </w:r>
      <w:r>
        <w:rPr>
          <w:rFonts w:hint="eastAsia" w:ascii="黑体" w:hAnsi="黑体" w:eastAsia="黑体"/>
          <w:color w:val="auto"/>
          <w:szCs w:val="21"/>
        </w:rPr>
        <w:t>月</w:t>
      </w:r>
      <w:r>
        <w:rPr>
          <w:rFonts w:hint="eastAsia" w:ascii="黑体" w:hAnsi="黑体" w:eastAsia="黑体"/>
          <w:color w:val="auto"/>
          <w:szCs w:val="21"/>
          <w:u w:val="single"/>
        </w:rPr>
        <w:t xml:space="preserve"> 1 </w:t>
      </w:r>
      <w:r>
        <w:rPr>
          <w:rFonts w:hint="eastAsia" w:ascii="黑体" w:hAnsi="黑体" w:eastAsia="黑体"/>
          <w:color w:val="auto"/>
          <w:szCs w:val="21"/>
        </w:rPr>
        <w:t>日至</w:t>
      </w:r>
      <w:r>
        <w:rPr>
          <w:rFonts w:hint="eastAsia" w:ascii="黑体" w:hAnsi="黑体" w:eastAsia="黑体"/>
          <w:color w:val="auto"/>
          <w:szCs w:val="21"/>
          <w:u w:val="single"/>
        </w:rPr>
        <w:t xml:space="preserve"> 2023</w:t>
      </w:r>
      <w:r>
        <w:rPr>
          <w:rFonts w:hint="eastAsia" w:ascii="黑体" w:hAnsi="黑体" w:eastAsia="黑体"/>
          <w:color w:val="auto"/>
          <w:szCs w:val="21"/>
        </w:rPr>
        <w:t>年</w:t>
      </w:r>
      <w:r>
        <w:rPr>
          <w:rFonts w:hint="eastAsia" w:ascii="黑体" w:hAnsi="黑体" w:eastAsia="黑体"/>
          <w:color w:val="auto"/>
          <w:szCs w:val="21"/>
          <w:u w:val="single"/>
        </w:rPr>
        <w:t xml:space="preserve"> 12 </w:t>
      </w:r>
      <w:r>
        <w:rPr>
          <w:rFonts w:hint="eastAsia" w:ascii="黑体" w:hAnsi="黑体" w:eastAsia="黑体"/>
          <w:color w:val="auto"/>
          <w:szCs w:val="21"/>
        </w:rPr>
        <w:t>月</w:t>
      </w:r>
      <w:r>
        <w:rPr>
          <w:rFonts w:hint="eastAsia" w:ascii="黑体" w:hAnsi="黑体" w:eastAsia="黑体"/>
          <w:color w:val="auto"/>
          <w:szCs w:val="21"/>
          <w:u w:val="single"/>
        </w:rPr>
        <w:t xml:space="preserve"> 31 </w:t>
      </w:r>
      <w:r>
        <w:rPr>
          <w:rFonts w:hint="eastAsia" w:ascii="黑体" w:hAnsi="黑体" w:eastAsia="黑体"/>
          <w:color w:val="auto"/>
          <w:szCs w:val="21"/>
        </w:rPr>
        <w:t>日止，含周六日及法定节假日（具体以中标供应商签订合同之日起）；</w:t>
      </w:r>
    </w:p>
    <w:p>
      <w:pPr>
        <w:pStyle w:val="30"/>
        <w:numPr>
          <w:ilvl w:val="0"/>
          <w:numId w:val="4"/>
        </w:numPr>
        <w:tabs>
          <w:tab w:val="left" w:pos="284"/>
        </w:tabs>
        <w:spacing w:line="360" w:lineRule="auto"/>
        <w:ind w:left="393" w:leftChars="87" w:hanging="210" w:hangingChars="100"/>
        <w:rPr>
          <w:rFonts w:ascii="黑体" w:hAnsi="黑体" w:eastAsia="黑体"/>
          <w:color w:val="auto"/>
          <w:szCs w:val="21"/>
        </w:rPr>
      </w:pPr>
      <w:r>
        <w:rPr>
          <w:rFonts w:hint="eastAsia" w:ascii="黑体" w:hAnsi="黑体" w:eastAsia="黑体"/>
          <w:color w:val="auto"/>
          <w:szCs w:val="21"/>
        </w:rPr>
        <w:t>若项目履约金额已达人民币872,000.00元时，双方另行协商。</w:t>
      </w:r>
    </w:p>
    <w:p>
      <w:pPr>
        <w:pStyle w:val="30"/>
        <w:numPr>
          <w:ilvl w:val="0"/>
          <w:numId w:val="3"/>
        </w:numPr>
        <w:tabs>
          <w:tab w:val="left" w:pos="284"/>
        </w:tabs>
        <w:spacing w:line="360" w:lineRule="auto"/>
        <w:ind w:left="420" w:hangingChars="200"/>
        <w:rPr>
          <w:rFonts w:ascii="黑体" w:hAnsi="黑体" w:eastAsia="黑体"/>
          <w:color w:val="auto"/>
          <w:szCs w:val="21"/>
        </w:rPr>
      </w:pPr>
      <w:r>
        <w:rPr>
          <w:rFonts w:hint="eastAsia" w:ascii="黑体" w:hAnsi="黑体" w:eastAsia="黑体"/>
          <w:color w:val="auto"/>
          <w:szCs w:val="21"/>
        </w:rPr>
        <w:t>本项目不接受联合体投标。</w:t>
      </w:r>
    </w:p>
    <w:p>
      <w:pPr>
        <w:pStyle w:val="30"/>
        <w:numPr>
          <w:ilvl w:val="0"/>
          <w:numId w:val="2"/>
        </w:numPr>
        <w:tabs>
          <w:tab w:val="left" w:pos="426"/>
        </w:tabs>
        <w:spacing w:line="360" w:lineRule="auto"/>
        <w:ind w:firstLineChars="0"/>
        <w:rPr>
          <w:rFonts w:ascii="黑体" w:hAnsi="黑体" w:eastAsia="黑体"/>
          <w:b/>
          <w:color w:val="auto"/>
          <w:szCs w:val="21"/>
        </w:rPr>
      </w:pPr>
      <w:r>
        <w:rPr>
          <w:rFonts w:hint="eastAsia" w:ascii="黑体" w:hAnsi="黑体" w:eastAsia="黑体"/>
          <w:b/>
          <w:color w:val="auto"/>
          <w:szCs w:val="21"/>
        </w:rPr>
        <w:t>申请人的资格要求</w:t>
      </w:r>
    </w:p>
    <w:p>
      <w:pPr>
        <w:pStyle w:val="30"/>
        <w:numPr>
          <w:ilvl w:val="0"/>
          <w:numId w:val="5"/>
        </w:numPr>
        <w:spacing w:line="360" w:lineRule="auto"/>
        <w:ind w:firstLineChars="0"/>
        <w:rPr>
          <w:rFonts w:ascii="黑体" w:hAnsi="黑体" w:eastAsia="黑体"/>
          <w:color w:val="auto"/>
          <w:szCs w:val="21"/>
        </w:rPr>
      </w:pPr>
      <w:r>
        <w:rPr>
          <w:rFonts w:hint="eastAsia" w:ascii="黑体" w:hAnsi="黑体" w:eastAsia="黑体"/>
          <w:color w:val="auto"/>
          <w:szCs w:val="21"/>
        </w:rPr>
        <w:t>投标供应商应具备《中华人民共和国政府采购法》第二十二条规定的条件，提供下列材料：</w:t>
      </w:r>
    </w:p>
    <w:p>
      <w:pPr>
        <w:pStyle w:val="30"/>
        <w:widowControl/>
        <w:numPr>
          <w:ilvl w:val="0"/>
          <w:numId w:val="6"/>
        </w:numPr>
        <w:shd w:val="clear" w:color="auto" w:fill="FFFFFF"/>
        <w:spacing w:line="360" w:lineRule="auto"/>
        <w:ind w:firstLineChars="0"/>
        <w:textAlignment w:val="baseline"/>
        <w:rPr>
          <w:rFonts w:ascii="黑体" w:hAnsi="黑体" w:eastAsia="黑体" w:cs="宋体"/>
          <w:color w:val="auto"/>
          <w:kern w:val="0"/>
          <w:szCs w:val="21"/>
        </w:rPr>
      </w:pPr>
      <w:r>
        <w:rPr>
          <w:rFonts w:hint="eastAsia" w:ascii="黑体" w:hAnsi="黑体" w:eastAsia="黑体" w:cs="宋体"/>
          <w:color w:val="auto"/>
          <w:kern w:val="0"/>
          <w:szCs w:val="21"/>
        </w:rPr>
        <w:t>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 其规定。（分支机构投标，须取得具有法人资格的总公司（总所）出具给分支机构的授权书，并提供总公司（总所）和分支机构的营业执照（执业许可证）复印件。已由总公司（总所）授权的 ，总公司（总所）取得的相关资质证书对分支机构有效，法律法规或者行业另有规定的除外。）</w:t>
      </w:r>
    </w:p>
    <w:p>
      <w:pPr>
        <w:pStyle w:val="30"/>
        <w:widowControl/>
        <w:numPr>
          <w:ilvl w:val="0"/>
          <w:numId w:val="6"/>
        </w:numPr>
        <w:shd w:val="clear" w:color="auto" w:fill="FFFFFF"/>
        <w:spacing w:line="360" w:lineRule="auto"/>
        <w:ind w:firstLineChars="0"/>
        <w:textAlignment w:val="baseline"/>
        <w:rPr>
          <w:rFonts w:ascii="黑体" w:hAnsi="黑体" w:eastAsia="黑体" w:cs="宋体"/>
          <w:color w:val="auto"/>
          <w:kern w:val="0"/>
          <w:szCs w:val="21"/>
        </w:rPr>
      </w:pPr>
      <w:r>
        <w:rPr>
          <w:rFonts w:hint="eastAsia" w:ascii="黑体" w:hAnsi="黑体" w:eastAsia="黑体" w:cs="宋体"/>
          <w:color w:val="auto"/>
          <w:kern w:val="0"/>
          <w:szCs w:val="21"/>
        </w:rPr>
        <w:t>有依法缴纳税收和社会保障资金的良好记录，提供资格声明函，详见投标文件格式。</w:t>
      </w:r>
    </w:p>
    <w:p>
      <w:pPr>
        <w:pStyle w:val="30"/>
        <w:widowControl/>
        <w:numPr>
          <w:ilvl w:val="0"/>
          <w:numId w:val="6"/>
        </w:numPr>
        <w:shd w:val="clear" w:color="auto" w:fill="FFFFFF"/>
        <w:spacing w:line="360" w:lineRule="auto"/>
        <w:ind w:firstLineChars="0"/>
        <w:textAlignment w:val="baseline"/>
        <w:rPr>
          <w:rFonts w:ascii="黑体" w:hAnsi="黑体" w:eastAsia="黑体" w:cs="宋体"/>
          <w:color w:val="auto"/>
          <w:kern w:val="0"/>
          <w:szCs w:val="21"/>
        </w:rPr>
      </w:pPr>
      <w:bookmarkStart w:id="4" w:name="_Hlk90659088"/>
      <w:r>
        <w:rPr>
          <w:rFonts w:hint="eastAsia" w:ascii="黑体" w:hAnsi="黑体" w:eastAsia="黑体" w:cs="宋体"/>
          <w:color w:val="auto"/>
          <w:kern w:val="0"/>
          <w:szCs w:val="21"/>
        </w:rPr>
        <w:t>具有良好的商业信誉和健全的财务会计制度</w:t>
      </w:r>
      <w:bookmarkEnd w:id="4"/>
      <w:r>
        <w:rPr>
          <w:rFonts w:hint="eastAsia" w:ascii="黑体" w:hAnsi="黑体" w:eastAsia="黑体" w:cs="宋体"/>
          <w:color w:val="auto"/>
          <w:kern w:val="0"/>
          <w:szCs w:val="21"/>
        </w:rPr>
        <w:t>，提供资格声明函，详见投标文件格式。</w:t>
      </w:r>
    </w:p>
    <w:p>
      <w:pPr>
        <w:pStyle w:val="30"/>
        <w:widowControl/>
        <w:numPr>
          <w:ilvl w:val="0"/>
          <w:numId w:val="6"/>
        </w:numPr>
        <w:shd w:val="clear" w:color="auto" w:fill="FFFFFF"/>
        <w:spacing w:line="360" w:lineRule="auto"/>
        <w:ind w:firstLineChars="0"/>
        <w:textAlignment w:val="baseline"/>
        <w:rPr>
          <w:rFonts w:ascii="黑体" w:hAnsi="黑体" w:eastAsia="黑体" w:cs="宋体"/>
          <w:color w:val="auto"/>
          <w:kern w:val="0"/>
          <w:szCs w:val="21"/>
        </w:rPr>
      </w:pPr>
      <w:r>
        <w:rPr>
          <w:rFonts w:hint="eastAsia" w:ascii="黑体" w:hAnsi="黑体" w:eastAsia="黑体" w:cs="宋体"/>
          <w:color w:val="auto"/>
          <w:kern w:val="0"/>
          <w:szCs w:val="21"/>
        </w:rPr>
        <w:t>履行合同所必须的设备和专业技术能力：</w:t>
      </w:r>
      <w:bookmarkStart w:id="5" w:name="_Hlk90659431"/>
      <w:r>
        <w:rPr>
          <w:rFonts w:hint="eastAsia" w:ascii="黑体" w:hAnsi="黑体" w:eastAsia="黑体" w:cs="宋体"/>
          <w:color w:val="auto"/>
          <w:kern w:val="0"/>
          <w:szCs w:val="21"/>
        </w:rPr>
        <w:t>提供资格声明函，详见投标文件格式。</w:t>
      </w:r>
      <w:bookmarkEnd w:id="5"/>
    </w:p>
    <w:p>
      <w:pPr>
        <w:pStyle w:val="30"/>
        <w:widowControl/>
        <w:numPr>
          <w:ilvl w:val="0"/>
          <w:numId w:val="6"/>
        </w:numPr>
        <w:shd w:val="clear" w:color="auto" w:fill="FFFFFF"/>
        <w:spacing w:line="360" w:lineRule="auto"/>
        <w:ind w:firstLineChars="0"/>
        <w:textAlignment w:val="baseline"/>
        <w:rPr>
          <w:rFonts w:ascii="黑体" w:hAnsi="黑体" w:eastAsia="黑体" w:cs="宋体"/>
          <w:color w:val="auto"/>
          <w:kern w:val="0"/>
          <w:szCs w:val="21"/>
        </w:rPr>
      </w:pPr>
      <w:bookmarkStart w:id="6" w:name="_Hlk81177175"/>
      <w:r>
        <w:rPr>
          <w:rFonts w:hint="eastAsia" w:ascii="黑体" w:hAnsi="黑体" w:eastAsia="黑体" w:cs="宋体"/>
          <w:color w:val="auto"/>
          <w:kern w:val="0"/>
          <w:szCs w:val="21"/>
        </w:rPr>
        <w:t>参加采购活动前3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bookmarkStart w:id="7" w:name="_Hlk79147767"/>
      <w:r>
        <w:rPr>
          <w:rFonts w:hint="eastAsia" w:ascii="黑体" w:hAnsi="黑体" w:eastAsia="黑体" w:cs="宋体"/>
          <w:color w:val="auto"/>
          <w:kern w:val="0"/>
          <w:szCs w:val="21"/>
        </w:rPr>
        <w:t>。</w:t>
      </w:r>
      <w:bookmarkEnd w:id="6"/>
      <w:bookmarkEnd w:id="7"/>
      <w:r>
        <w:rPr>
          <w:rFonts w:hint="eastAsia" w:ascii="黑体" w:hAnsi="黑体" w:eastAsia="黑体" w:cs="宋体"/>
          <w:color w:val="auto"/>
          <w:kern w:val="0"/>
          <w:szCs w:val="21"/>
        </w:rPr>
        <w:t>提供资格声明函，详见投标文件格式。</w:t>
      </w:r>
    </w:p>
    <w:p>
      <w:pPr>
        <w:pStyle w:val="30"/>
        <w:widowControl/>
        <w:numPr>
          <w:ilvl w:val="0"/>
          <w:numId w:val="6"/>
        </w:numPr>
        <w:shd w:val="clear" w:color="auto" w:fill="FFFFFF"/>
        <w:spacing w:line="360" w:lineRule="auto"/>
        <w:ind w:firstLineChars="0"/>
        <w:textAlignment w:val="baseline"/>
        <w:rPr>
          <w:rFonts w:ascii="黑体" w:hAnsi="黑体" w:eastAsia="黑体" w:cs="宋体"/>
          <w:color w:val="auto"/>
          <w:kern w:val="0"/>
          <w:szCs w:val="21"/>
        </w:rPr>
      </w:pPr>
      <w:r>
        <w:rPr>
          <w:rFonts w:hint="eastAsia" w:ascii="黑体" w:hAnsi="黑体" w:eastAsia="黑体" w:cs="宋体"/>
          <w:color w:val="auto"/>
          <w:kern w:val="0"/>
          <w:szCs w:val="21"/>
        </w:rPr>
        <w:t>信用记录：供应商未被列入“信用中国”网站(www.creditchina.gov.cn)“记录失信被执行人或重大税收违法失信主体”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 供应商需提供相关证明资料）。</w:t>
      </w:r>
    </w:p>
    <w:p>
      <w:pPr>
        <w:pStyle w:val="30"/>
        <w:numPr>
          <w:ilvl w:val="0"/>
          <w:numId w:val="5"/>
        </w:numPr>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供应商必须符合法律、行政法规规定的其他条件：单位负责人为同一人或者存在直接控股、管理关系的不同供应商，不得同时参加本采购项目（或采购包）投标。为本项目提供整体设计、规范编制或者项目管理、监理、检测等服务的供应商，不得再参与本项目投标。</w:t>
      </w:r>
      <w:bookmarkStart w:id="8" w:name="_Hlk81178057"/>
      <w:r>
        <w:rPr>
          <w:rFonts w:hint="eastAsia" w:ascii="黑体" w:hAnsi="黑体" w:eastAsia="黑体" w:cs="宋体"/>
          <w:color w:val="auto"/>
          <w:kern w:val="0"/>
          <w:szCs w:val="21"/>
        </w:rPr>
        <w:t>提供资格声明函，详见投标文件格式。</w:t>
      </w:r>
      <w:bookmarkEnd w:id="8"/>
    </w:p>
    <w:p>
      <w:pPr>
        <w:pStyle w:val="30"/>
        <w:numPr>
          <w:ilvl w:val="0"/>
          <w:numId w:val="5"/>
        </w:numPr>
        <w:spacing w:line="360" w:lineRule="auto"/>
        <w:ind w:firstLineChars="0"/>
        <w:rPr>
          <w:rFonts w:ascii="黑体" w:hAnsi="黑体" w:eastAsia="黑体"/>
          <w:color w:val="auto"/>
          <w:szCs w:val="21"/>
        </w:rPr>
      </w:pPr>
      <w:r>
        <w:rPr>
          <w:rFonts w:hint="eastAsia" w:ascii="黑体" w:hAnsi="黑体" w:eastAsia="黑体"/>
          <w:color w:val="auto"/>
          <w:szCs w:val="21"/>
        </w:rPr>
        <w:t>落实政府采购政策需满足的资格要求：本采购包专门面向行业为“批发业”的中小企业采购，以提供中小企业声明函为准。（监狱企业及残疾人福利性单位视同中小企业，以提供的监狱企业证明文件或残疾人福利性单位声明函为准。）相关格式详见投标文件格式与要求。</w:t>
      </w:r>
    </w:p>
    <w:p>
      <w:pPr>
        <w:pStyle w:val="30"/>
        <w:numPr>
          <w:ilvl w:val="0"/>
          <w:numId w:val="5"/>
        </w:numPr>
        <w:spacing w:line="360" w:lineRule="auto"/>
        <w:ind w:firstLineChars="0"/>
        <w:rPr>
          <w:rFonts w:ascii="黑体" w:hAnsi="黑体" w:eastAsia="黑体"/>
          <w:color w:val="auto"/>
          <w:szCs w:val="21"/>
        </w:rPr>
      </w:pPr>
      <w:r>
        <w:rPr>
          <w:rFonts w:hint="eastAsia" w:ascii="黑体" w:hAnsi="黑体" w:eastAsia="黑体"/>
          <w:color w:val="auto"/>
          <w:szCs w:val="21"/>
        </w:rPr>
        <w:t>本项目的特定资格要求：投标人须具有食品药品监督管理部门或市场监督管理部门颁发的有效的食品经营许可证复印件。</w:t>
      </w:r>
    </w:p>
    <w:p>
      <w:pPr>
        <w:pStyle w:val="30"/>
        <w:numPr>
          <w:ilvl w:val="0"/>
          <w:numId w:val="2"/>
        </w:numPr>
        <w:tabs>
          <w:tab w:val="left" w:pos="426"/>
        </w:tabs>
        <w:spacing w:line="360" w:lineRule="auto"/>
        <w:ind w:firstLineChars="0"/>
        <w:rPr>
          <w:rFonts w:ascii="黑体" w:hAnsi="黑体" w:eastAsia="黑体"/>
          <w:b/>
          <w:color w:val="auto"/>
          <w:szCs w:val="21"/>
        </w:rPr>
      </w:pPr>
      <w:bookmarkStart w:id="9" w:name="_Hlk58185024"/>
      <w:r>
        <w:rPr>
          <w:rFonts w:hint="eastAsia" w:ascii="黑体" w:hAnsi="黑体" w:eastAsia="黑体"/>
          <w:b/>
          <w:color w:val="auto"/>
          <w:szCs w:val="21"/>
        </w:rPr>
        <w:t>获取招标文件</w:t>
      </w:r>
    </w:p>
    <w:bookmarkEnd w:id="9"/>
    <w:p>
      <w:pPr>
        <w:pStyle w:val="30"/>
        <w:spacing w:line="360" w:lineRule="auto"/>
        <w:ind w:left="420" w:firstLine="0" w:firstLineChars="0"/>
        <w:rPr>
          <w:rFonts w:ascii="黑体" w:hAnsi="黑体" w:eastAsia="黑体" w:cs="宋体"/>
          <w:color w:val="auto"/>
          <w:szCs w:val="21"/>
        </w:rPr>
      </w:pPr>
      <w:r>
        <w:rPr>
          <w:rFonts w:hint="eastAsia" w:ascii="黑体" w:hAnsi="黑体" w:eastAsia="黑体" w:cs="宋体"/>
          <w:color w:val="auto"/>
          <w:szCs w:val="21"/>
        </w:rPr>
        <w:t>时间：</w:t>
      </w:r>
      <w:r>
        <w:rPr>
          <w:rFonts w:hint="eastAsia" w:ascii="黑体" w:hAnsi="黑体" w:eastAsia="黑体" w:cs="宋体"/>
          <w:color w:val="auto"/>
          <w:szCs w:val="21"/>
          <w:u w:val="single"/>
        </w:rPr>
        <w:t>2022年</w:t>
      </w:r>
      <w:r>
        <w:rPr>
          <w:rFonts w:hint="eastAsia" w:ascii="黑体" w:hAnsi="黑体" w:eastAsia="黑体" w:cs="宋体"/>
          <w:color w:val="auto"/>
          <w:szCs w:val="21"/>
          <w:u w:val="single"/>
          <w:lang w:val="en-US" w:eastAsia="zh-CN"/>
        </w:rPr>
        <w:t>12</w:t>
      </w:r>
      <w:r>
        <w:rPr>
          <w:rFonts w:hint="eastAsia" w:ascii="黑体" w:hAnsi="黑体" w:eastAsia="黑体" w:cs="宋体"/>
          <w:color w:val="auto"/>
          <w:szCs w:val="21"/>
          <w:u w:val="single"/>
        </w:rPr>
        <w:t>月</w:t>
      </w:r>
      <w:r>
        <w:rPr>
          <w:rFonts w:hint="eastAsia" w:ascii="黑体" w:hAnsi="黑体" w:eastAsia="黑体" w:cs="宋体"/>
          <w:color w:val="auto"/>
          <w:szCs w:val="21"/>
          <w:u w:val="single"/>
          <w:lang w:val="en-US" w:eastAsia="zh-CN"/>
        </w:rPr>
        <w:t>05</w:t>
      </w:r>
      <w:r>
        <w:rPr>
          <w:rFonts w:hint="eastAsia" w:ascii="黑体" w:hAnsi="黑体" w:eastAsia="黑体" w:cs="宋体"/>
          <w:color w:val="auto"/>
          <w:szCs w:val="21"/>
          <w:u w:val="single"/>
        </w:rPr>
        <w:t>日</w:t>
      </w:r>
      <w:r>
        <w:rPr>
          <w:rFonts w:hint="eastAsia" w:ascii="黑体" w:hAnsi="黑体" w:eastAsia="黑体" w:cs="宋体"/>
          <w:color w:val="auto"/>
          <w:szCs w:val="21"/>
        </w:rPr>
        <w:t>至</w:t>
      </w:r>
      <w:r>
        <w:rPr>
          <w:rFonts w:hint="eastAsia" w:ascii="黑体" w:hAnsi="黑体" w:eastAsia="黑体" w:cs="宋体"/>
          <w:color w:val="auto"/>
          <w:szCs w:val="21"/>
          <w:u w:val="single"/>
        </w:rPr>
        <w:t>2022年</w:t>
      </w:r>
      <w:r>
        <w:rPr>
          <w:rFonts w:hint="eastAsia" w:ascii="黑体" w:hAnsi="黑体" w:eastAsia="黑体" w:cs="宋体"/>
          <w:color w:val="auto"/>
          <w:szCs w:val="21"/>
          <w:u w:val="single"/>
          <w:lang w:val="en-US" w:eastAsia="zh-CN"/>
        </w:rPr>
        <w:t>12</w:t>
      </w:r>
      <w:r>
        <w:rPr>
          <w:rFonts w:hint="eastAsia" w:ascii="黑体" w:hAnsi="黑体" w:eastAsia="黑体" w:cs="宋体"/>
          <w:color w:val="auto"/>
          <w:szCs w:val="21"/>
          <w:u w:val="single"/>
        </w:rPr>
        <w:t>月</w:t>
      </w:r>
      <w:r>
        <w:rPr>
          <w:rFonts w:hint="eastAsia" w:ascii="黑体" w:hAnsi="黑体" w:eastAsia="黑体" w:cs="宋体"/>
          <w:color w:val="auto"/>
          <w:szCs w:val="21"/>
          <w:u w:val="single"/>
          <w:lang w:val="en-US" w:eastAsia="zh-CN"/>
        </w:rPr>
        <w:t>12</w:t>
      </w:r>
      <w:r>
        <w:rPr>
          <w:rFonts w:hint="eastAsia" w:ascii="黑体" w:hAnsi="黑体" w:eastAsia="黑体" w:cs="宋体"/>
          <w:color w:val="auto"/>
          <w:szCs w:val="21"/>
          <w:u w:val="single"/>
        </w:rPr>
        <w:t>日</w:t>
      </w:r>
      <w:r>
        <w:rPr>
          <w:rFonts w:hint="eastAsia" w:ascii="黑体" w:hAnsi="黑体" w:eastAsia="黑体" w:cs="宋体"/>
          <w:iCs/>
          <w:color w:val="auto"/>
          <w:szCs w:val="21"/>
          <w:u w:val="single"/>
        </w:rPr>
        <w:t>（</w:t>
      </w:r>
      <w:r>
        <w:rPr>
          <w:rFonts w:hint="eastAsia" w:ascii="黑体" w:hAnsi="黑体" w:eastAsia="黑体" w:cs="宋体"/>
          <w:color w:val="auto"/>
          <w:szCs w:val="21"/>
          <w:u w:val="single"/>
        </w:rPr>
        <w:t>提供期限自本公告发布之日起不得少于5个工作日</w:t>
      </w:r>
      <w:r>
        <w:rPr>
          <w:rFonts w:hint="eastAsia" w:ascii="黑体" w:hAnsi="黑体" w:eastAsia="黑体" w:cs="宋体"/>
          <w:iCs/>
          <w:color w:val="auto"/>
          <w:szCs w:val="21"/>
          <w:u w:val="single"/>
        </w:rPr>
        <w:t>）</w:t>
      </w:r>
      <w:r>
        <w:rPr>
          <w:rFonts w:hint="eastAsia" w:ascii="黑体" w:hAnsi="黑体" w:eastAsia="黑体" w:cs="宋体"/>
          <w:color w:val="auto"/>
          <w:szCs w:val="21"/>
        </w:rPr>
        <w:t>，每天上午9：00至 12：00，下午2：30至5：30（北京时间，</w:t>
      </w:r>
      <w:r>
        <w:rPr>
          <w:rFonts w:ascii="黑体" w:hAnsi="黑体" w:eastAsia="黑体" w:cs="宋体"/>
          <w:color w:val="auto"/>
          <w:szCs w:val="21"/>
        </w:rPr>
        <w:t>法定节假日</w:t>
      </w:r>
      <w:r>
        <w:rPr>
          <w:rFonts w:hint="eastAsia" w:ascii="黑体" w:hAnsi="黑体" w:eastAsia="黑体" w:cs="宋体"/>
          <w:color w:val="auto"/>
          <w:szCs w:val="21"/>
        </w:rPr>
        <w:t>除外）</w:t>
      </w:r>
    </w:p>
    <w:p>
      <w:pPr>
        <w:pStyle w:val="30"/>
        <w:spacing w:line="360" w:lineRule="auto"/>
        <w:ind w:left="420" w:firstLine="4" w:firstLineChars="2"/>
        <w:rPr>
          <w:rFonts w:ascii="黑体" w:hAnsi="黑体" w:eastAsia="黑体" w:cs="宋体"/>
          <w:color w:val="auto"/>
          <w:szCs w:val="21"/>
        </w:rPr>
      </w:pPr>
      <w:r>
        <w:rPr>
          <w:rFonts w:hint="eastAsia" w:ascii="黑体" w:hAnsi="黑体" w:eastAsia="黑体" w:cs="宋体"/>
          <w:color w:val="auto"/>
          <w:szCs w:val="21"/>
        </w:rPr>
        <w:t>地点：到东莞市东城街道东莞大道19号鼎峰卡布斯国际广场A座1603A号（有德招标）进行获取或使用微信扫描二维码进行获取（二维码详见招标文件温馨提示）或微信搜索公众号“有德招标东莞分公司”进行获取。</w:t>
      </w:r>
    </w:p>
    <w:p>
      <w:pPr>
        <w:pStyle w:val="30"/>
        <w:spacing w:line="360" w:lineRule="auto"/>
        <w:ind w:left="420" w:firstLine="0" w:firstLineChars="0"/>
        <w:rPr>
          <w:rFonts w:ascii="黑体" w:hAnsi="黑体" w:eastAsia="黑体" w:cs="宋体"/>
          <w:color w:val="auto"/>
          <w:szCs w:val="21"/>
          <w:u w:val="single"/>
        </w:rPr>
      </w:pPr>
      <w:r>
        <w:rPr>
          <w:rFonts w:hint="eastAsia" w:ascii="黑体" w:hAnsi="黑体" w:eastAsia="黑体" w:cs="宋体"/>
          <w:color w:val="auto"/>
          <w:szCs w:val="21"/>
        </w:rPr>
        <w:t>方式：现场或线上获取</w:t>
      </w:r>
    </w:p>
    <w:p>
      <w:pPr>
        <w:pStyle w:val="30"/>
        <w:spacing w:line="360" w:lineRule="auto"/>
        <w:ind w:left="420" w:firstLine="0" w:firstLineChars="0"/>
        <w:rPr>
          <w:rFonts w:ascii="黑体" w:hAnsi="黑体" w:eastAsia="黑体" w:cs="宋体"/>
          <w:color w:val="auto"/>
          <w:szCs w:val="21"/>
        </w:rPr>
      </w:pPr>
      <w:r>
        <w:rPr>
          <w:rFonts w:hint="eastAsia" w:ascii="黑体" w:hAnsi="黑体" w:eastAsia="黑体" w:cs="宋体"/>
          <w:color w:val="auto"/>
          <w:szCs w:val="21"/>
        </w:rPr>
        <w:t>售价：￥200元</w:t>
      </w:r>
    </w:p>
    <w:p>
      <w:pPr>
        <w:pStyle w:val="30"/>
        <w:numPr>
          <w:ilvl w:val="0"/>
          <w:numId w:val="2"/>
        </w:numPr>
        <w:tabs>
          <w:tab w:val="left" w:pos="426"/>
        </w:tabs>
        <w:spacing w:line="360" w:lineRule="auto"/>
        <w:ind w:left="0" w:firstLine="0" w:firstLineChars="0"/>
        <w:rPr>
          <w:rFonts w:ascii="黑体" w:hAnsi="黑体" w:eastAsia="黑体"/>
          <w:b/>
          <w:color w:val="auto"/>
          <w:szCs w:val="21"/>
        </w:rPr>
      </w:pPr>
      <w:r>
        <w:rPr>
          <w:rFonts w:hint="eastAsia" w:ascii="黑体" w:hAnsi="黑体" w:eastAsia="黑体"/>
          <w:b/>
          <w:color w:val="auto"/>
          <w:szCs w:val="21"/>
        </w:rPr>
        <w:t>提交投标文件截止时间、开标时间和地点</w:t>
      </w:r>
    </w:p>
    <w:p>
      <w:pPr>
        <w:tabs>
          <w:tab w:val="left" w:pos="284"/>
          <w:tab w:val="left" w:pos="426"/>
        </w:tabs>
        <w:spacing w:line="360" w:lineRule="auto"/>
        <w:ind w:left="420" w:hanging="420" w:hangingChars="200"/>
        <w:rPr>
          <w:rFonts w:ascii="黑体" w:hAnsi="黑体" w:eastAsia="黑体"/>
          <w:color w:val="auto"/>
          <w:szCs w:val="21"/>
        </w:rPr>
      </w:pPr>
      <w:r>
        <w:rPr>
          <w:rFonts w:hint="eastAsia" w:ascii="黑体" w:hAnsi="黑体" w:eastAsia="黑体"/>
          <w:color w:val="auto"/>
          <w:szCs w:val="21"/>
        </w:rPr>
        <w:t xml:space="preserve">    </w:t>
      </w:r>
      <w:r>
        <w:rPr>
          <w:rFonts w:hint="eastAsia" w:ascii="黑体" w:hAnsi="黑体" w:eastAsia="黑体"/>
          <w:color w:val="auto"/>
          <w:szCs w:val="21"/>
          <w:u w:val="single"/>
        </w:rPr>
        <w:t>2022年</w:t>
      </w:r>
      <w:r>
        <w:rPr>
          <w:rFonts w:hint="eastAsia" w:ascii="黑体" w:hAnsi="黑体" w:eastAsia="黑体"/>
          <w:color w:val="auto"/>
          <w:szCs w:val="21"/>
          <w:u w:val="single"/>
          <w:lang w:val="en-US" w:eastAsia="zh-CN"/>
        </w:rPr>
        <w:t>12</w:t>
      </w:r>
      <w:r>
        <w:rPr>
          <w:rFonts w:hint="eastAsia" w:ascii="黑体" w:hAnsi="黑体" w:eastAsia="黑体"/>
          <w:color w:val="auto"/>
          <w:szCs w:val="21"/>
          <w:u w:val="single"/>
        </w:rPr>
        <w:t>月</w:t>
      </w:r>
      <w:r>
        <w:rPr>
          <w:rFonts w:hint="eastAsia" w:ascii="黑体" w:hAnsi="黑体" w:eastAsia="黑体"/>
          <w:color w:val="auto"/>
          <w:szCs w:val="21"/>
          <w:u w:val="single"/>
          <w:lang w:val="en-US" w:eastAsia="zh-CN"/>
        </w:rPr>
        <w:t>26</w:t>
      </w:r>
      <w:r>
        <w:rPr>
          <w:rFonts w:hint="eastAsia" w:ascii="黑体" w:hAnsi="黑体" w:eastAsia="黑体"/>
          <w:color w:val="auto"/>
          <w:szCs w:val="21"/>
          <w:u w:val="single"/>
        </w:rPr>
        <w:t>日</w:t>
      </w:r>
      <w:r>
        <w:rPr>
          <w:rFonts w:hint="eastAsia" w:ascii="黑体" w:hAnsi="黑体" w:eastAsia="黑体"/>
          <w:color w:val="auto"/>
          <w:szCs w:val="21"/>
          <w:u w:val="single"/>
          <w:lang w:val="en-US" w:eastAsia="zh-CN"/>
        </w:rPr>
        <w:t>14</w:t>
      </w:r>
      <w:r>
        <w:rPr>
          <w:rFonts w:hint="eastAsia" w:ascii="黑体" w:hAnsi="黑体" w:eastAsia="黑体"/>
          <w:color w:val="auto"/>
          <w:szCs w:val="21"/>
          <w:u w:val="single"/>
        </w:rPr>
        <w:t>点</w:t>
      </w:r>
      <w:r>
        <w:rPr>
          <w:rFonts w:hint="eastAsia" w:ascii="黑体" w:hAnsi="黑体" w:eastAsia="黑体"/>
          <w:color w:val="auto"/>
          <w:szCs w:val="21"/>
          <w:u w:val="single"/>
          <w:lang w:val="en-US" w:eastAsia="zh-CN"/>
        </w:rPr>
        <w:t>30</w:t>
      </w:r>
      <w:r>
        <w:rPr>
          <w:rFonts w:hint="eastAsia" w:ascii="黑体" w:hAnsi="黑体" w:eastAsia="黑体"/>
          <w:color w:val="auto"/>
          <w:szCs w:val="21"/>
          <w:u w:val="single"/>
        </w:rPr>
        <w:t>分</w:t>
      </w:r>
      <w:r>
        <w:rPr>
          <w:rFonts w:hint="eastAsia" w:ascii="黑体" w:hAnsi="黑体" w:eastAsia="黑体"/>
          <w:color w:val="auto"/>
          <w:szCs w:val="21"/>
        </w:rPr>
        <w:t>（北京时间）（自招标文件开始发出之日起至投标人提交投标文件截止之日止，不得少于20日）</w:t>
      </w:r>
    </w:p>
    <w:p>
      <w:pPr>
        <w:pStyle w:val="30"/>
        <w:tabs>
          <w:tab w:val="left" w:pos="426"/>
        </w:tabs>
        <w:spacing w:line="360" w:lineRule="auto"/>
        <w:ind w:left="420" w:firstLine="0" w:firstLineChars="0"/>
        <w:rPr>
          <w:rFonts w:ascii="黑体" w:hAnsi="黑体" w:eastAsia="黑体"/>
          <w:color w:val="auto"/>
          <w:szCs w:val="21"/>
        </w:rPr>
      </w:pPr>
      <w:r>
        <w:rPr>
          <w:rFonts w:hint="eastAsia" w:ascii="黑体" w:hAnsi="黑体" w:eastAsia="黑体"/>
          <w:color w:val="auto"/>
          <w:szCs w:val="21"/>
        </w:rPr>
        <w:t>地点：东莞市东城街道东莞大道19号鼎峰卡布斯国际广场A座</w:t>
      </w:r>
      <w:r>
        <w:rPr>
          <w:rFonts w:ascii="黑体" w:hAnsi="黑体" w:eastAsia="黑体"/>
          <w:color w:val="auto"/>
          <w:szCs w:val="21"/>
        </w:rPr>
        <w:t>1607</w:t>
      </w:r>
      <w:r>
        <w:rPr>
          <w:rFonts w:hint="eastAsia" w:ascii="黑体" w:hAnsi="黑体" w:eastAsia="黑体"/>
          <w:color w:val="auto"/>
          <w:szCs w:val="21"/>
        </w:rPr>
        <w:t>号</w:t>
      </w:r>
    </w:p>
    <w:p>
      <w:pPr>
        <w:pStyle w:val="30"/>
        <w:numPr>
          <w:ilvl w:val="0"/>
          <w:numId w:val="2"/>
        </w:numPr>
        <w:tabs>
          <w:tab w:val="left" w:pos="426"/>
        </w:tabs>
        <w:spacing w:line="360" w:lineRule="auto"/>
        <w:ind w:left="-2" w:leftChars="-1" w:firstLine="1" w:firstLineChars="0"/>
        <w:rPr>
          <w:rFonts w:ascii="黑体" w:hAnsi="黑体" w:eastAsia="黑体"/>
          <w:b/>
          <w:color w:val="auto"/>
          <w:szCs w:val="21"/>
        </w:rPr>
      </w:pPr>
      <w:r>
        <w:rPr>
          <w:rFonts w:hint="eastAsia" w:ascii="黑体" w:hAnsi="黑体" w:eastAsia="黑体"/>
          <w:b/>
          <w:color w:val="auto"/>
          <w:szCs w:val="21"/>
        </w:rPr>
        <w:t>公告期限</w:t>
      </w:r>
    </w:p>
    <w:p>
      <w:pPr>
        <w:pStyle w:val="30"/>
        <w:tabs>
          <w:tab w:val="left" w:pos="426"/>
        </w:tabs>
        <w:spacing w:line="360" w:lineRule="auto"/>
        <w:ind w:left="420" w:firstLine="0" w:firstLineChars="0"/>
        <w:rPr>
          <w:rFonts w:ascii="黑体" w:hAnsi="黑体" w:eastAsia="黑体"/>
          <w:color w:val="auto"/>
          <w:szCs w:val="21"/>
        </w:rPr>
      </w:pPr>
      <w:r>
        <w:rPr>
          <w:rFonts w:hint="eastAsia" w:ascii="黑体" w:hAnsi="黑体" w:eastAsia="黑体"/>
          <w:color w:val="auto"/>
          <w:szCs w:val="21"/>
        </w:rPr>
        <w:t>自本公告发布之日起5个工作日。</w:t>
      </w:r>
    </w:p>
    <w:p>
      <w:pPr>
        <w:pStyle w:val="30"/>
        <w:numPr>
          <w:ilvl w:val="0"/>
          <w:numId w:val="2"/>
        </w:numPr>
        <w:tabs>
          <w:tab w:val="left" w:pos="426"/>
        </w:tabs>
        <w:spacing w:line="360" w:lineRule="auto"/>
        <w:ind w:firstLineChars="0"/>
        <w:rPr>
          <w:rFonts w:ascii="黑体" w:hAnsi="黑体" w:eastAsia="黑体"/>
          <w:b/>
          <w:color w:val="auto"/>
          <w:szCs w:val="21"/>
        </w:rPr>
      </w:pPr>
      <w:r>
        <w:rPr>
          <w:rFonts w:hint="eastAsia" w:ascii="黑体" w:hAnsi="黑体" w:eastAsia="黑体"/>
          <w:b/>
          <w:color w:val="auto"/>
          <w:szCs w:val="21"/>
        </w:rPr>
        <w:t>其他补充事宜</w:t>
      </w:r>
    </w:p>
    <w:p>
      <w:pPr>
        <w:pStyle w:val="30"/>
        <w:numPr>
          <w:ilvl w:val="0"/>
          <w:numId w:val="7"/>
        </w:numPr>
        <w:tabs>
          <w:tab w:val="left" w:pos="709"/>
        </w:tabs>
        <w:spacing w:line="360" w:lineRule="auto"/>
        <w:ind w:firstLineChars="0"/>
        <w:rPr>
          <w:rFonts w:ascii="黑体" w:hAnsi="黑体" w:eastAsia="黑体"/>
          <w:bCs/>
          <w:color w:val="auto"/>
          <w:szCs w:val="21"/>
        </w:rPr>
      </w:pPr>
      <w:r>
        <w:rPr>
          <w:rFonts w:hint="eastAsia" w:ascii="黑体" w:hAnsi="黑体" w:eastAsia="黑体"/>
          <w:bCs/>
          <w:color w:val="auto"/>
          <w:szCs w:val="21"/>
        </w:rPr>
        <w:t>需要落实的政府采购政策：《政府采购促进中小企业发展管理办法》的通知（财库〔2020〕46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市场监管总局关于调整优化节能产品、环境标志产品政府采购执行机制的通知》（财库〔2019〕9号）、《关于印发〈商品包装政府采购需求标准（试行）〉、〈快递包装政府采购需求标准（试行）〉的通知》等。</w:t>
      </w:r>
    </w:p>
    <w:p>
      <w:pPr>
        <w:pStyle w:val="30"/>
        <w:numPr>
          <w:ilvl w:val="0"/>
          <w:numId w:val="7"/>
        </w:numPr>
        <w:ind w:firstLineChars="0"/>
        <w:rPr>
          <w:rFonts w:ascii="黑体" w:hAnsi="黑体" w:eastAsia="黑体"/>
          <w:bCs/>
          <w:color w:val="auto"/>
          <w:szCs w:val="21"/>
        </w:rPr>
      </w:pPr>
      <w:r>
        <w:rPr>
          <w:rFonts w:hint="eastAsia" w:ascii="黑体" w:hAnsi="黑体" w:eastAsia="黑体"/>
          <w:bCs/>
          <w:color w:val="auto"/>
          <w:szCs w:val="21"/>
        </w:rPr>
        <w:t>本项目采购标的所属行业为</w:t>
      </w:r>
      <w:r>
        <w:rPr>
          <w:rFonts w:hint="eastAsia" w:ascii="黑体" w:hAnsi="黑体" w:eastAsia="黑体"/>
          <w:bCs/>
          <w:color w:val="auto"/>
          <w:szCs w:val="21"/>
          <w:u w:val="single"/>
        </w:rPr>
        <w:t xml:space="preserve"> </w:t>
      </w:r>
      <w:r>
        <w:rPr>
          <w:rFonts w:ascii="黑体" w:hAnsi="黑体" w:eastAsia="黑体"/>
          <w:bCs/>
          <w:color w:val="auto"/>
          <w:szCs w:val="21"/>
          <w:u w:val="single"/>
        </w:rPr>
        <w:t xml:space="preserve"> </w:t>
      </w:r>
      <w:r>
        <w:rPr>
          <w:rFonts w:hint="eastAsia" w:ascii="黑体" w:hAnsi="黑体" w:eastAsia="黑体"/>
          <w:bCs/>
          <w:color w:val="auto"/>
          <w:szCs w:val="21"/>
          <w:u w:val="single"/>
        </w:rPr>
        <w:t>批发业</w:t>
      </w:r>
      <w:r>
        <w:rPr>
          <w:rFonts w:ascii="黑体" w:hAnsi="黑体" w:eastAsia="黑体"/>
          <w:bCs/>
          <w:color w:val="auto"/>
          <w:szCs w:val="21"/>
          <w:u w:val="single"/>
        </w:rPr>
        <w:t xml:space="preserve">   </w:t>
      </w:r>
      <w:r>
        <w:rPr>
          <w:rFonts w:hint="eastAsia" w:ascii="黑体" w:hAnsi="黑体" w:eastAsia="黑体"/>
          <w:bCs/>
          <w:color w:val="auto"/>
          <w:szCs w:val="21"/>
        </w:rPr>
        <w:t>。</w:t>
      </w:r>
    </w:p>
    <w:p>
      <w:pPr>
        <w:pStyle w:val="30"/>
        <w:numPr>
          <w:ilvl w:val="0"/>
          <w:numId w:val="7"/>
        </w:numPr>
        <w:tabs>
          <w:tab w:val="left" w:pos="709"/>
        </w:tabs>
        <w:spacing w:line="360" w:lineRule="auto"/>
        <w:ind w:firstLineChars="0"/>
        <w:rPr>
          <w:rFonts w:ascii="黑体" w:hAnsi="黑体" w:eastAsia="黑体"/>
          <w:bCs/>
          <w:color w:val="auto"/>
          <w:szCs w:val="21"/>
        </w:rPr>
      </w:pPr>
      <w:r>
        <w:rPr>
          <w:rFonts w:hint="eastAsia" w:ascii="黑体" w:hAnsi="黑体" w:eastAsia="黑体"/>
          <w:bCs/>
          <w:color w:val="auto"/>
          <w:szCs w:val="21"/>
        </w:rPr>
        <w:t>招标文件公示/下载媒体</w:t>
      </w:r>
    </w:p>
    <w:p>
      <w:pPr>
        <w:pStyle w:val="30"/>
        <w:tabs>
          <w:tab w:val="left" w:pos="709"/>
        </w:tabs>
        <w:spacing w:line="360" w:lineRule="auto"/>
        <w:ind w:left="420" w:firstLine="0" w:firstLineChars="0"/>
        <w:rPr>
          <w:rFonts w:ascii="黑体" w:hAnsi="黑体" w:eastAsia="黑体"/>
          <w:bCs/>
          <w:color w:val="auto"/>
          <w:szCs w:val="21"/>
        </w:rPr>
      </w:pPr>
      <w:r>
        <w:rPr>
          <w:rFonts w:hint="eastAsia" w:ascii="黑体" w:hAnsi="黑体" w:eastAsia="黑体"/>
          <w:bCs/>
          <w:color w:val="auto"/>
          <w:szCs w:val="21"/>
        </w:rPr>
        <w:t>中国政府采购网</w:t>
      </w:r>
      <w:r>
        <w:rPr>
          <w:rFonts w:hint="eastAsia" w:ascii="黑体" w:hAnsi="黑体" w:eastAsia="黑体"/>
          <w:bCs/>
          <w:color w:val="auto"/>
          <w:szCs w:val="21"/>
          <w:u w:val="single"/>
        </w:rPr>
        <w:t>(</w:t>
      </w:r>
      <w:r>
        <w:rPr>
          <w:rFonts w:ascii="黑体" w:hAnsi="黑体" w:eastAsia="黑体"/>
          <w:bCs/>
          <w:color w:val="auto"/>
          <w:szCs w:val="21"/>
          <w:u w:val="single"/>
        </w:rPr>
        <w:t>http://www.ccgp.gov.cn/</w:t>
      </w:r>
      <w:r>
        <w:rPr>
          <w:rFonts w:hint="eastAsia" w:ascii="黑体" w:hAnsi="黑体" w:eastAsia="黑体"/>
          <w:bCs/>
          <w:color w:val="auto"/>
          <w:szCs w:val="21"/>
          <w:u w:val="single"/>
        </w:rPr>
        <w:t>)</w:t>
      </w:r>
      <w:r>
        <w:rPr>
          <w:rFonts w:hint="eastAsia" w:ascii="黑体" w:hAnsi="黑体" w:eastAsia="黑体"/>
          <w:bCs/>
          <w:color w:val="auto"/>
          <w:szCs w:val="21"/>
        </w:rPr>
        <w:t>、</w:t>
      </w:r>
      <w:r>
        <w:rPr>
          <w:rFonts w:hint="eastAsia" w:ascii="黑体" w:hAnsi="黑体" w:eastAsia="黑体"/>
          <w:color w:val="auto"/>
          <w:spacing w:val="-4"/>
          <w:szCs w:val="21"/>
        </w:rPr>
        <w:t>中国采购与招标网（</w:t>
      </w:r>
      <w:r>
        <w:rPr>
          <w:color w:val="auto"/>
        </w:rPr>
        <w:fldChar w:fldCharType="begin"/>
      </w:r>
      <w:r>
        <w:rPr>
          <w:color w:val="auto"/>
        </w:rPr>
        <w:instrText xml:space="preserve"> HYPERLINK "http://www.chinabidding.com.cn/" </w:instrText>
      </w:r>
      <w:r>
        <w:rPr>
          <w:color w:val="auto"/>
        </w:rPr>
        <w:fldChar w:fldCharType="separate"/>
      </w:r>
      <w:r>
        <w:rPr>
          <w:rStyle w:val="26"/>
          <w:rFonts w:ascii="黑体" w:hAnsi="黑体" w:eastAsia="黑体"/>
          <w:color w:val="auto"/>
        </w:rPr>
        <w:t>http://www.chinabidding.com.cn/</w:t>
      </w:r>
      <w:r>
        <w:rPr>
          <w:rStyle w:val="26"/>
          <w:rFonts w:ascii="黑体" w:hAnsi="黑体" w:eastAsia="黑体"/>
          <w:color w:val="auto"/>
        </w:rPr>
        <w:fldChar w:fldCharType="end"/>
      </w:r>
      <w:r>
        <w:rPr>
          <w:rFonts w:hint="eastAsia" w:ascii="黑体" w:hAnsi="黑体" w:eastAsia="黑体"/>
          <w:color w:val="auto"/>
        </w:rPr>
        <w:t>）、</w:t>
      </w:r>
      <w:r>
        <w:rPr>
          <w:rFonts w:hint="eastAsia" w:ascii="黑体" w:hAnsi="黑体" w:eastAsia="黑体"/>
          <w:bCs/>
          <w:color w:val="auto"/>
          <w:szCs w:val="21"/>
        </w:rPr>
        <w:t>广东有德招标采购有限公司网站</w:t>
      </w:r>
      <w:r>
        <w:rPr>
          <w:rFonts w:hint="eastAsia" w:ascii="黑体" w:hAnsi="黑体" w:eastAsia="黑体"/>
          <w:bCs/>
          <w:color w:val="auto"/>
          <w:szCs w:val="21"/>
          <w:u w:val="single"/>
        </w:rPr>
        <w:t>(http://www.youde.net/)</w:t>
      </w:r>
      <w:r>
        <w:rPr>
          <w:rFonts w:ascii="Calibri" w:hAnsi="Calibri" w:eastAsia="黑体" w:cs="Calibri"/>
          <w:bCs/>
          <w:color w:val="auto"/>
          <w:szCs w:val="21"/>
        </w:rPr>
        <w:t> </w:t>
      </w:r>
    </w:p>
    <w:p>
      <w:pPr>
        <w:pStyle w:val="30"/>
        <w:numPr>
          <w:ilvl w:val="0"/>
          <w:numId w:val="7"/>
        </w:numPr>
        <w:tabs>
          <w:tab w:val="left" w:pos="709"/>
        </w:tabs>
        <w:spacing w:line="360" w:lineRule="auto"/>
        <w:ind w:firstLineChars="0"/>
        <w:rPr>
          <w:rFonts w:ascii="黑体" w:hAnsi="黑体" w:eastAsia="黑体"/>
          <w:bCs/>
          <w:color w:val="auto"/>
          <w:szCs w:val="21"/>
        </w:rPr>
      </w:pPr>
      <w:r>
        <w:rPr>
          <w:rFonts w:hint="eastAsia" w:ascii="黑体" w:hAnsi="黑体" w:eastAsia="黑体"/>
          <w:bCs/>
          <w:color w:val="auto"/>
          <w:szCs w:val="21"/>
        </w:rPr>
        <w:t>拟参加本项目的潜在投标人须在规定时间内按要求获取招标文件后方可参与本项目的投标。获取招标文件后而不参加投标的潜在投标人，请在开标日期三日前以书面形式通知采购代理机构。</w:t>
      </w:r>
    </w:p>
    <w:p>
      <w:pPr>
        <w:pStyle w:val="30"/>
        <w:numPr>
          <w:ilvl w:val="0"/>
          <w:numId w:val="7"/>
        </w:numPr>
        <w:spacing w:line="360" w:lineRule="auto"/>
        <w:ind w:firstLineChars="0"/>
        <w:rPr>
          <w:rFonts w:ascii="黑体" w:hAnsi="黑体" w:eastAsia="黑体"/>
          <w:bCs/>
          <w:color w:val="auto"/>
          <w:szCs w:val="21"/>
        </w:rPr>
      </w:pPr>
      <w:r>
        <w:rPr>
          <w:rFonts w:hint="eastAsia" w:ascii="黑体" w:hAnsi="黑体" w:eastAsia="黑体"/>
          <w:bCs/>
          <w:color w:val="auto"/>
          <w:szCs w:val="21"/>
        </w:rPr>
        <w:t>获取招标文件联系人及联系方式：范小姐（0769）23362836</w:t>
      </w:r>
      <w:r>
        <w:rPr>
          <w:rFonts w:ascii="黑体" w:hAnsi="黑体" w:eastAsia="黑体"/>
          <w:bCs/>
          <w:color w:val="auto"/>
          <w:szCs w:val="21"/>
        </w:rPr>
        <w:t xml:space="preserve"> </w:t>
      </w:r>
      <w:r>
        <w:rPr>
          <w:rFonts w:hint="eastAsia" w:ascii="黑体" w:hAnsi="黑体" w:eastAsia="黑体"/>
          <w:bCs/>
          <w:color w:val="auto"/>
          <w:szCs w:val="21"/>
        </w:rPr>
        <w:t>邮箱：</w:t>
      </w:r>
      <w:r>
        <w:rPr>
          <w:color w:val="auto"/>
        </w:rPr>
        <w:t>youdedg@163.com</w:t>
      </w:r>
      <w:r>
        <w:rPr>
          <w:rFonts w:hint="eastAsia" w:ascii="黑体" w:hAnsi="黑体" w:eastAsia="黑体"/>
          <w:bCs/>
          <w:color w:val="auto"/>
          <w:szCs w:val="21"/>
        </w:rPr>
        <w:t>。</w:t>
      </w:r>
    </w:p>
    <w:p>
      <w:pPr>
        <w:pStyle w:val="30"/>
        <w:numPr>
          <w:ilvl w:val="0"/>
          <w:numId w:val="2"/>
        </w:numPr>
        <w:tabs>
          <w:tab w:val="left" w:pos="567"/>
        </w:tabs>
        <w:spacing w:before="156" w:beforeLines="50" w:line="360" w:lineRule="auto"/>
        <w:ind w:firstLineChars="0"/>
        <w:rPr>
          <w:rFonts w:ascii="黑体" w:hAnsi="黑体" w:eastAsia="黑体"/>
          <w:b/>
          <w:color w:val="auto"/>
          <w:szCs w:val="21"/>
        </w:rPr>
      </w:pPr>
      <w:r>
        <w:rPr>
          <w:rFonts w:hint="eastAsia" w:ascii="黑体" w:hAnsi="黑体" w:eastAsia="黑体"/>
          <w:b/>
          <w:color w:val="auto"/>
          <w:szCs w:val="21"/>
        </w:rPr>
        <w:t>对本次招标提出询问，请按以下方式联系。</w:t>
      </w:r>
    </w:p>
    <w:p>
      <w:pPr>
        <w:pStyle w:val="30"/>
        <w:numPr>
          <w:ilvl w:val="0"/>
          <w:numId w:val="8"/>
        </w:numPr>
        <w:tabs>
          <w:tab w:val="left" w:pos="567"/>
        </w:tabs>
        <w:spacing w:line="360" w:lineRule="auto"/>
        <w:ind w:firstLineChars="0"/>
        <w:rPr>
          <w:rFonts w:ascii="黑体" w:hAnsi="黑体" w:eastAsia="黑体"/>
          <w:b/>
          <w:color w:val="auto"/>
          <w:szCs w:val="21"/>
        </w:rPr>
      </w:pPr>
      <w:r>
        <w:rPr>
          <w:rFonts w:hint="eastAsia" w:ascii="黑体" w:hAnsi="黑体" w:eastAsia="黑体"/>
          <w:b/>
          <w:color w:val="auto"/>
          <w:szCs w:val="21"/>
        </w:rPr>
        <w:t>采购人信息</w:t>
      </w:r>
    </w:p>
    <w:p>
      <w:pPr>
        <w:tabs>
          <w:tab w:val="left" w:pos="567"/>
        </w:tabs>
        <w:spacing w:line="360" w:lineRule="auto"/>
        <w:ind w:left="424" w:leftChars="202"/>
        <w:rPr>
          <w:rFonts w:ascii="黑体" w:hAnsi="黑体" w:eastAsia="黑体"/>
          <w:bCs/>
          <w:color w:val="auto"/>
          <w:szCs w:val="21"/>
        </w:rPr>
      </w:pPr>
      <w:r>
        <w:rPr>
          <w:rFonts w:hint="eastAsia" w:ascii="黑体" w:hAnsi="黑体" w:eastAsia="黑体"/>
          <w:bCs/>
          <w:color w:val="auto"/>
          <w:szCs w:val="21"/>
        </w:rPr>
        <w:t>名称：东莞市大岭山森林公园</w:t>
      </w:r>
    </w:p>
    <w:p>
      <w:pPr>
        <w:tabs>
          <w:tab w:val="left" w:pos="567"/>
        </w:tabs>
        <w:spacing w:line="360" w:lineRule="auto"/>
        <w:ind w:left="424" w:leftChars="202"/>
        <w:rPr>
          <w:rFonts w:ascii="黑体" w:hAnsi="黑体" w:eastAsia="黑体"/>
          <w:bCs/>
          <w:color w:val="auto"/>
          <w:szCs w:val="21"/>
        </w:rPr>
      </w:pPr>
      <w:r>
        <w:rPr>
          <w:rFonts w:hint="eastAsia" w:ascii="黑体" w:hAnsi="黑体" w:eastAsia="黑体"/>
          <w:bCs/>
          <w:color w:val="auto"/>
          <w:szCs w:val="21"/>
        </w:rPr>
        <w:t xml:space="preserve">地址：东莞市虎门镇怀德村远丰大岭山森林公园入口广场 </w:t>
      </w:r>
    </w:p>
    <w:p>
      <w:pPr>
        <w:tabs>
          <w:tab w:val="left" w:pos="567"/>
        </w:tabs>
        <w:spacing w:line="360" w:lineRule="auto"/>
        <w:ind w:left="424" w:leftChars="202"/>
        <w:rPr>
          <w:rFonts w:ascii="黑体" w:hAnsi="黑体"/>
          <w:b/>
          <w:color w:val="auto"/>
          <w:szCs w:val="21"/>
        </w:rPr>
      </w:pPr>
      <w:r>
        <w:rPr>
          <w:rFonts w:hint="eastAsia" w:ascii="黑体" w:hAnsi="黑体" w:eastAsia="黑体"/>
          <w:bCs/>
          <w:color w:val="auto"/>
          <w:szCs w:val="21"/>
        </w:rPr>
        <w:t>联系方式：</w:t>
      </w:r>
      <w:r>
        <w:rPr>
          <w:rFonts w:hint="eastAsia" w:ascii="黑体" w:hAnsi="黑体" w:eastAsia="黑体"/>
          <w:color w:val="auto"/>
        </w:rPr>
        <w:t>0769-85551004</w:t>
      </w:r>
    </w:p>
    <w:p>
      <w:pPr>
        <w:pStyle w:val="30"/>
        <w:numPr>
          <w:ilvl w:val="0"/>
          <w:numId w:val="8"/>
        </w:numPr>
        <w:tabs>
          <w:tab w:val="left" w:pos="567"/>
        </w:tabs>
        <w:spacing w:line="360" w:lineRule="auto"/>
        <w:ind w:firstLineChars="0"/>
        <w:rPr>
          <w:rFonts w:ascii="黑体" w:hAnsi="黑体" w:eastAsia="黑体"/>
          <w:b/>
          <w:color w:val="auto"/>
          <w:szCs w:val="21"/>
        </w:rPr>
      </w:pPr>
      <w:r>
        <w:rPr>
          <w:rFonts w:hint="eastAsia" w:ascii="黑体" w:hAnsi="黑体" w:eastAsia="黑体"/>
          <w:b/>
          <w:color w:val="auto"/>
          <w:szCs w:val="21"/>
        </w:rPr>
        <w:t>采购代理机构信息</w:t>
      </w:r>
    </w:p>
    <w:p>
      <w:pPr>
        <w:tabs>
          <w:tab w:val="left" w:pos="567"/>
        </w:tabs>
        <w:spacing w:line="360" w:lineRule="auto"/>
        <w:ind w:left="424" w:leftChars="202"/>
        <w:rPr>
          <w:rFonts w:ascii="黑体" w:hAnsi="黑体" w:eastAsia="黑体"/>
          <w:bCs/>
          <w:color w:val="auto"/>
          <w:szCs w:val="21"/>
        </w:rPr>
      </w:pPr>
      <w:r>
        <w:rPr>
          <w:rFonts w:hint="eastAsia" w:ascii="黑体" w:hAnsi="黑体" w:eastAsia="黑体"/>
          <w:bCs/>
          <w:color w:val="auto"/>
          <w:szCs w:val="21"/>
        </w:rPr>
        <w:t xml:space="preserve">名 </w:t>
      </w:r>
      <w:r>
        <w:rPr>
          <w:rFonts w:ascii="黑体" w:hAnsi="黑体" w:eastAsia="黑体"/>
          <w:bCs/>
          <w:color w:val="auto"/>
          <w:szCs w:val="21"/>
        </w:rPr>
        <w:t xml:space="preserve"> </w:t>
      </w:r>
      <w:r>
        <w:rPr>
          <w:rFonts w:hint="eastAsia" w:ascii="黑体" w:hAnsi="黑体" w:eastAsia="黑体"/>
          <w:bCs/>
          <w:color w:val="auto"/>
          <w:szCs w:val="21"/>
        </w:rPr>
        <w:t>称：</w:t>
      </w:r>
      <w:bookmarkStart w:id="10" w:name="_Hlk58184619"/>
      <w:r>
        <w:rPr>
          <w:rFonts w:hint="eastAsia" w:ascii="黑体" w:hAnsi="黑体" w:eastAsia="黑体"/>
          <w:bCs/>
          <w:color w:val="auto"/>
          <w:szCs w:val="21"/>
        </w:rPr>
        <w:t>广东有德招标采购有限公司</w:t>
      </w:r>
      <w:bookmarkEnd w:id="10"/>
    </w:p>
    <w:p>
      <w:pPr>
        <w:tabs>
          <w:tab w:val="left" w:pos="567"/>
        </w:tabs>
        <w:spacing w:line="360" w:lineRule="auto"/>
        <w:ind w:left="424" w:leftChars="202"/>
        <w:rPr>
          <w:rFonts w:ascii="黑体" w:hAnsi="黑体" w:eastAsia="黑体"/>
          <w:bCs/>
          <w:color w:val="auto"/>
          <w:szCs w:val="21"/>
        </w:rPr>
      </w:pPr>
      <w:r>
        <w:rPr>
          <w:rFonts w:hint="eastAsia" w:ascii="黑体" w:hAnsi="黑体" w:eastAsia="黑体"/>
          <w:bCs/>
          <w:color w:val="auto"/>
          <w:szCs w:val="21"/>
        </w:rPr>
        <w:t>地　址：东莞市东城街道东莞大道19号鼎峰卡布斯国际广场A座1603A号</w:t>
      </w:r>
    </w:p>
    <w:p>
      <w:pPr>
        <w:tabs>
          <w:tab w:val="left" w:pos="567"/>
        </w:tabs>
        <w:spacing w:line="360" w:lineRule="auto"/>
        <w:ind w:left="424" w:leftChars="202"/>
        <w:rPr>
          <w:rFonts w:ascii="黑体" w:hAnsi="黑体" w:eastAsia="黑体"/>
          <w:b/>
          <w:color w:val="auto"/>
          <w:szCs w:val="21"/>
        </w:rPr>
      </w:pPr>
      <w:r>
        <w:rPr>
          <w:rFonts w:hint="eastAsia" w:ascii="黑体" w:hAnsi="黑体" w:eastAsia="黑体"/>
          <w:bCs/>
          <w:color w:val="auto"/>
          <w:szCs w:val="21"/>
        </w:rPr>
        <w:t>联系方式：（0769）23362836</w:t>
      </w:r>
    </w:p>
    <w:p>
      <w:pPr>
        <w:tabs>
          <w:tab w:val="left" w:pos="567"/>
        </w:tabs>
        <w:spacing w:line="360" w:lineRule="auto"/>
        <w:ind w:left="424" w:leftChars="202"/>
        <w:rPr>
          <w:rFonts w:ascii="黑体" w:hAnsi="黑体" w:eastAsia="黑体"/>
          <w:bCs/>
          <w:color w:val="auto"/>
          <w:szCs w:val="21"/>
        </w:rPr>
      </w:pPr>
      <w:r>
        <w:rPr>
          <w:rFonts w:hint="eastAsia" w:ascii="黑体" w:hAnsi="黑体" w:eastAsia="黑体"/>
          <w:bCs/>
          <w:color w:val="auto"/>
          <w:szCs w:val="21"/>
        </w:rPr>
        <w:t>公司邮箱：youdedg@163.com</w:t>
      </w:r>
    </w:p>
    <w:p>
      <w:pPr>
        <w:pStyle w:val="30"/>
        <w:numPr>
          <w:ilvl w:val="0"/>
          <w:numId w:val="8"/>
        </w:numPr>
        <w:tabs>
          <w:tab w:val="left" w:pos="567"/>
        </w:tabs>
        <w:spacing w:line="360" w:lineRule="auto"/>
        <w:ind w:firstLineChars="0"/>
        <w:rPr>
          <w:rFonts w:ascii="黑体" w:hAnsi="黑体" w:eastAsia="黑体"/>
          <w:b/>
          <w:color w:val="auto"/>
          <w:szCs w:val="21"/>
        </w:rPr>
      </w:pPr>
      <w:r>
        <w:rPr>
          <w:rFonts w:hint="eastAsia" w:ascii="黑体" w:hAnsi="黑体" w:eastAsia="黑体"/>
          <w:b/>
          <w:color w:val="auto"/>
          <w:szCs w:val="21"/>
        </w:rPr>
        <w:t>项目联系方式</w:t>
      </w:r>
    </w:p>
    <w:p>
      <w:pPr>
        <w:tabs>
          <w:tab w:val="left" w:pos="567"/>
        </w:tabs>
        <w:spacing w:line="360" w:lineRule="auto"/>
        <w:ind w:left="283" w:leftChars="135" w:firstLine="142" w:firstLineChars="68"/>
        <w:rPr>
          <w:rFonts w:ascii="黑体" w:hAnsi="黑体" w:eastAsia="黑体"/>
          <w:bCs/>
          <w:color w:val="auto"/>
          <w:szCs w:val="21"/>
        </w:rPr>
      </w:pPr>
      <w:r>
        <w:rPr>
          <w:rFonts w:hint="eastAsia" w:ascii="黑体" w:hAnsi="黑体" w:eastAsia="黑体"/>
          <w:bCs/>
          <w:color w:val="auto"/>
          <w:szCs w:val="21"/>
        </w:rPr>
        <w:t>项目联系人：陈先生</w:t>
      </w:r>
    </w:p>
    <w:p>
      <w:pPr>
        <w:tabs>
          <w:tab w:val="left" w:pos="567"/>
        </w:tabs>
        <w:spacing w:line="360" w:lineRule="auto"/>
        <w:ind w:left="283" w:leftChars="135" w:firstLine="142" w:firstLineChars="68"/>
        <w:rPr>
          <w:rFonts w:ascii="黑体" w:hAnsi="黑体" w:eastAsia="黑体"/>
          <w:b/>
          <w:color w:val="auto"/>
          <w:szCs w:val="21"/>
        </w:rPr>
      </w:pPr>
      <w:r>
        <w:rPr>
          <w:rFonts w:hint="eastAsia" w:ascii="黑体" w:hAnsi="黑体" w:eastAsia="黑体"/>
          <w:bCs/>
          <w:color w:val="auto"/>
          <w:szCs w:val="21"/>
        </w:rPr>
        <w:t>电　话：（0769）23362836-8006</w:t>
      </w:r>
    </w:p>
    <w:p>
      <w:pPr>
        <w:tabs>
          <w:tab w:val="left" w:pos="567"/>
        </w:tabs>
        <w:spacing w:before="156" w:line="360" w:lineRule="auto"/>
        <w:rPr>
          <w:rFonts w:ascii="黑体" w:hAnsi="黑体" w:eastAsia="黑体"/>
          <w:b/>
          <w:color w:val="auto"/>
          <w:szCs w:val="21"/>
        </w:rPr>
      </w:pPr>
    </w:p>
    <w:p>
      <w:pPr>
        <w:tabs>
          <w:tab w:val="left" w:pos="567"/>
        </w:tabs>
        <w:spacing w:before="840" w:line="360" w:lineRule="auto"/>
        <w:jc w:val="right"/>
        <w:rPr>
          <w:rFonts w:ascii="黑体" w:hAnsi="黑体" w:eastAsia="黑体"/>
          <w:b/>
          <w:color w:val="auto"/>
          <w:szCs w:val="21"/>
        </w:rPr>
      </w:pPr>
      <w:r>
        <w:rPr>
          <w:rFonts w:hint="eastAsia" w:ascii="黑体" w:hAnsi="黑体" w:eastAsia="黑体"/>
          <w:b/>
          <w:color w:val="auto"/>
          <w:szCs w:val="21"/>
        </w:rPr>
        <w:t>发布人：广东有德招标采购有限公司</w:t>
      </w:r>
    </w:p>
    <w:p>
      <w:pPr>
        <w:tabs>
          <w:tab w:val="left" w:pos="567"/>
        </w:tabs>
        <w:spacing w:before="156" w:line="360" w:lineRule="auto"/>
        <w:jc w:val="right"/>
        <w:rPr>
          <w:rFonts w:ascii="黑体" w:hAnsi="黑体" w:eastAsia="黑体"/>
          <w:b/>
          <w:color w:val="auto"/>
          <w:szCs w:val="21"/>
        </w:rPr>
      </w:pPr>
      <w:r>
        <w:rPr>
          <w:rFonts w:hint="eastAsia" w:ascii="黑体" w:hAnsi="黑体" w:eastAsia="黑体"/>
          <w:b/>
          <w:color w:val="auto"/>
          <w:szCs w:val="21"/>
        </w:rPr>
        <w:t>发布时间：2022年</w:t>
      </w:r>
      <w:r>
        <w:rPr>
          <w:rFonts w:hint="eastAsia" w:ascii="黑体" w:hAnsi="黑体" w:eastAsia="黑体"/>
          <w:b/>
          <w:color w:val="auto"/>
          <w:szCs w:val="21"/>
          <w:lang w:val="en-US" w:eastAsia="zh-CN"/>
        </w:rPr>
        <w:t>12</w:t>
      </w:r>
      <w:r>
        <w:rPr>
          <w:rFonts w:hint="eastAsia" w:ascii="黑体" w:hAnsi="黑体" w:eastAsia="黑体"/>
          <w:b/>
          <w:color w:val="auto"/>
          <w:szCs w:val="21"/>
        </w:rPr>
        <w:t>月</w:t>
      </w:r>
      <w:r>
        <w:rPr>
          <w:rFonts w:hint="eastAsia" w:ascii="黑体" w:hAnsi="黑体" w:eastAsia="黑体"/>
          <w:b/>
          <w:color w:val="auto"/>
          <w:szCs w:val="21"/>
          <w:lang w:val="en-US" w:eastAsia="zh-CN"/>
        </w:rPr>
        <w:t>05</w:t>
      </w:r>
      <w:bookmarkStart w:id="121" w:name="_GoBack"/>
      <w:bookmarkEnd w:id="121"/>
      <w:r>
        <w:rPr>
          <w:rFonts w:hint="eastAsia" w:ascii="黑体" w:hAnsi="黑体" w:eastAsia="黑体"/>
          <w:b/>
          <w:color w:val="auto"/>
          <w:szCs w:val="21"/>
        </w:rPr>
        <w:t>日</w:t>
      </w:r>
    </w:p>
    <w:p>
      <w:pPr>
        <w:pStyle w:val="2"/>
        <w:keepNext w:val="0"/>
        <w:keepLines w:val="0"/>
        <w:pageBreakBefore/>
        <w:spacing w:line="360" w:lineRule="auto"/>
        <w:jc w:val="center"/>
        <w:rPr>
          <w:rFonts w:ascii="黑体" w:hAnsi="黑体" w:eastAsia="黑体"/>
          <w:color w:val="auto"/>
          <w:spacing w:val="20"/>
          <w:sz w:val="32"/>
          <w:szCs w:val="32"/>
        </w:rPr>
      </w:pPr>
      <w:bookmarkStart w:id="11" w:name="_Toc90980547"/>
      <w:bookmarkStart w:id="12" w:name="_Toc405313952"/>
      <w:r>
        <w:rPr>
          <w:rFonts w:hint="eastAsia" w:ascii="黑体" w:hAnsi="黑体" w:eastAsia="黑体"/>
          <w:color w:val="auto"/>
          <w:spacing w:val="20"/>
          <w:sz w:val="32"/>
          <w:szCs w:val="32"/>
        </w:rPr>
        <w:t>第二部分</w:t>
      </w:r>
      <w:r>
        <w:rPr>
          <w:rFonts w:ascii="黑体" w:hAnsi="黑体" w:eastAsia="黑体"/>
          <w:color w:val="auto"/>
          <w:spacing w:val="20"/>
          <w:sz w:val="32"/>
          <w:szCs w:val="32"/>
        </w:rPr>
        <w:t xml:space="preserve"> </w:t>
      </w:r>
      <w:r>
        <w:rPr>
          <w:rFonts w:hint="eastAsia" w:ascii="黑体" w:hAnsi="黑体" w:eastAsia="黑体"/>
          <w:color w:val="auto"/>
          <w:spacing w:val="20"/>
          <w:sz w:val="32"/>
          <w:szCs w:val="32"/>
        </w:rPr>
        <w:t>采购需求</w:t>
      </w:r>
      <w:bookmarkEnd w:id="11"/>
      <w:bookmarkEnd w:id="12"/>
    </w:p>
    <w:p>
      <w:pPr>
        <w:pStyle w:val="30"/>
        <w:numPr>
          <w:ilvl w:val="0"/>
          <w:numId w:val="9"/>
        </w:numPr>
        <w:tabs>
          <w:tab w:val="left" w:pos="426"/>
        </w:tabs>
        <w:spacing w:before="312" w:beforeLines="100" w:line="360" w:lineRule="auto"/>
        <w:ind w:firstLineChars="0"/>
        <w:rPr>
          <w:rFonts w:ascii="黑体" w:hAnsi="黑体" w:eastAsia="黑体"/>
          <w:b/>
          <w:color w:val="auto"/>
        </w:rPr>
      </w:pPr>
      <w:r>
        <w:rPr>
          <w:rFonts w:hint="eastAsia" w:ascii="黑体" w:hAnsi="黑体" w:eastAsia="黑体"/>
          <w:b/>
          <w:color w:val="auto"/>
        </w:rPr>
        <w:t>项目概况</w:t>
      </w:r>
    </w:p>
    <w:p>
      <w:pPr>
        <w:pStyle w:val="30"/>
        <w:tabs>
          <w:tab w:val="left" w:pos="426"/>
        </w:tabs>
        <w:spacing w:line="360" w:lineRule="auto"/>
        <w:rPr>
          <w:rFonts w:ascii="黑体" w:hAnsi="黑体" w:eastAsia="黑体"/>
          <w:color w:val="auto"/>
        </w:rPr>
      </w:pPr>
      <w:r>
        <w:rPr>
          <w:rFonts w:hint="eastAsia" w:ascii="黑体" w:hAnsi="黑体" w:eastAsia="黑体"/>
          <w:color w:val="auto"/>
        </w:rPr>
        <w:t>1、项目名称：东莞市大岭山森林公园2023年食堂承包服务项目；</w:t>
      </w:r>
    </w:p>
    <w:p>
      <w:pPr>
        <w:pStyle w:val="30"/>
        <w:tabs>
          <w:tab w:val="left" w:pos="426"/>
        </w:tabs>
        <w:spacing w:line="360" w:lineRule="auto"/>
        <w:rPr>
          <w:rFonts w:ascii="黑体" w:hAnsi="黑体" w:eastAsia="黑体"/>
          <w:color w:val="auto"/>
        </w:rPr>
      </w:pPr>
      <w:r>
        <w:rPr>
          <w:rFonts w:hint="eastAsia" w:ascii="黑体" w:hAnsi="黑体" w:eastAsia="黑体"/>
          <w:color w:val="auto"/>
        </w:rPr>
        <w:t>2、服务内容：</w:t>
      </w:r>
      <w:r>
        <w:rPr>
          <w:rFonts w:hint="eastAsia" w:ascii="黑体" w:hAnsi="黑体" w:eastAsia="黑体"/>
          <w:color w:val="auto"/>
          <w:highlight w:val="none"/>
        </w:rPr>
        <w:t>采购人将其员工食堂服务整体发包，</w:t>
      </w:r>
      <w:r>
        <w:rPr>
          <w:rFonts w:hint="eastAsia" w:ascii="黑体" w:hAnsi="黑体" w:eastAsia="黑体"/>
          <w:color w:val="auto"/>
        </w:rPr>
        <w:t>中标人须按照采购人要求保证食堂正常运作，以及完成采购人临时委托的后勤接待服务，保质保量确保膳食供应及时、安全卫生，保证食堂环境整洁干净。</w:t>
      </w:r>
    </w:p>
    <w:p>
      <w:pPr>
        <w:pStyle w:val="30"/>
        <w:tabs>
          <w:tab w:val="left" w:pos="426"/>
        </w:tabs>
        <w:spacing w:before="156" w:beforeLines="50" w:line="360" w:lineRule="auto"/>
        <w:ind w:firstLine="0" w:firstLineChars="0"/>
        <w:rPr>
          <w:rFonts w:ascii="黑体" w:hAnsi="黑体" w:eastAsia="黑体"/>
          <w:b/>
          <w:color w:val="auto"/>
        </w:rPr>
      </w:pPr>
      <w:r>
        <w:rPr>
          <w:rFonts w:ascii="黑体" w:hAnsi="黑体" w:eastAsia="黑体"/>
          <w:b/>
          <w:color w:val="auto"/>
        </w:rPr>
        <w:t>二、服务期限与地点</w:t>
      </w:r>
    </w:p>
    <w:p>
      <w:pPr>
        <w:pStyle w:val="30"/>
        <w:tabs>
          <w:tab w:val="left" w:pos="426"/>
        </w:tabs>
        <w:spacing w:line="360" w:lineRule="auto"/>
        <w:rPr>
          <w:rFonts w:ascii="黑体" w:hAnsi="黑体" w:eastAsia="黑体"/>
          <w:color w:val="auto"/>
        </w:rPr>
      </w:pPr>
      <w:r>
        <w:rPr>
          <w:rFonts w:ascii="黑体" w:hAnsi="黑体" w:eastAsia="黑体"/>
          <w:color w:val="auto"/>
        </w:rPr>
        <w:t>1</w:t>
      </w:r>
      <w:r>
        <w:rPr>
          <w:rFonts w:hint="eastAsia" w:ascii="黑体" w:hAnsi="黑体" w:eastAsia="黑体"/>
          <w:color w:val="auto"/>
        </w:rPr>
        <w:t>、</w:t>
      </w:r>
      <w:r>
        <w:rPr>
          <w:rFonts w:ascii="黑体" w:hAnsi="黑体" w:eastAsia="黑体"/>
          <w:color w:val="auto"/>
        </w:rPr>
        <w:t>服务期限：</w:t>
      </w:r>
      <w:r>
        <w:rPr>
          <w:rFonts w:hint="eastAsia" w:ascii="黑体" w:hAnsi="黑体" w:eastAsia="黑体"/>
          <w:color w:val="auto"/>
        </w:rPr>
        <w:t>（1）</w:t>
      </w:r>
      <w:r>
        <w:rPr>
          <w:rFonts w:ascii="黑体" w:hAnsi="黑体" w:eastAsia="黑体"/>
          <w:color w:val="auto"/>
        </w:rPr>
        <w:t>壹年，自 2023年 1 月 1 日至 2023年 12 月 31 日止，含周六日及法定节假日</w:t>
      </w:r>
      <w:r>
        <w:rPr>
          <w:rFonts w:hint="eastAsia" w:ascii="黑体" w:hAnsi="黑体" w:eastAsia="黑体"/>
          <w:color w:val="auto"/>
        </w:rPr>
        <w:t>（具体以中标人签订合同之日起计算）。</w:t>
      </w:r>
    </w:p>
    <w:p>
      <w:pPr>
        <w:pStyle w:val="30"/>
        <w:tabs>
          <w:tab w:val="left" w:pos="426"/>
        </w:tabs>
        <w:spacing w:line="360" w:lineRule="auto"/>
        <w:rPr>
          <w:rFonts w:ascii="黑体" w:hAnsi="黑体" w:eastAsia="黑体"/>
          <w:color w:val="auto"/>
        </w:rPr>
      </w:pPr>
      <w:r>
        <w:rPr>
          <w:rFonts w:ascii="黑体" w:hAnsi="黑体" w:eastAsia="黑体"/>
          <w:color w:val="auto"/>
        </w:rPr>
        <w:t>2</w:t>
      </w:r>
      <w:r>
        <w:rPr>
          <w:rFonts w:hint="eastAsia" w:ascii="黑体" w:hAnsi="黑体" w:eastAsia="黑体"/>
          <w:color w:val="auto"/>
        </w:rPr>
        <w:t>、</w:t>
      </w:r>
      <w:r>
        <w:rPr>
          <w:rFonts w:ascii="黑体" w:hAnsi="黑体" w:eastAsia="黑体"/>
          <w:color w:val="auto"/>
        </w:rPr>
        <w:t>服务地点：东莞市虎门镇虎林路13号大岭山森林公园单位食堂</w:t>
      </w:r>
      <w:r>
        <w:rPr>
          <w:rFonts w:hint="eastAsia" w:ascii="黑体" w:hAnsi="黑体" w:eastAsia="黑体"/>
          <w:color w:val="auto"/>
        </w:rPr>
        <w:t>或采购人指定地点</w:t>
      </w:r>
      <w:r>
        <w:rPr>
          <w:rFonts w:ascii="黑体" w:hAnsi="黑体" w:eastAsia="黑体"/>
          <w:color w:val="auto"/>
        </w:rPr>
        <w:t>。</w:t>
      </w:r>
    </w:p>
    <w:p>
      <w:pPr>
        <w:pStyle w:val="30"/>
        <w:tabs>
          <w:tab w:val="left" w:pos="426"/>
        </w:tabs>
        <w:spacing w:before="156" w:beforeLines="50" w:line="360" w:lineRule="auto"/>
        <w:ind w:firstLine="0" w:firstLineChars="0"/>
        <w:rPr>
          <w:rFonts w:ascii="黑体" w:hAnsi="黑体" w:eastAsia="黑体"/>
          <w:b/>
          <w:color w:val="auto"/>
        </w:rPr>
      </w:pPr>
      <w:r>
        <w:rPr>
          <w:rFonts w:hint="eastAsia" w:ascii="黑体" w:hAnsi="黑体" w:eastAsia="黑体"/>
          <w:b/>
          <w:color w:val="auto"/>
        </w:rPr>
        <w:t>三、</w:t>
      </w:r>
      <w:r>
        <w:rPr>
          <w:rFonts w:ascii="黑体" w:hAnsi="黑体" w:eastAsia="黑体"/>
          <w:b/>
          <w:color w:val="auto"/>
        </w:rPr>
        <w:t>合同费用组成</w:t>
      </w:r>
    </w:p>
    <w:p>
      <w:pPr>
        <w:pStyle w:val="30"/>
        <w:tabs>
          <w:tab w:val="left" w:pos="426"/>
        </w:tabs>
        <w:spacing w:before="156" w:beforeLines="50" w:line="360" w:lineRule="auto"/>
        <w:rPr>
          <w:rFonts w:ascii="黑体" w:hAnsi="黑体" w:eastAsia="黑体"/>
          <w:color w:val="auto"/>
        </w:rPr>
      </w:pPr>
      <w:r>
        <w:rPr>
          <w:rFonts w:ascii="黑体" w:hAnsi="黑体" w:eastAsia="黑体"/>
          <w:color w:val="auto"/>
        </w:rPr>
        <w:t>项目总费用约87.20万元，其中</w:t>
      </w:r>
      <w:r>
        <w:rPr>
          <w:rFonts w:hint="eastAsia" w:ascii="黑体" w:hAnsi="黑体" w:eastAsia="黑体"/>
          <w:color w:val="auto"/>
        </w:rPr>
        <w:t>服务人员工资费用</w:t>
      </w:r>
      <w:r>
        <w:rPr>
          <w:rFonts w:ascii="黑体" w:hAnsi="黑体" w:eastAsia="黑体"/>
          <w:color w:val="auto"/>
        </w:rPr>
        <w:t>为41.60万元（最高限价：按东莞市临聘人员最低工资标准5.20万元/年和8个人计算），</w:t>
      </w:r>
      <w:r>
        <w:rPr>
          <w:rFonts w:hint="eastAsia" w:ascii="黑体" w:hAnsi="黑体" w:eastAsia="黑体"/>
          <w:color w:val="auto"/>
        </w:rPr>
        <w:t>服务</w:t>
      </w:r>
      <w:r>
        <w:rPr>
          <w:rFonts w:ascii="黑体" w:hAnsi="黑体" w:eastAsia="黑体"/>
          <w:color w:val="auto"/>
        </w:rPr>
        <w:t>人员须保障</w:t>
      </w:r>
      <w:r>
        <w:rPr>
          <w:rFonts w:hint="eastAsia" w:ascii="黑体" w:hAnsi="黑体" w:eastAsia="黑体"/>
          <w:color w:val="auto"/>
        </w:rPr>
        <w:t>采购人</w:t>
      </w:r>
      <w:r>
        <w:rPr>
          <w:rFonts w:ascii="黑体" w:hAnsi="黑体" w:eastAsia="黑体"/>
          <w:color w:val="auto"/>
        </w:rPr>
        <w:t>单位饭堂正常运转；另外，膳食配送为45.60万元（根据今年</w:t>
      </w:r>
      <w:r>
        <w:rPr>
          <w:rFonts w:hint="eastAsia" w:ascii="黑体" w:hAnsi="黑体" w:eastAsia="黑体"/>
          <w:color w:val="auto"/>
        </w:rPr>
        <w:t>采购人</w:t>
      </w:r>
      <w:r>
        <w:rPr>
          <w:rFonts w:ascii="黑体" w:hAnsi="黑体" w:eastAsia="黑体"/>
          <w:color w:val="auto"/>
        </w:rPr>
        <w:t>1-10月份膳食配送平均费用计算所得）</w:t>
      </w:r>
      <w:r>
        <w:rPr>
          <w:rFonts w:hint="eastAsia" w:ascii="黑体" w:hAnsi="黑体" w:eastAsia="黑体"/>
          <w:color w:val="auto"/>
        </w:rPr>
        <w:t>；</w:t>
      </w:r>
    </w:p>
    <w:p>
      <w:pPr>
        <w:pStyle w:val="30"/>
        <w:tabs>
          <w:tab w:val="left" w:pos="426"/>
        </w:tabs>
        <w:spacing w:before="156" w:beforeLines="50" w:line="360" w:lineRule="auto"/>
        <w:ind w:firstLine="0" w:firstLineChars="0"/>
        <w:rPr>
          <w:rFonts w:ascii="黑体" w:hAnsi="黑体" w:eastAsia="黑体"/>
          <w:color w:val="auto"/>
        </w:rPr>
      </w:pPr>
      <w:r>
        <w:rPr>
          <w:rFonts w:hint="eastAsia" w:ascii="黑体" w:hAnsi="黑体" w:eastAsia="黑体"/>
          <w:b/>
          <w:color w:val="auto"/>
        </w:rPr>
        <w:t>四、</w:t>
      </w:r>
      <w:r>
        <w:rPr>
          <w:rFonts w:ascii="黑体" w:hAnsi="黑体" w:eastAsia="黑体"/>
          <w:b/>
          <w:color w:val="auto"/>
        </w:rPr>
        <w:t>结算、支付方式</w:t>
      </w:r>
    </w:p>
    <w:p>
      <w:pPr>
        <w:pStyle w:val="30"/>
        <w:tabs>
          <w:tab w:val="left" w:pos="426"/>
        </w:tabs>
        <w:spacing w:line="360" w:lineRule="auto"/>
        <w:rPr>
          <w:rFonts w:ascii="黑体" w:hAnsi="黑体" w:eastAsia="黑体"/>
          <w:color w:val="auto"/>
        </w:rPr>
      </w:pPr>
      <w:r>
        <w:rPr>
          <w:rFonts w:ascii="黑体" w:hAnsi="黑体" w:eastAsia="黑体"/>
          <w:color w:val="auto"/>
        </w:rPr>
        <w:t>（一）</w:t>
      </w:r>
      <w:r>
        <w:rPr>
          <w:rFonts w:hint="eastAsia" w:ascii="黑体" w:hAnsi="黑体" w:eastAsia="黑体"/>
          <w:color w:val="auto"/>
        </w:rPr>
        <w:t>服务人员工资</w:t>
      </w:r>
      <w:r>
        <w:rPr>
          <w:rFonts w:ascii="黑体" w:hAnsi="黑体" w:eastAsia="黑体"/>
          <w:color w:val="auto"/>
        </w:rPr>
        <w:t>部分</w:t>
      </w:r>
    </w:p>
    <w:p>
      <w:pPr>
        <w:pStyle w:val="30"/>
        <w:tabs>
          <w:tab w:val="left" w:pos="426"/>
        </w:tabs>
        <w:spacing w:line="360" w:lineRule="auto"/>
        <w:rPr>
          <w:rFonts w:ascii="黑体" w:hAnsi="黑体" w:eastAsia="黑体"/>
          <w:color w:val="auto"/>
        </w:rPr>
      </w:pPr>
      <w:r>
        <w:rPr>
          <w:rFonts w:ascii="黑体" w:hAnsi="黑体" w:eastAsia="黑体"/>
          <w:color w:val="auto"/>
        </w:rPr>
        <w:t>1</w:t>
      </w:r>
      <w:r>
        <w:rPr>
          <w:rFonts w:hint="eastAsia" w:ascii="黑体" w:hAnsi="黑体" w:eastAsia="黑体"/>
          <w:color w:val="auto"/>
        </w:rPr>
        <w:t>、</w:t>
      </w:r>
      <w:r>
        <w:rPr>
          <w:rFonts w:ascii="黑体" w:hAnsi="黑体" w:eastAsia="黑体"/>
          <w:color w:val="auto"/>
        </w:rPr>
        <w:t>结算方式：月结，每月10号为结算日；</w:t>
      </w:r>
      <w:r>
        <w:rPr>
          <w:rFonts w:hint="eastAsia" w:ascii="黑体" w:hAnsi="黑体" w:eastAsia="黑体"/>
          <w:color w:val="auto"/>
        </w:rPr>
        <w:t>中标人</w:t>
      </w:r>
      <w:r>
        <w:rPr>
          <w:rFonts w:ascii="黑体" w:hAnsi="黑体" w:eastAsia="黑体"/>
          <w:color w:val="auto"/>
        </w:rPr>
        <w:t>须按照采购人要求</w:t>
      </w:r>
      <w:r>
        <w:rPr>
          <w:rFonts w:hint="eastAsia" w:ascii="黑体" w:hAnsi="黑体" w:eastAsia="黑体"/>
          <w:color w:val="auto"/>
        </w:rPr>
        <w:t>安排相应的服务人员</w:t>
      </w:r>
      <w:r>
        <w:rPr>
          <w:rFonts w:ascii="黑体" w:hAnsi="黑体" w:eastAsia="黑体"/>
          <w:color w:val="auto"/>
        </w:rPr>
        <w:t>，采购人向</w:t>
      </w:r>
      <w:r>
        <w:rPr>
          <w:rFonts w:hint="eastAsia" w:ascii="黑体" w:hAnsi="黑体" w:eastAsia="黑体"/>
          <w:color w:val="auto"/>
        </w:rPr>
        <w:t>中标人</w:t>
      </w:r>
      <w:r>
        <w:rPr>
          <w:rFonts w:ascii="黑体" w:hAnsi="黑体" w:eastAsia="黑体"/>
          <w:color w:val="auto"/>
        </w:rPr>
        <w:t>支付相应</w:t>
      </w:r>
      <w:r>
        <w:rPr>
          <w:rFonts w:hint="eastAsia" w:ascii="黑体" w:hAnsi="黑体" w:eastAsia="黑体"/>
          <w:color w:val="auto"/>
        </w:rPr>
        <w:t>人员工资费用</w:t>
      </w:r>
      <w:r>
        <w:rPr>
          <w:rFonts w:ascii="黑体" w:hAnsi="黑体" w:eastAsia="黑体"/>
          <w:color w:val="auto"/>
        </w:rPr>
        <w:t>；双方就服务</w:t>
      </w:r>
      <w:r>
        <w:rPr>
          <w:rFonts w:hint="eastAsia" w:ascii="黑体" w:hAnsi="黑体" w:eastAsia="黑体"/>
          <w:color w:val="auto"/>
        </w:rPr>
        <w:t>人员数量进行确认</w:t>
      </w:r>
      <w:r>
        <w:rPr>
          <w:rFonts w:ascii="黑体" w:hAnsi="黑体" w:eastAsia="黑体"/>
          <w:color w:val="auto"/>
        </w:rPr>
        <w:t>，确认一致后双方签名盖章确定；</w:t>
      </w:r>
      <w:r>
        <w:rPr>
          <w:rFonts w:hint="eastAsia" w:ascii="黑体" w:hAnsi="黑体" w:eastAsia="黑体"/>
          <w:color w:val="auto"/>
        </w:rPr>
        <w:t>确认无误后，由中标人</w:t>
      </w:r>
      <w:r>
        <w:rPr>
          <w:rFonts w:ascii="黑体" w:hAnsi="黑体" w:eastAsia="黑体"/>
          <w:color w:val="auto"/>
        </w:rPr>
        <w:t>提供相应</w:t>
      </w:r>
      <w:r>
        <w:rPr>
          <w:rFonts w:hint="eastAsia" w:ascii="黑体" w:hAnsi="黑体" w:eastAsia="黑体"/>
          <w:color w:val="auto"/>
        </w:rPr>
        <w:t>人员工资费用</w:t>
      </w:r>
      <w:r>
        <w:rPr>
          <w:rFonts w:ascii="黑体" w:hAnsi="黑体" w:eastAsia="黑体"/>
          <w:color w:val="auto"/>
        </w:rPr>
        <w:t>发票给采购人，采购人向</w:t>
      </w:r>
      <w:r>
        <w:rPr>
          <w:rFonts w:hint="eastAsia" w:ascii="黑体" w:hAnsi="黑体" w:eastAsia="黑体"/>
          <w:color w:val="auto"/>
        </w:rPr>
        <w:t>中标人</w:t>
      </w:r>
      <w:r>
        <w:rPr>
          <w:rFonts w:ascii="黑体" w:hAnsi="黑体" w:eastAsia="黑体"/>
          <w:color w:val="auto"/>
        </w:rPr>
        <w:t>支付上月的</w:t>
      </w:r>
      <w:r>
        <w:rPr>
          <w:rFonts w:hint="eastAsia" w:ascii="黑体" w:hAnsi="黑体" w:eastAsia="黑体"/>
          <w:color w:val="auto"/>
        </w:rPr>
        <w:t>服务人员工资费用</w:t>
      </w:r>
      <w:r>
        <w:rPr>
          <w:rFonts w:ascii="黑体" w:hAnsi="黑体" w:eastAsia="黑体"/>
          <w:color w:val="auto"/>
        </w:rPr>
        <w:t>；如遇法定节假日，结算日可顺延至假期结束后的第一个工作日。</w:t>
      </w:r>
    </w:p>
    <w:p>
      <w:pPr>
        <w:pStyle w:val="30"/>
        <w:tabs>
          <w:tab w:val="left" w:pos="426"/>
        </w:tabs>
        <w:spacing w:line="360" w:lineRule="auto"/>
        <w:rPr>
          <w:rFonts w:ascii="黑体" w:hAnsi="黑体" w:eastAsia="黑体"/>
          <w:color w:val="auto"/>
        </w:rPr>
      </w:pPr>
      <w:r>
        <w:rPr>
          <w:rFonts w:ascii="黑体" w:hAnsi="黑体" w:eastAsia="黑体"/>
          <w:color w:val="auto"/>
        </w:rPr>
        <w:t>（二）膳食配送供应服务部分</w:t>
      </w:r>
    </w:p>
    <w:p>
      <w:pPr>
        <w:pStyle w:val="30"/>
        <w:tabs>
          <w:tab w:val="left" w:pos="426"/>
        </w:tabs>
        <w:spacing w:line="360" w:lineRule="auto"/>
        <w:ind w:firstLine="422"/>
        <w:rPr>
          <w:rFonts w:ascii="黑体" w:hAnsi="黑体" w:eastAsia="黑体"/>
          <w:b/>
          <w:bCs/>
          <w:color w:val="auto"/>
        </w:rPr>
      </w:pPr>
      <w:r>
        <w:rPr>
          <w:rFonts w:ascii="黑体" w:hAnsi="黑体" w:eastAsia="黑体"/>
          <w:b/>
          <w:bCs/>
          <w:color w:val="auto"/>
        </w:rPr>
        <w:t>★1</w:t>
      </w:r>
      <w:r>
        <w:rPr>
          <w:rFonts w:hint="eastAsia" w:ascii="黑体" w:hAnsi="黑体" w:eastAsia="黑体"/>
          <w:b/>
          <w:bCs/>
          <w:color w:val="auto"/>
        </w:rPr>
        <w:t>、</w:t>
      </w:r>
      <w:r>
        <w:rPr>
          <w:rFonts w:ascii="黑体" w:hAnsi="黑体" w:eastAsia="黑体"/>
          <w:b/>
          <w:bCs/>
          <w:color w:val="auto"/>
        </w:rPr>
        <w:t>根据东莞市政府采购政策规定，采购人每年必须向对口扶贫地区采购农产品￥5,000元用于食堂膳食，采购人已支付的农产品采购款在</w:t>
      </w:r>
      <w:r>
        <w:rPr>
          <w:rFonts w:hint="eastAsia" w:ascii="黑体" w:hAnsi="黑体" w:eastAsia="黑体"/>
          <w:b/>
          <w:bCs/>
          <w:color w:val="auto"/>
        </w:rPr>
        <w:t>中标人</w:t>
      </w:r>
      <w:r>
        <w:rPr>
          <w:rFonts w:ascii="黑体" w:hAnsi="黑体" w:eastAsia="黑体"/>
          <w:b/>
          <w:bCs/>
          <w:color w:val="auto"/>
        </w:rPr>
        <w:t>结算款中扣减，若该政策规定发生变化的情况除外</w:t>
      </w:r>
      <w:r>
        <w:rPr>
          <w:rFonts w:hint="eastAsia" w:ascii="黑体" w:hAnsi="黑体" w:eastAsia="黑体"/>
          <w:b/>
          <w:bCs/>
          <w:color w:val="auto"/>
        </w:rPr>
        <w:t>，中标人须配合采购人要求，落实我市关于采购贫困地区农副产品的相关政策要求</w:t>
      </w:r>
      <w:r>
        <w:rPr>
          <w:rFonts w:ascii="黑体" w:hAnsi="黑体" w:eastAsia="黑体"/>
          <w:b/>
          <w:bCs/>
          <w:color w:val="auto"/>
        </w:rPr>
        <w:t>。</w:t>
      </w:r>
      <w:r>
        <w:rPr>
          <w:rFonts w:hint="eastAsia" w:ascii="黑体" w:hAnsi="黑体" w:eastAsia="黑体"/>
          <w:b/>
          <w:bCs/>
          <w:color w:val="auto"/>
        </w:rPr>
        <w:t>（注：投标人须提供承诺函，格式自拟）；</w:t>
      </w:r>
    </w:p>
    <w:p>
      <w:pPr>
        <w:pStyle w:val="30"/>
        <w:tabs>
          <w:tab w:val="left" w:pos="426"/>
        </w:tabs>
        <w:spacing w:line="360" w:lineRule="auto"/>
        <w:rPr>
          <w:rFonts w:ascii="黑体" w:hAnsi="黑体" w:eastAsia="黑体"/>
          <w:color w:val="auto"/>
        </w:rPr>
      </w:pPr>
      <w:r>
        <w:rPr>
          <w:rFonts w:ascii="黑体" w:hAnsi="黑体" w:eastAsia="黑体"/>
          <w:color w:val="auto"/>
        </w:rPr>
        <w:t>2</w:t>
      </w:r>
      <w:r>
        <w:rPr>
          <w:rFonts w:hint="eastAsia" w:ascii="黑体" w:hAnsi="黑体" w:eastAsia="黑体"/>
          <w:color w:val="auto"/>
        </w:rPr>
        <w:t>、</w:t>
      </w:r>
      <w:r>
        <w:rPr>
          <w:rFonts w:ascii="黑体" w:hAnsi="黑体" w:eastAsia="黑体"/>
          <w:color w:val="auto"/>
        </w:rPr>
        <w:t>结算方式：月结，每月10号为结算日；每月5号前双方就上月的</w:t>
      </w:r>
      <w:r>
        <w:rPr>
          <w:rFonts w:hint="eastAsia" w:ascii="黑体" w:hAnsi="黑体" w:eastAsia="黑体"/>
          <w:color w:val="auto"/>
        </w:rPr>
        <w:t>就餐人数或配餐清单</w:t>
      </w:r>
      <w:r>
        <w:rPr>
          <w:rFonts w:ascii="黑体" w:hAnsi="黑体" w:eastAsia="黑体"/>
          <w:color w:val="auto"/>
        </w:rPr>
        <w:t>进行</w:t>
      </w:r>
      <w:r>
        <w:rPr>
          <w:rFonts w:hint="eastAsia" w:ascii="黑体" w:hAnsi="黑体" w:eastAsia="黑体"/>
          <w:color w:val="auto"/>
        </w:rPr>
        <w:t>据实结算</w:t>
      </w:r>
      <w:r>
        <w:rPr>
          <w:rFonts w:ascii="黑体" w:hAnsi="黑体" w:eastAsia="黑体"/>
          <w:color w:val="auto"/>
        </w:rPr>
        <w:t>，确认一致后双方签名盖章确定；</w:t>
      </w:r>
      <w:r>
        <w:rPr>
          <w:rFonts w:hint="eastAsia" w:ascii="黑体" w:hAnsi="黑体" w:eastAsia="黑体"/>
          <w:color w:val="auto"/>
        </w:rPr>
        <w:t>确认无误后，由中标人分别</w:t>
      </w:r>
      <w:r>
        <w:rPr>
          <w:rFonts w:ascii="黑体" w:hAnsi="黑体" w:eastAsia="黑体"/>
          <w:color w:val="auto"/>
        </w:rPr>
        <w:t>提供相应膳食配送</w:t>
      </w:r>
      <w:r>
        <w:rPr>
          <w:rFonts w:hint="eastAsia" w:ascii="黑体" w:hAnsi="黑体" w:eastAsia="黑体"/>
          <w:color w:val="auto"/>
        </w:rPr>
        <w:t>费和劳务派遣</w:t>
      </w:r>
      <w:r>
        <w:rPr>
          <w:rFonts w:ascii="黑体" w:hAnsi="黑体" w:eastAsia="黑体"/>
          <w:color w:val="auto"/>
        </w:rPr>
        <w:t>发票给采购人；采购人应向</w:t>
      </w:r>
      <w:r>
        <w:rPr>
          <w:rFonts w:hint="eastAsia" w:ascii="黑体" w:hAnsi="黑体" w:eastAsia="黑体"/>
          <w:color w:val="auto"/>
        </w:rPr>
        <w:t>中标人</w:t>
      </w:r>
      <w:r>
        <w:rPr>
          <w:rFonts w:ascii="黑体" w:hAnsi="黑体" w:eastAsia="黑体"/>
          <w:color w:val="auto"/>
        </w:rPr>
        <w:t>支付上月的膳食配送供应服务费用；如遇法定节假日，结算日可顺延至假期结束后的第一个工作日</w:t>
      </w:r>
      <w:r>
        <w:rPr>
          <w:rFonts w:hint="eastAsia" w:ascii="黑体" w:hAnsi="黑体" w:eastAsia="黑体"/>
          <w:color w:val="auto"/>
        </w:rPr>
        <w:t>。结算形式：当月就餐总人数×（早餐+午餐+晚餐）</w:t>
      </w:r>
    </w:p>
    <w:p>
      <w:pPr>
        <w:pStyle w:val="30"/>
        <w:tabs>
          <w:tab w:val="left" w:pos="426"/>
        </w:tabs>
        <w:spacing w:line="360" w:lineRule="auto"/>
        <w:rPr>
          <w:rFonts w:ascii="黑体" w:hAnsi="黑体" w:eastAsia="黑体"/>
          <w:color w:val="auto"/>
        </w:rPr>
      </w:pPr>
      <w:r>
        <w:rPr>
          <w:rFonts w:ascii="黑体" w:hAnsi="黑体" w:eastAsia="黑体"/>
          <w:color w:val="auto"/>
        </w:rPr>
        <w:t>（三）临时委托的后勤接待服务部分</w:t>
      </w:r>
    </w:p>
    <w:p>
      <w:pPr>
        <w:pStyle w:val="30"/>
        <w:tabs>
          <w:tab w:val="left" w:pos="426"/>
        </w:tabs>
        <w:spacing w:line="360" w:lineRule="auto"/>
        <w:rPr>
          <w:rFonts w:ascii="黑体" w:hAnsi="黑体" w:eastAsia="黑体"/>
          <w:color w:val="auto"/>
        </w:rPr>
      </w:pPr>
      <w:r>
        <w:rPr>
          <w:rFonts w:ascii="黑体" w:hAnsi="黑体" w:eastAsia="黑体"/>
          <w:color w:val="auto"/>
        </w:rPr>
        <w:t>采购人如需</w:t>
      </w:r>
      <w:r>
        <w:rPr>
          <w:rFonts w:hint="eastAsia" w:ascii="黑体" w:hAnsi="黑体" w:eastAsia="黑体"/>
          <w:color w:val="auto"/>
        </w:rPr>
        <w:t>中标人</w:t>
      </w:r>
      <w:r>
        <w:rPr>
          <w:rFonts w:ascii="黑体" w:hAnsi="黑体" w:eastAsia="黑体"/>
          <w:color w:val="auto"/>
        </w:rPr>
        <w:t>提供公务接待餐，费用由双方另行协商，接待餐餐费包含所有食材及</w:t>
      </w:r>
      <w:r>
        <w:rPr>
          <w:rFonts w:hint="eastAsia" w:ascii="黑体" w:hAnsi="黑体" w:eastAsia="黑体"/>
          <w:color w:val="auto"/>
        </w:rPr>
        <w:t>中标人</w:t>
      </w:r>
      <w:r>
        <w:rPr>
          <w:rFonts w:ascii="黑体" w:hAnsi="黑体" w:eastAsia="黑体"/>
          <w:color w:val="auto"/>
        </w:rPr>
        <w:t>员工接待加班费，经两份对账后签字确认，汇总结算。</w:t>
      </w:r>
    </w:p>
    <w:p>
      <w:pPr>
        <w:pStyle w:val="30"/>
        <w:tabs>
          <w:tab w:val="left" w:pos="426"/>
        </w:tabs>
        <w:spacing w:line="360" w:lineRule="auto"/>
        <w:ind w:firstLine="0" w:firstLineChars="0"/>
        <w:rPr>
          <w:rFonts w:ascii="黑体" w:hAnsi="黑体" w:eastAsia="黑体"/>
          <w:color w:val="auto"/>
        </w:rPr>
      </w:pPr>
      <w:r>
        <w:rPr>
          <w:rFonts w:ascii="黑体" w:hAnsi="黑体" w:eastAsia="黑体"/>
          <w:b/>
          <w:color w:val="auto"/>
        </w:rPr>
        <w:t>五、</w:t>
      </w:r>
      <w:r>
        <w:rPr>
          <w:rFonts w:hint="eastAsia" w:ascii="黑体" w:hAnsi="黑体" w:eastAsia="黑体"/>
          <w:b/>
          <w:color w:val="auto"/>
        </w:rPr>
        <w:t>承包方式及</w:t>
      </w:r>
      <w:r>
        <w:rPr>
          <w:rFonts w:ascii="黑体" w:hAnsi="黑体" w:eastAsia="黑体"/>
          <w:b/>
          <w:color w:val="auto"/>
        </w:rPr>
        <w:t>运作方式</w:t>
      </w:r>
    </w:p>
    <w:p>
      <w:pPr>
        <w:pStyle w:val="30"/>
        <w:tabs>
          <w:tab w:val="left" w:pos="426"/>
        </w:tabs>
        <w:spacing w:line="360" w:lineRule="auto"/>
        <w:rPr>
          <w:rFonts w:ascii="黑体" w:hAnsi="黑体" w:eastAsia="黑体"/>
          <w:color w:val="auto"/>
        </w:rPr>
      </w:pPr>
      <w:r>
        <w:rPr>
          <w:rFonts w:hint="eastAsia" w:ascii="黑体" w:hAnsi="黑体" w:eastAsia="黑体"/>
          <w:color w:val="auto"/>
        </w:rPr>
        <w:t>（一）承包方式</w:t>
      </w:r>
    </w:p>
    <w:p>
      <w:pPr>
        <w:pStyle w:val="30"/>
        <w:tabs>
          <w:tab w:val="left" w:pos="426"/>
        </w:tabs>
        <w:spacing w:line="360" w:lineRule="auto"/>
        <w:rPr>
          <w:rFonts w:ascii="黑体" w:hAnsi="黑体" w:eastAsia="黑体"/>
          <w:color w:val="auto"/>
        </w:rPr>
      </w:pPr>
      <w:r>
        <w:rPr>
          <w:rFonts w:ascii="黑体" w:hAnsi="黑体" w:eastAsia="黑体"/>
          <w:color w:val="auto"/>
        </w:rPr>
        <w:t>1、承包方式：包工包料，中标人负责采购一切食物原料、配料，负责承包食堂内务，按时完成采购人早、中、晚三餐的开膳工作。中标人自主经营、自负盈亏、独立核算</w:t>
      </w:r>
      <w:r>
        <w:rPr>
          <w:rFonts w:hint="eastAsia" w:ascii="黑体" w:hAnsi="黑体" w:eastAsia="黑体"/>
          <w:color w:val="auto"/>
        </w:rPr>
        <w:t>；</w:t>
      </w:r>
      <w:r>
        <w:rPr>
          <w:rFonts w:ascii="黑体" w:hAnsi="黑体" w:eastAsia="黑体"/>
          <w:color w:val="auto"/>
        </w:rPr>
        <w:t xml:space="preserve"> </w:t>
      </w:r>
    </w:p>
    <w:p>
      <w:pPr>
        <w:pStyle w:val="30"/>
        <w:tabs>
          <w:tab w:val="left" w:pos="426"/>
        </w:tabs>
        <w:spacing w:line="360" w:lineRule="auto"/>
        <w:rPr>
          <w:rFonts w:ascii="黑体" w:hAnsi="黑体" w:eastAsia="黑体"/>
          <w:color w:val="auto"/>
        </w:rPr>
      </w:pPr>
      <w:r>
        <w:rPr>
          <w:rFonts w:ascii="黑体" w:hAnsi="黑体" w:eastAsia="黑体"/>
          <w:color w:val="auto"/>
        </w:rPr>
        <w:t>2、中标人必须应依法经营，开展经营服务活动应符合《中华人民共和国食品安全法》、《中华人民共和国安全生产法》、国家食品药品监督管理局《餐饮服务食品安全操作规范》等法律、法规以及采购人的相关管理规定和要求。保障采购人就餐人员的合法权益，确保饮食卫生，提供的饮食服务</w:t>
      </w:r>
      <w:r>
        <w:rPr>
          <w:rFonts w:hint="eastAsia" w:ascii="黑体" w:hAnsi="黑体" w:eastAsia="黑体"/>
          <w:color w:val="auto"/>
        </w:rPr>
        <w:t>；</w:t>
      </w:r>
    </w:p>
    <w:p>
      <w:pPr>
        <w:pStyle w:val="30"/>
        <w:tabs>
          <w:tab w:val="left" w:pos="426"/>
        </w:tabs>
        <w:spacing w:line="360" w:lineRule="auto"/>
        <w:ind w:firstLine="422"/>
        <w:rPr>
          <w:rFonts w:ascii="黑体" w:hAnsi="黑体" w:eastAsia="黑体"/>
          <w:b/>
          <w:bCs/>
          <w:color w:val="auto"/>
        </w:rPr>
      </w:pPr>
      <w:r>
        <w:rPr>
          <w:rFonts w:hint="eastAsia" w:ascii="黑体" w:hAnsi="黑体" w:eastAsia="黑体"/>
          <w:b/>
          <w:bCs/>
          <w:color w:val="auto"/>
        </w:rPr>
        <w:t>★</w:t>
      </w:r>
      <w:r>
        <w:rPr>
          <w:rFonts w:ascii="黑体" w:hAnsi="黑体" w:eastAsia="黑体"/>
          <w:b/>
          <w:bCs/>
          <w:color w:val="auto"/>
        </w:rPr>
        <w:t>3、中标人应配</w:t>
      </w:r>
      <w:r>
        <w:rPr>
          <w:rFonts w:hint="eastAsia" w:ascii="黑体" w:hAnsi="黑体" w:eastAsia="黑体"/>
          <w:b/>
          <w:bCs/>
          <w:color w:val="auto"/>
        </w:rPr>
        <w:t>备不少于</w:t>
      </w:r>
      <w:r>
        <w:rPr>
          <w:rFonts w:ascii="黑体" w:hAnsi="黑体" w:eastAsia="黑体"/>
          <w:b/>
          <w:bCs/>
          <w:color w:val="auto"/>
        </w:rPr>
        <w:t>8人对本项目投入服务</w:t>
      </w:r>
      <w:r>
        <w:rPr>
          <w:rFonts w:hint="eastAsia" w:ascii="黑体" w:hAnsi="黑体" w:eastAsia="黑体"/>
          <w:b/>
          <w:bCs/>
          <w:color w:val="auto"/>
        </w:rPr>
        <w:t>，应包含厨师、副厨、厨工、洗碗洗菜工、餐服人员、管理人员等；</w:t>
      </w:r>
      <w:r>
        <w:rPr>
          <w:rFonts w:ascii="黑体" w:hAnsi="黑体" w:eastAsia="黑体"/>
          <w:b/>
          <w:bCs/>
          <w:color w:val="auto"/>
        </w:rPr>
        <w:t xml:space="preserve"> </w:t>
      </w:r>
    </w:p>
    <w:p>
      <w:pPr>
        <w:pStyle w:val="30"/>
        <w:tabs>
          <w:tab w:val="left" w:pos="426"/>
        </w:tabs>
        <w:spacing w:line="360" w:lineRule="auto"/>
        <w:rPr>
          <w:rFonts w:ascii="黑体" w:hAnsi="黑体" w:eastAsia="黑体"/>
          <w:color w:val="auto"/>
        </w:rPr>
      </w:pPr>
      <w:r>
        <w:rPr>
          <w:rFonts w:hint="eastAsia" w:ascii="黑体" w:hAnsi="黑体" w:eastAsia="黑体"/>
          <w:color w:val="auto"/>
        </w:rPr>
        <w:t>4</w:t>
      </w:r>
      <w:r>
        <w:rPr>
          <w:rFonts w:ascii="黑体" w:hAnsi="黑体" w:eastAsia="黑体"/>
          <w:color w:val="auto"/>
        </w:rPr>
        <w:t>、食堂的经费开支由中标人负责，会计、出纳、仓库保管、采购必须履行职责，如实记账，不得提供虚假资料，采购人有权监督</w:t>
      </w:r>
      <w:r>
        <w:rPr>
          <w:rFonts w:hint="eastAsia" w:ascii="黑体" w:hAnsi="黑体" w:eastAsia="黑体"/>
          <w:color w:val="auto"/>
        </w:rPr>
        <w:t>；</w:t>
      </w:r>
      <w:r>
        <w:rPr>
          <w:rFonts w:ascii="黑体" w:hAnsi="黑体" w:eastAsia="黑体"/>
          <w:color w:val="auto"/>
        </w:rPr>
        <w:t xml:space="preserve"> </w:t>
      </w:r>
    </w:p>
    <w:p>
      <w:pPr>
        <w:pStyle w:val="30"/>
        <w:tabs>
          <w:tab w:val="left" w:pos="426"/>
        </w:tabs>
        <w:spacing w:line="360" w:lineRule="auto"/>
        <w:rPr>
          <w:rFonts w:ascii="黑体" w:hAnsi="黑体" w:eastAsia="黑体"/>
          <w:color w:val="auto"/>
        </w:rPr>
      </w:pPr>
      <w:r>
        <w:rPr>
          <w:rFonts w:ascii="黑体" w:hAnsi="黑体" w:eastAsia="黑体"/>
          <w:color w:val="auto"/>
        </w:rPr>
        <w:t>6、中标人需专人负责食堂的日常工作用餐，提前一周与采购人确认用餐菜品</w:t>
      </w:r>
      <w:r>
        <w:rPr>
          <w:rFonts w:hint="eastAsia" w:ascii="黑体" w:hAnsi="黑体" w:eastAsia="黑体"/>
          <w:color w:val="auto"/>
        </w:rPr>
        <w:t>；</w:t>
      </w:r>
      <w:r>
        <w:rPr>
          <w:rFonts w:ascii="黑体" w:hAnsi="黑体" w:eastAsia="黑体"/>
          <w:color w:val="auto"/>
        </w:rPr>
        <w:t xml:space="preserve"> </w:t>
      </w:r>
    </w:p>
    <w:p>
      <w:pPr>
        <w:pStyle w:val="30"/>
        <w:tabs>
          <w:tab w:val="left" w:pos="426"/>
        </w:tabs>
        <w:spacing w:line="360" w:lineRule="auto"/>
        <w:rPr>
          <w:rFonts w:ascii="黑体" w:hAnsi="黑体" w:eastAsia="黑体"/>
          <w:color w:val="auto"/>
        </w:rPr>
      </w:pPr>
      <w:r>
        <w:rPr>
          <w:rFonts w:ascii="黑体" w:hAnsi="黑体" w:eastAsia="黑体"/>
          <w:color w:val="auto"/>
        </w:rPr>
        <w:t xml:space="preserve">7、中标人必须全部响应、满足招标要求，完成对采购人的饮食服务。 </w:t>
      </w:r>
    </w:p>
    <w:p>
      <w:pPr>
        <w:pStyle w:val="30"/>
        <w:tabs>
          <w:tab w:val="left" w:pos="426"/>
        </w:tabs>
        <w:spacing w:line="360" w:lineRule="auto"/>
        <w:rPr>
          <w:rFonts w:ascii="黑体" w:hAnsi="黑体" w:eastAsia="黑体"/>
          <w:color w:val="auto"/>
        </w:rPr>
      </w:pPr>
      <w:r>
        <w:rPr>
          <w:rFonts w:hint="eastAsia" w:ascii="黑体" w:hAnsi="黑体" w:eastAsia="黑体"/>
          <w:color w:val="auto"/>
        </w:rPr>
        <w:t>（二）运作方式</w:t>
      </w:r>
    </w:p>
    <w:p>
      <w:pPr>
        <w:pStyle w:val="30"/>
        <w:tabs>
          <w:tab w:val="left" w:pos="426"/>
        </w:tabs>
        <w:spacing w:line="360" w:lineRule="auto"/>
        <w:rPr>
          <w:rFonts w:ascii="黑体" w:hAnsi="黑体" w:eastAsia="黑体"/>
          <w:color w:val="auto"/>
        </w:rPr>
      </w:pPr>
      <w:r>
        <w:rPr>
          <w:rFonts w:ascii="黑体" w:hAnsi="黑体" w:eastAsia="黑体"/>
          <w:color w:val="auto"/>
        </w:rPr>
        <w:t>1</w:t>
      </w:r>
      <w:r>
        <w:rPr>
          <w:rFonts w:hint="eastAsia" w:ascii="黑体" w:hAnsi="黑体" w:eastAsia="黑体"/>
          <w:color w:val="auto"/>
        </w:rPr>
        <w:t>、</w:t>
      </w:r>
      <w:r>
        <w:rPr>
          <w:rFonts w:ascii="黑体" w:hAnsi="黑体" w:eastAsia="黑体"/>
          <w:color w:val="auto"/>
        </w:rPr>
        <w:t>运作模式：</w:t>
      </w:r>
      <w:r>
        <w:rPr>
          <w:rFonts w:hint="eastAsia" w:ascii="黑体" w:hAnsi="黑体" w:eastAsia="黑体"/>
          <w:color w:val="auto"/>
        </w:rPr>
        <w:t>中标人</w:t>
      </w:r>
      <w:r>
        <w:rPr>
          <w:rFonts w:ascii="黑体" w:hAnsi="黑体" w:eastAsia="黑体"/>
          <w:color w:val="auto"/>
        </w:rPr>
        <w:t>须安排</w:t>
      </w:r>
      <w:r>
        <w:rPr>
          <w:rFonts w:hint="eastAsia" w:ascii="黑体" w:hAnsi="黑体" w:eastAsia="黑体"/>
          <w:color w:val="auto"/>
        </w:rPr>
        <w:t>服务</w:t>
      </w:r>
      <w:r>
        <w:rPr>
          <w:rFonts w:ascii="黑体" w:hAnsi="黑体" w:eastAsia="黑体"/>
          <w:color w:val="auto"/>
        </w:rPr>
        <w:t>人员、车辆等，负责做好食堂日常运作及食材、调料的采购和加工</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2</w:t>
      </w:r>
      <w:r>
        <w:rPr>
          <w:rFonts w:hint="eastAsia" w:ascii="黑体" w:hAnsi="黑体" w:eastAsia="黑体"/>
          <w:color w:val="auto"/>
        </w:rPr>
        <w:t>、</w:t>
      </w:r>
      <w:r>
        <w:rPr>
          <w:rFonts w:ascii="黑体" w:hAnsi="黑体" w:eastAsia="黑体"/>
          <w:color w:val="auto"/>
        </w:rPr>
        <w:t>运作场地：采购人提供食堂、厨房等场地</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3</w:t>
      </w:r>
      <w:r>
        <w:rPr>
          <w:rFonts w:hint="eastAsia" w:ascii="黑体" w:hAnsi="黑体" w:eastAsia="黑体"/>
          <w:color w:val="auto"/>
        </w:rPr>
        <w:t>、</w:t>
      </w:r>
      <w:r>
        <w:rPr>
          <w:rFonts w:ascii="黑体" w:hAnsi="黑体" w:eastAsia="黑体"/>
          <w:color w:val="auto"/>
        </w:rPr>
        <w:t>运作设备：食堂和厨房的炉具、餐具、家具、电器设备及设施由采购人提供给</w:t>
      </w:r>
      <w:r>
        <w:rPr>
          <w:rFonts w:hint="eastAsia" w:ascii="黑体" w:hAnsi="黑体" w:eastAsia="黑体"/>
          <w:color w:val="auto"/>
        </w:rPr>
        <w:t>中标人</w:t>
      </w:r>
      <w:r>
        <w:rPr>
          <w:rFonts w:ascii="黑体" w:hAnsi="黑体" w:eastAsia="黑体"/>
          <w:color w:val="auto"/>
        </w:rPr>
        <w:t>使用，甲乙双方就采购人提供的食堂和厨房炉具、餐具、家具、电器设备及设施清单签字盖章确认后移交使用</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4</w:t>
      </w:r>
      <w:r>
        <w:rPr>
          <w:rFonts w:hint="eastAsia" w:ascii="黑体" w:hAnsi="黑体" w:eastAsia="黑体"/>
          <w:color w:val="auto"/>
        </w:rPr>
        <w:t>、</w:t>
      </w:r>
      <w:r>
        <w:rPr>
          <w:rFonts w:ascii="黑体" w:hAnsi="黑体" w:eastAsia="黑体"/>
          <w:color w:val="auto"/>
        </w:rPr>
        <w:t>运作费用支出：采购人承担食堂和厨房所产生的水、电、煤气、柴油、物业管理费、垃圾费、排污费，并负责食堂和厨房炉具、餐具、家具、电器设备及设施的添置和维修保养</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5</w:t>
      </w:r>
      <w:r>
        <w:rPr>
          <w:rFonts w:hint="eastAsia" w:ascii="黑体" w:hAnsi="黑体" w:eastAsia="黑体"/>
          <w:color w:val="auto"/>
        </w:rPr>
        <w:t>、</w:t>
      </w:r>
      <w:r>
        <w:rPr>
          <w:rFonts w:ascii="黑体" w:hAnsi="黑体" w:eastAsia="黑体"/>
          <w:color w:val="auto"/>
        </w:rPr>
        <w:t>经营耗材：采购人提供食堂和厨房所用的纸巾、牙签、打包饭盒、筷子等日用品和抹布、垃圾袋、垃圾桶、拖把、拖桶、洗洁精、消毒粉、消毒液等清洁用品</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6</w:t>
      </w:r>
      <w:r>
        <w:rPr>
          <w:rFonts w:hint="eastAsia" w:ascii="黑体" w:hAnsi="黑体" w:eastAsia="黑体"/>
          <w:color w:val="auto"/>
        </w:rPr>
        <w:t>、</w:t>
      </w:r>
      <w:r>
        <w:rPr>
          <w:rFonts w:ascii="黑体" w:hAnsi="黑体" w:eastAsia="黑体"/>
          <w:color w:val="auto"/>
        </w:rPr>
        <w:t>用餐模式：</w:t>
      </w:r>
      <w:r>
        <w:rPr>
          <w:rFonts w:hint="eastAsia" w:ascii="黑体" w:hAnsi="黑体" w:eastAsia="黑体"/>
          <w:color w:val="auto"/>
        </w:rPr>
        <w:t>中标人</w:t>
      </w:r>
      <w:r>
        <w:rPr>
          <w:rFonts w:ascii="黑体" w:hAnsi="黑体" w:eastAsia="黑体"/>
          <w:color w:val="auto"/>
        </w:rPr>
        <w:t>负责按用餐标准分菜或打包，一人一份。根据各景区工作人员的报餐情况，</w:t>
      </w:r>
      <w:r>
        <w:rPr>
          <w:rFonts w:hint="eastAsia" w:ascii="黑体" w:hAnsi="黑体" w:eastAsia="黑体"/>
          <w:color w:val="auto"/>
        </w:rPr>
        <w:t>中标人</w:t>
      </w:r>
      <w:r>
        <w:rPr>
          <w:rFonts w:ascii="黑体" w:hAnsi="黑体" w:eastAsia="黑体"/>
          <w:color w:val="auto"/>
        </w:rPr>
        <w:t>要安排专人将打包好的饭菜按时送到各景区的指定位置，同时要确保菜肴温度和饭菜质量</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7</w:t>
      </w:r>
      <w:r>
        <w:rPr>
          <w:rFonts w:hint="eastAsia" w:ascii="黑体" w:hAnsi="黑体" w:eastAsia="黑体"/>
          <w:color w:val="auto"/>
        </w:rPr>
        <w:t>、</w:t>
      </w:r>
      <w:r>
        <w:rPr>
          <w:rFonts w:ascii="黑体" w:hAnsi="黑体" w:eastAsia="黑体"/>
          <w:color w:val="auto"/>
        </w:rPr>
        <w:t>报餐方式：采购人提前一周以纸质或者文档的形式将下周的计划用餐数量报送给</w:t>
      </w:r>
      <w:r>
        <w:rPr>
          <w:rFonts w:hint="eastAsia" w:ascii="黑体" w:hAnsi="黑体" w:eastAsia="黑体"/>
          <w:color w:val="auto"/>
        </w:rPr>
        <w:t>中标人</w:t>
      </w:r>
      <w:r>
        <w:rPr>
          <w:rFonts w:ascii="黑体" w:hAnsi="黑体" w:eastAsia="黑体"/>
          <w:color w:val="auto"/>
        </w:rPr>
        <w:t>，让</w:t>
      </w:r>
      <w:r>
        <w:rPr>
          <w:rFonts w:hint="eastAsia" w:ascii="黑体" w:hAnsi="黑体" w:eastAsia="黑体"/>
          <w:color w:val="auto"/>
        </w:rPr>
        <w:t>中标人</w:t>
      </w:r>
      <w:r>
        <w:rPr>
          <w:rFonts w:ascii="黑体" w:hAnsi="黑体" w:eastAsia="黑体"/>
          <w:color w:val="auto"/>
        </w:rPr>
        <w:t>做好准备。若采购人需要临时变动用餐计划的，应提前一天跟</w:t>
      </w:r>
      <w:r>
        <w:rPr>
          <w:rFonts w:hint="eastAsia" w:ascii="黑体" w:hAnsi="黑体" w:eastAsia="黑体"/>
          <w:color w:val="auto"/>
        </w:rPr>
        <w:t>中标人</w:t>
      </w:r>
      <w:r>
        <w:rPr>
          <w:rFonts w:ascii="黑体" w:hAnsi="黑体" w:eastAsia="黑体"/>
          <w:color w:val="auto"/>
        </w:rPr>
        <w:t>报备</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8</w:t>
      </w:r>
      <w:r>
        <w:rPr>
          <w:rFonts w:hint="eastAsia" w:ascii="黑体" w:hAnsi="黑体" w:eastAsia="黑体"/>
          <w:color w:val="auto"/>
        </w:rPr>
        <w:t>、</w:t>
      </w:r>
      <w:r>
        <w:rPr>
          <w:rFonts w:ascii="黑体" w:hAnsi="黑体" w:eastAsia="黑体"/>
          <w:color w:val="auto"/>
        </w:rPr>
        <w:t>就餐时间与标准：</w:t>
      </w:r>
    </w:p>
    <w:p>
      <w:pPr>
        <w:pStyle w:val="30"/>
        <w:tabs>
          <w:tab w:val="left" w:pos="426"/>
        </w:tabs>
        <w:spacing w:line="360" w:lineRule="auto"/>
        <w:rPr>
          <w:rFonts w:ascii="黑体" w:hAnsi="黑体" w:eastAsia="黑体"/>
          <w:color w:val="auto"/>
        </w:rPr>
      </w:pPr>
      <w:r>
        <w:rPr>
          <w:rFonts w:hint="eastAsia" w:ascii="黑体" w:hAnsi="黑体" w:eastAsia="黑体"/>
          <w:color w:val="auto"/>
        </w:rPr>
        <w:t>（1）</w:t>
      </w:r>
      <w:r>
        <w:rPr>
          <w:rFonts w:ascii="黑体" w:hAnsi="黑体" w:eastAsia="黑体"/>
          <w:color w:val="auto"/>
        </w:rPr>
        <w:t>早餐：8：00—8：30</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（2）</w:t>
      </w:r>
      <w:r>
        <w:rPr>
          <w:rFonts w:ascii="黑体" w:hAnsi="黑体" w:eastAsia="黑体"/>
          <w:color w:val="auto"/>
        </w:rPr>
        <w:t>午餐：10:30-11:00（景区治安队员就餐时间）；12：00—12：30（管理处及景区管理人员就餐时间）</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（3）</w:t>
      </w:r>
      <w:r>
        <w:rPr>
          <w:rFonts w:ascii="黑体" w:hAnsi="黑体" w:eastAsia="黑体"/>
          <w:color w:val="auto"/>
        </w:rPr>
        <w:t>晚餐：17：30—18：00</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（4）</w:t>
      </w:r>
      <w:r>
        <w:rPr>
          <w:rFonts w:ascii="黑体" w:hAnsi="黑体" w:eastAsia="黑体"/>
          <w:color w:val="auto"/>
        </w:rPr>
        <w:t>早餐按5元/人/餐（含主食、辅食、流食或奶制品），午餐、晚餐按12元/人/餐（含两荤一素一汤）计算，按实际餐数结算</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（5）</w:t>
      </w:r>
      <w:r>
        <w:rPr>
          <w:rFonts w:ascii="黑体" w:hAnsi="黑体" w:eastAsia="黑体"/>
          <w:color w:val="auto"/>
        </w:rPr>
        <w:t>另外，采购人员工因岗位工作需要打包用餐或延时用餐的，</w:t>
      </w:r>
      <w:r>
        <w:rPr>
          <w:rFonts w:hint="eastAsia" w:ascii="黑体" w:hAnsi="黑体" w:eastAsia="黑体"/>
          <w:color w:val="auto"/>
        </w:rPr>
        <w:t>中标人</w:t>
      </w:r>
      <w:r>
        <w:rPr>
          <w:rFonts w:ascii="黑体" w:hAnsi="黑体" w:eastAsia="黑体"/>
          <w:color w:val="auto"/>
        </w:rPr>
        <w:t>应予以配合。</w:t>
      </w:r>
    </w:p>
    <w:p>
      <w:pPr>
        <w:pStyle w:val="30"/>
        <w:tabs>
          <w:tab w:val="left" w:pos="426"/>
        </w:tabs>
        <w:spacing w:line="360" w:lineRule="auto"/>
        <w:rPr>
          <w:rFonts w:ascii="黑体" w:hAnsi="黑体" w:eastAsia="黑体"/>
          <w:color w:val="auto"/>
        </w:rPr>
      </w:pPr>
      <w:r>
        <w:rPr>
          <w:rFonts w:hint="eastAsia" w:ascii="黑体" w:hAnsi="黑体" w:eastAsia="黑体"/>
          <w:color w:val="auto"/>
        </w:rPr>
        <w:t>9、</w:t>
      </w:r>
      <w:r>
        <w:rPr>
          <w:rFonts w:ascii="黑体" w:hAnsi="黑体" w:eastAsia="黑体"/>
          <w:color w:val="auto"/>
        </w:rPr>
        <w:t>指派管理人员：为了做好合同执行管理工作，甲乙双方针对本合同日常管理指派专门管理人员</w:t>
      </w:r>
      <w:r>
        <w:rPr>
          <w:rFonts w:hint="eastAsia" w:ascii="黑体" w:hAnsi="黑体" w:eastAsia="黑体"/>
          <w:color w:val="auto"/>
        </w:rPr>
        <w:t>；</w:t>
      </w:r>
    </w:p>
    <w:p>
      <w:pPr>
        <w:pStyle w:val="30"/>
        <w:tabs>
          <w:tab w:val="left" w:pos="426"/>
        </w:tabs>
        <w:spacing w:line="360" w:lineRule="auto"/>
        <w:ind w:firstLine="422"/>
        <w:rPr>
          <w:rFonts w:ascii="黑体" w:hAnsi="黑体" w:eastAsia="黑体"/>
          <w:b/>
          <w:bCs/>
          <w:color w:val="auto"/>
        </w:rPr>
      </w:pPr>
      <w:r>
        <w:rPr>
          <w:rFonts w:hint="eastAsia" w:ascii="黑体" w:hAnsi="黑体" w:eastAsia="黑体"/>
          <w:b/>
          <w:bCs/>
          <w:color w:val="auto"/>
        </w:rPr>
        <w:t>★</w:t>
      </w:r>
      <w:r>
        <w:rPr>
          <w:rFonts w:ascii="黑体" w:hAnsi="黑体" w:eastAsia="黑体"/>
          <w:b/>
          <w:bCs/>
          <w:color w:val="auto"/>
        </w:rPr>
        <w:t>10</w:t>
      </w:r>
      <w:r>
        <w:rPr>
          <w:rFonts w:hint="eastAsia" w:ascii="黑体" w:hAnsi="黑体" w:eastAsia="黑体"/>
          <w:b/>
          <w:bCs/>
          <w:color w:val="auto"/>
        </w:rPr>
        <w:t>、中标人</w:t>
      </w:r>
      <w:r>
        <w:rPr>
          <w:rFonts w:ascii="黑体" w:hAnsi="黑体" w:eastAsia="黑体"/>
          <w:b/>
          <w:bCs/>
          <w:color w:val="auto"/>
        </w:rPr>
        <w:t>膳食配送食用油</w:t>
      </w:r>
      <w:r>
        <w:rPr>
          <w:rFonts w:hint="eastAsia" w:ascii="黑体" w:hAnsi="黑体" w:eastAsia="黑体"/>
          <w:b/>
          <w:bCs/>
          <w:color w:val="auto"/>
        </w:rPr>
        <w:t>须</w:t>
      </w:r>
      <w:r>
        <w:rPr>
          <w:rFonts w:ascii="黑体" w:hAnsi="黑体" w:eastAsia="黑体"/>
          <w:b/>
          <w:bCs/>
          <w:color w:val="auto"/>
        </w:rPr>
        <w:t>为花生油。</w:t>
      </w:r>
    </w:p>
    <w:p>
      <w:pPr>
        <w:pStyle w:val="30"/>
        <w:tabs>
          <w:tab w:val="left" w:pos="426"/>
        </w:tabs>
        <w:spacing w:line="360" w:lineRule="auto"/>
        <w:ind w:firstLine="0" w:firstLineChars="0"/>
        <w:rPr>
          <w:rFonts w:ascii="黑体" w:hAnsi="黑体" w:eastAsia="黑体"/>
          <w:b/>
          <w:color w:val="auto"/>
        </w:rPr>
      </w:pPr>
      <w:r>
        <w:rPr>
          <w:rFonts w:ascii="黑体" w:hAnsi="黑体" w:eastAsia="黑体"/>
          <w:b/>
          <w:color w:val="auto"/>
        </w:rPr>
        <w:t>六、派遣人员劳动安全卫生、职业病危害防治及福利待遇</w:t>
      </w:r>
    </w:p>
    <w:p>
      <w:pPr>
        <w:pStyle w:val="30"/>
        <w:tabs>
          <w:tab w:val="left" w:pos="426"/>
        </w:tabs>
        <w:spacing w:line="360" w:lineRule="auto"/>
        <w:rPr>
          <w:rFonts w:ascii="黑体" w:hAnsi="黑体" w:eastAsia="黑体"/>
          <w:color w:val="auto"/>
        </w:rPr>
      </w:pPr>
      <w:r>
        <w:rPr>
          <w:rFonts w:ascii="黑体" w:hAnsi="黑体" w:eastAsia="黑体"/>
          <w:color w:val="auto"/>
        </w:rPr>
        <w:t>1</w:t>
      </w:r>
      <w:r>
        <w:rPr>
          <w:rFonts w:hint="eastAsia" w:ascii="黑体" w:hAnsi="黑体" w:eastAsia="黑体"/>
          <w:color w:val="auto"/>
        </w:rPr>
        <w:t>、中标人</w:t>
      </w:r>
      <w:r>
        <w:rPr>
          <w:rFonts w:ascii="黑体" w:hAnsi="黑体" w:eastAsia="黑体"/>
          <w:color w:val="auto"/>
        </w:rPr>
        <w:t>保证按照《中华人民共和国劳动法》执行，提供相应的劳动条件、劳动保护和职业危害防护，并负责对其所</w:t>
      </w:r>
      <w:r>
        <w:rPr>
          <w:rFonts w:hint="eastAsia" w:ascii="黑体" w:hAnsi="黑体" w:eastAsia="黑体"/>
          <w:color w:val="auto"/>
        </w:rPr>
        <w:t>安排的</w:t>
      </w:r>
      <w:r>
        <w:rPr>
          <w:rFonts w:ascii="黑体" w:hAnsi="黑体" w:eastAsia="黑体"/>
          <w:color w:val="auto"/>
        </w:rPr>
        <w:t>员工进行职业技能、安全生产、劳动纪律等方面的培训与教育</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2</w:t>
      </w:r>
      <w:r>
        <w:rPr>
          <w:rFonts w:hint="eastAsia" w:ascii="黑体" w:hAnsi="黑体" w:eastAsia="黑体"/>
          <w:color w:val="auto"/>
        </w:rPr>
        <w:t>、</w:t>
      </w:r>
      <w:r>
        <w:rPr>
          <w:rFonts w:ascii="黑体" w:hAnsi="黑体" w:eastAsia="黑体"/>
          <w:color w:val="auto"/>
        </w:rPr>
        <w:t>采购人不得强制</w:t>
      </w:r>
      <w:r>
        <w:rPr>
          <w:rFonts w:hint="eastAsia" w:ascii="黑体" w:hAnsi="黑体" w:eastAsia="黑体"/>
          <w:color w:val="auto"/>
        </w:rPr>
        <w:t>中标人</w:t>
      </w:r>
      <w:r>
        <w:rPr>
          <w:rFonts w:ascii="黑体" w:hAnsi="黑体" w:eastAsia="黑体"/>
          <w:color w:val="auto"/>
        </w:rPr>
        <w:t>所</w:t>
      </w:r>
      <w:r>
        <w:rPr>
          <w:rFonts w:hint="eastAsia" w:ascii="黑体" w:hAnsi="黑体" w:eastAsia="黑体"/>
          <w:color w:val="auto"/>
        </w:rPr>
        <w:t>安排的人员</w:t>
      </w:r>
      <w:r>
        <w:rPr>
          <w:rFonts w:ascii="黑体" w:hAnsi="黑体" w:eastAsia="黑体"/>
          <w:color w:val="auto"/>
        </w:rPr>
        <w:t>进行违规作业。若</w:t>
      </w:r>
      <w:r>
        <w:rPr>
          <w:rFonts w:hint="eastAsia" w:ascii="黑体" w:hAnsi="黑体" w:eastAsia="黑体"/>
          <w:color w:val="auto"/>
        </w:rPr>
        <w:t>中标人</w:t>
      </w:r>
      <w:r>
        <w:rPr>
          <w:rFonts w:ascii="黑体" w:hAnsi="黑体" w:eastAsia="黑体"/>
          <w:color w:val="auto"/>
        </w:rPr>
        <w:t>所</w:t>
      </w:r>
      <w:r>
        <w:rPr>
          <w:rFonts w:hint="eastAsia" w:ascii="黑体" w:hAnsi="黑体" w:eastAsia="黑体"/>
          <w:color w:val="auto"/>
        </w:rPr>
        <w:t>安排的人员</w:t>
      </w:r>
      <w:r>
        <w:rPr>
          <w:rFonts w:ascii="黑体" w:hAnsi="黑体" w:eastAsia="黑体"/>
          <w:color w:val="auto"/>
        </w:rPr>
        <w:t>认为采购人安排存在违规，</w:t>
      </w:r>
      <w:r>
        <w:rPr>
          <w:rFonts w:hint="eastAsia" w:ascii="黑体" w:hAnsi="黑体" w:eastAsia="黑体"/>
          <w:color w:val="auto"/>
        </w:rPr>
        <w:t>中标人</w:t>
      </w:r>
      <w:r>
        <w:rPr>
          <w:rFonts w:ascii="黑体" w:hAnsi="黑体" w:eastAsia="黑体"/>
          <w:color w:val="auto"/>
        </w:rPr>
        <w:t>所</w:t>
      </w:r>
      <w:r>
        <w:rPr>
          <w:rFonts w:hint="eastAsia" w:ascii="黑体" w:hAnsi="黑体" w:eastAsia="黑体"/>
          <w:color w:val="auto"/>
        </w:rPr>
        <w:t>安排的人员</w:t>
      </w:r>
      <w:r>
        <w:rPr>
          <w:rFonts w:ascii="黑体" w:hAnsi="黑体" w:eastAsia="黑体"/>
          <w:color w:val="auto"/>
        </w:rPr>
        <w:t>有权拒绝采购人管理人员违章指挥、强令冒险作业，并不视为违反本合同内容，但事后甲乙双方应协商解决</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3</w:t>
      </w:r>
      <w:r>
        <w:rPr>
          <w:rFonts w:hint="eastAsia" w:ascii="黑体" w:hAnsi="黑体" w:eastAsia="黑体"/>
          <w:color w:val="auto"/>
        </w:rPr>
        <w:t>、中标人</w:t>
      </w:r>
      <w:r>
        <w:rPr>
          <w:rFonts w:ascii="黑体" w:hAnsi="黑体" w:eastAsia="黑体"/>
          <w:color w:val="auto"/>
        </w:rPr>
        <w:t>所</w:t>
      </w:r>
      <w:r>
        <w:rPr>
          <w:rFonts w:hint="eastAsia" w:ascii="黑体" w:hAnsi="黑体" w:eastAsia="黑体"/>
          <w:color w:val="auto"/>
        </w:rPr>
        <w:t>安排的人员</w:t>
      </w:r>
      <w:r>
        <w:rPr>
          <w:rFonts w:ascii="黑体" w:hAnsi="黑体" w:eastAsia="黑体"/>
          <w:color w:val="auto"/>
        </w:rPr>
        <w:t>患病或非因工负伤，</w:t>
      </w:r>
      <w:r>
        <w:rPr>
          <w:rFonts w:hint="eastAsia" w:ascii="黑体" w:hAnsi="黑体" w:eastAsia="黑体"/>
          <w:color w:val="auto"/>
        </w:rPr>
        <w:t>中标人</w:t>
      </w:r>
      <w:r>
        <w:rPr>
          <w:rFonts w:ascii="黑体" w:hAnsi="黑体" w:eastAsia="黑体"/>
          <w:color w:val="auto"/>
        </w:rPr>
        <w:t>负责相关手续的办理，所</w:t>
      </w:r>
      <w:r>
        <w:rPr>
          <w:rFonts w:hint="eastAsia" w:ascii="黑体" w:hAnsi="黑体" w:eastAsia="黑体"/>
          <w:color w:val="auto"/>
        </w:rPr>
        <w:t>安排的人员</w:t>
      </w:r>
      <w:r>
        <w:rPr>
          <w:rFonts w:ascii="黑体" w:hAnsi="黑体" w:eastAsia="黑体"/>
          <w:color w:val="auto"/>
        </w:rPr>
        <w:t>的工资、社会保险等费用以及社会保险统筹范围外的费用由</w:t>
      </w:r>
      <w:r>
        <w:rPr>
          <w:rFonts w:hint="eastAsia" w:ascii="黑体" w:hAnsi="黑体" w:eastAsia="黑体"/>
          <w:color w:val="auto"/>
        </w:rPr>
        <w:t>中标人</w:t>
      </w:r>
      <w:r>
        <w:rPr>
          <w:rFonts w:ascii="黑体" w:hAnsi="黑体" w:eastAsia="黑体"/>
          <w:color w:val="auto"/>
        </w:rPr>
        <w:t>承担。</w:t>
      </w:r>
    </w:p>
    <w:p>
      <w:pPr>
        <w:pStyle w:val="30"/>
        <w:tabs>
          <w:tab w:val="left" w:pos="426"/>
        </w:tabs>
        <w:spacing w:line="360" w:lineRule="auto"/>
        <w:ind w:firstLine="0" w:firstLineChars="0"/>
        <w:rPr>
          <w:rFonts w:ascii="黑体" w:hAnsi="黑体" w:eastAsia="黑体"/>
          <w:b/>
          <w:color w:val="auto"/>
        </w:rPr>
      </w:pPr>
      <w:r>
        <w:rPr>
          <w:rFonts w:ascii="黑体" w:hAnsi="黑体" w:eastAsia="黑体"/>
          <w:b/>
          <w:color w:val="auto"/>
        </w:rPr>
        <w:t>七、</w:t>
      </w:r>
      <w:r>
        <w:rPr>
          <w:rFonts w:hint="eastAsia" w:ascii="黑体" w:hAnsi="黑体" w:eastAsia="黑体"/>
          <w:b/>
          <w:color w:val="auto"/>
        </w:rPr>
        <w:t>管理细则</w:t>
      </w:r>
    </w:p>
    <w:p>
      <w:pPr>
        <w:pStyle w:val="30"/>
        <w:tabs>
          <w:tab w:val="left" w:pos="426"/>
        </w:tabs>
        <w:spacing w:line="360" w:lineRule="auto"/>
        <w:rPr>
          <w:rFonts w:ascii="黑体" w:hAnsi="黑体" w:eastAsia="黑体"/>
          <w:color w:val="auto"/>
        </w:rPr>
      </w:pPr>
      <w:r>
        <w:rPr>
          <w:rFonts w:ascii="黑体" w:hAnsi="黑体" w:eastAsia="黑体"/>
          <w:color w:val="auto"/>
        </w:rPr>
        <w:t>1、中标人应节约用水用电，注意用火用电安全，并随时接受采购人监督检查。由此而引发的事故责任由中标人负责</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2、中标人聘用的工作人员必须经过健康检查，持健康证上岗，中标人每年对聘用人员进行（包括钟点工）身体健康检查，发现有传染病者（或带菌者）立即辞退，未经健康检查不得进入食堂工作</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3、接待餐由中标人负责按</w:t>
      </w:r>
      <w:r>
        <w:rPr>
          <w:rFonts w:hint="eastAsia" w:ascii="黑体" w:hAnsi="黑体" w:eastAsia="黑体"/>
          <w:color w:val="auto"/>
        </w:rPr>
        <w:t>采购人</w:t>
      </w:r>
      <w:r>
        <w:rPr>
          <w:rFonts w:ascii="黑体" w:hAnsi="黑体" w:eastAsia="黑体"/>
          <w:color w:val="auto"/>
        </w:rPr>
        <w:t>下达的接待标准制作，做到就餐时有人在现场接待</w:t>
      </w:r>
      <w:r>
        <w:rPr>
          <w:rFonts w:hint="eastAsia" w:ascii="黑体" w:hAnsi="黑体" w:eastAsia="黑体"/>
          <w:color w:val="auto"/>
        </w:rPr>
        <w:t>；</w:t>
      </w:r>
      <w:r>
        <w:rPr>
          <w:rFonts w:ascii="黑体" w:hAnsi="黑体" w:eastAsia="黑体"/>
          <w:color w:val="auto"/>
        </w:rPr>
        <w:t xml:space="preserve"> </w:t>
      </w:r>
    </w:p>
    <w:p>
      <w:pPr>
        <w:pStyle w:val="30"/>
        <w:tabs>
          <w:tab w:val="left" w:pos="426"/>
        </w:tabs>
        <w:spacing w:line="360" w:lineRule="auto"/>
        <w:rPr>
          <w:rFonts w:ascii="黑体" w:hAnsi="黑体" w:eastAsia="黑体"/>
          <w:color w:val="auto"/>
        </w:rPr>
      </w:pPr>
      <w:r>
        <w:rPr>
          <w:rFonts w:ascii="黑体" w:hAnsi="黑体" w:eastAsia="黑体"/>
          <w:color w:val="auto"/>
        </w:rPr>
        <w:t>4、承包期满采购人提供的财产类物品完好率在95%，不含正常报废物品。承包期间的设备、设施的损坏由中标人负责维修，需要添置设备由中标人自理，中标人要保证采购人提供的所有财产类物品正常使用，否则折价赔偿。中标人可带回由中标人添置的可移动的设备</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5、中标人在经营期间必须接受上级部门和采购人检查，办理一切有关证件，采购人有义务协助办理</w:t>
      </w:r>
      <w:r>
        <w:rPr>
          <w:rFonts w:hint="eastAsia" w:ascii="黑体" w:hAnsi="黑体" w:eastAsia="黑体"/>
          <w:color w:val="auto"/>
        </w:rPr>
        <w:t>；</w:t>
      </w:r>
      <w:r>
        <w:rPr>
          <w:rFonts w:ascii="黑体" w:hAnsi="黑体" w:eastAsia="黑体"/>
          <w:color w:val="auto"/>
        </w:rPr>
        <w:t xml:space="preserve"> </w:t>
      </w:r>
    </w:p>
    <w:p>
      <w:pPr>
        <w:pStyle w:val="30"/>
        <w:tabs>
          <w:tab w:val="left" w:pos="426"/>
        </w:tabs>
        <w:spacing w:line="360" w:lineRule="auto"/>
        <w:rPr>
          <w:rFonts w:ascii="黑体" w:hAnsi="黑体" w:eastAsia="黑体"/>
          <w:color w:val="auto"/>
        </w:rPr>
      </w:pPr>
      <w:r>
        <w:rPr>
          <w:rFonts w:hint="eastAsia" w:ascii="黑体" w:hAnsi="黑体" w:eastAsia="黑体"/>
          <w:color w:val="auto"/>
        </w:rPr>
        <w:t>6</w:t>
      </w:r>
      <w:r>
        <w:rPr>
          <w:rFonts w:ascii="黑体" w:hAnsi="黑体" w:eastAsia="黑体"/>
          <w:color w:val="auto"/>
        </w:rPr>
        <w:t>、采购人有权对中标人提供的食物进行质量、卫生抽查监督。中标人需对每天供餐品种留样备查，留样备查周期为一周</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7</w:t>
      </w:r>
      <w:r>
        <w:rPr>
          <w:rFonts w:ascii="黑体" w:hAnsi="黑体" w:eastAsia="黑体"/>
          <w:color w:val="auto"/>
        </w:rPr>
        <w:t xml:space="preserve">、中标人工作人员违反采购人规章制度的，交由中标人进行处理，由此造成采购人损失， </w:t>
      </w:r>
    </w:p>
    <w:p>
      <w:pPr>
        <w:pStyle w:val="30"/>
        <w:tabs>
          <w:tab w:val="left" w:pos="426"/>
        </w:tabs>
        <w:spacing w:line="360" w:lineRule="auto"/>
        <w:ind w:firstLine="0" w:firstLineChars="0"/>
        <w:rPr>
          <w:rFonts w:ascii="黑体" w:hAnsi="黑体" w:eastAsia="黑体"/>
          <w:color w:val="auto"/>
        </w:rPr>
      </w:pPr>
      <w:r>
        <w:rPr>
          <w:rFonts w:ascii="黑体" w:hAnsi="黑体" w:eastAsia="黑体"/>
          <w:color w:val="auto"/>
        </w:rPr>
        <w:t>由中标人承担赔偿责任</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8</w:t>
      </w:r>
      <w:r>
        <w:rPr>
          <w:rFonts w:ascii="黑体" w:hAnsi="黑体" w:eastAsia="黑体"/>
          <w:color w:val="auto"/>
        </w:rPr>
        <w:t>、上日剩余的饭菜下日一律禁用</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9</w:t>
      </w:r>
      <w:r>
        <w:rPr>
          <w:rFonts w:ascii="黑体" w:hAnsi="黑体" w:eastAsia="黑体"/>
          <w:color w:val="auto"/>
        </w:rPr>
        <w:t>、任何人员不得在饭堂里面留宿</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hint="eastAsia" w:ascii="黑体" w:hAnsi="黑体" w:eastAsia="黑体"/>
          <w:color w:val="auto"/>
        </w:rPr>
        <w:t>10</w:t>
      </w:r>
      <w:r>
        <w:rPr>
          <w:rFonts w:ascii="黑体" w:hAnsi="黑体" w:eastAsia="黑体"/>
          <w:color w:val="auto"/>
        </w:rPr>
        <w:t>、承包期间如发食物安全事故，其全部责任由中标人承担，采购人有权解除合同，并追究中标人责任</w:t>
      </w:r>
      <w:r>
        <w:rPr>
          <w:rFonts w:hint="eastAsia" w:ascii="黑体" w:hAnsi="黑体" w:eastAsia="黑体"/>
          <w:color w:val="auto"/>
        </w:rPr>
        <w:t>；</w:t>
      </w:r>
      <w:r>
        <w:rPr>
          <w:rFonts w:ascii="黑体" w:hAnsi="黑体" w:eastAsia="黑体"/>
          <w:color w:val="auto"/>
        </w:rPr>
        <w:t xml:space="preserve"> </w:t>
      </w:r>
    </w:p>
    <w:p>
      <w:pPr>
        <w:pStyle w:val="30"/>
        <w:tabs>
          <w:tab w:val="left" w:pos="426"/>
        </w:tabs>
        <w:spacing w:line="360" w:lineRule="auto"/>
        <w:rPr>
          <w:rFonts w:ascii="黑体" w:hAnsi="黑体" w:eastAsia="黑体"/>
          <w:color w:val="auto"/>
        </w:rPr>
      </w:pPr>
      <w:r>
        <w:rPr>
          <w:rFonts w:hint="eastAsia" w:ascii="黑体" w:hAnsi="黑体" w:eastAsia="黑体"/>
          <w:color w:val="auto"/>
        </w:rPr>
        <w:t>11</w:t>
      </w:r>
      <w:r>
        <w:rPr>
          <w:rFonts w:ascii="黑体" w:hAnsi="黑体" w:eastAsia="黑体"/>
          <w:color w:val="auto"/>
        </w:rPr>
        <w:t>、中标人需严格执行</w:t>
      </w:r>
      <w:r>
        <w:rPr>
          <w:rFonts w:hint="eastAsia" w:ascii="黑体" w:hAnsi="黑体" w:eastAsia="黑体"/>
          <w:color w:val="auto"/>
        </w:rPr>
        <w:t>采购人的</w:t>
      </w:r>
      <w:r>
        <w:rPr>
          <w:rFonts w:ascii="黑体" w:hAnsi="黑体" w:eastAsia="黑体"/>
          <w:color w:val="auto"/>
        </w:rPr>
        <w:t>消防安全需求，用电及燃气使用要符合相关规范，对聘用员工进行消防知识技能培训，因消防安全所造事故责任由中标人承担。</w:t>
      </w:r>
    </w:p>
    <w:p>
      <w:pPr>
        <w:pStyle w:val="30"/>
        <w:tabs>
          <w:tab w:val="left" w:pos="426"/>
        </w:tabs>
        <w:spacing w:line="360" w:lineRule="auto"/>
        <w:ind w:firstLine="0" w:firstLineChars="0"/>
        <w:rPr>
          <w:rFonts w:ascii="黑体" w:hAnsi="黑体" w:eastAsia="黑体"/>
          <w:b/>
          <w:color w:val="auto"/>
        </w:rPr>
      </w:pPr>
      <w:r>
        <w:rPr>
          <w:rFonts w:hint="eastAsia" w:ascii="黑体" w:hAnsi="黑体" w:eastAsia="黑体"/>
          <w:b/>
          <w:color w:val="auto"/>
        </w:rPr>
        <w:t>八、食堂管理考核</w:t>
      </w:r>
    </w:p>
    <w:p>
      <w:pPr>
        <w:pStyle w:val="30"/>
        <w:tabs>
          <w:tab w:val="left" w:pos="426"/>
        </w:tabs>
        <w:spacing w:line="360" w:lineRule="auto"/>
        <w:rPr>
          <w:rFonts w:ascii="黑体" w:hAnsi="黑体" w:eastAsia="黑体"/>
          <w:color w:val="auto"/>
        </w:rPr>
      </w:pPr>
      <w:r>
        <w:rPr>
          <w:rFonts w:ascii="黑体" w:hAnsi="黑体" w:eastAsia="黑体"/>
          <w:color w:val="auto"/>
        </w:rPr>
        <w:t>1、该项目本年累计3次低于80分</w:t>
      </w:r>
      <w:r>
        <w:rPr>
          <w:rFonts w:hint="eastAsia" w:ascii="黑体" w:hAnsi="黑体" w:eastAsia="黑体"/>
          <w:color w:val="auto"/>
        </w:rPr>
        <w:t>，</w:t>
      </w:r>
      <w:r>
        <w:rPr>
          <w:rFonts w:ascii="黑体" w:hAnsi="黑体" w:eastAsia="黑体"/>
          <w:color w:val="auto"/>
        </w:rPr>
        <w:t>为考核不达标，采购人有权解除合同（不作补偿）</w:t>
      </w:r>
      <w:r>
        <w:rPr>
          <w:rFonts w:hint="eastAsia" w:ascii="黑体" w:hAnsi="黑体" w:eastAsia="黑体"/>
          <w:color w:val="auto"/>
        </w:rPr>
        <w:t>；</w:t>
      </w:r>
      <w:r>
        <w:rPr>
          <w:rFonts w:ascii="黑体" w:hAnsi="黑体" w:eastAsia="黑体"/>
          <w:color w:val="auto"/>
        </w:rPr>
        <w:t xml:space="preserve"> </w:t>
      </w:r>
    </w:p>
    <w:p>
      <w:pPr>
        <w:pStyle w:val="30"/>
        <w:tabs>
          <w:tab w:val="left" w:pos="426"/>
        </w:tabs>
        <w:spacing w:line="360" w:lineRule="auto"/>
        <w:rPr>
          <w:rFonts w:ascii="黑体" w:hAnsi="黑体" w:eastAsia="黑体"/>
          <w:color w:val="auto"/>
        </w:rPr>
      </w:pPr>
      <w:r>
        <w:rPr>
          <w:rFonts w:ascii="黑体" w:hAnsi="黑体" w:eastAsia="黑体"/>
          <w:color w:val="auto"/>
        </w:rPr>
        <w:t>2、采购人每月根据《食堂绩效考评表》打分，在日常工作中，如发现中标人存在以上问题，采购人现场出具扣分说明并由中标人签名确认，以便每月综合打分。</w:t>
      </w:r>
    </w:p>
    <w:p>
      <w:pPr>
        <w:pStyle w:val="30"/>
        <w:tabs>
          <w:tab w:val="left" w:pos="426"/>
        </w:tabs>
        <w:spacing w:line="360" w:lineRule="auto"/>
        <w:rPr>
          <w:rFonts w:ascii="黑体" w:hAnsi="黑体" w:eastAsia="黑体"/>
          <w:color w:val="auto"/>
        </w:rPr>
      </w:pPr>
      <w:r>
        <w:rPr>
          <w:rFonts w:ascii="黑体" w:hAnsi="黑体" w:eastAsia="黑体"/>
          <w:color w:val="auto"/>
        </w:rPr>
        <w:t>附件</w:t>
      </w:r>
      <w:r>
        <w:rPr>
          <w:rFonts w:hint="eastAsia" w:ascii="黑体" w:hAnsi="黑体" w:eastAsia="黑体"/>
          <w:color w:val="auto"/>
        </w:rPr>
        <w:t>1</w:t>
      </w:r>
      <w:r>
        <w:rPr>
          <w:rFonts w:ascii="黑体" w:hAnsi="黑体" w:eastAsia="黑体"/>
          <w:color w:val="auto"/>
        </w:rPr>
        <w:t>：《食堂绩效考评表》</w:t>
      </w:r>
    </w:p>
    <w:tbl>
      <w:tblPr>
        <w:tblStyle w:val="2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4611"/>
        <w:gridCol w:w="927"/>
        <w:gridCol w:w="85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00" w:type="dxa"/>
            <w:gridSpan w:val="5"/>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考核人：</w:t>
            </w:r>
            <w:r>
              <w:rPr>
                <w:rFonts w:ascii="黑体" w:hAnsi="黑体" w:eastAsia="黑体" w:cs="黑体"/>
                <w:color w:val="auto"/>
                <w:szCs w:val="21"/>
              </w:rPr>
              <w:t xml:space="preserve">                                                          </w:t>
            </w:r>
            <w:r>
              <w:rPr>
                <w:rFonts w:hint="eastAsia" w:ascii="黑体" w:hAnsi="黑体" w:eastAsia="黑体" w:cs="黑体"/>
                <w:color w:val="auto"/>
                <w:szCs w:val="21"/>
              </w:rPr>
              <w:t>202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考核要素</w:t>
            </w:r>
          </w:p>
        </w:tc>
        <w:tc>
          <w:tcPr>
            <w:tcW w:w="4611"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考核标准</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参考值</w:t>
            </w:r>
          </w:p>
        </w:tc>
        <w:tc>
          <w:tcPr>
            <w:tcW w:w="859"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评分值</w:t>
            </w:r>
          </w:p>
        </w:tc>
        <w:tc>
          <w:tcPr>
            <w:tcW w:w="926"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77" w:type="dxa"/>
            <w:vMerge w:val="restart"/>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履行职责</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圆满履行合同职责任务，认真履行合同。遵守劳动法的各项规定，无矛盾无纠纷。</w:t>
            </w:r>
          </w:p>
        </w:tc>
        <w:tc>
          <w:tcPr>
            <w:tcW w:w="927" w:type="dxa"/>
            <w:vMerge w:val="restart"/>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Merge w:val="restart"/>
            <w:vAlign w:val="center"/>
          </w:tcPr>
          <w:p>
            <w:pPr>
              <w:spacing w:line="360" w:lineRule="auto"/>
              <w:contextualSpacing/>
              <w:jc w:val="center"/>
              <w:rPr>
                <w:rFonts w:ascii="黑体" w:hAnsi="黑体" w:eastAsia="黑体" w:cs="黑体"/>
                <w:color w:val="auto"/>
                <w:szCs w:val="21"/>
              </w:rPr>
            </w:pPr>
          </w:p>
        </w:tc>
        <w:tc>
          <w:tcPr>
            <w:tcW w:w="926" w:type="dxa"/>
            <w:vMerge w:val="restart"/>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1177" w:type="dxa"/>
            <w:vMerge w:val="continue"/>
            <w:vAlign w:val="center"/>
          </w:tcPr>
          <w:p>
            <w:pPr>
              <w:spacing w:line="360" w:lineRule="auto"/>
              <w:contextualSpacing/>
              <w:jc w:val="center"/>
              <w:rPr>
                <w:rFonts w:ascii="黑体" w:hAnsi="黑体" w:eastAsia="黑体" w:cs="黑体"/>
                <w:color w:val="auto"/>
                <w:szCs w:val="21"/>
              </w:rPr>
            </w:pP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劳务到位，合理安排工作,分工明确，职责落实到位，工作人员各自遵守岗位职责，满足工作需求。工作人员准时开门上下班，保障就餐时间，不无故停餐、换餐。准时开食堂大门。有良好的服务素质。</w:t>
            </w:r>
          </w:p>
        </w:tc>
        <w:tc>
          <w:tcPr>
            <w:tcW w:w="927" w:type="dxa"/>
            <w:vMerge w:val="continue"/>
            <w:vAlign w:val="center"/>
          </w:tcPr>
          <w:p>
            <w:pPr>
              <w:spacing w:line="360" w:lineRule="auto"/>
              <w:contextualSpacing/>
              <w:jc w:val="center"/>
              <w:rPr>
                <w:rFonts w:ascii="黑体" w:hAnsi="黑体" w:eastAsia="黑体" w:cs="黑体"/>
                <w:color w:val="auto"/>
                <w:szCs w:val="21"/>
              </w:rPr>
            </w:pPr>
          </w:p>
        </w:tc>
        <w:tc>
          <w:tcPr>
            <w:tcW w:w="859" w:type="dxa"/>
            <w:vMerge w:val="continue"/>
            <w:vAlign w:val="center"/>
          </w:tcPr>
          <w:p>
            <w:pPr>
              <w:spacing w:line="360" w:lineRule="auto"/>
              <w:contextualSpacing/>
              <w:jc w:val="center"/>
              <w:rPr>
                <w:rFonts w:ascii="黑体" w:hAnsi="黑体" w:eastAsia="黑体" w:cs="黑体"/>
                <w:color w:val="auto"/>
                <w:szCs w:val="21"/>
              </w:rPr>
            </w:pPr>
          </w:p>
        </w:tc>
        <w:tc>
          <w:tcPr>
            <w:tcW w:w="926" w:type="dxa"/>
            <w:vMerge w:val="continue"/>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主管工作质量</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每月征求用餐人员对膳食质量的意见，对反映的问题及时改进并有记录。食堂管理严格，按相关规定要求达标。</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工作制度落实</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按要求各种制度职责上墙并落实，工作区域符合标准并有标识，操作程序准确。</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工作配合</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积极配合采购人工作，与采购人负责人有良好的沟通和协作，接受采购人监督。</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环境卫生食品卫生</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符合食堂管理的环境虸生与食品卫生标准，按时办理卫生许可证，工作人员定期检查身体并执有健康证。</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食品监督</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按食堂食品卫生标准做好食品验收，并按要求留样备查。食材清洁必须达标。每周菜式及每日采购食材清单要公示。</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厨、餐具清洁</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砧板、厨具和餐具等按要求程序操作，保持洁净。</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仓库管理</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按要求做好食堂库房管理，包括清洁、分类放置、标识等。没有过期、霉变及不准进入的食品和物品，无四害，没有存放私人物品。</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物业管理</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食堂物业、设施、设备保管妥当、洁净，在保持期内正常使用，故障或出现丢失、损坏现象时，没及时检修和补充。</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17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安全生产</w:t>
            </w:r>
          </w:p>
        </w:tc>
        <w:tc>
          <w:tcPr>
            <w:tcW w:w="4611" w:type="dxa"/>
            <w:vAlign w:val="center"/>
          </w:tcPr>
          <w:p>
            <w:pPr>
              <w:spacing w:line="360" w:lineRule="auto"/>
              <w:contextualSpacing/>
              <w:jc w:val="left"/>
              <w:rPr>
                <w:rFonts w:ascii="黑体" w:hAnsi="黑体" w:eastAsia="黑体" w:cs="黑体"/>
                <w:color w:val="auto"/>
                <w:szCs w:val="21"/>
              </w:rPr>
            </w:pPr>
            <w:r>
              <w:rPr>
                <w:rFonts w:hint="eastAsia" w:ascii="黑体" w:hAnsi="黑体" w:eastAsia="黑体" w:cs="黑体"/>
                <w:color w:val="auto"/>
                <w:szCs w:val="21"/>
              </w:rPr>
              <w:t>安全使用水、电、气、设施设备等，按要求定时检修清理，做好员工培训并有记录，保障安全生产。</w:t>
            </w:r>
          </w:p>
        </w:tc>
        <w:tc>
          <w:tcPr>
            <w:tcW w:w="927" w:type="dxa"/>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10分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715" w:type="dxa"/>
            <w:gridSpan w:val="3"/>
            <w:vAlign w:val="center"/>
          </w:tcPr>
          <w:p>
            <w:pPr>
              <w:spacing w:line="360" w:lineRule="auto"/>
              <w:contextualSpacing/>
              <w:jc w:val="center"/>
              <w:rPr>
                <w:rFonts w:ascii="黑体" w:hAnsi="黑体" w:eastAsia="黑体" w:cs="黑体"/>
                <w:color w:val="auto"/>
                <w:szCs w:val="21"/>
              </w:rPr>
            </w:pPr>
            <w:r>
              <w:rPr>
                <w:rFonts w:hint="eastAsia" w:ascii="黑体" w:hAnsi="黑体" w:eastAsia="黑体" w:cs="黑体"/>
                <w:color w:val="auto"/>
                <w:szCs w:val="21"/>
              </w:rPr>
              <w:t>总分</w:t>
            </w:r>
          </w:p>
        </w:tc>
        <w:tc>
          <w:tcPr>
            <w:tcW w:w="859" w:type="dxa"/>
            <w:vAlign w:val="center"/>
          </w:tcPr>
          <w:p>
            <w:pPr>
              <w:spacing w:line="360" w:lineRule="auto"/>
              <w:contextualSpacing/>
              <w:jc w:val="center"/>
              <w:rPr>
                <w:rFonts w:ascii="黑体" w:hAnsi="黑体" w:eastAsia="黑体" w:cs="黑体"/>
                <w:color w:val="auto"/>
                <w:szCs w:val="21"/>
              </w:rPr>
            </w:pPr>
          </w:p>
        </w:tc>
        <w:tc>
          <w:tcPr>
            <w:tcW w:w="926" w:type="dxa"/>
            <w:vAlign w:val="center"/>
          </w:tcPr>
          <w:p>
            <w:pPr>
              <w:spacing w:line="360" w:lineRule="auto"/>
              <w:contextualSpacing/>
              <w:jc w:val="center"/>
              <w:rPr>
                <w:rFonts w:ascii="黑体" w:hAnsi="黑体" w:eastAsia="黑体" w:cs="黑体"/>
                <w:color w:val="auto"/>
                <w:szCs w:val="21"/>
              </w:rPr>
            </w:pPr>
          </w:p>
        </w:tc>
      </w:tr>
    </w:tbl>
    <w:p>
      <w:pPr>
        <w:pStyle w:val="30"/>
        <w:tabs>
          <w:tab w:val="left" w:pos="426"/>
        </w:tabs>
        <w:spacing w:line="360" w:lineRule="auto"/>
        <w:ind w:firstLine="0" w:firstLineChars="0"/>
        <w:rPr>
          <w:rFonts w:ascii="黑体" w:hAnsi="黑体" w:eastAsia="黑体"/>
          <w:color w:val="auto"/>
        </w:rPr>
      </w:pPr>
    </w:p>
    <w:p>
      <w:pPr>
        <w:pStyle w:val="30"/>
        <w:tabs>
          <w:tab w:val="left" w:pos="426"/>
        </w:tabs>
        <w:spacing w:line="360" w:lineRule="auto"/>
        <w:ind w:firstLine="0" w:firstLineChars="0"/>
        <w:rPr>
          <w:rFonts w:ascii="黑体" w:hAnsi="黑体" w:eastAsia="黑体"/>
          <w:b/>
          <w:color w:val="auto"/>
        </w:rPr>
      </w:pPr>
      <w:r>
        <w:rPr>
          <w:rFonts w:hint="eastAsia" w:ascii="黑体" w:hAnsi="黑体" w:eastAsia="黑体"/>
          <w:b/>
          <w:color w:val="auto"/>
        </w:rPr>
        <w:t>九、</w:t>
      </w:r>
      <w:r>
        <w:rPr>
          <w:rFonts w:ascii="黑体" w:hAnsi="黑体" w:eastAsia="黑体"/>
          <w:b/>
          <w:color w:val="auto"/>
        </w:rPr>
        <w:t>采购人的权利义务</w:t>
      </w:r>
    </w:p>
    <w:p>
      <w:pPr>
        <w:pStyle w:val="30"/>
        <w:tabs>
          <w:tab w:val="left" w:pos="426"/>
        </w:tabs>
        <w:spacing w:line="360" w:lineRule="auto"/>
        <w:rPr>
          <w:rFonts w:ascii="黑体" w:hAnsi="黑体" w:eastAsia="黑体"/>
          <w:color w:val="auto"/>
        </w:rPr>
      </w:pPr>
      <w:r>
        <w:rPr>
          <w:rFonts w:ascii="黑体" w:hAnsi="黑体" w:eastAsia="黑体"/>
          <w:color w:val="auto"/>
        </w:rPr>
        <w:t>1</w:t>
      </w:r>
      <w:r>
        <w:rPr>
          <w:rFonts w:hint="eastAsia" w:ascii="黑体" w:hAnsi="黑体" w:eastAsia="黑体"/>
          <w:color w:val="auto"/>
        </w:rPr>
        <w:t>、</w:t>
      </w:r>
      <w:r>
        <w:rPr>
          <w:rFonts w:ascii="黑体" w:hAnsi="黑体" w:eastAsia="黑体"/>
          <w:color w:val="auto"/>
        </w:rPr>
        <w:t>采购人有权对</w:t>
      </w:r>
      <w:r>
        <w:rPr>
          <w:rFonts w:hint="eastAsia" w:ascii="黑体" w:hAnsi="黑体" w:eastAsia="黑体"/>
          <w:color w:val="auto"/>
        </w:rPr>
        <w:t>中标人</w:t>
      </w:r>
      <w:r>
        <w:rPr>
          <w:rFonts w:ascii="黑体" w:hAnsi="黑体" w:eastAsia="黑体"/>
          <w:color w:val="auto"/>
        </w:rPr>
        <w:t>的日常工作进行监督，对</w:t>
      </w:r>
      <w:r>
        <w:rPr>
          <w:rFonts w:hint="eastAsia" w:ascii="黑体" w:hAnsi="黑体" w:eastAsia="黑体"/>
          <w:color w:val="auto"/>
        </w:rPr>
        <w:t>中标人</w:t>
      </w:r>
      <w:r>
        <w:rPr>
          <w:rFonts w:ascii="黑体" w:hAnsi="黑体" w:eastAsia="黑体"/>
          <w:color w:val="auto"/>
        </w:rPr>
        <w:t>人员在食品加工、餐饮卫生及就餐环境进行监督指导</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2</w:t>
      </w:r>
      <w:r>
        <w:rPr>
          <w:rFonts w:hint="eastAsia" w:ascii="黑体" w:hAnsi="黑体" w:eastAsia="黑体"/>
          <w:color w:val="auto"/>
        </w:rPr>
        <w:t>、</w:t>
      </w:r>
      <w:r>
        <w:rPr>
          <w:rFonts w:ascii="黑体" w:hAnsi="黑体" w:eastAsia="黑体"/>
          <w:color w:val="auto"/>
        </w:rPr>
        <w:t>采购人有权查询</w:t>
      </w:r>
      <w:r>
        <w:rPr>
          <w:rFonts w:hint="eastAsia" w:ascii="黑体" w:hAnsi="黑体" w:eastAsia="黑体"/>
          <w:color w:val="auto"/>
        </w:rPr>
        <w:t>中标人</w:t>
      </w:r>
      <w:r>
        <w:rPr>
          <w:rFonts w:ascii="黑体" w:hAnsi="黑体" w:eastAsia="黑体"/>
          <w:color w:val="auto"/>
        </w:rPr>
        <w:t>发放劳务派遣人员的工资和缴纳社会保险费等情况，出现违法现象，采购人可以要求</w:t>
      </w:r>
      <w:r>
        <w:rPr>
          <w:rFonts w:hint="eastAsia" w:ascii="黑体" w:hAnsi="黑体" w:eastAsia="黑体"/>
          <w:color w:val="auto"/>
        </w:rPr>
        <w:t>中标人</w:t>
      </w:r>
      <w:r>
        <w:rPr>
          <w:rFonts w:ascii="黑体" w:hAnsi="黑体" w:eastAsia="黑体"/>
          <w:color w:val="auto"/>
        </w:rPr>
        <w:t>必须限期依法办理相关手续</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3</w:t>
      </w:r>
      <w:r>
        <w:rPr>
          <w:rFonts w:hint="eastAsia" w:ascii="黑体" w:hAnsi="黑体" w:eastAsia="黑体"/>
          <w:color w:val="auto"/>
        </w:rPr>
        <w:t>、</w:t>
      </w:r>
      <w:r>
        <w:rPr>
          <w:rFonts w:ascii="黑体" w:hAnsi="黑体" w:eastAsia="黑体"/>
          <w:color w:val="auto"/>
        </w:rPr>
        <w:t>采购人有权按照劳动法的规定合法规范</w:t>
      </w:r>
      <w:r>
        <w:rPr>
          <w:rFonts w:hint="eastAsia" w:ascii="黑体" w:hAnsi="黑体" w:eastAsia="黑体"/>
          <w:color w:val="auto"/>
        </w:rPr>
        <w:t>中标人</w:t>
      </w:r>
      <w:r>
        <w:rPr>
          <w:rFonts w:ascii="黑体" w:hAnsi="黑体" w:eastAsia="黑体"/>
          <w:color w:val="auto"/>
        </w:rPr>
        <w:t>用工，对</w:t>
      </w:r>
      <w:r>
        <w:rPr>
          <w:rFonts w:hint="eastAsia" w:ascii="黑体" w:hAnsi="黑体" w:eastAsia="黑体"/>
          <w:color w:val="auto"/>
        </w:rPr>
        <w:t>中标人</w:t>
      </w:r>
      <w:r>
        <w:rPr>
          <w:rFonts w:ascii="黑体" w:hAnsi="黑体" w:eastAsia="黑体"/>
          <w:color w:val="auto"/>
        </w:rPr>
        <w:t>进行监督、检查和考核，采购人对</w:t>
      </w:r>
      <w:r>
        <w:rPr>
          <w:rFonts w:hint="eastAsia" w:ascii="黑体" w:hAnsi="黑体" w:eastAsia="黑体"/>
          <w:color w:val="auto"/>
        </w:rPr>
        <w:t>中标人</w:t>
      </w:r>
      <w:r>
        <w:rPr>
          <w:rFonts w:ascii="黑体" w:hAnsi="黑体" w:eastAsia="黑体"/>
          <w:color w:val="auto"/>
        </w:rPr>
        <w:t>派遣人员的工作表现是否符合要求有最终决定权</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4</w:t>
      </w:r>
      <w:r>
        <w:rPr>
          <w:rFonts w:hint="eastAsia" w:ascii="黑体" w:hAnsi="黑体" w:eastAsia="黑体"/>
          <w:color w:val="auto"/>
        </w:rPr>
        <w:t>、</w:t>
      </w:r>
      <w:r>
        <w:rPr>
          <w:rFonts w:ascii="黑体" w:hAnsi="黑体" w:eastAsia="黑体"/>
          <w:color w:val="auto"/>
        </w:rPr>
        <w:t>采购人有权要求</w:t>
      </w:r>
      <w:r>
        <w:rPr>
          <w:rFonts w:hint="eastAsia" w:ascii="黑体" w:hAnsi="黑体" w:eastAsia="黑体"/>
          <w:color w:val="auto"/>
        </w:rPr>
        <w:t>中标人</w:t>
      </w:r>
      <w:r>
        <w:rPr>
          <w:rFonts w:ascii="黑体" w:hAnsi="黑体" w:eastAsia="黑体"/>
          <w:color w:val="auto"/>
        </w:rPr>
        <w:t>提供由正规医院为其派遣人员开具的近期身体健康体检证明，身体健康状况不符合采购人要求的，由</w:t>
      </w:r>
      <w:r>
        <w:rPr>
          <w:rFonts w:hint="eastAsia" w:ascii="黑体" w:hAnsi="黑体" w:eastAsia="黑体"/>
          <w:color w:val="auto"/>
        </w:rPr>
        <w:t>中标人</w:t>
      </w:r>
      <w:r>
        <w:rPr>
          <w:rFonts w:ascii="黑体" w:hAnsi="黑体" w:eastAsia="黑体"/>
          <w:color w:val="auto"/>
        </w:rPr>
        <w:t>负责另行安排合适人员</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5</w:t>
      </w:r>
      <w:r>
        <w:rPr>
          <w:rFonts w:hint="eastAsia" w:ascii="黑体" w:hAnsi="黑体" w:eastAsia="黑体"/>
          <w:color w:val="auto"/>
        </w:rPr>
        <w:t>、</w:t>
      </w:r>
      <w:r>
        <w:rPr>
          <w:rFonts w:ascii="黑体" w:hAnsi="黑体" w:eastAsia="黑体"/>
          <w:color w:val="auto"/>
        </w:rPr>
        <w:t>采购人应为</w:t>
      </w:r>
      <w:r>
        <w:rPr>
          <w:rFonts w:hint="eastAsia" w:ascii="黑体" w:hAnsi="黑体" w:eastAsia="黑体"/>
          <w:color w:val="auto"/>
        </w:rPr>
        <w:t>中标人</w:t>
      </w:r>
      <w:r>
        <w:rPr>
          <w:rFonts w:ascii="黑体" w:hAnsi="黑体" w:eastAsia="黑体"/>
          <w:color w:val="auto"/>
        </w:rPr>
        <w:t>提供符合政府劳动保护条例规定的工作场所和各项应由采购人负责的安全生产保障措施</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6</w:t>
      </w:r>
      <w:r>
        <w:rPr>
          <w:rFonts w:hint="eastAsia" w:ascii="黑体" w:hAnsi="黑体" w:eastAsia="黑体"/>
          <w:color w:val="auto"/>
        </w:rPr>
        <w:t>、</w:t>
      </w:r>
      <w:r>
        <w:rPr>
          <w:rFonts w:ascii="黑体" w:hAnsi="黑体" w:eastAsia="黑体"/>
          <w:color w:val="auto"/>
        </w:rPr>
        <w:t>采购人应按本合同规定的标准和支付方式及时支付</w:t>
      </w:r>
      <w:r>
        <w:rPr>
          <w:rFonts w:hint="eastAsia" w:ascii="黑体" w:hAnsi="黑体" w:eastAsia="黑体"/>
          <w:color w:val="auto"/>
        </w:rPr>
        <w:t>中标人</w:t>
      </w:r>
      <w:r>
        <w:rPr>
          <w:rFonts w:ascii="黑体" w:hAnsi="黑体" w:eastAsia="黑体"/>
          <w:color w:val="auto"/>
        </w:rPr>
        <w:t>劳务派遣和膳食配送供应服务费用，不得无故拖欠</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7</w:t>
      </w:r>
      <w:r>
        <w:rPr>
          <w:rFonts w:hint="eastAsia" w:ascii="黑体" w:hAnsi="黑体" w:eastAsia="黑体"/>
          <w:color w:val="auto"/>
        </w:rPr>
        <w:t>、</w:t>
      </w:r>
      <w:r>
        <w:rPr>
          <w:rFonts w:ascii="黑体" w:hAnsi="黑体" w:eastAsia="黑体"/>
          <w:color w:val="auto"/>
        </w:rPr>
        <w:t>采购人应在就餐人员大幅减少的情况下，提前通知</w:t>
      </w:r>
      <w:r>
        <w:rPr>
          <w:rFonts w:hint="eastAsia" w:ascii="黑体" w:hAnsi="黑体" w:eastAsia="黑体"/>
          <w:color w:val="auto"/>
        </w:rPr>
        <w:t>中标人</w:t>
      </w:r>
      <w:r>
        <w:rPr>
          <w:rFonts w:ascii="黑体" w:hAnsi="黑体" w:eastAsia="黑体"/>
          <w:color w:val="auto"/>
        </w:rPr>
        <w:t>及时进行调整，以免造成不必要的浪费</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8</w:t>
      </w:r>
      <w:r>
        <w:rPr>
          <w:rFonts w:hint="eastAsia" w:ascii="黑体" w:hAnsi="黑体" w:eastAsia="黑体"/>
          <w:color w:val="auto"/>
        </w:rPr>
        <w:t>、</w:t>
      </w:r>
      <w:r>
        <w:rPr>
          <w:rFonts w:ascii="黑体" w:hAnsi="黑体" w:eastAsia="黑体"/>
          <w:color w:val="auto"/>
        </w:rPr>
        <w:t>采购人员工因岗位工作需要打包外送用餐的，由采购人负责派人在指定时间到食堂提取，签名确认数量</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9</w:t>
      </w:r>
      <w:r>
        <w:rPr>
          <w:rFonts w:hint="eastAsia" w:ascii="黑体" w:hAnsi="黑体" w:eastAsia="黑体"/>
          <w:color w:val="auto"/>
        </w:rPr>
        <w:t>、</w:t>
      </w:r>
      <w:r>
        <w:rPr>
          <w:rFonts w:ascii="黑体" w:hAnsi="黑体" w:eastAsia="黑体"/>
          <w:color w:val="auto"/>
        </w:rPr>
        <w:t>采购人不得将</w:t>
      </w:r>
      <w:r>
        <w:rPr>
          <w:rFonts w:hint="eastAsia" w:ascii="黑体" w:hAnsi="黑体" w:eastAsia="黑体"/>
          <w:color w:val="auto"/>
        </w:rPr>
        <w:t>中标人</w:t>
      </w:r>
      <w:r>
        <w:rPr>
          <w:rFonts w:ascii="黑体" w:hAnsi="黑体" w:eastAsia="黑体"/>
          <w:color w:val="auto"/>
        </w:rPr>
        <w:t>所</w:t>
      </w:r>
      <w:r>
        <w:rPr>
          <w:rFonts w:hint="eastAsia" w:ascii="黑体" w:hAnsi="黑体" w:eastAsia="黑体"/>
          <w:color w:val="auto"/>
        </w:rPr>
        <w:t>安排的人员</w:t>
      </w:r>
      <w:r>
        <w:rPr>
          <w:rFonts w:ascii="黑体" w:hAnsi="黑体" w:eastAsia="黑体"/>
          <w:color w:val="auto"/>
        </w:rPr>
        <w:t>再</w:t>
      </w:r>
      <w:r>
        <w:rPr>
          <w:rFonts w:hint="eastAsia" w:ascii="黑体" w:hAnsi="黑体" w:eastAsia="黑体"/>
          <w:color w:val="auto"/>
        </w:rPr>
        <w:t>安排</w:t>
      </w:r>
      <w:r>
        <w:rPr>
          <w:rFonts w:ascii="黑体" w:hAnsi="黑体" w:eastAsia="黑体"/>
          <w:color w:val="auto"/>
        </w:rPr>
        <w:t>到其他用人单位，否则，</w:t>
      </w:r>
      <w:r>
        <w:rPr>
          <w:rFonts w:hint="eastAsia" w:ascii="黑体" w:hAnsi="黑体" w:eastAsia="黑体"/>
          <w:color w:val="auto"/>
        </w:rPr>
        <w:t>中标人</w:t>
      </w:r>
      <w:r>
        <w:rPr>
          <w:rFonts w:ascii="黑体" w:hAnsi="黑体" w:eastAsia="黑体"/>
          <w:color w:val="auto"/>
        </w:rPr>
        <w:t>有权解除合同，并要求采购人赔偿损失</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10</w:t>
      </w:r>
      <w:r>
        <w:rPr>
          <w:rFonts w:hint="eastAsia" w:ascii="黑体" w:hAnsi="黑体" w:eastAsia="黑体"/>
          <w:color w:val="auto"/>
        </w:rPr>
        <w:t>、</w:t>
      </w:r>
      <w:r>
        <w:rPr>
          <w:rFonts w:ascii="黑体" w:hAnsi="黑体" w:eastAsia="黑体"/>
          <w:color w:val="auto"/>
        </w:rPr>
        <w:t>采购人为</w:t>
      </w:r>
      <w:r>
        <w:rPr>
          <w:rFonts w:hint="eastAsia" w:ascii="黑体" w:hAnsi="黑体" w:eastAsia="黑体"/>
          <w:color w:val="auto"/>
        </w:rPr>
        <w:t>中标人</w:t>
      </w:r>
      <w:r>
        <w:rPr>
          <w:rFonts w:ascii="黑体" w:hAnsi="黑体" w:eastAsia="黑体"/>
          <w:color w:val="auto"/>
        </w:rPr>
        <w:t>所</w:t>
      </w:r>
      <w:r>
        <w:rPr>
          <w:rFonts w:hint="eastAsia" w:ascii="黑体" w:hAnsi="黑体" w:eastAsia="黑体"/>
          <w:color w:val="auto"/>
        </w:rPr>
        <w:t>安排的人员</w:t>
      </w:r>
      <w:r>
        <w:rPr>
          <w:rFonts w:ascii="黑体" w:hAnsi="黑体" w:eastAsia="黑体"/>
          <w:color w:val="auto"/>
        </w:rPr>
        <w:t>免住宿费提供2间员工宿舍,水电费参照采购人员工缴纳水电费价格标准收取。</w:t>
      </w:r>
    </w:p>
    <w:p>
      <w:pPr>
        <w:pStyle w:val="30"/>
        <w:tabs>
          <w:tab w:val="left" w:pos="426"/>
        </w:tabs>
        <w:spacing w:line="360" w:lineRule="auto"/>
        <w:ind w:firstLine="0" w:firstLineChars="0"/>
        <w:rPr>
          <w:rFonts w:ascii="黑体" w:hAnsi="黑体" w:eastAsia="黑体"/>
          <w:b/>
          <w:color w:val="auto"/>
        </w:rPr>
      </w:pPr>
      <w:r>
        <w:rPr>
          <w:rFonts w:hint="eastAsia" w:ascii="黑体" w:hAnsi="黑体" w:eastAsia="黑体"/>
          <w:b/>
          <w:color w:val="auto"/>
        </w:rPr>
        <w:t>十</w:t>
      </w:r>
      <w:r>
        <w:rPr>
          <w:rFonts w:ascii="黑体" w:hAnsi="黑体" w:eastAsia="黑体"/>
          <w:b/>
          <w:color w:val="auto"/>
        </w:rPr>
        <w:t>、</w:t>
      </w:r>
      <w:r>
        <w:rPr>
          <w:rFonts w:hint="eastAsia" w:ascii="黑体" w:hAnsi="黑体" w:eastAsia="黑体"/>
          <w:b/>
          <w:color w:val="auto"/>
        </w:rPr>
        <w:t>中标人</w:t>
      </w:r>
      <w:r>
        <w:rPr>
          <w:rFonts w:ascii="黑体" w:hAnsi="黑体" w:eastAsia="黑体"/>
          <w:b/>
          <w:color w:val="auto"/>
        </w:rPr>
        <w:t>的权利义务</w:t>
      </w:r>
    </w:p>
    <w:p>
      <w:pPr>
        <w:pStyle w:val="30"/>
        <w:tabs>
          <w:tab w:val="left" w:pos="426"/>
        </w:tabs>
        <w:spacing w:line="360" w:lineRule="auto"/>
        <w:rPr>
          <w:rFonts w:ascii="黑体" w:hAnsi="黑体" w:eastAsia="黑体"/>
          <w:color w:val="auto"/>
        </w:rPr>
      </w:pPr>
      <w:r>
        <w:rPr>
          <w:rFonts w:ascii="黑体" w:hAnsi="黑体" w:eastAsia="黑体"/>
          <w:color w:val="auto"/>
        </w:rPr>
        <w:t>1</w:t>
      </w:r>
      <w:r>
        <w:rPr>
          <w:rFonts w:hint="eastAsia" w:ascii="黑体" w:hAnsi="黑体" w:eastAsia="黑体"/>
          <w:color w:val="auto"/>
        </w:rPr>
        <w:t>、中标人</w:t>
      </w:r>
      <w:r>
        <w:rPr>
          <w:rFonts w:ascii="黑体" w:hAnsi="黑体" w:eastAsia="黑体"/>
          <w:color w:val="auto"/>
        </w:rPr>
        <w:t>必须保证具有履行本合同的法定资质，提供给采购人有关营业执照等资质证明复印件</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2</w:t>
      </w:r>
      <w:r>
        <w:rPr>
          <w:rFonts w:hint="eastAsia" w:ascii="黑体" w:hAnsi="黑体" w:eastAsia="黑体"/>
          <w:color w:val="auto"/>
        </w:rPr>
        <w:t>、中标人</w:t>
      </w:r>
      <w:r>
        <w:rPr>
          <w:rFonts w:ascii="黑体" w:hAnsi="黑体" w:eastAsia="黑体"/>
          <w:color w:val="auto"/>
        </w:rPr>
        <w:t>必须具有合法的</w:t>
      </w:r>
      <w:r>
        <w:rPr>
          <w:rFonts w:hint="eastAsia" w:ascii="黑体" w:hAnsi="黑体" w:eastAsia="黑体"/>
          <w:color w:val="auto"/>
        </w:rPr>
        <w:t>有关</w:t>
      </w:r>
      <w:r>
        <w:rPr>
          <w:rFonts w:ascii="黑体" w:hAnsi="黑体" w:eastAsia="黑体"/>
          <w:color w:val="auto"/>
        </w:rPr>
        <w:t>资质，如因不具备相关资质或违反国家相关法律法规而引起的纠纷、损失，由</w:t>
      </w:r>
      <w:r>
        <w:rPr>
          <w:rFonts w:hint="eastAsia" w:ascii="黑体" w:hAnsi="黑体" w:eastAsia="黑体"/>
          <w:color w:val="auto"/>
        </w:rPr>
        <w:t>中标人</w:t>
      </w:r>
      <w:r>
        <w:rPr>
          <w:rFonts w:ascii="黑体" w:hAnsi="黑体" w:eastAsia="黑体"/>
          <w:color w:val="auto"/>
        </w:rPr>
        <w:t>负责承担全部责任和赔偿</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3</w:t>
      </w:r>
      <w:r>
        <w:rPr>
          <w:rFonts w:hint="eastAsia" w:ascii="黑体" w:hAnsi="黑体" w:eastAsia="黑体"/>
          <w:color w:val="auto"/>
        </w:rPr>
        <w:t>、中标人</w:t>
      </w:r>
      <w:r>
        <w:rPr>
          <w:rFonts w:ascii="黑体" w:hAnsi="黑体" w:eastAsia="黑体"/>
          <w:color w:val="auto"/>
        </w:rPr>
        <w:t>必须严格按照卫生规定操作，保障饭菜卫生安全，若因</w:t>
      </w:r>
      <w:r>
        <w:rPr>
          <w:rFonts w:hint="eastAsia" w:ascii="黑体" w:hAnsi="黑体" w:eastAsia="黑体"/>
          <w:color w:val="auto"/>
        </w:rPr>
        <w:t>中标人</w:t>
      </w:r>
      <w:r>
        <w:rPr>
          <w:rFonts w:ascii="黑体" w:hAnsi="黑体" w:eastAsia="黑体"/>
          <w:color w:val="auto"/>
        </w:rPr>
        <w:t>原因造成食物中毒事件，经查实后，由</w:t>
      </w:r>
      <w:r>
        <w:rPr>
          <w:rFonts w:hint="eastAsia" w:ascii="黑体" w:hAnsi="黑体" w:eastAsia="黑体"/>
          <w:color w:val="auto"/>
        </w:rPr>
        <w:t>中标人</w:t>
      </w:r>
      <w:r>
        <w:rPr>
          <w:rFonts w:ascii="黑体" w:hAnsi="黑体" w:eastAsia="黑体"/>
          <w:color w:val="auto"/>
        </w:rPr>
        <w:t>负责承担全部责任和赔偿</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4</w:t>
      </w:r>
      <w:r>
        <w:rPr>
          <w:rFonts w:hint="eastAsia" w:ascii="黑体" w:hAnsi="黑体" w:eastAsia="黑体"/>
          <w:color w:val="auto"/>
        </w:rPr>
        <w:t>、中标人</w:t>
      </w:r>
      <w:r>
        <w:rPr>
          <w:rFonts w:ascii="黑体" w:hAnsi="黑体" w:eastAsia="黑体"/>
          <w:color w:val="auto"/>
        </w:rPr>
        <w:t>必须在所</w:t>
      </w:r>
      <w:r>
        <w:rPr>
          <w:rFonts w:hint="eastAsia" w:ascii="黑体" w:hAnsi="黑体" w:eastAsia="黑体"/>
          <w:color w:val="auto"/>
        </w:rPr>
        <w:t>安排的人员</w:t>
      </w:r>
      <w:r>
        <w:rPr>
          <w:rFonts w:ascii="黑体" w:hAnsi="黑体" w:eastAsia="黑体"/>
          <w:color w:val="auto"/>
        </w:rPr>
        <w:t>上岗前向采购人提供由正规医院为其所</w:t>
      </w:r>
      <w:r>
        <w:rPr>
          <w:rFonts w:hint="eastAsia" w:ascii="黑体" w:hAnsi="黑体" w:eastAsia="黑体"/>
          <w:color w:val="auto"/>
        </w:rPr>
        <w:t>安排的人员</w:t>
      </w:r>
      <w:r>
        <w:rPr>
          <w:rFonts w:ascii="黑体" w:hAnsi="黑体" w:eastAsia="黑体"/>
          <w:color w:val="auto"/>
        </w:rPr>
        <w:t>开具的近期身体健康体检证明，以保障食品安全</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5</w:t>
      </w:r>
      <w:r>
        <w:rPr>
          <w:rFonts w:hint="eastAsia" w:ascii="黑体" w:hAnsi="黑体" w:eastAsia="黑体"/>
          <w:color w:val="auto"/>
        </w:rPr>
        <w:t>、中标人</w:t>
      </w:r>
      <w:r>
        <w:rPr>
          <w:rFonts w:ascii="黑体" w:hAnsi="黑体" w:eastAsia="黑体"/>
          <w:color w:val="auto"/>
        </w:rPr>
        <w:t>应按月支付所</w:t>
      </w:r>
      <w:r>
        <w:rPr>
          <w:rFonts w:hint="eastAsia" w:ascii="黑体" w:hAnsi="黑体" w:eastAsia="黑体"/>
          <w:color w:val="auto"/>
        </w:rPr>
        <w:t>安排的人员</w:t>
      </w:r>
      <w:r>
        <w:rPr>
          <w:rFonts w:ascii="黑体" w:hAnsi="黑体" w:eastAsia="黑体"/>
          <w:color w:val="auto"/>
        </w:rPr>
        <w:t>工资，不得克扣或无故拖欠，所支付工资不得低于本市最低工资标准，并按时足额为所</w:t>
      </w:r>
      <w:r>
        <w:rPr>
          <w:rFonts w:hint="eastAsia" w:ascii="黑体" w:hAnsi="黑体" w:eastAsia="黑体"/>
          <w:color w:val="auto"/>
        </w:rPr>
        <w:t>安排的人员</w:t>
      </w:r>
      <w:r>
        <w:rPr>
          <w:rFonts w:ascii="黑体" w:hAnsi="黑体" w:eastAsia="黑体"/>
          <w:color w:val="auto"/>
        </w:rPr>
        <w:t>缴纳各项社会保险，如因</w:t>
      </w:r>
      <w:r>
        <w:rPr>
          <w:rFonts w:hint="eastAsia" w:ascii="黑体" w:hAnsi="黑体" w:eastAsia="黑体"/>
          <w:color w:val="auto"/>
        </w:rPr>
        <w:t>中标人</w:t>
      </w:r>
      <w:r>
        <w:rPr>
          <w:rFonts w:ascii="黑体" w:hAnsi="黑体" w:eastAsia="黑体"/>
          <w:color w:val="auto"/>
        </w:rPr>
        <w:t>截留、未及时足额缴纳社会保险，由此引起的与所</w:t>
      </w:r>
      <w:r>
        <w:rPr>
          <w:rFonts w:hint="eastAsia" w:ascii="黑体" w:hAnsi="黑体" w:eastAsia="黑体"/>
          <w:color w:val="auto"/>
        </w:rPr>
        <w:t>安排的人员</w:t>
      </w:r>
      <w:r>
        <w:rPr>
          <w:rFonts w:ascii="黑体" w:hAnsi="黑体" w:eastAsia="黑体"/>
          <w:color w:val="auto"/>
        </w:rPr>
        <w:t>的所有纠纷和后果，由</w:t>
      </w:r>
      <w:r>
        <w:rPr>
          <w:rFonts w:hint="eastAsia" w:ascii="黑体" w:hAnsi="黑体" w:eastAsia="黑体"/>
          <w:color w:val="auto"/>
        </w:rPr>
        <w:t>中标人</w:t>
      </w:r>
      <w:r>
        <w:rPr>
          <w:rFonts w:ascii="黑体" w:hAnsi="黑体" w:eastAsia="黑体"/>
          <w:color w:val="auto"/>
        </w:rPr>
        <w:t>承担全部责任和赔偿</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6</w:t>
      </w:r>
      <w:r>
        <w:rPr>
          <w:rFonts w:hint="eastAsia" w:ascii="黑体" w:hAnsi="黑体" w:eastAsia="黑体"/>
          <w:color w:val="auto"/>
        </w:rPr>
        <w:t>、中标人</w:t>
      </w:r>
      <w:r>
        <w:rPr>
          <w:rFonts w:ascii="黑体" w:hAnsi="黑体" w:eastAsia="黑体"/>
          <w:color w:val="auto"/>
        </w:rPr>
        <w:t>上岗前要为所</w:t>
      </w:r>
      <w:r>
        <w:rPr>
          <w:rFonts w:hint="eastAsia" w:ascii="黑体" w:hAnsi="黑体" w:eastAsia="黑体"/>
          <w:color w:val="auto"/>
        </w:rPr>
        <w:t>安排的人员</w:t>
      </w:r>
      <w:r>
        <w:rPr>
          <w:rFonts w:ascii="黑体" w:hAnsi="黑体" w:eastAsia="黑体"/>
          <w:color w:val="auto"/>
        </w:rPr>
        <w:t>购买意外保险，并在成功购买该意外保险后5天内将意外保险单复印件提交一份给采购人保存</w:t>
      </w:r>
      <w:r>
        <w:rPr>
          <w:rFonts w:hint="eastAsia" w:ascii="黑体" w:hAnsi="黑体" w:eastAsia="黑体"/>
          <w:color w:val="auto"/>
        </w:rPr>
        <w:t>，</w:t>
      </w:r>
      <w:r>
        <w:rPr>
          <w:rFonts w:ascii="黑体" w:hAnsi="黑体" w:eastAsia="黑体"/>
          <w:color w:val="auto"/>
        </w:rPr>
        <w:t>如发生工伤事故的，</w:t>
      </w:r>
      <w:r>
        <w:rPr>
          <w:rFonts w:hint="eastAsia" w:ascii="黑体" w:hAnsi="黑体" w:eastAsia="黑体"/>
          <w:color w:val="auto"/>
        </w:rPr>
        <w:t>中标人</w:t>
      </w:r>
      <w:r>
        <w:rPr>
          <w:rFonts w:ascii="黑体" w:hAnsi="黑体" w:eastAsia="黑体"/>
          <w:color w:val="auto"/>
        </w:rPr>
        <w:t>按相关保险条例妥善处理，并负责办理申报和理赔事宜</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7</w:t>
      </w:r>
      <w:r>
        <w:rPr>
          <w:rFonts w:hint="eastAsia" w:ascii="黑体" w:hAnsi="黑体" w:eastAsia="黑体"/>
          <w:color w:val="auto"/>
        </w:rPr>
        <w:t>、中标人</w:t>
      </w:r>
      <w:r>
        <w:rPr>
          <w:rFonts w:ascii="黑体" w:hAnsi="黑体" w:eastAsia="黑体"/>
          <w:color w:val="auto"/>
        </w:rPr>
        <w:t>必须保障食品及原材料的采购安全，严格遵守和执行行业有关卫生管理规定</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8</w:t>
      </w:r>
      <w:r>
        <w:rPr>
          <w:rFonts w:hint="eastAsia" w:ascii="黑体" w:hAnsi="黑体" w:eastAsia="黑体"/>
          <w:color w:val="auto"/>
        </w:rPr>
        <w:t>、中标人</w:t>
      </w:r>
      <w:r>
        <w:rPr>
          <w:rFonts w:ascii="黑体" w:hAnsi="黑体" w:eastAsia="黑体"/>
          <w:color w:val="auto"/>
        </w:rPr>
        <w:t>必须认真执行食品卫生管理规定，搞好饮食卫生及环境卫生，定期更换膳食菜品，努力提高膳食质量，让采购人员工吃得安心放心</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9</w:t>
      </w:r>
      <w:r>
        <w:rPr>
          <w:rFonts w:hint="eastAsia" w:ascii="黑体" w:hAnsi="黑体" w:eastAsia="黑体"/>
          <w:color w:val="auto"/>
        </w:rPr>
        <w:t>、中标人</w:t>
      </w:r>
      <w:r>
        <w:rPr>
          <w:rFonts w:ascii="黑体" w:hAnsi="黑体" w:eastAsia="黑体"/>
          <w:color w:val="auto"/>
        </w:rPr>
        <w:t>必须按照采购人的要求对提供给食堂的所有食材进行采购及使用台账管理，涉及采购人食堂的每一笔膳食配送供应，必须有采购人指派人员签字确认</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10</w:t>
      </w:r>
      <w:r>
        <w:rPr>
          <w:rFonts w:hint="eastAsia" w:ascii="黑体" w:hAnsi="黑体" w:eastAsia="黑体"/>
          <w:color w:val="auto"/>
        </w:rPr>
        <w:t>、中标人</w:t>
      </w:r>
      <w:r>
        <w:rPr>
          <w:rFonts w:ascii="黑体" w:hAnsi="黑体" w:eastAsia="黑体"/>
          <w:color w:val="auto"/>
        </w:rPr>
        <w:t>应及时制定《一周菜谱》并在食堂信息栏上公布，菜谱内容品种尽量多样化，不断地调剂改善伙食</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11</w:t>
      </w:r>
      <w:r>
        <w:rPr>
          <w:rFonts w:hint="eastAsia" w:ascii="黑体" w:hAnsi="黑体" w:eastAsia="黑体"/>
          <w:color w:val="auto"/>
        </w:rPr>
        <w:t>、中标人</w:t>
      </w:r>
      <w:r>
        <w:rPr>
          <w:rFonts w:ascii="黑体" w:hAnsi="黑体" w:eastAsia="黑体"/>
          <w:color w:val="auto"/>
        </w:rPr>
        <w:t>有义务把甲乙双方签定的合同事实告知派遣人员，并且作为</w:t>
      </w:r>
      <w:r>
        <w:rPr>
          <w:rFonts w:hint="eastAsia" w:ascii="黑体" w:hAnsi="黑体" w:eastAsia="黑体"/>
          <w:color w:val="auto"/>
        </w:rPr>
        <w:t>中标人</w:t>
      </w:r>
      <w:r>
        <w:rPr>
          <w:rFonts w:ascii="黑体" w:hAnsi="黑体" w:eastAsia="黑体"/>
          <w:color w:val="auto"/>
        </w:rPr>
        <w:t>和劳务人员签定劳动合同的其中一项条款</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12</w:t>
      </w:r>
      <w:r>
        <w:rPr>
          <w:rFonts w:hint="eastAsia" w:ascii="黑体" w:hAnsi="黑体" w:eastAsia="黑体"/>
          <w:color w:val="auto"/>
        </w:rPr>
        <w:t>、</w:t>
      </w:r>
      <w:r>
        <w:rPr>
          <w:rFonts w:ascii="黑体" w:hAnsi="黑体" w:eastAsia="黑体"/>
          <w:color w:val="auto"/>
        </w:rPr>
        <w:t>若因国家政策或不可抗力原因，导致食堂相关物价出现大幅度涨价，使得食堂膳食标准达不到预期，甲乙双方可友好协商解决。</w:t>
      </w:r>
    </w:p>
    <w:p>
      <w:pPr>
        <w:pStyle w:val="30"/>
        <w:tabs>
          <w:tab w:val="left" w:pos="426"/>
        </w:tabs>
        <w:spacing w:line="360" w:lineRule="auto"/>
        <w:ind w:firstLine="0" w:firstLineChars="0"/>
        <w:rPr>
          <w:rFonts w:ascii="黑体" w:hAnsi="黑体" w:eastAsia="黑体"/>
          <w:b/>
          <w:color w:val="auto"/>
        </w:rPr>
      </w:pPr>
      <w:r>
        <w:rPr>
          <w:rFonts w:hint="eastAsia" w:ascii="黑体" w:hAnsi="黑体" w:eastAsia="黑体"/>
          <w:b/>
          <w:color w:val="auto"/>
        </w:rPr>
        <w:t>十一</w:t>
      </w:r>
      <w:r>
        <w:rPr>
          <w:rFonts w:ascii="黑体" w:hAnsi="黑体" w:eastAsia="黑体"/>
          <w:b/>
          <w:color w:val="auto"/>
        </w:rPr>
        <w:t>、其他事项</w:t>
      </w:r>
    </w:p>
    <w:p>
      <w:pPr>
        <w:pStyle w:val="30"/>
        <w:tabs>
          <w:tab w:val="left" w:pos="426"/>
        </w:tabs>
        <w:spacing w:line="360" w:lineRule="auto"/>
        <w:rPr>
          <w:rFonts w:ascii="黑体" w:hAnsi="黑体" w:eastAsia="黑体"/>
          <w:color w:val="auto"/>
        </w:rPr>
      </w:pPr>
      <w:r>
        <w:rPr>
          <w:rFonts w:ascii="黑体" w:hAnsi="黑体" w:eastAsia="黑体"/>
          <w:color w:val="auto"/>
        </w:rPr>
        <w:t>1</w:t>
      </w:r>
      <w:r>
        <w:rPr>
          <w:rFonts w:hint="eastAsia" w:ascii="黑体" w:hAnsi="黑体" w:eastAsia="黑体"/>
          <w:color w:val="auto"/>
        </w:rPr>
        <w:t>、</w:t>
      </w:r>
      <w:r>
        <w:rPr>
          <w:rFonts w:ascii="黑体" w:hAnsi="黑体" w:eastAsia="黑体"/>
          <w:color w:val="auto"/>
        </w:rPr>
        <w:t>如</w:t>
      </w:r>
      <w:r>
        <w:rPr>
          <w:rFonts w:hint="eastAsia" w:ascii="黑体" w:hAnsi="黑体" w:eastAsia="黑体"/>
          <w:color w:val="auto"/>
        </w:rPr>
        <w:t>中标人</w:t>
      </w:r>
      <w:r>
        <w:rPr>
          <w:rFonts w:ascii="黑体" w:hAnsi="黑体" w:eastAsia="黑体"/>
          <w:color w:val="auto"/>
        </w:rPr>
        <w:t>提供虚假资质证明材料，不具备履行本合同的合法资质，采购人有权立即终止本合同，造成采购人损失的，由</w:t>
      </w:r>
      <w:r>
        <w:rPr>
          <w:rFonts w:hint="eastAsia" w:ascii="黑体" w:hAnsi="黑体" w:eastAsia="黑体"/>
          <w:color w:val="auto"/>
        </w:rPr>
        <w:t>中标人</w:t>
      </w:r>
      <w:r>
        <w:rPr>
          <w:rFonts w:ascii="黑体" w:hAnsi="黑体" w:eastAsia="黑体"/>
          <w:color w:val="auto"/>
        </w:rPr>
        <w:t>承担相应的赔偿责任</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2</w:t>
      </w:r>
      <w:r>
        <w:rPr>
          <w:rFonts w:hint="eastAsia" w:ascii="黑体" w:hAnsi="黑体" w:eastAsia="黑体"/>
          <w:color w:val="auto"/>
        </w:rPr>
        <w:t>、中标人</w:t>
      </w:r>
      <w:r>
        <w:rPr>
          <w:rFonts w:ascii="黑体" w:hAnsi="黑体" w:eastAsia="黑体"/>
          <w:color w:val="auto"/>
        </w:rPr>
        <w:t>擅自将合同转让给第三方经营的，采购人有权终止合同，给采购人造成损失的，</w:t>
      </w:r>
      <w:r>
        <w:rPr>
          <w:rFonts w:hint="eastAsia" w:ascii="黑体" w:hAnsi="黑体" w:eastAsia="黑体"/>
          <w:color w:val="auto"/>
        </w:rPr>
        <w:t>中标人</w:t>
      </w:r>
      <w:r>
        <w:rPr>
          <w:rFonts w:ascii="黑体" w:hAnsi="黑体" w:eastAsia="黑体"/>
          <w:color w:val="auto"/>
        </w:rPr>
        <w:t>要向采购人赔偿</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3</w:t>
      </w:r>
      <w:r>
        <w:rPr>
          <w:rFonts w:hint="eastAsia" w:ascii="黑体" w:hAnsi="黑体" w:eastAsia="黑体"/>
          <w:color w:val="auto"/>
        </w:rPr>
        <w:t>、</w:t>
      </w:r>
      <w:r>
        <w:rPr>
          <w:rFonts w:ascii="黑体" w:hAnsi="黑体" w:eastAsia="黑体"/>
          <w:color w:val="auto"/>
        </w:rPr>
        <w:t>在经营过程中，</w:t>
      </w:r>
      <w:r>
        <w:rPr>
          <w:rFonts w:hint="eastAsia" w:ascii="黑体" w:hAnsi="黑体" w:eastAsia="黑体"/>
          <w:color w:val="auto"/>
        </w:rPr>
        <w:t>中标人</w:t>
      </w:r>
      <w:r>
        <w:rPr>
          <w:rFonts w:ascii="黑体" w:hAnsi="黑体" w:eastAsia="黑体"/>
          <w:color w:val="auto"/>
        </w:rPr>
        <w:t>提供的食材不符合食品安全管理相关法律法规的，采购人有权终止合同，给采购人造成损失的，</w:t>
      </w:r>
      <w:r>
        <w:rPr>
          <w:rFonts w:hint="eastAsia" w:ascii="黑体" w:hAnsi="黑体" w:eastAsia="黑体"/>
          <w:color w:val="auto"/>
        </w:rPr>
        <w:t>中标人</w:t>
      </w:r>
      <w:r>
        <w:rPr>
          <w:rFonts w:ascii="黑体" w:hAnsi="黑体" w:eastAsia="黑体"/>
          <w:color w:val="auto"/>
        </w:rPr>
        <w:t>要向采购人赔偿</w:t>
      </w:r>
      <w:r>
        <w:rPr>
          <w:rFonts w:hint="eastAsia" w:ascii="黑体" w:hAnsi="黑体" w:eastAsia="黑体"/>
          <w:color w:val="auto"/>
        </w:rPr>
        <w:t>；</w:t>
      </w:r>
    </w:p>
    <w:p>
      <w:pPr>
        <w:pStyle w:val="30"/>
        <w:tabs>
          <w:tab w:val="left" w:pos="426"/>
        </w:tabs>
        <w:spacing w:line="360" w:lineRule="auto"/>
        <w:rPr>
          <w:rFonts w:ascii="黑体" w:hAnsi="黑体" w:eastAsia="黑体"/>
          <w:color w:val="auto"/>
        </w:rPr>
      </w:pPr>
      <w:r>
        <w:rPr>
          <w:rFonts w:ascii="黑体" w:hAnsi="黑体" w:eastAsia="黑体"/>
          <w:color w:val="auto"/>
        </w:rPr>
        <w:t>4</w:t>
      </w:r>
      <w:r>
        <w:rPr>
          <w:rFonts w:hint="eastAsia" w:ascii="黑体" w:hAnsi="黑体" w:eastAsia="黑体"/>
          <w:color w:val="auto"/>
        </w:rPr>
        <w:t>、中标人</w:t>
      </w:r>
      <w:r>
        <w:rPr>
          <w:rFonts w:ascii="黑体" w:hAnsi="黑体" w:eastAsia="黑体"/>
          <w:color w:val="auto"/>
        </w:rPr>
        <w:t>须完全实质性响应合同条款。</w:t>
      </w:r>
    </w:p>
    <w:p>
      <w:pPr>
        <w:pStyle w:val="30"/>
        <w:tabs>
          <w:tab w:val="left" w:pos="426"/>
        </w:tabs>
        <w:spacing w:line="360" w:lineRule="auto"/>
        <w:ind w:firstLine="0" w:firstLineChars="0"/>
        <w:rPr>
          <w:rFonts w:ascii="黑体" w:hAnsi="黑体" w:eastAsia="黑体"/>
          <w:b/>
          <w:color w:val="auto"/>
        </w:rPr>
      </w:pPr>
      <w:r>
        <w:rPr>
          <w:rFonts w:hint="eastAsia" w:ascii="黑体" w:hAnsi="黑体" w:eastAsia="黑体"/>
          <w:b/>
          <w:color w:val="auto"/>
        </w:rPr>
        <w:t>十二</w:t>
      </w:r>
      <w:r>
        <w:rPr>
          <w:rFonts w:ascii="黑体" w:hAnsi="黑体" w:eastAsia="黑体"/>
          <w:b/>
          <w:color w:val="auto"/>
        </w:rPr>
        <w:t>、</w:t>
      </w:r>
      <w:r>
        <w:rPr>
          <w:rFonts w:hint="eastAsia" w:ascii="黑体" w:hAnsi="黑体" w:eastAsia="黑体"/>
          <w:b/>
          <w:color w:val="auto"/>
        </w:rPr>
        <w:t>报价要求</w:t>
      </w:r>
    </w:p>
    <w:p>
      <w:pPr>
        <w:pStyle w:val="30"/>
        <w:tabs>
          <w:tab w:val="left" w:pos="426"/>
        </w:tabs>
        <w:spacing w:line="360" w:lineRule="auto"/>
        <w:ind w:firstLine="422"/>
        <w:rPr>
          <w:rFonts w:ascii="黑体" w:hAnsi="黑体" w:eastAsia="黑体"/>
          <w:b/>
          <w:color w:val="auto"/>
        </w:rPr>
      </w:pPr>
      <w:r>
        <w:rPr>
          <w:rFonts w:hint="eastAsia" w:ascii="黑体" w:hAnsi="黑体" w:eastAsia="黑体"/>
          <w:b/>
          <w:color w:val="auto"/>
        </w:rPr>
        <w:t>（一）报价形式：</w:t>
      </w:r>
    </w:p>
    <w:p>
      <w:pPr>
        <w:pStyle w:val="30"/>
        <w:tabs>
          <w:tab w:val="left" w:pos="426"/>
        </w:tabs>
        <w:spacing w:line="360" w:lineRule="auto"/>
        <w:ind w:firstLine="0" w:firstLineChars="0"/>
        <w:rPr>
          <w:rFonts w:ascii="黑体" w:hAnsi="黑体" w:eastAsia="黑体"/>
          <w:color w:val="auto"/>
        </w:rPr>
      </w:pPr>
      <w:r>
        <w:rPr>
          <w:rFonts w:hint="eastAsia" w:ascii="黑体" w:hAnsi="黑体" w:eastAsia="黑体"/>
          <w:color w:val="auto"/>
        </w:rPr>
        <w:t xml:space="preserve">     1、服务外包部分：采用固定含税总价的方式，本部分为固定价；</w:t>
      </w:r>
    </w:p>
    <w:p>
      <w:pPr>
        <w:pStyle w:val="30"/>
        <w:tabs>
          <w:tab w:val="left" w:pos="426"/>
        </w:tabs>
        <w:spacing w:line="360" w:lineRule="auto"/>
        <w:ind w:firstLine="0" w:firstLineChars="0"/>
        <w:rPr>
          <w:rFonts w:ascii="黑体" w:hAnsi="黑体" w:eastAsia="黑体"/>
          <w:color w:val="auto"/>
        </w:rPr>
      </w:pPr>
      <w:r>
        <w:rPr>
          <w:rFonts w:hint="eastAsia" w:ascii="黑体" w:hAnsi="黑体" w:eastAsia="黑体"/>
          <w:color w:val="auto"/>
        </w:rPr>
        <w:t xml:space="preserve">     2、膳食配送供应服务部分：采用固定含税单价的方式，结算方式以综合单价据实结算。</w:t>
      </w:r>
    </w:p>
    <w:p>
      <w:pPr>
        <w:pStyle w:val="30"/>
        <w:tabs>
          <w:tab w:val="left" w:pos="426"/>
        </w:tabs>
        <w:spacing w:line="360" w:lineRule="auto"/>
        <w:ind w:firstLine="0" w:firstLineChars="0"/>
        <w:rPr>
          <w:rFonts w:ascii="黑体" w:hAnsi="黑体" w:eastAsia="黑体"/>
          <w:color w:val="auto"/>
        </w:rPr>
      </w:pPr>
      <w:r>
        <w:rPr>
          <w:rFonts w:hint="eastAsia" w:ascii="黑体" w:hAnsi="黑体" w:eastAsia="黑体"/>
          <w:color w:val="auto"/>
        </w:rPr>
        <w:t xml:space="preserve">   （二）报价内容：</w:t>
      </w:r>
    </w:p>
    <w:p>
      <w:pPr>
        <w:pStyle w:val="30"/>
        <w:tabs>
          <w:tab w:val="left" w:pos="426"/>
        </w:tabs>
        <w:spacing w:line="360" w:lineRule="auto"/>
        <w:ind w:firstLineChars="0"/>
        <w:rPr>
          <w:rFonts w:ascii="黑体" w:hAnsi="黑体" w:eastAsia="黑体"/>
          <w:color w:val="auto"/>
        </w:rPr>
      </w:pPr>
      <w:r>
        <w:rPr>
          <w:rFonts w:hint="eastAsia" w:ascii="黑体" w:hAnsi="黑体" w:eastAsia="黑体"/>
          <w:color w:val="auto"/>
        </w:rPr>
        <w:t>1、本项目采用包工包料的承包方式，中标人须承担各种税务费及合同实施过程中的人工（包括但不限于派驻人员工资、福利、社保，须包含五险一金）、食材采购及加工、场地清洁维护、送餐服务的费用等全部运营业务应预见和不可预见费用等完成合同规定责任和义务、达到合同目的的一切费用。</w:t>
      </w:r>
    </w:p>
    <w:p>
      <w:pPr>
        <w:pStyle w:val="30"/>
        <w:tabs>
          <w:tab w:val="left" w:pos="426"/>
        </w:tabs>
        <w:spacing w:line="360" w:lineRule="auto"/>
        <w:ind w:firstLineChars="0"/>
        <w:rPr>
          <w:rFonts w:ascii="黑体" w:hAnsi="黑体" w:eastAsia="黑体"/>
          <w:color w:val="auto"/>
        </w:rPr>
      </w:pPr>
      <w:r>
        <w:rPr>
          <w:rFonts w:hint="eastAsia" w:ascii="黑体" w:hAnsi="黑体" w:eastAsia="黑体"/>
          <w:color w:val="auto"/>
        </w:rPr>
        <w:t>（三）定价方式：</w:t>
      </w:r>
    </w:p>
    <w:p>
      <w:pPr>
        <w:pStyle w:val="30"/>
        <w:tabs>
          <w:tab w:val="left" w:pos="426"/>
        </w:tabs>
        <w:spacing w:line="360" w:lineRule="auto"/>
        <w:ind w:firstLine="0" w:firstLineChars="0"/>
        <w:rPr>
          <w:rFonts w:ascii="黑体" w:hAnsi="黑体" w:eastAsia="黑体"/>
          <w:color w:val="auto"/>
        </w:rPr>
      </w:pPr>
      <w:r>
        <w:rPr>
          <w:rFonts w:ascii="黑体" w:hAnsi="黑体" w:eastAsia="黑体"/>
          <w:color w:val="auto"/>
        </w:rPr>
        <w:t xml:space="preserve"> </w:t>
      </w:r>
      <w:r>
        <w:rPr>
          <w:rFonts w:hint="eastAsia" w:ascii="黑体" w:hAnsi="黑体" w:eastAsia="黑体"/>
          <w:color w:val="auto"/>
        </w:rPr>
        <w:t xml:space="preserve">    </w:t>
      </w:r>
      <w:r>
        <w:rPr>
          <w:rFonts w:ascii="黑体" w:hAnsi="黑体" w:eastAsia="黑体"/>
          <w:color w:val="auto"/>
        </w:rPr>
        <w:t>1、服务外包部分：</w:t>
      </w:r>
      <w:r>
        <w:rPr>
          <w:rFonts w:hint="eastAsia" w:ascii="黑体" w:hAnsi="黑体" w:eastAsia="黑体"/>
          <w:color w:val="auto"/>
        </w:rPr>
        <w:t>最高限价为41.60万元，投入服务团队人员不少于8人，服务期为一年，按月结算，中标人</w:t>
      </w:r>
      <w:r>
        <w:rPr>
          <w:rFonts w:ascii="黑体" w:hAnsi="黑体" w:eastAsia="黑体"/>
          <w:color w:val="auto"/>
        </w:rPr>
        <w:t>提供相应</w:t>
      </w:r>
      <w:r>
        <w:rPr>
          <w:rFonts w:hint="eastAsia" w:ascii="黑体" w:hAnsi="黑体" w:eastAsia="黑体"/>
          <w:color w:val="auto"/>
        </w:rPr>
        <w:t>劳务派遣</w:t>
      </w:r>
      <w:r>
        <w:rPr>
          <w:rFonts w:ascii="黑体" w:hAnsi="黑体" w:eastAsia="黑体"/>
          <w:color w:val="auto"/>
        </w:rPr>
        <w:t>发票给采购人</w:t>
      </w:r>
      <w:r>
        <w:rPr>
          <w:rFonts w:hint="eastAsia" w:ascii="黑体" w:hAnsi="黑体" w:eastAsia="黑体"/>
          <w:color w:val="auto"/>
        </w:rPr>
        <w:t>；</w:t>
      </w:r>
    </w:p>
    <w:p>
      <w:pPr>
        <w:pStyle w:val="30"/>
        <w:tabs>
          <w:tab w:val="left" w:pos="426"/>
        </w:tabs>
        <w:spacing w:line="360" w:lineRule="auto"/>
        <w:ind w:firstLine="0" w:firstLineChars="0"/>
        <w:rPr>
          <w:rFonts w:ascii="黑体" w:hAnsi="黑体" w:eastAsia="黑体"/>
          <w:color w:val="auto"/>
        </w:rPr>
      </w:pPr>
      <w:r>
        <w:rPr>
          <w:rFonts w:ascii="黑体" w:hAnsi="黑体" w:eastAsia="黑体"/>
          <w:color w:val="auto"/>
        </w:rPr>
        <w:t xml:space="preserve">     2、膳食配送供应服务部分：</w:t>
      </w:r>
      <w:r>
        <w:rPr>
          <w:rFonts w:hint="eastAsia" w:ascii="黑体" w:hAnsi="黑体" w:eastAsia="黑体"/>
          <w:color w:val="auto"/>
        </w:rPr>
        <w:t>(早餐/午餐/晚餐）×实际就餐人数</w:t>
      </w:r>
      <w:r>
        <w:rPr>
          <w:rFonts w:ascii="黑体" w:hAnsi="黑体" w:eastAsia="黑体"/>
          <w:color w:val="auto"/>
        </w:rPr>
        <w:t>。</w:t>
      </w:r>
      <w:r>
        <w:rPr>
          <w:rFonts w:hint="eastAsia" w:ascii="黑体" w:hAnsi="黑体" w:eastAsia="黑体"/>
          <w:color w:val="auto"/>
        </w:rPr>
        <w:t>每月按本公式实际结算。注：早餐标准为5元、午餐标准为12元、晚餐标准为12元，中标人</w:t>
      </w:r>
      <w:r>
        <w:rPr>
          <w:rFonts w:ascii="黑体" w:hAnsi="黑体" w:eastAsia="黑体"/>
          <w:color w:val="auto"/>
        </w:rPr>
        <w:t>提供相应膳食配送</w:t>
      </w:r>
      <w:r>
        <w:rPr>
          <w:rFonts w:hint="eastAsia" w:ascii="黑体" w:hAnsi="黑体" w:eastAsia="黑体"/>
          <w:color w:val="auto"/>
        </w:rPr>
        <w:t>费</w:t>
      </w:r>
      <w:r>
        <w:rPr>
          <w:rFonts w:ascii="黑体" w:hAnsi="黑体" w:eastAsia="黑体"/>
          <w:color w:val="auto"/>
        </w:rPr>
        <w:t>发票给采购人</w:t>
      </w:r>
      <w:r>
        <w:rPr>
          <w:rFonts w:hint="eastAsia" w:ascii="黑体" w:hAnsi="黑体" w:eastAsia="黑体"/>
          <w:color w:val="auto"/>
        </w:rPr>
        <w:t>。</w:t>
      </w:r>
    </w:p>
    <w:p>
      <w:pPr>
        <w:pStyle w:val="30"/>
        <w:tabs>
          <w:tab w:val="left" w:pos="426"/>
        </w:tabs>
        <w:spacing w:line="360" w:lineRule="auto"/>
        <w:ind w:firstLine="0" w:firstLineChars="0"/>
        <w:rPr>
          <w:rFonts w:ascii="黑体" w:hAnsi="黑体" w:eastAsia="黑体"/>
          <w:color w:val="auto"/>
        </w:rPr>
      </w:pPr>
    </w:p>
    <w:p>
      <w:pPr>
        <w:spacing w:line="360" w:lineRule="auto"/>
        <w:ind w:left="284"/>
        <w:rPr>
          <w:rFonts w:ascii="黑体" w:hAnsi="黑体" w:eastAsia="黑体"/>
          <w:strike/>
          <w:color w:val="auto"/>
          <w:szCs w:val="21"/>
        </w:rPr>
      </w:pPr>
    </w:p>
    <w:p>
      <w:pPr>
        <w:pStyle w:val="2"/>
        <w:keepNext w:val="0"/>
        <w:keepLines w:val="0"/>
        <w:pageBreakBefore/>
        <w:spacing w:before="300" w:after="240" w:line="360" w:lineRule="auto"/>
        <w:jc w:val="center"/>
        <w:rPr>
          <w:rFonts w:ascii="黑体" w:hAnsi="黑体" w:eastAsia="黑体"/>
          <w:color w:val="auto"/>
          <w:spacing w:val="20"/>
          <w:sz w:val="32"/>
          <w:szCs w:val="32"/>
        </w:rPr>
      </w:pPr>
      <w:bookmarkStart w:id="13" w:name="_Toc405313953"/>
      <w:bookmarkStart w:id="14" w:name="_Toc391627749"/>
      <w:bookmarkStart w:id="15" w:name="_Toc90980548"/>
      <w:r>
        <w:rPr>
          <w:rFonts w:hint="eastAsia" w:ascii="黑体" w:hAnsi="黑体" w:eastAsia="黑体"/>
          <w:color w:val="auto"/>
          <w:spacing w:val="20"/>
          <w:sz w:val="32"/>
          <w:szCs w:val="32"/>
        </w:rPr>
        <w:t>第三部分</w:t>
      </w:r>
      <w:r>
        <w:rPr>
          <w:rFonts w:ascii="黑体" w:hAnsi="黑体" w:eastAsia="黑体"/>
          <w:color w:val="auto"/>
          <w:spacing w:val="20"/>
          <w:sz w:val="32"/>
          <w:szCs w:val="32"/>
        </w:rPr>
        <w:t xml:space="preserve"> </w:t>
      </w:r>
      <w:r>
        <w:rPr>
          <w:rFonts w:hint="eastAsia" w:ascii="黑体" w:hAnsi="黑体" w:eastAsia="黑体"/>
          <w:color w:val="auto"/>
          <w:spacing w:val="20"/>
          <w:sz w:val="32"/>
          <w:szCs w:val="32"/>
        </w:rPr>
        <w:t>投标须知前附表</w:t>
      </w:r>
      <w:bookmarkEnd w:id="13"/>
      <w:bookmarkEnd w:id="14"/>
      <w:bookmarkEnd w:id="15"/>
    </w:p>
    <w:p>
      <w:pPr>
        <w:tabs>
          <w:tab w:val="left" w:pos="426"/>
        </w:tabs>
        <w:spacing w:after="156" w:afterLines="50" w:line="360" w:lineRule="auto"/>
        <w:ind w:firstLine="420" w:firstLineChars="200"/>
        <w:rPr>
          <w:rFonts w:ascii="黑体" w:hAnsi="黑体" w:eastAsia="黑体"/>
          <w:color w:val="auto"/>
          <w:szCs w:val="21"/>
        </w:rPr>
      </w:pPr>
      <w:r>
        <w:rPr>
          <w:rFonts w:hint="eastAsia" w:ascii="黑体" w:hAnsi="黑体" w:eastAsia="黑体"/>
          <w:color w:val="auto"/>
          <w:szCs w:val="21"/>
        </w:rPr>
        <w:t>本表的条款项号是与投标须知条款项号对应的，或增加的条款，是对第四部分《投标须知》的补充、修改和完善，如果有矛盾的话，应以本表为准。</w:t>
      </w:r>
    </w:p>
    <w:tbl>
      <w:tblPr>
        <w:tblStyle w:val="20"/>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33"/>
        <w:gridCol w:w="76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color w:val="auto"/>
                <w:szCs w:val="21"/>
                <w:lang w:val="zh-CN"/>
              </w:rPr>
            </w:pPr>
            <w:r>
              <w:rPr>
                <w:rFonts w:hint="eastAsia" w:ascii="黑体" w:hAnsi="黑体" w:eastAsia="黑体"/>
                <w:color w:val="auto"/>
                <w:szCs w:val="21"/>
              </w:rPr>
              <w:t>条款项号</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center"/>
              <w:rPr>
                <w:rFonts w:ascii="黑体" w:hAnsi="黑体" w:eastAsia="黑体"/>
                <w:color w:val="auto"/>
                <w:spacing w:val="20"/>
                <w:szCs w:val="21"/>
              </w:rPr>
            </w:pPr>
            <w:r>
              <w:rPr>
                <w:rFonts w:hint="eastAsia" w:ascii="黑体" w:hAnsi="黑体" w:eastAsia="黑体"/>
                <w:color w:val="auto"/>
                <w:spacing w:val="20"/>
                <w:szCs w:val="21"/>
              </w:rPr>
              <w:t>对应或增加的条款内容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color w:val="auto"/>
                <w:szCs w:val="21"/>
              </w:rPr>
            </w:pPr>
            <w:r>
              <w:rPr>
                <w:rFonts w:hint="eastAsia" w:ascii="黑体" w:hAnsi="黑体" w:eastAsia="黑体"/>
                <w:color w:val="auto"/>
                <w:szCs w:val="21"/>
              </w:rPr>
              <w:t>对第四部分《投标须知》的修改及补充：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color w:val="auto"/>
                <w:szCs w:val="21"/>
              </w:rPr>
            </w:pPr>
            <w:r>
              <w:rPr>
                <w:rFonts w:hint="eastAsia" w:ascii="黑体" w:hAnsi="黑体" w:eastAsia="黑体"/>
                <w:color w:val="auto"/>
                <w:szCs w:val="21"/>
              </w:rPr>
              <w:t>一</w:t>
            </w:r>
            <w:r>
              <w:rPr>
                <w:rFonts w:ascii="黑体" w:hAnsi="黑体" w:eastAsia="黑体"/>
                <w:color w:val="auto"/>
                <w:szCs w:val="21"/>
              </w:rPr>
              <w:t xml:space="preserve"> </w:t>
            </w:r>
            <w:r>
              <w:rPr>
                <w:rFonts w:hint="eastAsia" w:ascii="黑体" w:hAnsi="黑体" w:eastAsia="黑体"/>
                <w:color w:val="auto"/>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646" w:type="pct"/>
            <w:tcBorders>
              <w:top w:val="single" w:color="auto" w:sz="6" w:space="0"/>
              <w:left w:val="single" w:color="auto" w:sz="6" w:space="0"/>
              <w:bottom w:val="single" w:color="auto" w:sz="6" w:space="0"/>
              <w:right w:val="single" w:color="auto" w:sz="6" w:space="0"/>
            </w:tcBorders>
            <w:vAlign w:val="center"/>
          </w:tcPr>
          <w:p>
            <w:pPr>
              <w:spacing w:line="380" w:lineRule="exact"/>
              <w:jc w:val="left"/>
              <w:rPr>
                <w:rFonts w:ascii="黑体" w:hAnsi="黑体" w:eastAsia="黑体"/>
                <w:color w:val="auto"/>
                <w:szCs w:val="21"/>
                <w:lang w:val="zh-CN"/>
              </w:rPr>
            </w:pPr>
            <w:r>
              <w:rPr>
                <w:rFonts w:ascii="黑体" w:hAnsi="黑体" w:eastAsia="黑体"/>
                <w:color w:val="auto"/>
                <w:szCs w:val="21"/>
                <w:lang w:val="zh-CN"/>
              </w:rPr>
              <w:t>2</w:t>
            </w:r>
            <w:r>
              <w:rPr>
                <w:rFonts w:hint="eastAsia" w:ascii="黑体" w:hAnsi="黑体" w:eastAsia="黑体"/>
                <w:color w:val="auto"/>
                <w:szCs w:val="21"/>
                <w:lang w:val="zh-CN"/>
              </w:rPr>
              <w:t>.2</w:t>
            </w:r>
          </w:p>
        </w:tc>
        <w:tc>
          <w:tcPr>
            <w:tcW w:w="4353" w:type="pct"/>
            <w:tcBorders>
              <w:top w:val="single" w:color="auto" w:sz="4" w:space="0"/>
              <w:left w:val="single" w:color="auto" w:sz="6" w:space="0"/>
              <w:bottom w:val="single" w:color="auto" w:sz="4" w:space="0"/>
              <w:right w:val="single" w:color="auto" w:sz="4" w:space="0"/>
            </w:tcBorders>
            <w:vAlign w:val="center"/>
          </w:tcPr>
          <w:p>
            <w:pPr>
              <w:spacing w:line="360" w:lineRule="exact"/>
              <w:ind w:right="-183"/>
              <w:rPr>
                <w:rFonts w:ascii="黑体" w:hAnsi="黑体" w:eastAsia="黑体"/>
                <w:color w:val="auto"/>
                <w:szCs w:val="21"/>
              </w:rPr>
            </w:pPr>
            <w:r>
              <w:rPr>
                <w:rFonts w:hint="eastAsia" w:ascii="黑体" w:hAnsi="黑体" w:eastAsia="黑体"/>
                <w:color w:val="auto"/>
                <w:szCs w:val="21"/>
              </w:rPr>
              <w:t>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8" w:hRule="atLeast"/>
          <w:jc w:val="center"/>
        </w:trPr>
        <w:tc>
          <w:tcPr>
            <w:tcW w:w="646" w:type="pct"/>
            <w:tcBorders>
              <w:top w:val="single" w:color="auto" w:sz="6" w:space="0"/>
              <w:left w:val="single" w:color="auto" w:sz="6" w:space="0"/>
              <w:bottom w:val="single" w:color="auto" w:sz="6" w:space="0"/>
              <w:right w:val="single" w:color="auto" w:sz="6" w:space="0"/>
            </w:tcBorders>
            <w:vAlign w:val="center"/>
          </w:tcPr>
          <w:p>
            <w:pPr>
              <w:spacing w:line="380" w:lineRule="exact"/>
              <w:jc w:val="left"/>
              <w:rPr>
                <w:rFonts w:ascii="黑体" w:hAnsi="黑体" w:eastAsia="黑体"/>
                <w:color w:val="auto"/>
                <w:szCs w:val="21"/>
                <w:lang w:val="zh-CN"/>
              </w:rPr>
            </w:pPr>
            <w:r>
              <w:rPr>
                <w:rFonts w:ascii="黑体" w:hAnsi="黑体" w:eastAsia="黑体"/>
                <w:color w:val="auto"/>
                <w:szCs w:val="21"/>
                <w:lang w:val="zh-CN"/>
              </w:rPr>
              <w:t>3</w:t>
            </w:r>
            <w:r>
              <w:rPr>
                <w:rFonts w:hint="eastAsia" w:ascii="黑体" w:hAnsi="黑体" w:eastAsia="黑体"/>
                <w:color w:val="auto"/>
                <w:szCs w:val="21"/>
                <w:lang w:val="zh-CN"/>
              </w:rPr>
              <w:t>.1</w:t>
            </w:r>
          </w:p>
        </w:tc>
        <w:tc>
          <w:tcPr>
            <w:tcW w:w="4353" w:type="pct"/>
            <w:tcBorders>
              <w:top w:val="single" w:color="auto" w:sz="4" w:space="0"/>
              <w:left w:val="single" w:color="auto" w:sz="6" w:space="0"/>
              <w:bottom w:val="single" w:color="auto" w:sz="4" w:space="0"/>
              <w:right w:val="single" w:color="auto" w:sz="4" w:space="0"/>
            </w:tcBorders>
            <w:vAlign w:val="center"/>
          </w:tcPr>
          <w:p>
            <w:pPr>
              <w:tabs>
                <w:tab w:val="left" w:pos="567"/>
              </w:tabs>
              <w:spacing w:line="360" w:lineRule="auto"/>
              <w:rPr>
                <w:rFonts w:ascii="黑体" w:hAnsi="黑体" w:eastAsia="黑体"/>
                <w:color w:val="auto"/>
                <w:szCs w:val="21"/>
                <w:u w:val="single"/>
              </w:rPr>
            </w:pPr>
            <w:r>
              <w:rPr>
                <w:rFonts w:ascii="黑体" w:hAnsi="黑体" w:eastAsia="黑体"/>
                <w:color w:val="auto"/>
                <w:szCs w:val="21"/>
              </w:rPr>
              <w:t>“采购人”是指：</w:t>
            </w:r>
            <w:r>
              <w:rPr>
                <w:rFonts w:hint="eastAsia" w:ascii="黑体" w:hAnsi="黑体" w:eastAsia="黑体"/>
                <w:color w:val="auto"/>
                <w:szCs w:val="21"/>
              </w:rPr>
              <w:t>东莞市大岭山森林公园</w:t>
            </w:r>
          </w:p>
          <w:p>
            <w:pPr>
              <w:tabs>
                <w:tab w:val="left" w:pos="567"/>
              </w:tabs>
              <w:spacing w:line="360" w:lineRule="auto"/>
              <w:rPr>
                <w:rFonts w:ascii="黑体" w:hAnsi="黑体" w:eastAsia="黑体"/>
                <w:color w:val="auto"/>
                <w:szCs w:val="21"/>
              </w:rPr>
            </w:pPr>
            <w:r>
              <w:rPr>
                <w:rFonts w:hint="eastAsia" w:ascii="黑体" w:hAnsi="黑体" w:eastAsia="黑体"/>
                <w:color w:val="auto"/>
                <w:szCs w:val="21"/>
              </w:rPr>
              <w:t>采购人联系人：谭秉章</w:t>
            </w:r>
          </w:p>
          <w:p>
            <w:pPr>
              <w:tabs>
                <w:tab w:val="left" w:pos="567"/>
              </w:tabs>
              <w:spacing w:line="360" w:lineRule="auto"/>
              <w:rPr>
                <w:rFonts w:ascii="黑体" w:hAnsi="黑体" w:eastAsia="黑体"/>
                <w:color w:val="auto"/>
                <w:szCs w:val="21"/>
              </w:rPr>
            </w:pPr>
            <w:r>
              <w:rPr>
                <w:rFonts w:hint="eastAsia" w:ascii="黑体" w:hAnsi="黑体" w:eastAsia="黑体"/>
                <w:color w:val="auto"/>
                <w:szCs w:val="21"/>
              </w:rPr>
              <w:t>电</w:t>
            </w:r>
            <w:r>
              <w:rPr>
                <w:rFonts w:ascii="黑体" w:hAnsi="黑体" w:eastAsia="黑体"/>
                <w:color w:val="auto"/>
                <w:szCs w:val="21"/>
              </w:rPr>
              <w:t xml:space="preserve">  </w:t>
            </w:r>
            <w:r>
              <w:rPr>
                <w:rFonts w:hint="eastAsia" w:ascii="黑体" w:hAnsi="黑体" w:eastAsia="黑体"/>
                <w:color w:val="auto"/>
                <w:szCs w:val="21"/>
              </w:rPr>
              <w:t>话：0796-85551004</w:t>
            </w:r>
          </w:p>
          <w:p>
            <w:pPr>
              <w:tabs>
                <w:tab w:val="left" w:pos="567"/>
              </w:tabs>
              <w:spacing w:line="360" w:lineRule="auto"/>
              <w:rPr>
                <w:rFonts w:ascii="黑体" w:hAnsi="黑体" w:eastAsia="黑体"/>
                <w:color w:val="auto"/>
                <w:szCs w:val="21"/>
              </w:rPr>
            </w:pPr>
            <w:r>
              <w:rPr>
                <w:rFonts w:hint="eastAsia" w:ascii="黑体" w:hAnsi="黑体" w:eastAsia="黑体"/>
                <w:color w:val="auto"/>
                <w:szCs w:val="21"/>
              </w:rPr>
              <w:t>地</w:t>
            </w:r>
            <w:r>
              <w:rPr>
                <w:rFonts w:ascii="黑体" w:hAnsi="黑体" w:eastAsia="黑体"/>
                <w:color w:val="auto"/>
                <w:szCs w:val="21"/>
              </w:rPr>
              <w:t xml:space="preserve">  </w:t>
            </w:r>
            <w:r>
              <w:rPr>
                <w:rFonts w:hint="eastAsia" w:ascii="黑体" w:hAnsi="黑体" w:eastAsia="黑体"/>
                <w:color w:val="auto"/>
                <w:szCs w:val="21"/>
              </w:rPr>
              <w:t>址：</w:t>
            </w:r>
            <w:r>
              <w:rPr>
                <w:rFonts w:hint="eastAsia" w:ascii="黑体" w:hAnsi="黑体" w:eastAsia="黑体"/>
                <w:bCs/>
                <w:color w:val="auto"/>
                <w:szCs w:val="21"/>
              </w:rPr>
              <w:t xml:space="preserve">东莞市虎门镇怀德村远丰大岭山森林公园入口广场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646" w:type="pct"/>
            <w:tcBorders>
              <w:top w:val="single" w:color="auto" w:sz="6" w:space="0"/>
              <w:left w:val="single" w:color="auto" w:sz="6" w:space="0"/>
              <w:bottom w:val="single" w:color="auto" w:sz="6" w:space="0"/>
              <w:right w:val="single" w:color="auto" w:sz="6" w:space="0"/>
            </w:tcBorders>
            <w:vAlign w:val="center"/>
          </w:tcPr>
          <w:p>
            <w:pPr>
              <w:spacing w:line="380" w:lineRule="exact"/>
              <w:jc w:val="left"/>
              <w:rPr>
                <w:rFonts w:ascii="黑体" w:hAnsi="黑体" w:eastAsia="黑体"/>
                <w:color w:val="auto"/>
                <w:szCs w:val="21"/>
                <w:lang w:val="zh-CN"/>
              </w:rPr>
            </w:pPr>
            <w:r>
              <w:rPr>
                <w:rFonts w:ascii="黑体" w:hAnsi="黑体" w:eastAsia="黑体"/>
                <w:color w:val="auto"/>
                <w:szCs w:val="21"/>
                <w:lang w:val="zh-CN"/>
              </w:rPr>
              <w:t>3</w:t>
            </w:r>
            <w:r>
              <w:rPr>
                <w:rFonts w:hint="eastAsia" w:ascii="黑体" w:hAnsi="黑体" w:eastAsia="黑体"/>
                <w:color w:val="auto"/>
                <w:szCs w:val="21"/>
                <w:lang w:val="zh-CN"/>
              </w:rPr>
              <w:t>.</w:t>
            </w:r>
            <w:r>
              <w:rPr>
                <w:rFonts w:ascii="黑体" w:hAnsi="黑体" w:eastAsia="黑体"/>
                <w:color w:val="auto"/>
                <w:szCs w:val="21"/>
                <w:lang w:val="zh-CN"/>
              </w:rPr>
              <w:t>2</w:t>
            </w:r>
          </w:p>
        </w:tc>
        <w:tc>
          <w:tcPr>
            <w:tcW w:w="4353" w:type="pct"/>
            <w:tcBorders>
              <w:top w:val="single" w:color="auto" w:sz="4" w:space="0"/>
              <w:left w:val="single" w:color="auto" w:sz="6" w:space="0"/>
              <w:bottom w:val="single" w:color="auto" w:sz="4" w:space="0"/>
              <w:right w:val="single" w:color="auto" w:sz="4" w:space="0"/>
            </w:tcBorders>
            <w:vAlign w:val="center"/>
          </w:tcPr>
          <w:p>
            <w:pPr>
              <w:spacing w:line="360" w:lineRule="exact"/>
              <w:ind w:right="-183"/>
              <w:rPr>
                <w:rFonts w:ascii="黑体" w:hAnsi="黑体" w:eastAsia="黑体"/>
                <w:color w:val="auto"/>
                <w:szCs w:val="21"/>
              </w:rPr>
            </w:pPr>
            <w:r>
              <w:rPr>
                <w:rFonts w:ascii="黑体" w:hAnsi="黑体" w:eastAsia="黑体"/>
                <w:color w:val="auto"/>
                <w:szCs w:val="21"/>
              </w:rPr>
              <w:t>“采购代理机构”是指：</w:t>
            </w:r>
            <w:r>
              <w:rPr>
                <w:rFonts w:hint="eastAsia" w:ascii="黑体" w:hAnsi="黑体" w:eastAsia="黑体"/>
                <w:color w:val="auto"/>
                <w:szCs w:val="21"/>
              </w:rPr>
              <w:t>广东有德招标采购有限公司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color w:val="auto"/>
                <w:szCs w:val="21"/>
              </w:rPr>
            </w:pPr>
            <w:r>
              <w:rPr>
                <w:rFonts w:hint="eastAsia" w:ascii="黑体" w:hAnsi="黑体" w:eastAsia="黑体"/>
                <w:color w:val="auto"/>
                <w:szCs w:val="21"/>
              </w:rPr>
              <w:t>二</w:t>
            </w:r>
            <w:r>
              <w:rPr>
                <w:rFonts w:ascii="黑体" w:hAnsi="黑体" w:eastAsia="黑体"/>
                <w:color w:val="auto"/>
                <w:szCs w:val="21"/>
              </w:rPr>
              <w:t xml:space="preserve"> </w:t>
            </w:r>
            <w:r>
              <w:rPr>
                <w:rFonts w:hint="eastAsia" w:ascii="黑体" w:hAnsi="黑体" w:eastAsia="黑体"/>
                <w:color w:val="auto"/>
                <w:szCs w:val="21"/>
              </w:rPr>
              <w:t>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color w:val="auto"/>
                <w:szCs w:val="21"/>
              </w:rPr>
            </w:pPr>
            <w:r>
              <w:rPr>
                <w:rFonts w:ascii="黑体" w:hAnsi="黑体" w:eastAsia="黑体"/>
                <w:color w:val="auto"/>
                <w:szCs w:val="21"/>
              </w:rPr>
              <w:t>8</w:t>
            </w:r>
            <w:r>
              <w:rPr>
                <w:rFonts w:hint="eastAsia" w:ascii="黑体" w:hAnsi="黑体" w:eastAsia="黑体"/>
                <w:color w:val="auto"/>
                <w:szCs w:val="21"/>
              </w:rPr>
              <w:t>.1</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color w:val="auto"/>
                <w:szCs w:val="21"/>
              </w:rPr>
            </w:pPr>
            <w:r>
              <w:rPr>
                <w:rFonts w:hint="eastAsia" w:ascii="黑体" w:hAnsi="黑体" w:eastAsia="黑体"/>
                <w:bCs/>
                <w:color w:val="auto"/>
                <w:szCs w:val="21"/>
              </w:rPr>
              <w:t>答疑会或现场考察：本项目不集中举行答疑会或现场考察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bCs/>
                <w:color w:val="auto"/>
                <w:szCs w:val="21"/>
              </w:rPr>
            </w:pPr>
            <w:r>
              <w:rPr>
                <w:rFonts w:hint="eastAsia" w:ascii="黑体" w:hAnsi="黑体" w:eastAsia="黑体"/>
                <w:bCs/>
                <w:color w:val="auto"/>
                <w:szCs w:val="21"/>
              </w:rPr>
              <w:t>三</w:t>
            </w:r>
            <w:r>
              <w:rPr>
                <w:rFonts w:ascii="黑体" w:hAnsi="黑体" w:eastAsia="黑体"/>
                <w:bCs/>
                <w:color w:val="auto"/>
                <w:szCs w:val="21"/>
              </w:rPr>
              <w:t xml:space="preserve"> </w:t>
            </w:r>
            <w:r>
              <w:rPr>
                <w:rFonts w:hint="eastAsia" w:ascii="黑体" w:hAnsi="黑体" w:eastAsia="黑体"/>
                <w:bCs/>
                <w:color w:val="auto"/>
                <w:szCs w:val="21"/>
              </w:rPr>
              <w:t>投标文件的编制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color w:val="auto"/>
                <w:szCs w:val="21"/>
              </w:rPr>
            </w:pPr>
            <w:r>
              <w:rPr>
                <w:rFonts w:hint="eastAsia" w:ascii="黑体" w:hAnsi="黑体" w:eastAsia="黑体"/>
                <w:color w:val="auto"/>
                <w:szCs w:val="21"/>
              </w:rPr>
              <w:t>1</w:t>
            </w:r>
            <w:r>
              <w:rPr>
                <w:rFonts w:ascii="黑体" w:hAnsi="黑体" w:eastAsia="黑体"/>
                <w:color w:val="auto"/>
                <w:szCs w:val="21"/>
              </w:rPr>
              <w:t>2.5</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bCs/>
                <w:color w:val="auto"/>
                <w:spacing w:val="-4"/>
                <w:szCs w:val="21"/>
              </w:rPr>
            </w:pPr>
            <w:r>
              <w:rPr>
                <w:rFonts w:hint="eastAsia" w:ascii="黑体" w:hAnsi="黑体" w:eastAsia="黑体"/>
                <w:bCs/>
                <w:color w:val="auto"/>
                <w:spacing w:val="-4"/>
                <w:szCs w:val="21"/>
              </w:rPr>
              <w:t>投标人所报的投标价在合同执行过程中是固定不变的，不得以任何理由予以变更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color w:val="auto"/>
                <w:szCs w:val="21"/>
              </w:rPr>
            </w:pPr>
            <w:r>
              <w:rPr>
                <w:rFonts w:ascii="黑体" w:hAnsi="黑体" w:eastAsia="黑体"/>
                <w:color w:val="auto"/>
                <w:szCs w:val="21"/>
              </w:rPr>
              <w:t>12.6</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bCs/>
                <w:color w:val="auto"/>
                <w:szCs w:val="21"/>
              </w:rPr>
            </w:pPr>
            <w:r>
              <w:rPr>
                <w:rFonts w:hint="eastAsia" w:ascii="黑体" w:hAnsi="黑体" w:eastAsia="黑体"/>
                <w:bCs/>
                <w:color w:val="auto"/>
                <w:spacing w:val="-4"/>
                <w:szCs w:val="21"/>
              </w:rPr>
              <w:t>不允许有备选方案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color w:val="auto"/>
                <w:szCs w:val="21"/>
              </w:rPr>
            </w:pPr>
            <w:r>
              <w:rPr>
                <w:rFonts w:ascii="黑体" w:hAnsi="黑体" w:eastAsia="黑体"/>
                <w:color w:val="auto"/>
                <w:szCs w:val="21"/>
              </w:rPr>
              <w:t>12.7</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bCs/>
                <w:color w:val="auto"/>
                <w:szCs w:val="21"/>
              </w:rPr>
            </w:pPr>
            <w:r>
              <w:rPr>
                <w:rFonts w:hint="eastAsia" w:ascii="黑体" w:hAnsi="黑体" w:eastAsia="黑体"/>
                <w:bCs/>
                <w:color w:val="auto"/>
                <w:spacing w:val="-4"/>
                <w:szCs w:val="21"/>
              </w:rPr>
              <w:t>不允许附加条件报价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bCs/>
                <w:color w:val="auto"/>
                <w:spacing w:val="-4"/>
                <w:szCs w:val="21"/>
              </w:rPr>
            </w:pPr>
            <w:r>
              <w:rPr>
                <w:rFonts w:ascii="黑体" w:hAnsi="黑体" w:eastAsia="黑体"/>
                <w:bCs/>
                <w:color w:val="auto"/>
                <w:spacing w:val="-4"/>
                <w:szCs w:val="21"/>
              </w:rPr>
              <w:t>17</w:t>
            </w:r>
            <w:r>
              <w:rPr>
                <w:rFonts w:hint="eastAsia" w:ascii="黑体" w:hAnsi="黑体" w:eastAsia="黑体"/>
                <w:bCs/>
                <w:color w:val="auto"/>
                <w:spacing w:val="-4"/>
                <w:szCs w:val="21"/>
              </w:rPr>
              <w:t>.1</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rPr>
                <w:rFonts w:ascii="黑体" w:hAnsi="黑体" w:eastAsia="黑体"/>
                <w:bCs/>
                <w:color w:val="auto"/>
                <w:spacing w:val="-4"/>
                <w:szCs w:val="21"/>
              </w:rPr>
            </w:pPr>
            <w:r>
              <w:rPr>
                <w:rFonts w:hint="eastAsia" w:ascii="黑体" w:hAnsi="黑体" w:eastAsia="黑体"/>
                <w:bCs/>
                <w:color w:val="auto"/>
                <w:spacing w:val="-4"/>
                <w:szCs w:val="21"/>
              </w:rPr>
              <w:t>投标人投标时须</w:t>
            </w:r>
            <w:r>
              <w:rPr>
                <w:rFonts w:ascii="黑体" w:hAnsi="黑体" w:eastAsia="黑体"/>
                <w:bCs/>
                <w:color w:val="auto"/>
                <w:spacing w:val="-4"/>
                <w:szCs w:val="21"/>
              </w:rPr>
              <w:t>附有</w:t>
            </w:r>
            <w:r>
              <w:rPr>
                <w:rFonts w:hint="eastAsia" w:ascii="黑体" w:hAnsi="黑体" w:eastAsia="黑体"/>
                <w:bCs/>
                <w:color w:val="auto"/>
                <w:spacing w:val="-4"/>
                <w:szCs w:val="21"/>
              </w:rPr>
              <w:t>投标保证金为：</w:t>
            </w:r>
            <w:r>
              <w:rPr>
                <w:rFonts w:ascii="黑体" w:hAnsi="黑体" w:eastAsia="黑体"/>
                <w:bCs/>
                <w:color w:val="auto"/>
                <w:spacing w:val="-4"/>
                <w:szCs w:val="21"/>
                <w:u w:val="single"/>
              </w:rPr>
              <w:t>￥</w:t>
            </w:r>
            <w:r>
              <w:rPr>
                <w:rFonts w:hint="eastAsia" w:ascii="黑体" w:hAnsi="黑体" w:eastAsia="黑体"/>
                <w:bCs/>
                <w:color w:val="auto"/>
                <w:spacing w:val="-4"/>
                <w:szCs w:val="21"/>
                <w:u w:val="single"/>
              </w:rPr>
              <w:t>1</w:t>
            </w:r>
            <w:r>
              <w:rPr>
                <w:rFonts w:ascii="黑体" w:hAnsi="黑体" w:eastAsia="黑体"/>
                <w:bCs/>
                <w:color w:val="auto"/>
                <w:spacing w:val="-4"/>
                <w:szCs w:val="21"/>
                <w:u w:val="single"/>
              </w:rPr>
              <w:t xml:space="preserve">0,000.00元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bCs/>
                <w:color w:val="auto"/>
                <w:spacing w:val="-4"/>
                <w:szCs w:val="21"/>
              </w:rPr>
            </w:pPr>
            <w:r>
              <w:rPr>
                <w:rFonts w:hint="eastAsia" w:ascii="黑体" w:hAnsi="黑体" w:eastAsia="黑体"/>
                <w:bCs/>
                <w:color w:val="auto"/>
                <w:spacing w:val="-4"/>
                <w:szCs w:val="21"/>
              </w:rPr>
              <w:t>1</w:t>
            </w:r>
            <w:r>
              <w:rPr>
                <w:rFonts w:ascii="黑体" w:hAnsi="黑体" w:eastAsia="黑体"/>
                <w:bCs/>
                <w:color w:val="auto"/>
                <w:spacing w:val="-4"/>
                <w:szCs w:val="21"/>
              </w:rPr>
              <w:t>7</w:t>
            </w:r>
            <w:r>
              <w:rPr>
                <w:rFonts w:hint="eastAsia" w:ascii="黑体" w:hAnsi="黑体" w:eastAsia="黑体"/>
                <w:bCs/>
                <w:color w:val="auto"/>
                <w:spacing w:val="-4"/>
                <w:szCs w:val="21"/>
              </w:rPr>
              <w:t>.2</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黑体" w:eastAsia="黑体"/>
                <w:bCs/>
                <w:color w:val="auto"/>
                <w:szCs w:val="21"/>
              </w:rPr>
            </w:pPr>
            <w:r>
              <w:rPr>
                <w:rFonts w:hint="eastAsia" w:ascii="黑体" w:hAnsi="黑体" w:eastAsia="黑体"/>
                <w:bCs/>
                <w:color w:val="auto"/>
                <w:szCs w:val="21"/>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bCs/>
                <w:color w:val="auto"/>
                <w:spacing w:val="-4"/>
                <w:szCs w:val="21"/>
              </w:rPr>
            </w:pPr>
            <w:r>
              <w:rPr>
                <w:rFonts w:hint="eastAsia" w:ascii="黑体" w:hAnsi="黑体" w:eastAsia="黑体"/>
                <w:bCs/>
                <w:color w:val="auto"/>
                <w:szCs w:val="21"/>
              </w:rPr>
              <w:t>1</w:t>
            </w:r>
            <w:r>
              <w:rPr>
                <w:rFonts w:ascii="黑体" w:hAnsi="黑体" w:eastAsia="黑体"/>
                <w:bCs/>
                <w:color w:val="auto"/>
                <w:szCs w:val="21"/>
              </w:rPr>
              <w:t>7</w:t>
            </w:r>
            <w:r>
              <w:rPr>
                <w:rFonts w:hint="eastAsia" w:ascii="黑体" w:hAnsi="黑体" w:eastAsia="黑体"/>
                <w:bCs/>
                <w:color w:val="auto"/>
                <w:szCs w:val="21"/>
              </w:rPr>
              <w:t>.3</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黑体" w:eastAsia="黑体"/>
                <w:bCs/>
                <w:color w:val="auto"/>
                <w:szCs w:val="21"/>
              </w:rPr>
            </w:pPr>
            <w:r>
              <w:rPr>
                <w:rFonts w:hint="eastAsia" w:ascii="黑体" w:hAnsi="黑体" w:eastAsia="黑体"/>
                <w:bCs/>
                <w:color w:val="auto"/>
                <w:szCs w:val="21"/>
              </w:rPr>
              <w:t>投标人应按要求提交投标担保，投标人应当以银行转账、电汇或《政府采购投标担保函》形式缴交，投标人与交款人名称必须一致，非投标人缴纳的投标保证金无效。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exact"/>
              <w:ind w:right="-183"/>
              <w:jc w:val="left"/>
              <w:rPr>
                <w:rFonts w:ascii="黑体" w:hAnsi="黑体" w:eastAsia="黑体"/>
                <w:bCs/>
                <w:color w:val="auto"/>
                <w:spacing w:val="-4"/>
                <w:szCs w:val="21"/>
              </w:rPr>
            </w:pPr>
            <w:r>
              <w:rPr>
                <w:rFonts w:ascii="黑体" w:hAnsi="黑体" w:eastAsia="黑体"/>
                <w:bCs/>
                <w:color w:val="auto"/>
                <w:spacing w:val="-4"/>
                <w:szCs w:val="21"/>
              </w:rPr>
              <w:t>17</w:t>
            </w:r>
            <w:r>
              <w:rPr>
                <w:rFonts w:hint="eastAsia" w:ascii="黑体" w:hAnsi="黑体" w:eastAsia="黑体"/>
                <w:bCs/>
                <w:color w:val="auto"/>
                <w:spacing w:val="-4"/>
                <w:szCs w:val="21"/>
              </w:rPr>
              <w:t>.5.1</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黑体" w:hAnsi="黑体" w:eastAsia="黑体"/>
                <w:bCs/>
                <w:color w:val="auto"/>
                <w:szCs w:val="21"/>
              </w:rPr>
            </w:pPr>
            <w:r>
              <w:rPr>
                <w:rFonts w:hint="eastAsia" w:ascii="黑体" w:hAnsi="黑体" w:eastAsia="黑体"/>
                <w:bCs/>
                <w:color w:val="auto"/>
                <w:szCs w:val="21"/>
              </w:rPr>
              <w:t>投标保证金以转账形式递交的，请务必按以下信息填写汇款单：</w:t>
            </w:r>
          </w:p>
          <w:p>
            <w:pPr>
              <w:spacing w:line="360" w:lineRule="exact"/>
              <w:ind w:right="-183"/>
              <w:rPr>
                <w:rFonts w:ascii="黑体" w:hAnsi="黑体" w:eastAsia="黑体"/>
                <w:bCs/>
                <w:color w:val="auto"/>
                <w:szCs w:val="21"/>
              </w:rPr>
            </w:pPr>
            <w:r>
              <w:rPr>
                <w:rFonts w:hint="eastAsia" w:ascii="黑体" w:hAnsi="黑体" w:eastAsia="黑体"/>
                <w:bCs/>
                <w:color w:val="auto"/>
                <w:szCs w:val="21"/>
              </w:rPr>
              <w:t>账户名称：广东有德招标采购有限公司东莞分公司</w:t>
            </w:r>
          </w:p>
          <w:p>
            <w:pPr>
              <w:spacing w:line="360" w:lineRule="exact"/>
              <w:ind w:right="-183"/>
              <w:rPr>
                <w:rFonts w:ascii="黑体" w:hAnsi="黑体" w:eastAsia="黑体"/>
                <w:bCs/>
                <w:color w:val="auto"/>
                <w:szCs w:val="21"/>
              </w:rPr>
            </w:pPr>
            <w:r>
              <w:rPr>
                <w:rFonts w:hint="eastAsia" w:ascii="黑体" w:hAnsi="黑体" w:eastAsia="黑体"/>
                <w:bCs/>
                <w:color w:val="auto"/>
                <w:szCs w:val="21"/>
              </w:rPr>
              <w:t>账号：550010190010000142</w:t>
            </w:r>
          </w:p>
          <w:p>
            <w:pPr>
              <w:spacing w:line="360" w:lineRule="exact"/>
              <w:ind w:right="-183"/>
              <w:rPr>
                <w:rFonts w:ascii="黑体" w:hAnsi="黑体" w:eastAsia="黑体"/>
                <w:bCs/>
                <w:color w:val="auto"/>
                <w:szCs w:val="21"/>
              </w:rPr>
            </w:pPr>
            <w:r>
              <w:rPr>
                <w:rFonts w:hint="eastAsia" w:ascii="黑体" w:hAnsi="黑体" w:eastAsia="黑体"/>
                <w:bCs/>
                <w:color w:val="auto"/>
                <w:szCs w:val="21"/>
              </w:rPr>
              <w:t>开户行：东莞农村商业银行滨海湾新区支行营业部</w:t>
            </w:r>
          </w:p>
          <w:p>
            <w:pPr>
              <w:spacing w:line="360" w:lineRule="exact"/>
              <w:ind w:right="-183"/>
              <w:rPr>
                <w:rFonts w:ascii="黑体" w:hAnsi="黑体" w:eastAsia="黑体"/>
                <w:b/>
                <w:bCs/>
                <w:color w:val="auto"/>
                <w:spacing w:val="-4"/>
                <w:szCs w:val="21"/>
              </w:rPr>
            </w:pPr>
            <w:r>
              <w:rPr>
                <w:rFonts w:ascii="黑体" w:hAnsi="黑体" w:eastAsia="黑体"/>
                <w:b/>
                <w:bCs/>
                <w:color w:val="auto"/>
                <w:szCs w:val="21"/>
              </w:rPr>
              <w:t>[</w:t>
            </w:r>
            <w:r>
              <w:rPr>
                <w:rFonts w:hint="eastAsia" w:ascii="黑体" w:hAnsi="黑体" w:eastAsia="黑体"/>
                <w:b/>
                <w:bCs/>
                <w:color w:val="auto"/>
                <w:szCs w:val="21"/>
              </w:rPr>
              <w:t>各投标人在转账或电汇时须在用途栏上写明项目编号及包号</w:t>
            </w:r>
            <w:r>
              <w:rPr>
                <w:rFonts w:ascii="黑体" w:hAnsi="黑体" w:eastAsia="黑体"/>
                <w:b/>
                <w:bCs/>
                <w:color w:val="auto"/>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黑体" w:eastAsia="黑体"/>
                <w:color w:val="auto"/>
                <w:szCs w:val="21"/>
                <w:lang w:val="zh-CN"/>
              </w:rPr>
            </w:pPr>
            <w:r>
              <w:rPr>
                <w:rFonts w:ascii="黑体" w:hAnsi="黑体" w:eastAsia="黑体"/>
                <w:color w:val="auto"/>
                <w:szCs w:val="21"/>
                <w:lang w:val="zh-CN"/>
              </w:rPr>
              <w:t>18</w:t>
            </w:r>
            <w:r>
              <w:rPr>
                <w:rFonts w:hint="eastAsia" w:ascii="黑体" w:hAnsi="黑体" w:eastAsia="黑体"/>
                <w:color w:val="auto"/>
                <w:szCs w:val="21"/>
                <w:lang w:val="zh-CN"/>
              </w:rPr>
              <w:t>.1</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80" w:lineRule="exact"/>
              <w:ind w:right="-40"/>
              <w:rPr>
                <w:rFonts w:ascii="黑体" w:hAnsi="黑体" w:eastAsia="黑体"/>
                <w:color w:val="auto"/>
                <w:szCs w:val="21"/>
                <w:lang w:val="zh-CN"/>
              </w:rPr>
            </w:pPr>
            <w:r>
              <w:rPr>
                <w:rFonts w:hint="eastAsia" w:ascii="黑体" w:hAnsi="黑体" w:eastAsia="黑体"/>
                <w:color w:val="auto"/>
                <w:szCs w:val="21"/>
                <w:lang w:val="zh-CN"/>
              </w:rPr>
              <w:t>投标有效期：递交投标文件截止日后</w:t>
            </w:r>
            <w:r>
              <w:rPr>
                <w:rFonts w:ascii="黑体" w:hAnsi="黑体" w:eastAsia="黑体"/>
                <w:color w:val="auto"/>
                <w:szCs w:val="21"/>
                <w:u w:val="single"/>
                <w:lang w:val="zh-CN"/>
              </w:rPr>
              <w:t xml:space="preserve"> 90 </w:t>
            </w:r>
            <w:r>
              <w:rPr>
                <w:rFonts w:hint="eastAsia" w:ascii="黑体" w:hAnsi="黑体" w:eastAsia="黑体"/>
                <w:color w:val="auto"/>
                <w:szCs w:val="21"/>
                <w:lang w:val="zh-CN"/>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黑体" w:eastAsia="黑体"/>
                <w:color w:val="auto"/>
                <w:szCs w:val="21"/>
                <w:lang w:val="zh-CN"/>
              </w:rPr>
            </w:pPr>
            <w:r>
              <w:rPr>
                <w:rFonts w:ascii="黑体" w:hAnsi="黑体" w:eastAsia="黑体"/>
                <w:color w:val="auto"/>
                <w:szCs w:val="21"/>
                <w:lang w:val="zh-CN"/>
              </w:rPr>
              <w:t>19</w:t>
            </w:r>
            <w:r>
              <w:rPr>
                <w:rFonts w:hint="eastAsia" w:ascii="黑体" w:hAnsi="黑体" w:eastAsia="黑体"/>
                <w:color w:val="auto"/>
                <w:szCs w:val="21"/>
                <w:lang w:val="zh-CN"/>
              </w:rPr>
              <w:t>.1</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80" w:lineRule="exact"/>
              <w:ind w:right="-4"/>
              <w:rPr>
                <w:rFonts w:ascii="黑体" w:hAnsi="黑体" w:eastAsia="黑体"/>
                <w:color w:val="auto"/>
                <w:szCs w:val="21"/>
                <w:lang w:val="zh-CN"/>
              </w:rPr>
            </w:pPr>
            <w:r>
              <w:rPr>
                <w:rFonts w:hint="eastAsia" w:ascii="黑体" w:hAnsi="黑体" w:eastAsia="黑体"/>
                <w:color w:val="auto"/>
                <w:szCs w:val="21"/>
                <w:lang w:val="zh-CN"/>
              </w:rPr>
              <w:t>投标文件份数：</w:t>
            </w:r>
            <w:r>
              <w:rPr>
                <w:rFonts w:ascii="黑体" w:hAnsi="黑体" w:eastAsia="黑体"/>
                <w:color w:val="auto"/>
                <w:szCs w:val="21"/>
                <w:lang w:val="zh-CN"/>
              </w:rPr>
              <w:t>正本一份，副本</w:t>
            </w:r>
            <w:r>
              <w:rPr>
                <w:rFonts w:hint="eastAsia" w:ascii="黑体" w:hAnsi="黑体" w:eastAsia="黑体"/>
                <w:color w:val="auto"/>
                <w:szCs w:val="21"/>
                <w:lang w:val="zh-CN"/>
              </w:rPr>
              <w:t>五</w:t>
            </w:r>
            <w:r>
              <w:rPr>
                <w:rFonts w:ascii="黑体" w:hAnsi="黑体" w:eastAsia="黑体"/>
                <w:color w:val="auto"/>
                <w:szCs w:val="21"/>
                <w:lang w:val="zh-CN"/>
              </w:rPr>
              <w:t>份，电子文件</w:t>
            </w:r>
            <w:r>
              <w:rPr>
                <w:rFonts w:hint="eastAsia" w:ascii="黑体" w:hAnsi="黑体" w:eastAsia="黑体"/>
                <w:color w:val="auto"/>
                <w:szCs w:val="21"/>
                <w:lang w:val="zh-CN"/>
              </w:rPr>
              <w:t>一</w:t>
            </w:r>
            <w:r>
              <w:rPr>
                <w:rFonts w:ascii="黑体" w:hAnsi="黑体" w:eastAsia="黑体"/>
                <w:color w:val="auto"/>
                <w:szCs w:val="21"/>
                <w:lang w:val="zh-CN"/>
              </w:rPr>
              <w:t>份</w:t>
            </w:r>
            <w:r>
              <w:rPr>
                <w:rFonts w:hint="eastAsia" w:ascii="黑体" w:hAnsi="黑体" w:eastAsia="黑体"/>
                <w:color w:val="auto"/>
                <w:szCs w:val="21"/>
                <w:lang w:val="zh-CN"/>
              </w:rPr>
              <w:t>，唱标信封一个。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line="380" w:lineRule="exact"/>
              <w:ind w:right="-4"/>
              <w:rPr>
                <w:rFonts w:ascii="黑体" w:hAnsi="黑体" w:eastAsia="黑体"/>
                <w:color w:val="auto"/>
                <w:szCs w:val="21"/>
                <w:lang w:val="zh-CN"/>
              </w:rPr>
            </w:pPr>
            <w:r>
              <w:rPr>
                <w:rFonts w:hint="eastAsia" w:ascii="黑体" w:hAnsi="黑体" w:eastAsia="黑体"/>
                <w:color w:val="auto"/>
                <w:szCs w:val="21"/>
                <w:lang w:val="zh-CN"/>
              </w:rPr>
              <w:t>五</w:t>
            </w:r>
            <w:r>
              <w:rPr>
                <w:rFonts w:ascii="黑体" w:hAnsi="黑体" w:eastAsia="黑体"/>
                <w:color w:val="auto"/>
                <w:szCs w:val="21"/>
                <w:lang w:val="zh-CN"/>
              </w:rPr>
              <w:t xml:space="preserve"> </w:t>
            </w:r>
            <w:r>
              <w:rPr>
                <w:rFonts w:hint="eastAsia" w:ascii="黑体" w:hAnsi="黑体" w:eastAsia="黑体"/>
                <w:color w:val="auto"/>
                <w:szCs w:val="21"/>
                <w:lang w:val="zh-CN"/>
              </w:rPr>
              <w:t>开标与评标准则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80" w:lineRule="exact"/>
              <w:ind w:right="-4"/>
              <w:jc w:val="left"/>
              <w:rPr>
                <w:rFonts w:ascii="黑体" w:hAnsi="黑体" w:eastAsia="黑体"/>
                <w:color w:val="auto"/>
                <w:szCs w:val="21"/>
                <w:lang w:val="zh-CN"/>
              </w:rPr>
            </w:pPr>
            <w:r>
              <w:rPr>
                <w:rFonts w:hint="eastAsia" w:ascii="黑体" w:hAnsi="黑体" w:eastAsia="黑体"/>
                <w:color w:val="auto"/>
                <w:szCs w:val="21"/>
                <w:lang w:val="zh-CN"/>
              </w:rPr>
              <w:t>2</w:t>
            </w:r>
            <w:r>
              <w:rPr>
                <w:rFonts w:ascii="黑体" w:hAnsi="黑体" w:eastAsia="黑体"/>
                <w:color w:val="auto"/>
                <w:szCs w:val="21"/>
                <w:lang w:val="zh-CN"/>
              </w:rPr>
              <w:t>5.2</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80" w:lineRule="exact"/>
              <w:ind w:right="-4"/>
              <w:rPr>
                <w:rFonts w:ascii="黑体" w:hAnsi="黑体" w:eastAsia="黑体"/>
                <w:color w:val="auto"/>
                <w:szCs w:val="21"/>
                <w:lang w:val="zh-CN"/>
              </w:rPr>
            </w:pPr>
            <w:r>
              <w:rPr>
                <w:rFonts w:hint="eastAsia" w:ascii="黑体" w:hAnsi="黑体" w:eastAsia="黑体"/>
                <w:color w:val="auto"/>
                <w:szCs w:val="21"/>
                <w:lang w:val="zh-CN"/>
              </w:rPr>
              <w:t>评标委员会由采购人代表和评审专家组成，成员人数为5人。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80" w:lineRule="exact"/>
              <w:ind w:right="-4"/>
              <w:jc w:val="left"/>
              <w:rPr>
                <w:rFonts w:ascii="黑体" w:hAnsi="黑体" w:eastAsia="黑体"/>
                <w:color w:val="auto"/>
                <w:szCs w:val="21"/>
                <w:lang w:val="zh-CN"/>
              </w:rPr>
            </w:pPr>
            <w:r>
              <w:rPr>
                <w:rFonts w:ascii="黑体" w:hAnsi="黑体" w:eastAsia="黑体"/>
                <w:color w:val="auto"/>
                <w:szCs w:val="21"/>
                <w:lang w:val="zh-CN"/>
              </w:rPr>
              <w:t>25</w:t>
            </w:r>
            <w:r>
              <w:rPr>
                <w:rFonts w:hint="eastAsia" w:ascii="黑体" w:hAnsi="黑体" w:eastAsia="黑体"/>
                <w:color w:val="auto"/>
                <w:szCs w:val="21"/>
                <w:lang w:val="zh-CN"/>
              </w:rPr>
              <w:t>.5</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80" w:lineRule="exact"/>
              <w:ind w:right="-4"/>
              <w:rPr>
                <w:rFonts w:ascii="黑体" w:hAnsi="黑体" w:eastAsia="黑体"/>
                <w:color w:val="auto"/>
                <w:szCs w:val="21"/>
                <w:lang w:val="zh-CN"/>
              </w:rPr>
            </w:pPr>
            <w:r>
              <w:rPr>
                <w:rFonts w:hint="eastAsia" w:ascii="黑体" w:hAnsi="黑体" w:eastAsia="黑体"/>
                <w:color w:val="auto"/>
                <w:szCs w:val="21"/>
                <w:lang w:val="zh-CN"/>
              </w:rPr>
              <w:t>评标方法：采用综合评分法，详见第五部分。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黑体" w:eastAsia="黑体"/>
                <w:color w:val="auto"/>
                <w:szCs w:val="21"/>
                <w:lang w:val="zh-CN"/>
              </w:rPr>
            </w:pPr>
            <w:r>
              <w:rPr>
                <w:rFonts w:hint="eastAsia" w:ascii="黑体" w:hAnsi="黑体" w:eastAsia="黑体"/>
                <w:color w:val="auto"/>
                <w:szCs w:val="21"/>
                <w:lang w:val="zh-CN"/>
              </w:rPr>
              <w:t>六</w:t>
            </w:r>
            <w:r>
              <w:rPr>
                <w:rFonts w:ascii="黑体" w:hAnsi="黑体" w:eastAsia="黑体"/>
                <w:color w:val="auto"/>
                <w:szCs w:val="21"/>
                <w:lang w:val="zh-CN"/>
              </w:rPr>
              <w:t xml:space="preserve"> </w:t>
            </w:r>
            <w:r>
              <w:rPr>
                <w:rFonts w:hint="eastAsia" w:ascii="黑体" w:hAnsi="黑体" w:eastAsia="黑体"/>
                <w:color w:val="auto"/>
                <w:szCs w:val="21"/>
                <w:lang w:val="zh-CN"/>
              </w:rPr>
              <w:t>授予合同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80" w:lineRule="exact"/>
              <w:ind w:right="-4"/>
              <w:jc w:val="left"/>
              <w:rPr>
                <w:rFonts w:ascii="黑体" w:hAnsi="黑体" w:eastAsia="黑体"/>
                <w:color w:val="auto"/>
                <w:szCs w:val="21"/>
                <w:lang w:val="zh-CN"/>
              </w:rPr>
            </w:pPr>
            <w:r>
              <w:rPr>
                <w:rFonts w:ascii="黑体" w:hAnsi="黑体" w:eastAsia="黑体"/>
                <w:color w:val="auto"/>
                <w:szCs w:val="21"/>
                <w:lang w:val="zh-CN"/>
              </w:rPr>
              <w:t>3</w:t>
            </w:r>
            <w:r>
              <w:rPr>
                <w:rFonts w:hint="eastAsia" w:ascii="黑体" w:hAnsi="黑体" w:eastAsia="黑体"/>
                <w:color w:val="auto"/>
                <w:szCs w:val="21"/>
                <w:lang w:val="zh-CN"/>
              </w:rPr>
              <w:t>2.1</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80" w:lineRule="exact"/>
              <w:ind w:right="-4"/>
              <w:rPr>
                <w:rFonts w:ascii="黑体" w:hAnsi="黑体" w:eastAsia="黑体"/>
                <w:color w:val="auto"/>
                <w:szCs w:val="21"/>
                <w:lang w:val="zh-CN"/>
              </w:rPr>
            </w:pPr>
            <w:r>
              <w:rPr>
                <w:rFonts w:hint="eastAsia" w:ascii="黑体" w:hAnsi="黑体" w:eastAsia="黑体"/>
                <w:color w:val="auto"/>
                <w:szCs w:val="21"/>
                <w:lang w:val="zh-CN"/>
              </w:rPr>
              <w:t>合同签订时间：自《中标通知书》发出之日起30日内。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646" w:type="pct"/>
            <w:tcBorders>
              <w:top w:val="single" w:color="auto" w:sz="4" w:space="0"/>
              <w:left w:val="single" w:color="auto" w:sz="4" w:space="0"/>
              <w:right w:val="single" w:color="auto" w:sz="4" w:space="0"/>
            </w:tcBorders>
            <w:vAlign w:val="center"/>
          </w:tcPr>
          <w:p>
            <w:pPr>
              <w:spacing w:line="380" w:lineRule="exact"/>
              <w:ind w:right="-4"/>
              <w:jc w:val="left"/>
              <w:rPr>
                <w:rFonts w:ascii="黑体" w:hAnsi="黑体" w:eastAsia="黑体"/>
                <w:color w:val="auto"/>
                <w:szCs w:val="21"/>
                <w:highlight w:val="red"/>
                <w:lang w:val="zh-CN"/>
              </w:rPr>
            </w:pPr>
            <w:r>
              <w:rPr>
                <w:rFonts w:ascii="黑体" w:hAnsi="黑体" w:eastAsia="黑体"/>
                <w:color w:val="auto"/>
                <w:szCs w:val="21"/>
                <w:lang w:val="zh-CN"/>
              </w:rPr>
              <w:t>3</w:t>
            </w:r>
            <w:r>
              <w:rPr>
                <w:rFonts w:hint="eastAsia" w:ascii="黑体" w:hAnsi="黑体" w:eastAsia="黑体"/>
                <w:color w:val="auto"/>
                <w:szCs w:val="21"/>
                <w:lang w:val="zh-CN"/>
              </w:rPr>
              <w:t>5.1</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80" w:lineRule="exact"/>
              <w:ind w:right="-4"/>
              <w:rPr>
                <w:rFonts w:ascii="黑体" w:hAnsi="黑体" w:eastAsia="黑体"/>
                <w:color w:val="auto"/>
                <w:szCs w:val="21"/>
                <w:highlight w:val="red"/>
                <w:lang w:val="zh-CN"/>
              </w:rPr>
            </w:pPr>
            <w:r>
              <w:rPr>
                <w:rFonts w:hint="eastAsia" w:ascii="黑体" w:hAnsi="黑体" w:eastAsia="黑体"/>
                <w:color w:val="auto"/>
                <w:szCs w:val="21"/>
                <w:lang w:val="zh-CN"/>
              </w:rPr>
              <w:t>履约担保：合同金额的</w:t>
            </w:r>
            <w:r>
              <w:rPr>
                <w:rFonts w:ascii="黑体" w:hAnsi="黑体" w:eastAsia="黑体"/>
                <w:color w:val="auto"/>
                <w:szCs w:val="21"/>
                <w:u w:val="single"/>
                <w:lang w:val="zh-CN"/>
              </w:rPr>
              <w:t xml:space="preserve"> </w:t>
            </w:r>
            <w:r>
              <w:rPr>
                <w:rFonts w:hint="eastAsia" w:ascii="黑体" w:hAnsi="黑体" w:eastAsia="黑体"/>
                <w:color w:val="auto"/>
                <w:szCs w:val="21"/>
                <w:u w:val="single"/>
              </w:rPr>
              <w:t xml:space="preserve">3 </w:t>
            </w:r>
            <w:r>
              <w:rPr>
                <w:rFonts w:hint="eastAsia" w:ascii="黑体" w:hAnsi="黑体" w:eastAsia="黑体"/>
                <w:color w:val="auto"/>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spacing w:line="380" w:lineRule="exact"/>
              <w:ind w:right="-4"/>
              <w:jc w:val="left"/>
              <w:rPr>
                <w:rFonts w:ascii="黑体" w:hAnsi="黑体" w:eastAsia="黑体"/>
                <w:color w:val="auto"/>
                <w:szCs w:val="21"/>
                <w:lang w:val="zh-CN"/>
              </w:rPr>
            </w:pPr>
            <w:r>
              <w:rPr>
                <w:rFonts w:ascii="黑体" w:hAnsi="黑体" w:eastAsia="黑体"/>
                <w:color w:val="auto"/>
                <w:szCs w:val="21"/>
                <w:lang w:val="zh-CN"/>
              </w:rPr>
              <w:t>36</w:t>
            </w:r>
            <w:r>
              <w:rPr>
                <w:rFonts w:hint="eastAsia" w:ascii="黑体" w:hAnsi="黑体" w:eastAsia="黑体"/>
                <w:color w:val="auto"/>
                <w:szCs w:val="21"/>
                <w:lang w:val="zh-CN"/>
              </w:rPr>
              <w:t>.2</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80" w:lineRule="exact"/>
              <w:ind w:right="-4"/>
              <w:rPr>
                <w:rFonts w:ascii="黑体" w:hAnsi="黑体" w:eastAsia="黑体"/>
                <w:bCs/>
                <w:color w:val="auto"/>
                <w:szCs w:val="21"/>
              </w:rPr>
            </w:pPr>
            <w:r>
              <w:rPr>
                <w:rFonts w:hint="eastAsia" w:ascii="黑体" w:hAnsi="黑体" w:eastAsia="黑体"/>
                <w:bCs/>
                <w:color w:val="auto"/>
                <w:szCs w:val="21"/>
              </w:rPr>
              <w:t>本项目类型为：</w:t>
            </w:r>
            <w:r>
              <w:rPr>
                <w:rFonts w:hint="eastAsia" w:ascii="黑体" w:hAnsi="黑体" w:eastAsia="黑体"/>
                <w:bCs/>
                <w:color w:val="auto"/>
                <w:szCs w:val="21"/>
                <w:u w:val="single"/>
              </w:rPr>
              <w:t>服务</w:t>
            </w:r>
            <w:r>
              <w:rPr>
                <w:rFonts w:ascii="黑体" w:hAnsi="黑体" w:eastAsia="黑体"/>
                <w:bCs/>
                <w:color w:val="auto"/>
                <w:szCs w:val="21"/>
                <w:u w:val="single"/>
              </w:rPr>
              <w:t>类</w:t>
            </w:r>
            <w:r>
              <w:rPr>
                <w:rFonts w:hint="eastAsia" w:ascii="黑体" w:hAnsi="黑体" w:eastAsia="黑体"/>
                <w:bCs/>
                <w:color w:val="auto"/>
                <w:szCs w:val="21"/>
              </w:rPr>
              <w:t>。</w:t>
            </w:r>
          </w:p>
        </w:tc>
      </w:tr>
    </w:tbl>
    <w:p>
      <w:pPr>
        <w:pStyle w:val="2"/>
        <w:keepNext w:val="0"/>
        <w:keepLines w:val="0"/>
        <w:pageBreakBefore/>
        <w:spacing w:line="360" w:lineRule="auto"/>
        <w:jc w:val="center"/>
        <w:rPr>
          <w:rFonts w:ascii="黑体" w:hAnsi="黑体" w:eastAsia="黑体"/>
          <w:color w:val="auto"/>
          <w:spacing w:val="20"/>
          <w:sz w:val="32"/>
          <w:szCs w:val="32"/>
        </w:rPr>
      </w:pPr>
      <w:bookmarkStart w:id="16" w:name="_Toc90980549"/>
      <w:bookmarkStart w:id="17" w:name="_Toc405313954"/>
      <w:bookmarkStart w:id="18" w:name="_Toc391627750"/>
      <w:r>
        <w:rPr>
          <w:rFonts w:hint="eastAsia" w:ascii="黑体" w:hAnsi="黑体" w:eastAsia="黑体"/>
          <w:color w:val="auto"/>
          <w:spacing w:val="20"/>
          <w:sz w:val="32"/>
          <w:szCs w:val="32"/>
        </w:rPr>
        <w:t>第四部分</w:t>
      </w:r>
      <w:r>
        <w:rPr>
          <w:rFonts w:ascii="黑体" w:hAnsi="黑体" w:eastAsia="黑体"/>
          <w:color w:val="auto"/>
          <w:spacing w:val="20"/>
          <w:sz w:val="32"/>
          <w:szCs w:val="32"/>
        </w:rPr>
        <w:t xml:space="preserve"> </w:t>
      </w:r>
      <w:r>
        <w:rPr>
          <w:rFonts w:hint="eastAsia" w:ascii="黑体" w:hAnsi="黑体" w:eastAsia="黑体"/>
          <w:color w:val="auto"/>
          <w:spacing w:val="20"/>
          <w:sz w:val="32"/>
          <w:szCs w:val="32"/>
        </w:rPr>
        <w:t>投标须知</w:t>
      </w:r>
      <w:bookmarkEnd w:id="16"/>
      <w:bookmarkEnd w:id="17"/>
      <w:bookmarkEnd w:id="18"/>
    </w:p>
    <w:p>
      <w:pPr>
        <w:pStyle w:val="30"/>
        <w:numPr>
          <w:ilvl w:val="0"/>
          <w:numId w:val="10"/>
        </w:numPr>
        <w:spacing w:before="312" w:beforeLines="100" w:line="360" w:lineRule="auto"/>
        <w:ind w:firstLineChars="0"/>
        <w:rPr>
          <w:rFonts w:ascii="黑体" w:hAnsi="黑体" w:eastAsia="黑体"/>
          <w:b/>
          <w:bCs/>
          <w:color w:val="auto"/>
          <w:sz w:val="24"/>
          <w:szCs w:val="24"/>
        </w:rPr>
      </w:pPr>
      <w:r>
        <w:rPr>
          <w:rFonts w:hint="eastAsia" w:ascii="黑体" w:hAnsi="黑体" w:eastAsia="黑体"/>
          <w:b/>
          <w:bCs/>
          <w:color w:val="auto"/>
          <w:sz w:val="24"/>
          <w:szCs w:val="24"/>
        </w:rPr>
        <w:t>说明</w:t>
      </w:r>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总则</w:t>
      </w:r>
    </w:p>
    <w:p>
      <w:pPr>
        <w:spacing w:line="360" w:lineRule="auto"/>
        <w:ind w:firstLine="420" w:firstLineChars="200"/>
        <w:rPr>
          <w:rFonts w:ascii="黑体" w:hAnsi="黑体" w:eastAsia="黑体"/>
          <w:bCs/>
          <w:color w:val="auto"/>
        </w:rPr>
      </w:pPr>
      <w:r>
        <w:rPr>
          <w:rFonts w:hint="eastAsia" w:ascii="黑体" w:hAnsi="黑体" w:eastAsia="黑体"/>
          <w:bCs/>
          <w:color w:val="auto"/>
        </w:rPr>
        <w:t>采购人、采购代理机构及投标人进行的本次采购活动参考《</w:t>
      </w:r>
      <w:bookmarkStart w:id="19" w:name="_Hlk75725950"/>
      <w:r>
        <w:rPr>
          <w:rFonts w:hint="eastAsia" w:ascii="黑体" w:hAnsi="黑体" w:eastAsia="黑体"/>
          <w:bCs/>
          <w:color w:val="auto"/>
        </w:rPr>
        <w:t>中华人民共和国</w:t>
      </w:r>
      <w:bookmarkEnd w:id="19"/>
      <w:r>
        <w:rPr>
          <w:rFonts w:hint="eastAsia" w:ascii="黑体" w:hAnsi="黑体" w:eastAsia="黑体"/>
          <w:bCs/>
          <w:color w:val="auto"/>
        </w:rPr>
        <w:t xml:space="preserve">政府采购法》及其配套的法规、规章、政策。投标人应仔细阅读本项目招标公告及招标文件的所有内容（包括变更、补充、澄清以及修改等，且均为招标文件的组成部分），按照招标文件要求以及格式编制投标文件，并保证其真实性，否则一切后果自负。 </w:t>
      </w:r>
    </w:p>
    <w:p>
      <w:pPr>
        <w:spacing w:line="360" w:lineRule="auto"/>
        <w:ind w:firstLine="420" w:firstLineChars="200"/>
        <w:rPr>
          <w:rFonts w:ascii="黑体" w:hAnsi="黑体" w:eastAsia="黑体"/>
          <w:bCs/>
          <w:color w:val="auto"/>
        </w:rPr>
      </w:pPr>
      <w:r>
        <w:rPr>
          <w:rFonts w:hint="eastAsia" w:ascii="黑体" w:hAnsi="黑体" w:eastAsia="黑体"/>
          <w:bCs/>
          <w:color w:val="auto"/>
        </w:rPr>
        <w:t>本次公开招标项目，是以招标公告的方式邀请非特定的投标人参加投标。</w:t>
      </w:r>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适用范围</w:t>
      </w:r>
    </w:p>
    <w:p>
      <w:pPr>
        <w:pStyle w:val="30"/>
        <w:numPr>
          <w:ilvl w:val="0"/>
          <w:numId w:val="12"/>
        </w:numPr>
        <w:spacing w:line="360" w:lineRule="auto"/>
        <w:ind w:firstLineChars="0"/>
        <w:rPr>
          <w:rFonts w:ascii="黑体" w:hAnsi="黑体" w:eastAsia="黑体"/>
          <w:color w:val="auto"/>
        </w:rPr>
      </w:pPr>
      <w:r>
        <w:rPr>
          <w:rFonts w:hint="eastAsia" w:ascii="黑体" w:hAnsi="黑体" w:eastAsia="黑体"/>
          <w:color w:val="auto"/>
        </w:rPr>
        <w:t>本招标文件仅适用于本次招标公告中所涉及的项目和内容。</w:t>
      </w:r>
    </w:p>
    <w:p>
      <w:pPr>
        <w:pStyle w:val="30"/>
        <w:numPr>
          <w:ilvl w:val="0"/>
          <w:numId w:val="12"/>
        </w:numPr>
        <w:spacing w:line="360" w:lineRule="auto"/>
        <w:ind w:firstLineChars="0"/>
        <w:rPr>
          <w:rFonts w:ascii="黑体" w:hAnsi="黑体" w:eastAsia="黑体"/>
          <w:b/>
          <w:color w:val="auto"/>
          <w:u w:val="single"/>
        </w:rPr>
      </w:pPr>
      <w:r>
        <w:rPr>
          <w:rFonts w:hint="eastAsia" w:ascii="黑体" w:hAnsi="黑体" w:eastAsia="黑体"/>
          <w:color w:val="auto"/>
        </w:rPr>
        <w:t>资金来源：</w:t>
      </w:r>
      <w:r>
        <w:rPr>
          <w:rFonts w:hint="eastAsia" w:ascii="黑体" w:hAnsi="黑体" w:eastAsia="黑体"/>
          <w:b/>
          <w:color w:val="auto"/>
          <w:u w:val="single"/>
        </w:rPr>
        <w:t>（详见投标须知前附表）</w:t>
      </w:r>
      <w:r>
        <w:rPr>
          <w:rFonts w:hint="eastAsia" w:ascii="黑体" w:hAnsi="黑体" w:eastAsia="黑体"/>
          <w:color w:val="auto"/>
        </w:rPr>
        <w:t>。</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定义</w:t>
      </w:r>
    </w:p>
    <w:p>
      <w:pPr>
        <w:pStyle w:val="30"/>
        <w:numPr>
          <w:ilvl w:val="0"/>
          <w:numId w:val="13"/>
        </w:numPr>
        <w:tabs>
          <w:tab w:val="left" w:pos="426"/>
        </w:tabs>
        <w:spacing w:line="360" w:lineRule="auto"/>
        <w:ind w:left="426" w:hanging="426" w:firstLineChars="0"/>
        <w:rPr>
          <w:rFonts w:ascii="黑体" w:hAnsi="黑体" w:eastAsia="黑体"/>
          <w:color w:val="auto"/>
        </w:rPr>
      </w:pPr>
      <w:r>
        <w:rPr>
          <w:rFonts w:ascii="黑体" w:hAnsi="黑体" w:eastAsia="黑体"/>
          <w:color w:val="auto"/>
        </w:rPr>
        <w:t>采购人</w:t>
      </w:r>
      <w:r>
        <w:rPr>
          <w:rFonts w:hint="eastAsia" w:ascii="黑体" w:hAnsi="黑体" w:eastAsia="黑体"/>
          <w:color w:val="auto"/>
        </w:rPr>
        <w:t>：是采购活动当事人之一，负责项目的整体规划、技术方案可行性设计论证与实施，作为合同采购方（用户）的主体承担质疑回复、履行合同、验收与评价等义务。</w:t>
      </w:r>
      <w:r>
        <w:rPr>
          <w:rFonts w:ascii="黑体" w:hAnsi="黑体" w:eastAsia="黑体"/>
          <w:color w:val="auto"/>
        </w:rPr>
        <w:t xml:space="preserve"> </w:t>
      </w:r>
    </w:p>
    <w:p>
      <w:pPr>
        <w:pStyle w:val="30"/>
        <w:numPr>
          <w:ilvl w:val="0"/>
          <w:numId w:val="13"/>
        </w:numPr>
        <w:tabs>
          <w:tab w:val="left" w:pos="426"/>
        </w:tabs>
        <w:spacing w:line="360" w:lineRule="auto"/>
        <w:ind w:hanging="941" w:firstLineChars="0"/>
        <w:rPr>
          <w:rFonts w:ascii="黑体" w:hAnsi="黑体" w:eastAsia="黑体"/>
          <w:color w:val="auto"/>
        </w:rPr>
      </w:pPr>
      <w:r>
        <w:rPr>
          <w:rFonts w:hint="eastAsia" w:ascii="黑体" w:hAnsi="黑体" w:eastAsia="黑体"/>
          <w:color w:val="auto"/>
        </w:rPr>
        <w:t>政府采购监管部门是指人民政府财政部门。</w:t>
      </w:r>
    </w:p>
    <w:p>
      <w:pPr>
        <w:pStyle w:val="30"/>
        <w:numPr>
          <w:ilvl w:val="0"/>
          <w:numId w:val="13"/>
        </w:numPr>
        <w:tabs>
          <w:tab w:val="left" w:pos="426"/>
        </w:tabs>
        <w:spacing w:line="360" w:lineRule="auto"/>
        <w:ind w:left="426" w:hanging="426" w:firstLineChars="0"/>
        <w:rPr>
          <w:rFonts w:ascii="黑体" w:hAnsi="黑体" w:eastAsia="黑体"/>
          <w:color w:val="auto"/>
        </w:rPr>
      </w:pPr>
      <w:r>
        <w:rPr>
          <w:rFonts w:hint="eastAsia" w:ascii="黑体" w:hAnsi="黑体" w:eastAsia="黑体"/>
          <w:color w:val="auto"/>
        </w:rPr>
        <w:t>采购代理机构：负责整个采购活动的组织，依法负责编制和发布招标文件，对招标文件拥有最终的解释权，不以任何身份出任评标委员会成员。</w:t>
      </w:r>
    </w:p>
    <w:p>
      <w:pPr>
        <w:pStyle w:val="30"/>
        <w:numPr>
          <w:ilvl w:val="0"/>
          <w:numId w:val="13"/>
        </w:numPr>
        <w:tabs>
          <w:tab w:val="left" w:pos="426"/>
        </w:tabs>
        <w:spacing w:line="360" w:lineRule="auto"/>
        <w:ind w:hanging="941" w:firstLineChars="0"/>
        <w:rPr>
          <w:rFonts w:ascii="黑体" w:hAnsi="黑体" w:eastAsia="黑体"/>
          <w:color w:val="auto"/>
        </w:rPr>
      </w:pPr>
      <w:r>
        <w:rPr>
          <w:rFonts w:hint="eastAsia" w:ascii="黑体" w:hAnsi="黑体" w:eastAsia="黑体"/>
          <w:color w:val="auto"/>
        </w:rPr>
        <w:t>投标人：是响应招标参加投标竞争的法人或其他组织或自然人。</w:t>
      </w:r>
    </w:p>
    <w:p>
      <w:pPr>
        <w:pStyle w:val="30"/>
        <w:numPr>
          <w:ilvl w:val="0"/>
          <w:numId w:val="13"/>
        </w:numPr>
        <w:tabs>
          <w:tab w:val="left" w:pos="426"/>
        </w:tabs>
        <w:spacing w:line="360" w:lineRule="auto"/>
        <w:ind w:left="426" w:hanging="426" w:firstLineChars="0"/>
        <w:rPr>
          <w:rFonts w:ascii="黑体" w:hAnsi="黑体" w:eastAsia="黑体"/>
          <w:color w:val="auto"/>
        </w:rPr>
      </w:pPr>
      <w:r>
        <w:rPr>
          <w:rFonts w:hint="eastAsia" w:ascii="黑体" w:hAnsi="黑体" w:eastAsia="黑体"/>
          <w:color w:val="auto"/>
        </w:rPr>
        <w:t xml:space="preserve">评标委员会：是指根据《中华人民共和国政府采购法》等法律法规规定，由采购人代表和有关专家组成以确定中标供应商或者推荐中标候选人的临时组织。 </w:t>
      </w:r>
    </w:p>
    <w:p>
      <w:pPr>
        <w:pStyle w:val="30"/>
        <w:numPr>
          <w:ilvl w:val="0"/>
          <w:numId w:val="13"/>
        </w:numPr>
        <w:tabs>
          <w:tab w:val="left" w:pos="426"/>
        </w:tabs>
        <w:spacing w:line="360" w:lineRule="auto"/>
        <w:ind w:left="426" w:hanging="426" w:firstLineChars="0"/>
        <w:rPr>
          <w:rFonts w:ascii="黑体" w:hAnsi="黑体" w:eastAsia="黑体"/>
          <w:color w:val="auto"/>
        </w:rPr>
      </w:pPr>
      <w:r>
        <w:rPr>
          <w:rFonts w:hint="eastAsia" w:ascii="黑体" w:hAnsi="黑体" w:eastAsia="黑体"/>
          <w:color w:val="auto"/>
        </w:rPr>
        <w:t>中标人：是指经评标委员会评审确定的对招标文件做出实质性响应，经采购人按照规定在评标委员会推荐的中标候选人中确定的或评标委员会受采购人委托直接确认的投标人。</w:t>
      </w:r>
    </w:p>
    <w:p>
      <w:pPr>
        <w:pStyle w:val="30"/>
        <w:numPr>
          <w:ilvl w:val="0"/>
          <w:numId w:val="13"/>
        </w:numPr>
        <w:tabs>
          <w:tab w:val="left" w:pos="426"/>
        </w:tabs>
        <w:spacing w:line="360" w:lineRule="auto"/>
        <w:ind w:hanging="941" w:firstLineChars="0"/>
        <w:rPr>
          <w:rFonts w:ascii="黑体" w:hAnsi="黑体" w:eastAsia="黑体"/>
          <w:color w:val="auto"/>
        </w:rPr>
      </w:pPr>
      <w:r>
        <w:rPr>
          <w:rFonts w:ascii="黑体" w:hAnsi="黑体" w:eastAsia="黑体"/>
          <w:color w:val="auto"/>
        </w:rPr>
        <w:t>合格的投标人</w:t>
      </w:r>
      <w:r>
        <w:rPr>
          <w:rFonts w:hint="eastAsia" w:ascii="黑体" w:hAnsi="黑体" w:eastAsia="黑体"/>
          <w:color w:val="auto"/>
        </w:rPr>
        <w:t>是指：详见《第一部分投标邀请函》申请人的资格要求</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合格的货物和服务</w:t>
      </w:r>
    </w:p>
    <w:p>
      <w:pPr>
        <w:pStyle w:val="30"/>
        <w:numPr>
          <w:ilvl w:val="0"/>
          <w:numId w:val="14"/>
        </w:numPr>
        <w:spacing w:line="360" w:lineRule="auto"/>
        <w:ind w:firstLineChars="0"/>
        <w:rPr>
          <w:rFonts w:ascii="黑体" w:hAnsi="黑体" w:eastAsia="黑体"/>
          <w:bCs/>
          <w:color w:val="auto"/>
          <w:szCs w:val="21"/>
        </w:rPr>
      </w:pPr>
      <w:r>
        <w:rPr>
          <w:rFonts w:hint="eastAsia" w:ascii="黑体" w:hAnsi="黑体" w:eastAsia="黑体"/>
          <w:bCs/>
          <w:color w:val="auto"/>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pPr>
        <w:pStyle w:val="30"/>
        <w:numPr>
          <w:ilvl w:val="0"/>
          <w:numId w:val="14"/>
        </w:numPr>
        <w:spacing w:line="360" w:lineRule="auto"/>
        <w:ind w:firstLineChars="0"/>
        <w:rPr>
          <w:rFonts w:ascii="黑体" w:hAnsi="黑体" w:eastAsia="黑体"/>
          <w:bCs/>
          <w:color w:val="auto"/>
          <w:szCs w:val="21"/>
        </w:rPr>
      </w:pPr>
      <w:r>
        <w:rPr>
          <w:rFonts w:hint="eastAsia" w:ascii="黑体" w:hAnsi="黑体" w:eastAsia="黑体"/>
          <w:bCs/>
          <w:color w:val="auto"/>
          <w:szCs w:val="21"/>
        </w:rPr>
        <w:t>服务是指除货物和工程以外的其他政府采购对象，且满足实质性采购需求。</w:t>
      </w:r>
    </w:p>
    <w:p>
      <w:pPr>
        <w:pStyle w:val="30"/>
        <w:numPr>
          <w:ilvl w:val="0"/>
          <w:numId w:val="14"/>
        </w:numPr>
        <w:spacing w:line="360" w:lineRule="auto"/>
        <w:ind w:firstLineChars="0"/>
        <w:rPr>
          <w:rFonts w:ascii="黑体" w:hAnsi="黑体" w:eastAsia="黑体"/>
          <w:bCs/>
          <w:color w:val="auto"/>
          <w:szCs w:val="21"/>
        </w:rPr>
      </w:pPr>
      <w:r>
        <w:rPr>
          <w:rFonts w:hint="eastAsia" w:ascii="黑体" w:hAnsi="黑体" w:eastAsia="黑体"/>
          <w:bCs/>
          <w:color w:val="auto"/>
          <w:szCs w:val="21"/>
        </w:rPr>
        <w:t>政府采购应当采购本国产品，确需采购进口产品（是指通过中国海关报关验放进入中国境内且产自关境外的产品）的，</w:t>
      </w:r>
      <w:bookmarkStart w:id="20" w:name="_Toc211763038"/>
      <w:r>
        <w:rPr>
          <w:rFonts w:hint="eastAsia" w:ascii="黑体" w:hAnsi="黑体" w:eastAsia="黑体"/>
          <w:bCs/>
          <w:color w:val="auto"/>
          <w:szCs w:val="21"/>
        </w:rPr>
        <w:t>应当获得财政部门核准。依据《政府采购进口产品管理办法</w:t>
      </w:r>
      <w:bookmarkEnd w:id="20"/>
      <w:r>
        <w:rPr>
          <w:rFonts w:hint="eastAsia" w:ascii="黑体" w:hAnsi="黑体" w:eastAsia="黑体"/>
          <w:bCs/>
          <w:color w:val="auto"/>
          <w:szCs w:val="21"/>
        </w:rPr>
        <w:t>》优先采购向我国企业转让技术、与我国企业签订消化吸收再创新方案的供应商的进口产品。</w:t>
      </w:r>
    </w:p>
    <w:p>
      <w:pPr>
        <w:pStyle w:val="30"/>
        <w:numPr>
          <w:ilvl w:val="0"/>
          <w:numId w:val="14"/>
        </w:numPr>
        <w:spacing w:line="360" w:lineRule="auto"/>
        <w:ind w:firstLineChars="0"/>
        <w:rPr>
          <w:rFonts w:ascii="黑体" w:hAnsi="黑体" w:eastAsia="黑体"/>
          <w:bCs/>
          <w:color w:val="auto"/>
          <w:szCs w:val="21"/>
        </w:rPr>
      </w:pPr>
      <w:r>
        <w:rPr>
          <w:rFonts w:hint="eastAsia" w:ascii="黑体" w:hAnsi="黑体" w:eastAsia="黑体"/>
          <w:bCs/>
          <w:color w:val="auto"/>
          <w:szCs w:val="21"/>
        </w:rPr>
        <w:t>若所投产品属于政府强制采购节能产品的，则投标人必须提供该产品国家强制性节能产品进行响应，并提供有效的中国节能产品认证证书，否则视为无效投标。</w:t>
      </w:r>
    </w:p>
    <w:p>
      <w:pPr>
        <w:pStyle w:val="30"/>
        <w:numPr>
          <w:ilvl w:val="0"/>
          <w:numId w:val="14"/>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投标人提供的所有服务，其质量、技术等特征必须符合国家、行业现行法律、法规的相关标准和《中华人民共和国政府采购法》的有关规定及采购需求。</w:t>
      </w:r>
    </w:p>
    <w:p>
      <w:pPr>
        <w:pStyle w:val="30"/>
        <w:numPr>
          <w:ilvl w:val="0"/>
          <w:numId w:val="14"/>
        </w:numPr>
        <w:spacing w:line="360" w:lineRule="auto"/>
        <w:ind w:firstLineChars="0"/>
        <w:rPr>
          <w:rFonts w:ascii="黑体" w:hAnsi="黑体" w:eastAsia="黑体"/>
          <w:bCs/>
          <w:color w:val="auto"/>
          <w:szCs w:val="21"/>
        </w:rPr>
      </w:pPr>
      <w:r>
        <w:rPr>
          <w:rFonts w:hint="eastAsia" w:ascii="黑体" w:hAnsi="黑体" w:eastAsia="黑体"/>
          <w:bCs/>
          <w:color w:val="auto"/>
          <w:spacing w:val="-6"/>
          <w:szCs w:val="21"/>
        </w:rPr>
        <w:t>采购人有权拒绝接受任何不合格的服务，由此产生的费用及相关后果均由投标人自行承担；</w:t>
      </w:r>
    </w:p>
    <w:p>
      <w:pPr>
        <w:pStyle w:val="30"/>
        <w:numPr>
          <w:ilvl w:val="0"/>
          <w:numId w:val="14"/>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投标费用</w:t>
      </w:r>
    </w:p>
    <w:p>
      <w:pPr>
        <w:pStyle w:val="30"/>
        <w:numPr>
          <w:ilvl w:val="0"/>
          <w:numId w:val="15"/>
        </w:numPr>
        <w:spacing w:line="360" w:lineRule="auto"/>
        <w:ind w:firstLineChars="0"/>
        <w:rPr>
          <w:rFonts w:ascii="黑体" w:hAnsi="黑体" w:eastAsia="黑体"/>
          <w:bCs/>
          <w:color w:val="auto"/>
          <w:szCs w:val="21"/>
        </w:rPr>
      </w:pPr>
      <w:r>
        <w:rPr>
          <w:rFonts w:ascii="黑体" w:hAnsi="黑体" w:eastAsia="黑体"/>
          <w:bCs/>
          <w:color w:val="auto"/>
          <w:szCs w:val="21"/>
        </w:rPr>
        <w:t>投标人应承担所有与准备和参加投标有关的费用。不论投标的结果如何，采购代理机构和采购人均无义务和责任承担</w:t>
      </w:r>
      <w:r>
        <w:rPr>
          <w:rFonts w:hint="eastAsia" w:ascii="黑体" w:hAnsi="黑体" w:eastAsia="黑体"/>
          <w:bCs/>
          <w:color w:val="auto"/>
          <w:szCs w:val="21"/>
        </w:rPr>
        <w:t>相关</w:t>
      </w:r>
      <w:r>
        <w:rPr>
          <w:rFonts w:ascii="黑体" w:hAnsi="黑体" w:eastAsia="黑体"/>
          <w:bCs/>
          <w:color w:val="auto"/>
          <w:szCs w:val="21"/>
        </w:rPr>
        <w:t>费用</w:t>
      </w:r>
      <w:r>
        <w:rPr>
          <w:rFonts w:hint="eastAsia" w:ascii="黑体" w:hAnsi="黑体" w:eastAsia="黑体"/>
          <w:bCs/>
          <w:color w:val="auto"/>
          <w:szCs w:val="21"/>
        </w:rPr>
        <w:t>。</w:t>
      </w:r>
    </w:p>
    <w:p>
      <w:pPr>
        <w:pStyle w:val="30"/>
        <w:numPr>
          <w:ilvl w:val="0"/>
          <w:numId w:val="11"/>
        </w:numPr>
        <w:spacing w:before="312" w:beforeLines="100" w:line="360" w:lineRule="auto"/>
        <w:ind w:firstLineChars="0"/>
        <w:rPr>
          <w:rFonts w:ascii="黑体" w:hAnsi="黑体" w:eastAsia="黑体"/>
          <w:b/>
          <w:color w:val="auto"/>
        </w:rPr>
      </w:pPr>
      <w:bookmarkStart w:id="21" w:name="_Toc357676113"/>
      <w:r>
        <w:rPr>
          <w:rFonts w:hint="eastAsia" w:ascii="黑体" w:hAnsi="黑体" w:eastAsia="黑体"/>
          <w:b/>
          <w:color w:val="auto"/>
        </w:rPr>
        <w:t>政府采购信用担保</w:t>
      </w:r>
      <w:bookmarkEnd w:id="21"/>
    </w:p>
    <w:p>
      <w:pPr>
        <w:pStyle w:val="30"/>
        <w:numPr>
          <w:ilvl w:val="0"/>
          <w:numId w:val="16"/>
        </w:numPr>
        <w:spacing w:line="360" w:lineRule="auto"/>
        <w:ind w:firstLineChars="0"/>
        <w:rPr>
          <w:rFonts w:ascii="黑体" w:hAnsi="黑体" w:eastAsia="黑体"/>
          <w:bCs/>
          <w:color w:val="auto"/>
          <w:szCs w:val="21"/>
        </w:rPr>
      </w:pPr>
      <w:r>
        <w:rPr>
          <w:rFonts w:hint="eastAsia" w:ascii="黑体" w:hAnsi="黑体" w:eastAsia="黑体"/>
          <w:bCs/>
          <w:color w:val="auto"/>
          <w:szCs w:val="21"/>
        </w:rPr>
        <w:t>政府采购信用担保，是将信用担保作为政策工具引入政府采购领域，由专业担保机构为供应商向采购人、代理机构、金融机构提供的保证。政府采购信用担保有利于降低中小企业参与政府采购成本，增加参与政府采购的机会和扩大融资渠道，优化中小企业发展环境。</w:t>
      </w:r>
    </w:p>
    <w:p>
      <w:pPr>
        <w:pStyle w:val="30"/>
        <w:numPr>
          <w:ilvl w:val="0"/>
          <w:numId w:val="16"/>
        </w:numPr>
        <w:spacing w:line="360" w:lineRule="auto"/>
        <w:ind w:firstLineChars="0"/>
        <w:rPr>
          <w:rFonts w:ascii="黑体" w:hAnsi="黑体" w:eastAsia="黑体"/>
          <w:bCs/>
          <w:color w:val="auto"/>
          <w:szCs w:val="21"/>
        </w:rPr>
      </w:pPr>
      <w:r>
        <w:rPr>
          <w:rFonts w:hint="eastAsia" w:ascii="黑体" w:hAnsi="黑体" w:eastAsia="黑体"/>
          <w:bCs/>
          <w:color w:val="auto"/>
          <w:szCs w:val="21"/>
        </w:rPr>
        <w:t>参考《中华人民共和国政府采购法实施条例》的规定，允许并接受供应商以专业担保机构出具的担保函的形式交纳投标保证金或履约保证金。供应商提交专业担保机构出具的投标担保函的，不得再要求其提供银行资信证明等类似文件。</w:t>
      </w:r>
    </w:p>
    <w:p>
      <w:pPr>
        <w:pStyle w:val="30"/>
        <w:numPr>
          <w:ilvl w:val="0"/>
          <w:numId w:val="16"/>
        </w:numPr>
        <w:spacing w:line="360" w:lineRule="auto"/>
        <w:ind w:firstLineChars="0"/>
        <w:rPr>
          <w:rFonts w:ascii="黑体" w:hAnsi="黑体" w:eastAsia="黑体"/>
          <w:bCs/>
          <w:color w:val="auto"/>
          <w:szCs w:val="21"/>
        </w:rPr>
      </w:pPr>
      <w:r>
        <w:rPr>
          <w:rFonts w:hint="eastAsia" w:ascii="黑体" w:hAnsi="黑体" w:eastAsia="黑体"/>
          <w:bCs/>
          <w:color w:val="auto"/>
          <w:szCs w:val="21"/>
        </w:rPr>
        <w:t>担保品种</w:t>
      </w:r>
    </w:p>
    <w:p>
      <w:pPr>
        <w:pStyle w:val="30"/>
        <w:numPr>
          <w:ilvl w:val="2"/>
          <w:numId w:val="17"/>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担保，是指由担保机构为供应商交纳投标保证金向采购人或采购代理机构提供的保证担保。供应商在投标有效期内撤回投标文件或中标后不签订政府采购合同的，由担保机构按照担保函的约定履行支付投标保证金的责任。</w:t>
      </w:r>
    </w:p>
    <w:p>
      <w:pPr>
        <w:pStyle w:val="30"/>
        <w:numPr>
          <w:ilvl w:val="2"/>
          <w:numId w:val="17"/>
        </w:numPr>
        <w:spacing w:line="360" w:lineRule="auto"/>
        <w:ind w:firstLineChars="0"/>
        <w:rPr>
          <w:rFonts w:ascii="黑体" w:hAnsi="黑体" w:eastAsia="黑体"/>
          <w:bCs/>
          <w:color w:val="auto"/>
          <w:szCs w:val="21"/>
        </w:rPr>
      </w:pPr>
      <w:r>
        <w:rPr>
          <w:rFonts w:hint="eastAsia" w:ascii="黑体" w:hAnsi="黑体" w:eastAsia="黑体"/>
          <w:bCs/>
          <w:color w:val="auto"/>
          <w:szCs w:val="21"/>
        </w:rPr>
        <w:t>履约担保，是指由担保机构为供应商交纳履约保证金向采购人或采购代理机构提供的保证担保。供应商未按政府采购合同履行约定义务的，由担保机构按照担保函约定履行支付履约保证金的责任。</w:t>
      </w:r>
    </w:p>
    <w:p>
      <w:pPr>
        <w:pStyle w:val="30"/>
        <w:numPr>
          <w:ilvl w:val="2"/>
          <w:numId w:val="17"/>
        </w:numPr>
        <w:spacing w:line="360" w:lineRule="auto"/>
        <w:ind w:firstLineChars="0"/>
        <w:rPr>
          <w:rFonts w:ascii="黑体" w:hAnsi="黑体" w:eastAsia="黑体"/>
          <w:bCs/>
          <w:color w:val="auto"/>
          <w:szCs w:val="21"/>
        </w:rPr>
      </w:pPr>
      <w:r>
        <w:rPr>
          <w:rFonts w:hint="eastAsia" w:ascii="黑体" w:hAnsi="黑体" w:eastAsia="黑体"/>
          <w:bCs/>
          <w:color w:val="auto"/>
          <w:szCs w:val="21"/>
        </w:rPr>
        <w:t>融资担保，是指担保机构为供应商向银行融资提供的保证担保。</w:t>
      </w:r>
    </w:p>
    <w:p>
      <w:pPr>
        <w:pStyle w:val="30"/>
        <w:numPr>
          <w:ilvl w:val="0"/>
          <w:numId w:val="16"/>
        </w:numPr>
        <w:spacing w:line="360" w:lineRule="auto"/>
        <w:ind w:firstLineChars="0"/>
        <w:rPr>
          <w:rFonts w:ascii="黑体" w:hAnsi="黑体" w:eastAsia="黑体"/>
          <w:bCs/>
          <w:color w:val="auto"/>
          <w:szCs w:val="21"/>
        </w:rPr>
      </w:pPr>
      <w:r>
        <w:rPr>
          <w:rFonts w:hint="eastAsia" w:ascii="黑体" w:hAnsi="黑体" w:eastAsia="黑体"/>
          <w:bCs/>
          <w:color w:val="auto"/>
          <w:szCs w:val="21"/>
        </w:rPr>
        <w:t>供应商可以以投标担保函、履约担保函形式缴纳保证金。</w:t>
      </w:r>
    </w:p>
    <w:p>
      <w:pPr>
        <w:pStyle w:val="30"/>
        <w:numPr>
          <w:ilvl w:val="0"/>
          <w:numId w:val="10"/>
        </w:numPr>
        <w:spacing w:before="312" w:beforeLines="100" w:line="360" w:lineRule="auto"/>
        <w:ind w:firstLineChars="0"/>
        <w:rPr>
          <w:rFonts w:ascii="黑体" w:hAnsi="黑体" w:eastAsia="黑体"/>
          <w:b/>
          <w:bCs/>
          <w:color w:val="auto"/>
          <w:sz w:val="24"/>
          <w:szCs w:val="24"/>
        </w:rPr>
      </w:pPr>
      <w:r>
        <w:rPr>
          <w:rFonts w:hint="eastAsia" w:ascii="黑体" w:hAnsi="黑体" w:eastAsia="黑体"/>
          <w:b/>
          <w:bCs/>
          <w:color w:val="auto"/>
          <w:sz w:val="24"/>
          <w:szCs w:val="24"/>
        </w:rPr>
        <w:t>招标文件</w:t>
      </w:r>
      <w:bookmarkStart w:id="22" w:name="_Toc357676115"/>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招标文件的编制依据与构成</w:t>
      </w:r>
      <w:bookmarkEnd w:id="22"/>
    </w:p>
    <w:p>
      <w:pPr>
        <w:pStyle w:val="30"/>
        <w:numPr>
          <w:ilvl w:val="0"/>
          <w:numId w:val="18"/>
        </w:numPr>
        <w:spacing w:line="360" w:lineRule="auto"/>
        <w:ind w:firstLineChars="0"/>
        <w:rPr>
          <w:rFonts w:ascii="黑体" w:hAnsi="黑体" w:eastAsia="黑体"/>
          <w:bCs/>
          <w:color w:val="auto"/>
          <w:szCs w:val="21"/>
        </w:rPr>
      </w:pPr>
      <w:r>
        <w:rPr>
          <w:rFonts w:hint="eastAsia" w:ascii="黑体" w:hAnsi="黑体" w:eastAsia="黑体"/>
          <w:bCs/>
          <w:color w:val="auto"/>
          <w:szCs w:val="21"/>
        </w:rPr>
        <w:t>本招标文件的编制参考是</w:t>
      </w:r>
      <w:r>
        <w:rPr>
          <w:rFonts w:hint="eastAsia" w:ascii="黑体" w:hAnsi="黑体" w:eastAsia="黑体"/>
          <w:color w:val="auto"/>
          <w:szCs w:val="21"/>
        </w:rPr>
        <w:t>《中华人民共和国政府采购法》、《中华人民共和国政府采购法实施条例》、财政部《政府采购货物和服务招标投标管理办法》</w:t>
      </w:r>
      <w:r>
        <w:rPr>
          <w:rFonts w:hint="eastAsia" w:ascii="黑体" w:hAnsi="黑体" w:eastAsia="黑体"/>
          <w:bCs/>
          <w:color w:val="auto"/>
          <w:szCs w:val="21"/>
        </w:rPr>
        <w:t>等法律法规。</w:t>
      </w:r>
    </w:p>
    <w:p>
      <w:pPr>
        <w:pStyle w:val="30"/>
        <w:numPr>
          <w:ilvl w:val="0"/>
          <w:numId w:val="18"/>
        </w:numPr>
        <w:spacing w:line="360" w:lineRule="auto"/>
        <w:ind w:firstLineChars="0"/>
        <w:rPr>
          <w:rFonts w:ascii="黑体" w:hAnsi="黑体" w:eastAsia="黑体"/>
          <w:bCs/>
          <w:color w:val="auto"/>
          <w:szCs w:val="21"/>
        </w:rPr>
      </w:pPr>
      <w:r>
        <w:rPr>
          <w:rFonts w:hint="eastAsia" w:ascii="黑体" w:hAnsi="黑体" w:eastAsia="黑体"/>
          <w:bCs/>
          <w:color w:val="auto"/>
          <w:szCs w:val="21"/>
        </w:rPr>
        <w:t>要求提供的服务、采购过程和合同条件在招标文件中均有说明。招标文件以中文文字编写。招标文件由下列文件以及在招标过程中发出的澄清、修改和补充文件组成，组成内容如下：</w:t>
      </w:r>
    </w:p>
    <w:p>
      <w:pPr>
        <w:spacing w:line="360" w:lineRule="auto"/>
        <w:ind w:firstLine="424" w:firstLineChars="202"/>
        <w:rPr>
          <w:rFonts w:ascii="黑体" w:hAnsi="黑体" w:eastAsia="黑体"/>
          <w:bCs/>
          <w:color w:val="auto"/>
          <w:szCs w:val="21"/>
        </w:rPr>
      </w:pPr>
      <w:r>
        <w:rPr>
          <w:rFonts w:hint="eastAsia" w:ascii="黑体" w:hAnsi="黑体" w:eastAsia="黑体"/>
          <w:bCs/>
          <w:color w:val="auto"/>
          <w:szCs w:val="21"/>
        </w:rPr>
        <w:t>第一部分</w:t>
      </w:r>
      <w:r>
        <w:rPr>
          <w:rFonts w:ascii="黑体" w:hAnsi="黑体" w:eastAsia="黑体"/>
          <w:bCs/>
          <w:color w:val="auto"/>
          <w:szCs w:val="21"/>
        </w:rPr>
        <w:t xml:space="preserve"> </w:t>
      </w:r>
      <w:r>
        <w:rPr>
          <w:rFonts w:hint="eastAsia" w:ascii="黑体" w:hAnsi="黑体" w:eastAsia="黑体"/>
          <w:bCs/>
          <w:color w:val="auto"/>
          <w:szCs w:val="21"/>
        </w:rPr>
        <w:t>投标邀请函</w:t>
      </w:r>
    </w:p>
    <w:p>
      <w:pPr>
        <w:spacing w:line="360" w:lineRule="auto"/>
        <w:ind w:firstLine="424" w:firstLineChars="202"/>
        <w:rPr>
          <w:rFonts w:ascii="黑体" w:hAnsi="黑体" w:eastAsia="黑体"/>
          <w:bCs/>
          <w:color w:val="auto"/>
          <w:szCs w:val="21"/>
        </w:rPr>
      </w:pPr>
      <w:r>
        <w:rPr>
          <w:rFonts w:hint="eastAsia" w:ascii="黑体" w:hAnsi="黑体" w:eastAsia="黑体"/>
          <w:bCs/>
          <w:color w:val="auto"/>
          <w:szCs w:val="21"/>
        </w:rPr>
        <w:t>第二部分</w:t>
      </w:r>
      <w:r>
        <w:rPr>
          <w:rFonts w:ascii="黑体" w:hAnsi="黑体" w:eastAsia="黑体"/>
          <w:bCs/>
          <w:color w:val="auto"/>
          <w:szCs w:val="21"/>
        </w:rPr>
        <w:t xml:space="preserve"> </w:t>
      </w:r>
      <w:r>
        <w:rPr>
          <w:rFonts w:hint="eastAsia" w:ascii="黑体" w:hAnsi="黑体" w:eastAsia="黑体"/>
          <w:bCs/>
          <w:color w:val="auto"/>
          <w:szCs w:val="21"/>
        </w:rPr>
        <w:t>采购需求</w:t>
      </w:r>
    </w:p>
    <w:p>
      <w:pPr>
        <w:spacing w:line="360" w:lineRule="auto"/>
        <w:ind w:firstLine="424" w:firstLineChars="202"/>
        <w:rPr>
          <w:rFonts w:ascii="黑体" w:hAnsi="黑体" w:eastAsia="黑体"/>
          <w:bCs/>
          <w:color w:val="auto"/>
          <w:szCs w:val="21"/>
        </w:rPr>
      </w:pPr>
      <w:r>
        <w:rPr>
          <w:rFonts w:hint="eastAsia" w:ascii="黑体" w:hAnsi="黑体" w:eastAsia="黑体"/>
          <w:bCs/>
          <w:color w:val="auto"/>
          <w:szCs w:val="21"/>
        </w:rPr>
        <w:t>第三部分</w:t>
      </w:r>
      <w:r>
        <w:rPr>
          <w:rFonts w:ascii="黑体" w:hAnsi="黑体" w:eastAsia="黑体"/>
          <w:bCs/>
          <w:color w:val="auto"/>
          <w:szCs w:val="21"/>
        </w:rPr>
        <w:t xml:space="preserve"> </w:t>
      </w:r>
      <w:r>
        <w:rPr>
          <w:rFonts w:hint="eastAsia" w:ascii="黑体" w:hAnsi="黑体" w:eastAsia="黑体"/>
          <w:bCs/>
          <w:color w:val="auto"/>
          <w:szCs w:val="21"/>
        </w:rPr>
        <w:t>投标须知前附表</w:t>
      </w:r>
    </w:p>
    <w:p>
      <w:pPr>
        <w:spacing w:line="360" w:lineRule="auto"/>
        <w:ind w:firstLine="424" w:firstLineChars="202"/>
        <w:rPr>
          <w:rFonts w:ascii="黑体" w:hAnsi="黑体" w:eastAsia="黑体"/>
          <w:bCs/>
          <w:color w:val="auto"/>
          <w:szCs w:val="21"/>
        </w:rPr>
      </w:pPr>
      <w:r>
        <w:rPr>
          <w:rFonts w:hint="eastAsia" w:ascii="黑体" w:hAnsi="黑体" w:eastAsia="黑体"/>
          <w:bCs/>
          <w:color w:val="auto"/>
          <w:szCs w:val="21"/>
        </w:rPr>
        <w:t>第四部分</w:t>
      </w:r>
      <w:r>
        <w:rPr>
          <w:rFonts w:ascii="黑体" w:hAnsi="黑体" w:eastAsia="黑体"/>
          <w:bCs/>
          <w:color w:val="auto"/>
          <w:szCs w:val="21"/>
        </w:rPr>
        <w:t xml:space="preserve"> </w:t>
      </w:r>
      <w:r>
        <w:rPr>
          <w:rFonts w:hint="eastAsia" w:ascii="黑体" w:hAnsi="黑体" w:eastAsia="黑体"/>
          <w:bCs/>
          <w:color w:val="auto"/>
          <w:szCs w:val="21"/>
        </w:rPr>
        <w:t>投标须知</w:t>
      </w:r>
    </w:p>
    <w:p>
      <w:pPr>
        <w:spacing w:line="360" w:lineRule="auto"/>
        <w:ind w:firstLine="424" w:firstLineChars="202"/>
        <w:rPr>
          <w:rFonts w:ascii="黑体" w:hAnsi="黑体" w:eastAsia="黑体"/>
          <w:bCs/>
          <w:color w:val="auto"/>
          <w:szCs w:val="21"/>
        </w:rPr>
      </w:pPr>
      <w:r>
        <w:rPr>
          <w:rFonts w:hint="eastAsia" w:ascii="黑体" w:hAnsi="黑体" w:eastAsia="黑体"/>
          <w:bCs/>
          <w:color w:val="auto"/>
          <w:szCs w:val="21"/>
        </w:rPr>
        <w:t>第五部分</w:t>
      </w:r>
      <w:r>
        <w:rPr>
          <w:rFonts w:ascii="黑体" w:hAnsi="黑体" w:eastAsia="黑体"/>
          <w:bCs/>
          <w:color w:val="auto"/>
          <w:szCs w:val="21"/>
        </w:rPr>
        <w:t xml:space="preserve"> </w:t>
      </w:r>
      <w:r>
        <w:rPr>
          <w:rFonts w:hint="eastAsia" w:ascii="黑体" w:hAnsi="黑体" w:eastAsia="黑体"/>
          <w:bCs/>
          <w:color w:val="auto"/>
          <w:szCs w:val="21"/>
        </w:rPr>
        <w:t>评标方法、步骤、标准</w:t>
      </w:r>
    </w:p>
    <w:p>
      <w:pPr>
        <w:spacing w:line="360" w:lineRule="auto"/>
        <w:ind w:firstLine="424" w:firstLineChars="202"/>
        <w:rPr>
          <w:rFonts w:ascii="黑体" w:hAnsi="黑体" w:eastAsia="黑体"/>
          <w:bCs/>
          <w:color w:val="auto"/>
          <w:szCs w:val="21"/>
        </w:rPr>
      </w:pPr>
      <w:r>
        <w:rPr>
          <w:rFonts w:hint="eastAsia" w:ascii="黑体" w:hAnsi="黑体" w:eastAsia="黑体"/>
          <w:bCs/>
          <w:color w:val="auto"/>
          <w:szCs w:val="21"/>
        </w:rPr>
        <w:t>第六部分</w:t>
      </w:r>
      <w:r>
        <w:rPr>
          <w:rFonts w:ascii="黑体" w:hAnsi="黑体" w:eastAsia="黑体"/>
          <w:bCs/>
          <w:color w:val="auto"/>
          <w:szCs w:val="21"/>
        </w:rPr>
        <w:t xml:space="preserve"> </w:t>
      </w:r>
      <w:r>
        <w:rPr>
          <w:rFonts w:hint="eastAsia" w:ascii="黑体" w:hAnsi="黑体" w:eastAsia="黑体"/>
          <w:bCs/>
          <w:color w:val="auto"/>
          <w:szCs w:val="21"/>
        </w:rPr>
        <w:t>合同书格式</w:t>
      </w:r>
    </w:p>
    <w:p>
      <w:pPr>
        <w:spacing w:line="360" w:lineRule="auto"/>
        <w:ind w:firstLine="424" w:firstLineChars="202"/>
        <w:rPr>
          <w:rFonts w:ascii="黑体" w:hAnsi="黑体" w:eastAsia="黑体"/>
          <w:bCs/>
          <w:color w:val="auto"/>
          <w:szCs w:val="21"/>
        </w:rPr>
      </w:pPr>
      <w:r>
        <w:rPr>
          <w:rFonts w:hint="eastAsia" w:ascii="黑体" w:hAnsi="黑体" w:eastAsia="黑体"/>
          <w:bCs/>
          <w:color w:val="auto"/>
          <w:szCs w:val="21"/>
        </w:rPr>
        <w:t>第七部分</w:t>
      </w:r>
      <w:r>
        <w:rPr>
          <w:rFonts w:ascii="黑体" w:hAnsi="黑体" w:eastAsia="黑体"/>
          <w:bCs/>
          <w:color w:val="auto"/>
          <w:szCs w:val="21"/>
        </w:rPr>
        <w:t xml:space="preserve"> </w:t>
      </w:r>
      <w:r>
        <w:rPr>
          <w:rFonts w:hint="eastAsia" w:ascii="黑体" w:hAnsi="黑体" w:eastAsia="黑体"/>
          <w:bCs/>
          <w:color w:val="auto"/>
          <w:szCs w:val="21"/>
        </w:rPr>
        <w:t>投标文件格式</w:t>
      </w:r>
    </w:p>
    <w:p>
      <w:pPr>
        <w:pStyle w:val="30"/>
        <w:numPr>
          <w:ilvl w:val="0"/>
          <w:numId w:val="18"/>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人应认真阅读、并充分理解招标文件的全部内容（包括所有的补充、修改内容重要事项、格式、条款和服务要求等）。投标人没有按照招标文件要求提交全部资料，或者投标文件没有对招标文件在各方面都作出实质性响应是投标人的风险，有可能导致其投标被拒绝，或被认定为无效投标或被确定为投标无效。</w:t>
      </w:r>
    </w:p>
    <w:p>
      <w:pPr>
        <w:pStyle w:val="30"/>
        <w:numPr>
          <w:ilvl w:val="0"/>
          <w:numId w:val="18"/>
        </w:numPr>
        <w:spacing w:line="360" w:lineRule="auto"/>
        <w:ind w:firstLineChars="0"/>
        <w:rPr>
          <w:rFonts w:ascii="黑体" w:hAnsi="黑体" w:eastAsia="黑体"/>
          <w:bCs/>
          <w:color w:val="auto"/>
          <w:szCs w:val="21"/>
        </w:rPr>
      </w:pPr>
      <w:r>
        <w:rPr>
          <w:rFonts w:hint="eastAsia" w:ascii="黑体" w:hAnsi="黑体" w:eastAsia="黑体"/>
          <w:bCs/>
          <w:color w:val="auto"/>
          <w:szCs w:val="21"/>
        </w:rPr>
        <w:t>本招标文件的解释权归“广东有德招标采购有限公司”所有。</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招标文件的答疑、澄清或修改</w:t>
      </w:r>
    </w:p>
    <w:p>
      <w:pPr>
        <w:pStyle w:val="30"/>
        <w:numPr>
          <w:ilvl w:val="0"/>
          <w:numId w:val="19"/>
        </w:numPr>
        <w:spacing w:line="360" w:lineRule="auto"/>
        <w:ind w:firstLineChars="0"/>
        <w:rPr>
          <w:rFonts w:ascii="黑体" w:hAnsi="黑体" w:eastAsia="黑体"/>
          <w:bCs/>
          <w:color w:val="auto"/>
          <w:szCs w:val="21"/>
        </w:rPr>
      </w:pPr>
      <w:r>
        <w:rPr>
          <w:rFonts w:hint="eastAsia" w:ascii="黑体" w:hAnsi="黑体" w:eastAsia="黑体"/>
          <w:bCs/>
          <w:color w:val="auto"/>
          <w:szCs w:val="21"/>
        </w:rPr>
        <w:t>除非</w:t>
      </w:r>
      <w:r>
        <w:rPr>
          <w:rFonts w:hint="eastAsia" w:ascii="黑体" w:hAnsi="黑体" w:eastAsia="黑体"/>
          <w:b/>
          <w:bCs/>
          <w:color w:val="auto"/>
          <w:szCs w:val="21"/>
          <w:u w:val="single"/>
        </w:rPr>
        <w:t>投标须知前附表</w:t>
      </w:r>
      <w:r>
        <w:rPr>
          <w:rFonts w:ascii="黑体" w:hAnsi="黑体" w:eastAsia="黑体"/>
          <w:b/>
          <w:bCs/>
          <w:color w:val="auto"/>
          <w:szCs w:val="21"/>
          <w:u w:val="single"/>
        </w:rPr>
        <w:t xml:space="preserve"> </w:t>
      </w:r>
      <w:r>
        <w:rPr>
          <w:rFonts w:hint="eastAsia" w:ascii="黑体" w:hAnsi="黑体" w:eastAsia="黑体"/>
          <w:bCs/>
          <w:color w:val="auto"/>
          <w:szCs w:val="21"/>
        </w:rPr>
        <w:t>中另有规定，不举行项目集中答疑会或现场考察，如举行集中答疑会或现场考察的，则按以下规定：</w:t>
      </w:r>
    </w:p>
    <w:p>
      <w:pPr>
        <w:pStyle w:val="30"/>
        <w:numPr>
          <w:ilvl w:val="2"/>
          <w:numId w:val="11"/>
        </w:numPr>
        <w:spacing w:line="360" w:lineRule="auto"/>
        <w:ind w:firstLineChars="0"/>
        <w:rPr>
          <w:rFonts w:ascii="黑体" w:hAnsi="黑体" w:eastAsia="黑体"/>
          <w:bCs/>
          <w:color w:val="auto"/>
          <w:szCs w:val="21"/>
        </w:rPr>
      </w:pPr>
      <w:r>
        <w:rPr>
          <w:rFonts w:hint="eastAsia" w:ascii="黑体" w:hAnsi="黑体" w:eastAsia="黑体"/>
          <w:bCs/>
          <w:color w:val="auto"/>
          <w:szCs w:val="21"/>
        </w:rPr>
        <w:t>在</w:t>
      </w:r>
      <w:r>
        <w:rPr>
          <w:rFonts w:ascii="黑体" w:hAnsi="黑体" w:eastAsia="黑体"/>
          <w:bCs/>
          <w:color w:val="auto"/>
          <w:szCs w:val="21"/>
          <w:u w:val="single"/>
        </w:rPr>
        <w:t xml:space="preserve"> </w:t>
      </w:r>
      <w:r>
        <w:rPr>
          <w:rFonts w:hint="eastAsia" w:ascii="黑体" w:hAnsi="黑体" w:eastAsia="黑体"/>
          <w:b/>
          <w:bCs/>
          <w:color w:val="auto"/>
          <w:szCs w:val="21"/>
          <w:u w:val="single"/>
        </w:rPr>
        <w:t>投标须知前附表</w:t>
      </w:r>
      <w:r>
        <w:rPr>
          <w:rFonts w:ascii="黑体" w:hAnsi="黑体" w:eastAsia="黑体"/>
          <w:b/>
          <w:bCs/>
          <w:color w:val="auto"/>
          <w:szCs w:val="21"/>
          <w:u w:val="single"/>
        </w:rPr>
        <w:t xml:space="preserve"> </w:t>
      </w:r>
      <w:r>
        <w:rPr>
          <w:rFonts w:hint="eastAsia" w:ascii="黑体" w:hAnsi="黑体" w:eastAsia="黑体"/>
          <w:bCs/>
          <w:color w:val="auto"/>
          <w:szCs w:val="21"/>
        </w:rPr>
        <w:t>中规定的日期、时间和地点组织公开答疑会或现场考察。</w:t>
      </w:r>
    </w:p>
    <w:p>
      <w:pPr>
        <w:pStyle w:val="30"/>
        <w:numPr>
          <w:ilvl w:val="2"/>
          <w:numId w:val="11"/>
        </w:numPr>
        <w:spacing w:line="360" w:lineRule="auto"/>
        <w:ind w:firstLineChars="0"/>
        <w:rPr>
          <w:rFonts w:ascii="黑体" w:hAnsi="黑体" w:eastAsia="黑体"/>
          <w:bCs/>
          <w:color w:val="auto"/>
          <w:szCs w:val="21"/>
        </w:rPr>
      </w:pPr>
      <w:r>
        <w:rPr>
          <w:rFonts w:hint="eastAsia" w:ascii="黑体" w:hAnsi="黑体" w:eastAsia="黑体"/>
          <w:bCs/>
          <w:color w:val="auto"/>
          <w:szCs w:val="21"/>
        </w:rPr>
        <w:t>潜在投标人对本项目提出的疑问，需在答疑会或现场考察召开日前至少一个工作日将问题清单以书面形式（加盖公章）提交至采购代理机构，潜在投标人代表于上述的时间和地点出席答疑会或现场考察。</w:t>
      </w:r>
    </w:p>
    <w:p>
      <w:pPr>
        <w:pStyle w:val="30"/>
        <w:numPr>
          <w:ilvl w:val="2"/>
          <w:numId w:val="11"/>
        </w:numPr>
        <w:spacing w:line="360" w:lineRule="auto"/>
        <w:ind w:firstLineChars="0"/>
        <w:rPr>
          <w:rFonts w:ascii="黑体" w:hAnsi="黑体" w:eastAsia="黑体"/>
          <w:bCs/>
          <w:color w:val="auto"/>
          <w:szCs w:val="21"/>
        </w:rPr>
      </w:pPr>
      <w:r>
        <w:rPr>
          <w:rFonts w:hint="eastAsia" w:ascii="黑体" w:hAnsi="黑体" w:eastAsia="黑体"/>
          <w:bCs/>
          <w:color w:val="auto"/>
          <w:szCs w:val="21"/>
        </w:rPr>
        <w:t>已获取招标文件的投标人如不出席答疑会或现场考察视为对招标文件所有内容无任何异议。</w:t>
      </w:r>
    </w:p>
    <w:p>
      <w:pPr>
        <w:pStyle w:val="30"/>
        <w:numPr>
          <w:ilvl w:val="2"/>
          <w:numId w:val="11"/>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投标人在规定的时间内未对招标文件提出澄清或疑问的，采购代理机构将视其为无异议。</w:t>
      </w:r>
    </w:p>
    <w:p>
      <w:pPr>
        <w:pStyle w:val="30"/>
        <w:numPr>
          <w:ilvl w:val="2"/>
          <w:numId w:val="11"/>
        </w:numPr>
        <w:spacing w:line="360" w:lineRule="auto"/>
        <w:ind w:firstLineChars="0"/>
        <w:rPr>
          <w:rFonts w:ascii="黑体" w:hAnsi="黑体" w:eastAsia="黑体"/>
          <w:bCs/>
          <w:color w:val="auto"/>
          <w:szCs w:val="21"/>
        </w:rPr>
      </w:pPr>
      <w:r>
        <w:rPr>
          <w:rFonts w:hint="eastAsia" w:ascii="黑体" w:hAnsi="黑体" w:eastAsia="黑体"/>
          <w:bCs/>
          <w:color w:val="auto"/>
          <w:szCs w:val="21"/>
        </w:rPr>
        <w:t>对招标文件中描述有歧义或前后不一致的地方，评标委员会有权进行评判，但对同一条款的评判应适用于每个投标人。</w:t>
      </w:r>
    </w:p>
    <w:p>
      <w:pPr>
        <w:pStyle w:val="30"/>
        <w:numPr>
          <w:ilvl w:val="0"/>
          <w:numId w:val="19"/>
        </w:numPr>
        <w:spacing w:line="360" w:lineRule="auto"/>
        <w:ind w:firstLineChars="0"/>
        <w:rPr>
          <w:rFonts w:ascii="黑体" w:hAnsi="黑体" w:eastAsia="黑体"/>
          <w:bCs/>
          <w:color w:val="auto"/>
          <w:szCs w:val="21"/>
        </w:rPr>
      </w:pPr>
      <w:r>
        <w:rPr>
          <w:rFonts w:ascii="黑体" w:hAnsi="黑体" w:eastAsia="黑体"/>
          <w:bCs/>
          <w:color w:val="auto"/>
          <w:szCs w:val="21"/>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int="eastAsia" w:ascii="黑体" w:hAnsi="黑体" w:eastAsia="黑体"/>
          <w:bCs/>
          <w:color w:val="auto"/>
          <w:szCs w:val="21"/>
        </w:rPr>
        <w:t>。</w:t>
      </w:r>
    </w:p>
    <w:p>
      <w:pPr>
        <w:pStyle w:val="30"/>
        <w:numPr>
          <w:ilvl w:val="0"/>
          <w:numId w:val="19"/>
        </w:numPr>
        <w:spacing w:line="360" w:lineRule="auto"/>
        <w:ind w:firstLineChars="0"/>
        <w:rPr>
          <w:rFonts w:ascii="黑体" w:hAnsi="黑体" w:eastAsia="黑体"/>
          <w:bCs/>
          <w:color w:val="auto"/>
          <w:szCs w:val="21"/>
        </w:rPr>
      </w:pPr>
      <w:r>
        <w:rPr>
          <w:rFonts w:ascii="黑体" w:hAnsi="黑体" w:eastAsia="黑体"/>
          <w:bCs/>
          <w:color w:val="auto"/>
          <w:szCs w:val="21"/>
        </w:rPr>
        <w:t>招标文件的</w:t>
      </w:r>
      <w:r>
        <w:rPr>
          <w:rFonts w:hint="eastAsia" w:ascii="黑体" w:hAnsi="黑体" w:eastAsia="黑体"/>
          <w:bCs/>
          <w:color w:val="auto"/>
          <w:szCs w:val="21"/>
        </w:rPr>
        <w:t>澄清或</w:t>
      </w:r>
      <w:r>
        <w:rPr>
          <w:rFonts w:ascii="黑体" w:hAnsi="黑体" w:eastAsia="黑体"/>
          <w:bCs/>
          <w:color w:val="auto"/>
          <w:szCs w:val="21"/>
        </w:rPr>
        <w:t>修改内容作为招标文件的组成部分，具有约束作用</w:t>
      </w:r>
      <w:r>
        <w:rPr>
          <w:rFonts w:hint="eastAsia" w:ascii="黑体" w:hAnsi="黑体" w:eastAsia="黑体"/>
          <w:bCs/>
          <w:color w:val="auto"/>
          <w:szCs w:val="21"/>
        </w:rPr>
        <w:t>。</w:t>
      </w:r>
      <w:r>
        <w:rPr>
          <w:rFonts w:ascii="黑体" w:hAnsi="黑体" w:eastAsia="黑体"/>
          <w:bCs/>
          <w:color w:val="auto"/>
          <w:szCs w:val="21"/>
        </w:rPr>
        <w:t>当招标文件、招标文件的澄清</w:t>
      </w:r>
      <w:r>
        <w:rPr>
          <w:rFonts w:hint="eastAsia" w:ascii="黑体" w:hAnsi="黑体" w:eastAsia="黑体"/>
          <w:bCs/>
          <w:color w:val="auto"/>
          <w:szCs w:val="21"/>
        </w:rPr>
        <w:t>或</w:t>
      </w:r>
      <w:r>
        <w:rPr>
          <w:rFonts w:ascii="黑体" w:hAnsi="黑体" w:eastAsia="黑体"/>
          <w:bCs/>
          <w:color w:val="auto"/>
          <w:szCs w:val="21"/>
        </w:rPr>
        <w:t>修改等在同一内容的表述上不一致时，以最后发出的书面文件为准。</w:t>
      </w:r>
    </w:p>
    <w:p>
      <w:pPr>
        <w:pStyle w:val="30"/>
        <w:numPr>
          <w:ilvl w:val="0"/>
          <w:numId w:val="19"/>
        </w:numPr>
        <w:spacing w:line="360" w:lineRule="auto"/>
        <w:ind w:firstLineChars="0"/>
        <w:rPr>
          <w:rFonts w:ascii="黑体" w:hAnsi="黑体" w:eastAsia="黑体"/>
          <w:bCs/>
          <w:color w:val="auto"/>
          <w:szCs w:val="21"/>
        </w:rPr>
      </w:pPr>
      <w:r>
        <w:rPr>
          <w:rFonts w:hint="eastAsia" w:ascii="黑体" w:hAnsi="黑体" w:eastAsia="黑体"/>
          <w:bCs/>
          <w:color w:val="auto"/>
          <w:szCs w:val="21"/>
        </w:rPr>
        <w:t>招标期间，投标人有义务上网查看，公告一经上网发布，即视为送达。</w:t>
      </w:r>
      <w:r>
        <w:rPr>
          <w:rFonts w:ascii="黑体" w:hAnsi="黑体" w:eastAsia="黑体"/>
          <w:bCs/>
          <w:color w:val="auto"/>
          <w:szCs w:val="21"/>
        </w:rPr>
        <w:t>投标人应于收到该</w:t>
      </w:r>
      <w:r>
        <w:rPr>
          <w:rFonts w:hint="eastAsia" w:ascii="黑体" w:hAnsi="黑体" w:eastAsia="黑体"/>
          <w:bCs/>
          <w:color w:val="auto"/>
          <w:szCs w:val="21"/>
        </w:rPr>
        <w:t>澄清或</w:t>
      </w:r>
      <w:r>
        <w:rPr>
          <w:rFonts w:ascii="黑体" w:hAnsi="黑体" w:eastAsia="黑体"/>
          <w:bCs/>
          <w:color w:val="auto"/>
          <w:szCs w:val="21"/>
        </w:rPr>
        <w:t>修改文件的</w:t>
      </w:r>
      <w:r>
        <w:rPr>
          <w:rFonts w:hint="eastAsia" w:ascii="黑体" w:hAnsi="黑体" w:eastAsia="黑体"/>
          <w:bCs/>
          <w:color w:val="auto"/>
          <w:szCs w:val="21"/>
        </w:rPr>
        <w:t>二十四小时</w:t>
      </w:r>
      <w:r>
        <w:rPr>
          <w:rFonts w:ascii="黑体" w:hAnsi="黑体" w:eastAsia="黑体"/>
          <w:bCs/>
          <w:color w:val="auto"/>
          <w:szCs w:val="21"/>
        </w:rPr>
        <w:t>内以书面形式给予确认</w:t>
      </w:r>
      <w:r>
        <w:rPr>
          <w:rFonts w:hint="eastAsia" w:ascii="黑体" w:hAnsi="黑体" w:eastAsia="黑体"/>
          <w:bCs/>
          <w:color w:val="auto"/>
          <w:szCs w:val="21"/>
        </w:rPr>
        <w:t>。</w:t>
      </w:r>
    </w:p>
    <w:p>
      <w:pPr>
        <w:pStyle w:val="30"/>
        <w:numPr>
          <w:ilvl w:val="0"/>
          <w:numId w:val="10"/>
        </w:numPr>
        <w:spacing w:before="312" w:beforeLines="100" w:line="360" w:lineRule="auto"/>
        <w:ind w:firstLineChars="0"/>
        <w:rPr>
          <w:rFonts w:ascii="黑体" w:hAnsi="黑体" w:eastAsia="黑体"/>
          <w:b/>
          <w:bCs/>
          <w:color w:val="auto"/>
          <w:sz w:val="24"/>
          <w:szCs w:val="24"/>
        </w:rPr>
      </w:pPr>
      <w:r>
        <w:rPr>
          <w:rFonts w:hint="eastAsia" w:ascii="黑体" w:hAnsi="黑体" w:eastAsia="黑体"/>
          <w:b/>
          <w:bCs/>
          <w:color w:val="auto"/>
          <w:sz w:val="24"/>
          <w:szCs w:val="24"/>
        </w:rPr>
        <w:t>投标文件的编制</w:t>
      </w:r>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投标的语言</w:t>
      </w:r>
    </w:p>
    <w:p>
      <w:pPr>
        <w:pStyle w:val="30"/>
        <w:numPr>
          <w:ilvl w:val="0"/>
          <w:numId w:val="20"/>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人提交的投标文件以及投标人与招标采购单位就有关投标的所有来往函电均应使用中文书写。投标人提交的支持资料和己印刷的文献可以用另一种语言，但相应内容应附有中文翻译本，在解释投标文件的修改内容时以中文翻译本为准。对中文翻译有异议的，以权威机构的译本为准。</w:t>
      </w:r>
    </w:p>
    <w:p>
      <w:pPr>
        <w:pStyle w:val="30"/>
        <w:numPr>
          <w:ilvl w:val="0"/>
          <w:numId w:val="11"/>
        </w:numPr>
        <w:spacing w:before="312" w:beforeLines="100" w:line="360" w:lineRule="auto"/>
        <w:ind w:firstLineChars="0"/>
        <w:rPr>
          <w:rFonts w:ascii="黑体" w:hAnsi="黑体" w:eastAsia="黑体"/>
          <w:b/>
          <w:color w:val="auto"/>
        </w:rPr>
      </w:pPr>
      <w:bookmarkStart w:id="23" w:name="_Toc357676120"/>
      <w:r>
        <w:rPr>
          <w:rFonts w:hint="eastAsia" w:ascii="黑体" w:hAnsi="黑体" w:eastAsia="黑体"/>
          <w:b/>
          <w:color w:val="auto"/>
        </w:rPr>
        <w:t>投标文件的构成</w:t>
      </w:r>
      <w:bookmarkEnd w:id="23"/>
    </w:p>
    <w:p>
      <w:pPr>
        <w:pStyle w:val="30"/>
        <w:numPr>
          <w:ilvl w:val="0"/>
          <w:numId w:val="21"/>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投标人编写的投标文件，编排顺序参见投标文件格式。投标文件的构成应符合法律法规及招标文件的要求。</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投标文件的编写</w:t>
      </w:r>
    </w:p>
    <w:p>
      <w:pPr>
        <w:pStyle w:val="30"/>
        <w:numPr>
          <w:ilvl w:val="0"/>
          <w:numId w:val="2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投标人应完整、真实、准确地填写招标文件中提供的投标函、开标一览表、投标明细报价表（如适用）以及招标文件中规定的其它所有内容。</w:t>
      </w:r>
    </w:p>
    <w:p>
      <w:pPr>
        <w:pStyle w:val="30"/>
        <w:numPr>
          <w:ilvl w:val="0"/>
          <w:numId w:val="2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对招标文件中多个包组进行投标的，其投标文件的编制可按每个包组的要求分别装订和封装。投标人应当对投标文件进行装订，对未经装订的投标文件可能发生的文件散落或缺损，由此造成的后果和责任由投标人承担。</w:t>
      </w:r>
    </w:p>
    <w:p>
      <w:pPr>
        <w:pStyle w:val="30"/>
        <w:numPr>
          <w:ilvl w:val="0"/>
          <w:numId w:val="2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投标人必须对投标文件所提供的全部资料的真实性承担法律责任，并无条件接受采购人和政府采购监督管理部门对其中任何资料进行核实（核对原件）的要求。</w:t>
      </w:r>
    </w:p>
    <w:p>
      <w:pPr>
        <w:pStyle w:val="30"/>
        <w:numPr>
          <w:ilvl w:val="0"/>
          <w:numId w:val="2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如果因为投标人的投标文件只填写和提供了本招标文件要求的部分内容和附件，或没有提供招标文件中所要求的全部资料及数据，由此造成的后果和责任由投标人承担。</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投标报价</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投标人应按照“第二部分　采购需求”中采购项目服务要求规定的内容、责任范围进行报价。并按《开标一览表》及《投标明细报价表》（如适用）的要求报出总价和分项价格。</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投标分项报价表内容应包含：</w:t>
      </w:r>
    </w:p>
    <w:p>
      <w:pPr>
        <w:pStyle w:val="30"/>
        <w:numPr>
          <w:ilvl w:val="2"/>
          <w:numId w:val="24"/>
        </w:numPr>
        <w:spacing w:line="360" w:lineRule="auto"/>
        <w:ind w:firstLineChars="0"/>
        <w:rPr>
          <w:rFonts w:ascii="黑体" w:hAnsi="黑体" w:eastAsia="黑体"/>
          <w:bCs/>
          <w:color w:val="auto"/>
          <w:szCs w:val="21"/>
        </w:rPr>
      </w:pPr>
      <w:r>
        <w:rPr>
          <w:rFonts w:hint="eastAsia" w:ascii="黑体" w:hAnsi="黑体" w:eastAsia="黑体"/>
          <w:bCs/>
          <w:color w:val="auto"/>
          <w:szCs w:val="21"/>
        </w:rPr>
        <w:t>招标文件要求全部货物及服务所需的费用；</w:t>
      </w:r>
    </w:p>
    <w:p>
      <w:pPr>
        <w:pStyle w:val="30"/>
        <w:numPr>
          <w:ilvl w:val="2"/>
          <w:numId w:val="24"/>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投标报价包含履行合同所有相关内容所需的费用；</w:t>
      </w:r>
    </w:p>
    <w:p>
      <w:pPr>
        <w:pStyle w:val="30"/>
        <w:numPr>
          <w:ilvl w:val="2"/>
          <w:numId w:val="24"/>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投标报价均应包含所有的税费；</w:t>
      </w:r>
    </w:p>
    <w:p>
      <w:pPr>
        <w:pStyle w:val="30"/>
        <w:numPr>
          <w:ilvl w:val="2"/>
          <w:numId w:val="24"/>
        </w:numPr>
        <w:spacing w:line="360" w:lineRule="auto"/>
        <w:ind w:firstLineChars="0"/>
        <w:rPr>
          <w:rFonts w:ascii="黑体" w:hAnsi="黑体" w:eastAsia="黑体"/>
          <w:bCs/>
          <w:color w:val="auto"/>
          <w:szCs w:val="21"/>
        </w:rPr>
      </w:pPr>
      <w:r>
        <w:rPr>
          <w:rFonts w:hint="eastAsia" w:ascii="黑体" w:hAnsi="黑体" w:eastAsia="黑体"/>
          <w:bCs/>
          <w:color w:val="auto"/>
          <w:szCs w:val="21"/>
        </w:rPr>
        <w:t>其他一切隐含及不可预见的费用。</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投标报价为本次招标内容的总价包干，投标报价即为合同价，不得在中标后提出任何增加费用要求，投标人在投标时应充分考虑相关风险性因素。</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投标人在中标并签署合同后，服务期限内出现的任何遗漏，均由中标人负责，采购人将不再支付任何费用。</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除</w:t>
      </w:r>
      <w:r>
        <w:rPr>
          <w:rFonts w:ascii="黑体" w:hAnsi="黑体" w:eastAsia="黑体"/>
          <w:bCs/>
          <w:color w:val="auto"/>
          <w:szCs w:val="21"/>
          <w:u w:val="single"/>
        </w:rPr>
        <w:t xml:space="preserve"> </w:t>
      </w:r>
      <w:r>
        <w:rPr>
          <w:rFonts w:hint="eastAsia" w:ascii="黑体" w:hAnsi="黑体" w:eastAsia="黑体"/>
          <w:b/>
          <w:bCs/>
          <w:color w:val="auto"/>
          <w:szCs w:val="21"/>
          <w:u w:val="single"/>
        </w:rPr>
        <w:t>投标须知前附表</w:t>
      </w:r>
      <w:r>
        <w:rPr>
          <w:rFonts w:ascii="黑体" w:hAnsi="黑体" w:eastAsia="黑体"/>
          <w:b/>
          <w:bCs/>
          <w:color w:val="auto"/>
          <w:szCs w:val="21"/>
          <w:u w:val="single"/>
        </w:rPr>
        <w:t xml:space="preserve"> </w:t>
      </w:r>
      <w:r>
        <w:rPr>
          <w:rFonts w:hint="eastAsia" w:ascii="黑体" w:hAnsi="黑体" w:eastAsia="黑体"/>
          <w:bCs/>
          <w:color w:val="auto"/>
          <w:szCs w:val="21"/>
        </w:rPr>
        <w:t>中另有规定外，投标人所报的投标价在合同执行过程中是固定不变的，不得以任何理由予以变更。任何包含价格调整要求的投标被认为是非实质性响应投标而予以拒绝。</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除</w:t>
      </w:r>
      <w:r>
        <w:rPr>
          <w:rFonts w:ascii="黑体" w:hAnsi="黑体" w:eastAsia="黑体"/>
          <w:bCs/>
          <w:color w:val="auto"/>
          <w:szCs w:val="21"/>
          <w:u w:val="single"/>
        </w:rPr>
        <w:t xml:space="preserve"> </w:t>
      </w:r>
      <w:r>
        <w:rPr>
          <w:rFonts w:hint="eastAsia" w:ascii="黑体" w:hAnsi="黑体" w:eastAsia="黑体"/>
          <w:b/>
          <w:bCs/>
          <w:color w:val="auto"/>
          <w:szCs w:val="21"/>
          <w:u w:val="single"/>
        </w:rPr>
        <w:t>投标须知前附表</w:t>
      </w:r>
      <w:r>
        <w:rPr>
          <w:rFonts w:ascii="黑体" w:hAnsi="黑体" w:eastAsia="黑体"/>
          <w:b/>
          <w:bCs/>
          <w:color w:val="auto"/>
          <w:szCs w:val="21"/>
          <w:u w:val="single"/>
        </w:rPr>
        <w:t xml:space="preserve"> </w:t>
      </w:r>
      <w:r>
        <w:rPr>
          <w:rFonts w:hint="eastAsia" w:ascii="黑体" w:hAnsi="黑体" w:eastAsia="黑体"/>
          <w:bCs/>
          <w:color w:val="auto"/>
          <w:szCs w:val="21"/>
        </w:rPr>
        <w:t>中允许有备选方案外，本次招标不接受选择性报价，否则将被视为无效投标。</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除</w:t>
      </w:r>
      <w:r>
        <w:rPr>
          <w:rFonts w:ascii="黑体" w:hAnsi="黑体" w:eastAsia="黑体"/>
          <w:bCs/>
          <w:color w:val="auto"/>
          <w:szCs w:val="21"/>
          <w:u w:val="single"/>
        </w:rPr>
        <w:t xml:space="preserve"> </w:t>
      </w:r>
      <w:r>
        <w:rPr>
          <w:rFonts w:hint="eastAsia" w:ascii="黑体" w:hAnsi="黑体" w:eastAsia="黑体"/>
          <w:b/>
          <w:bCs/>
          <w:color w:val="auto"/>
          <w:szCs w:val="21"/>
          <w:u w:val="single"/>
        </w:rPr>
        <w:t>投标须知前附表</w:t>
      </w:r>
      <w:r>
        <w:rPr>
          <w:rFonts w:ascii="黑体" w:hAnsi="黑体" w:eastAsia="黑体"/>
          <w:b/>
          <w:bCs/>
          <w:color w:val="auto"/>
          <w:szCs w:val="21"/>
          <w:u w:val="single"/>
        </w:rPr>
        <w:t xml:space="preserve"> </w:t>
      </w:r>
      <w:r>
        <w:rPr>
          <w:rFonts w:hint="eastAsia" w:ascii="黑体" w:hAnsi="黑体" w:eastAsia="黑体"/>
          <w:bCs/>
          <w:color w:val="auto"/>
          <w:szCs w:val="21"/>
        </w:rPr>
        <w:t>另有规定外，本次招标不接受具有附加条件的报价，否则将被视为无效投标。</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
          <w:bCs/>
          <w:color w:val="auto"/>
          <w:spacing w:val="-6"/>
          <w:szCs w:val="21"/>
        </w:rPr>
        <w:t>投标人的投标报价高于采购预算或最高单价限价的，该投标人的投标文件将被视为非响应性报价作无效投标处理。</w:t>
      </w:r>
    </w:p>
    <w:p>
      <w:pPr>
        <w:pStyle w:val="30"/>
        <w:numPr>
          <w:ilvl w:val="0"/>
          <w:numId w:val="2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中标人向采购代理机构交纳中标服务费，中标服务费不在投标报价中单列。</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投标货币</w:t>
      </w:r>
    </w:p>
    <w:p>
      <w:pPr>
        <w:pStyle w:val="30"/>
        <w:numPr>
          <w:ilvl w:val="0"/>
          <w:numId w:val="25"/>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投标货币以人民币标价，以其它货币标价的投标将予以拒绝。</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联合体投标</w:t>
      </w:r>
    </w:p>
    <w:p>
      <w:pPr>
        <w:pStyle w:val="30"/>
        <w:numPr>
          <w:ilvl w:val="0"/>
          <w:numId w:val="26"/>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除非</w:t>
      </w:r>
      <w:r>
        <w:rPr>
          <w:rFonts w:hint="eastAsia" w:ascii="黑体" w:hAnsi="黑体" w:eastAsia="黑体"/>
          <w:b/>
          <w:bCs/>
          <w:color w:val="auto"/>
          <w:szCs w:val="21"/>
          <w:u w:val="single"/>
        </w:rPr>
        <w:t>投标邀请函</w:t>
      </w:r>
      <w:r>
        <w:rPr>
          <w:rFonts w:hint="eastAsia" w:ascii="黑体" w:hAnsi="黑体" w:eastAsia="黑体"/>
          <w:bCs/>
          <w:color w:val="auto"/>
          <w:szCs w:val="21"/>
        </w:rPr>
        <w:t>中另有规定，不接受联合体投标。如果投标邀请中规定允许联合体投标的，则必须满足：</w:t>
      </w:r>
    </w:p>
    <w:p>
      <w:pPr>
        <w:pStyle w:val="30"/>
        <w:numPr>
          <w:ilvl w:val="0"/>
          <w:numId w:val="27"/>
        </w:numPr>
        <w:spacing w:line="360" w:lineRule="auto"/>
        <w:ind w:left="709" w:hanging="709" w:firstLineChars="0"/>
        <w:rPr>
          <w:rFonts w:ascii="黑体" w:hAnsi="黑体" w:eastAsia="黑体"/>
          <w:bCs/>
          <w:color w:val="auto"/>
          <w:szCs w:val="21"/>
        </w:rPr>
      </w:pPr>
      <w:r>
        <w:rPr>
          <w:rFonts w:hint="eastAsia" w:ascii="黑体" w:hAnsi="黑体" w:eastAsia="黑体"/>
          <w:bCs/>
          <w:color w:val="auto"/>
          <w:szCs w:val="21"/>
        </w:rPr>
        <w:t>以联合体形式进行政府采购的，参加联合体的投标人均应当具备《中华人民共和国政府采购法》第二十二条规定的条件，联合体各方之间应当签订联合体协议，明确约定联合体各方承担的工作和义务，并将共同联合体协议连同投标文件一并提交；</w:t>
      </w:r>
    </w:p>
    <w:p>
      <w:pPr>
        <w:pStyle w:val="30"/>
        <w:numPr>
          <w:ilvl w:val="0"/>
          <w:numId w:val="27"/>
        </w:numPr>
        <w:spacing w:line="360" w:lineRule="auto"/>
        <w:ind w:left="709" w:hanging="709" w:firstLineChars="0"/>
        <w:rPr>
          <w:rFonts w:ascii="黑体" w:hAnsi="黑体" w:eastAsia="黑体"/>
          <w:bCs/>
          <w:color w:val="auto"/>
          <w:szCs w:val="21"/>
        </w:rPr>
      </w:pPr>
      <w:r>
        <w:rPr>
          <w:rFonts w:hint="eastAsia" w:ascii="黑体" w:hAnsi="黑体" w:eastAsia="黑体"/>
          <w:bCs/>
          <w:color w:val="auto"/>
          <w:szCs w:val="21"/>
        </w:rPr>
        <w:t>联合体各方签订共同投标协议书后，不得再以自己名义单独在同一项目（采购包）中投标，也不得组成新的联合体参加同一项目（采购包）投标，若违反规定则其参与的所有投标将视为无效投标；</w:t>
      </w:r>
    </w:p>
    <w:p>
      <w:pPr>
        <w:pStyle w:val="30"/>
        <w:numPr>
          <w:ilvl w:val="0"/>
          <w:numId w:val="27"/>
        </w:numPr>
        <w:spacing w:line="360" w:lineRule="auto"/>
        <w:ind w:left="709" w:hanging="709" w:firstLineChars="0"/>
        <w:rPr>
          <w:rFonts w:ascii="黑体" w:hAnsi="黑体" w:eastAsia="黑体"/>
          <w:bCs/>
          <w:color w:val="auto"/>
          <w:szCs w:val="21"/>
        </w:rPr>
      </w:pPr>
      <w:r>
        <w:rPr>
          <w:rFonts w:hint="eastAsia" w:ascii="黑体" w:hAnsi="黑体" w:eastAsia="黑体"/>
          <w:bCs/>
          <w:color w:val="auto"/>
          <w:szCs w:val="21"/>
        </w:rPr>
        <w:t>联合体投标的，可以由联合体中的一方或者共同提交投标保证金，以一方名义提交投标保证金的，对联合体各方均具有约束力；</w:t>
      </w:r>
    </w:p>
    <w:p>
      <w:pPr>
        <w:pStyle w:val="30"/>
        <w:numPr>
          <w:ilvl w:val="0"/>
          <w:numId w:val="27"/>
        </w:numPr>
        <w:spacing w:line="360" w:lineRule="auto"/>
        <w:ind w:left="709" w:hanging="709" w:firstLineChars="0"/>
        <w:rPr>
          <w:rFonts w:ascii="黑体" w:hAnsi="黑体" w:eastAsia="黑体"/>
          <w:bCs/>
          <w:color w:val="auto"/>
          <w:szCs w:val="21"/>
        </w:rPr>
      </w:pPr>
      <w:r>
        <w:rPr>
          <w:rFonts w:hint="eastAsia" w:ascii="黑体" w:hAnsi="黑体" w:eastAsia="黑体"/>
          <w:bCs/>
          <w:color w:val="auto"/>
          <w:szCs w:val="21"/>
        </w:rPr>
        <w:t>联合体中有同类资质的投标人按照联合体分工承担相同工作的，按照资质等级较低的投标人确定资质等级。</w:t>
      </w:r>
    </w:p>
    <w:p>
      <w:pPr>
        <w:pStyle w:val="30"/>
        <w:numPr>
          <w:ilvl w:val="0"/>
          <w:numId w:val="27"/>
        </w:numPr>
        <w:spacing w:line="360" w:lineRule="auto"/>
        <w:ind w:left="709" w:hanging="709" w:firstLineChars="0"/>
        <w:rPr>
          <w:rFonts w:ascii="黑体" w:hAnsi="黑体" w:eastAsia="黑体"/>
          <w:bCs/>
          <w:color w:val="auto"/>
          <w:szCs w:val="21"/>
        </w:rPr>
      </w:pPr>
      <w:r>
        <w:rPr>
          <w:rFonts w:hint="eastAsia" w:ascii="黑体" w:hAnsi="黑体" w:eastAsia="黑体"/>
          <w:bCs/>
          <w:color w:val="auto"/>
          <w:szCs w:val="21"/>
        </w:rPr>
        <w:t>联合体各方应当共同与采购人签订采购合同，就采购合同约定的事项对采购人承担连带责任。</w:t>
      </w:r>
    </w:p>
    <w:p>
      <w:pPr>
        <w:pStyle w:val="30"/>
        <w:numPr>
          <w:ilvl w:val="0"/>
          <w:numId w:val="11"/>
        </w:numPr>
        <w:spacing w:before="312" w:beforeLines="100" w:line="360" w:lineRule="auto"/>
        <w:ind w:firstLineChars="0"/>
        <w:rPr>
          <w:rFonts w:ascii="黑体" w:hAnsi="黑体" w:eastAsia="黑体"/>
          <w:b/>
          <w:color w:val="auto"/>
        </w:rPr>
      </w:pPr>
      <w:bookmarkStart w:id="24" w:name="_Toc357676125"/>
      <w:r>
        <w:rPr>
          <w:rFonts w:hint="eastAsia" w:ascii="黑体" w:hAnsi="黑体" w:eastAsia="黑体"/>
          <w:b/>
          <w:color w:val="auto"/>
        </w:rPr>
        <w:t>关于中小微企业投标</w:t>
      </w:r>
    </w:p>
    <w:p>
      <w:pPr>
        <w:pStyle w:val="30"/>
        <w:numPr>
          <w:ilvl w:val="0"/>
          <w:numId w:val="28"/>
        </w:numPr>
        <w:spacing w:line="360" w:lineRule="auto"/>
        <w:ind w:left="567" w:hanging="567" w:firstLineChars="0"/>
        <w:rPr>
          <w:rFonts w:ascii="黑体" w:hAnsi="黑体" w:eastAsia="黑体"/>
          <w:bCs/>
          <w:color w:val="auto"/>
        </w:rPr>
      </w:pPr>
      <w:r>
        <w:rPr>
          <w:rFonts w:hint="eastAsia" w:ascii="黑体" w:hAnsi="黑体" w:eastAsia="黑体"/>
          <w:bCs/>
          <w:color w:val="auto"/>
        </w:rPr>
        <w:t>中小微企业响应是指在政府采购活动中，供应商提供的货物均由中小微企业制造、工程均由中小微企业承建或者服务均由中小微企业承接，并在投标文件中提供《中小企业声明函》。</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证明投标人合格和资格的文件</w:t>
      </w:r>
      <w:bookmarkEnd w:id="24"/>
    </w:p>
    <w:p>
      <w:pPr>
        <w:pStyle w:val="30"/>
        <w:numPr>
          <w:ilvl w:val="0"/>
          <w:numId w:val="29"/>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应提交证明其有资格参加投标和中标后有能力履行合同的文件，并作为其投标文件的一部分。如果投标人为联合体，应提交联合体各方的资格证明文件、共同投标协议并注明主体方及各方拟承担的工作和责任。</w:t>
      </w:r>
    </w:p>
    <w:p>
      <w:pPr>
        <w:pStyle w:val="30"/>
        <w:numPr>
          <w:ilvl w:val="0"/>
          <w:numId w:val="29"/>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投标人提交的资格证明文件应证明其满足本须知定义的合格投标人。</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投标担保</w:t>
      </w:r>
    </w:p>
    <w:p>
      <w:pPr>
        <w:pStyle w:val="30"/>
        <w:numPr>
          <w:ilvl w:val="0"/>
          <w:numId w:val="30"/>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投标人投标时须</w:t>
      </w:r>
      <w:r>
        <w:rPr>
          <w:rFonts w:ascii="黑体" w:hAnsi="黑体" w:eastAsia="黑体"/>
          <w:bCs/>
          <w:color w:val="auto"/>
          <w:szCs w:val="21"/>
        </w:rPr>
        <w:t>附有</w:t>
      </w:r>
      <w:r>
        <w:rPr>
          <w:rFonts w:hint="eastAsia" w:ascii="黑体" w:hAnsi="黑体" w:eastAsia="黑体"/>
          <w:bCs/>
          <w:color w:val="auto"/>
          <w:szCs w:val="21"/>
        </w:rPr>
        <w:t>投标保证金为：</w:t>
      </w:r>
      <w:r>
        <w:rPr>
          <w:rFonts w:hint="eastAsia" w:ascii="黑体" w:hAnsi="黑体" w:eastAsia="黑体"/>
          <w:bCs/>
          <w:color w:val="auto"/>
          <w:szCs w:val="21"/>
          <w:u w:val="single"/>
        </w:rPr>
        <w:t>（</w:t>
      </w:r>
      <w:r>
        <w:rPr>
          <w:rFonts w:hint="eastAsia" w:ascii="黑体" w:hAnsi="黑体" w:eastAsia="黑体"/>
          <w:b/>
          <w:bCs/>
          <w:color w:val="auto"/>
          <w:szCs w:val="21"/>
          <w:u w:val="single"/>
        </w:rPr>
        <w:t>详见投标须知前附表</w:t>
      </w:r>
      <w:r>
        <w:rPr>
          <w:rFonts w:hint="eastAsia" w:ascii="黑体" w:hAnsi="黑体" w:eastAsia="黑体"/>
          <w:bCs/>
          <w:color w:val="auto"/>
          <w:szCs w:val="21"/>
          <w:u w:val="single"/>
        </w:rPr>
        <w:t>）</w:t>
      </w:r>
      <w:r>
        <w:rPr>
          <w:rFonts w:ascii="黑体" w:hAnsi="黑体" w:eastAsia="黑体"/>
          <w:bCs/>
          <w:color w:val="auto"/>
          <w:szCs w:val="21"/>
          <w:u w:val="single"/>
        </w:rPr>
        <w:t xml:space="preserve"> </w:t>
      </w:r>
      <w:r>
        <w:rPr>
          <w:rFonts w:hint="eastAsia" w:ascii="黑体" w:hAnsi="黑体" w:eastAsia="黑体"/>
          <w:bCs/>
          <w:color w:val="auto"/>
          <w:szCs w:val="21"/>
        </w:rPr>
        <w:t>。</w:t>
      </w:r>
    </w:p>
    <w:p>
      <w:pPr>
        <w:pStyle w:val="30"/>
        <w:numPr>
          <w:ilvl w:val="0"/>
          <w:numId w:val="30"/>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投标保证金作为供应商投标的组成部分，与投标文件一同递交。</w:t>
      </w:r>
    </w:p>
    <w:p>
      <w:pPr>
        <w:pStyle w:val="30"/>
        <w:numPr>
          <w:ilvl w:val="0"/>
          <w:numId w:val="30"/>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投标人应按要求提交投标保证金，投标人应当以银行转账、电汇或《政府采购投标担保函》形式缴交，投标人与交款人名称必须一致，非投标人缴纳的投标保证金无效。</w:t>
      </w:r>
    </w:p>
    <w:p>
      <w:pPr>
        <w:pStyle w:val="30"/>
        <w:numPr>
          <w:ilvl w:val="0"/>
          <w:numId w:val="30"/>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如项目出现分包情况的，投标人必须按包号分别提交投标保证金并注明包号；</w:t>
      </w:r>
    </w:p>
    <w:p>
      <w:pPr>
        <w:pStyle w:val="30"/>
        <w:numPr>
          <w:ilvl w:val="0"/>
          <w:numId w:val="30"/>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提交保证金时应符合下列规定：</w:t>
      </w:r>
    </w:p>
    <w:p>
      <w:pPr>
        <w:pStyle w:val="30"/>
        <w:numPr>
          <w:ilvl w:val="0"/>
          <w:numId w:val="31"/>
        </w:numPr>
        <w:spacing w:line="360" w:lineRule="auto"/>
        <w:ind w:left="709" w:hanging="709" w:firstLineChars="0"/>
        <w:rPr>
          <w:rFonts w:ascii="黑体" w:hAnsi="黑体" w:eastAsia="黑体"/>
          <w:bCs/>
          <w:color w:val="auto"/>
          <w:szCs w:val="21"/>
        </w:rPr>
      </w:pPr>
      <w:r>
        <w:rPr>
          <w:rFonts w:hint="eastAsia" w:ascii="黑体" w:hAnsi="黑体" w:eastAsia="黑体"/>
          <w:bCs/>
          <w:color w:val="auto"/>
          <w:szCs w:val="21"/>
        </w:rPr>
        <w:t>投标保证金以转账形式递交的，请务必按以下信息填写汇款单：</w:t>
      </w:r>
      <w:r>
        <w:rPr>
          <w:rFonts w:hint="eastAsia" w:ascii="黑体" w:hAnsi="黑体" w:eastAsia="黑体"/>
          <w:bCs/>
          <w:color w:val="auto"/>
          <w:szCs w:val="21"/>
          <w:u w:val="single"/>
        </w:rPr>
        <w:t>（</w:t>
      </w:r>
      <w:r>
        <w:rPr>
          <w:rFonts w:hint="eastAsia" w:ascii="黑体" w:hAnsi="黑体" w:eastAsia="黑体"/>
          <w:b/>
          <w:bCs/>
          <w:color w:val="auto"/>
          <w:szCs w:val="21"/>
          <w:u w:val="single"/>
        </w:rPr>
        <w:t>详见投标须知前附表</w:t>
      </w:r>
      <w:r>
        <w:rPr>
          <w:rFonts w:hint="eastAsia" w:ascii="黑体" w:hAnsi="黑体" w:eastAsia="黑体"/>
          <w:bCs/>
          <w:color w:val="auto"/>
          <w:szCs w:val="21"/>
          <w:u w:val="single"/>
        </w:rPr>
        <w:t>）</w:t>
      </w:r>
      <w:r>
        <w:rPr>
          <w:rFonts w:hint="eastAsia" w:ascii="黑体" w:hAnsi="黑体" w:eastAsia="黑体"/>
          <w:bCs/>
          <w:color w:val="auto"/>
          <w:szCs w:val="21"/>
        </w:rPr>
        <w:t>账户上；</w:t>
      </w:r>
    </w:p>
    <w:p>
      <w:pPr>
        <w:pStyle w:val="30"/>
        <w:numPr>
          <w:ilvl w:val="0"/>
          <w:numId w:val="31"/>
        </w:numPr>
        <w:spacing w:line="360" w:lineRule="auto"/>
        <w:ind w:left="709" w:hanging="709" w:firstLineChars="0"/>
        <w:rPr>
          <w:rFonts w:ascii="黑体" w:hAnsi="黑体" w:eastAsia="黑体"/>
          <w:bCs/>
          <w:color w:val="auto"/>
          <w:szCs w:val="21"/>
        </w:rPr>
      </w:pPr>
      <w:r>
        <w:rPr>
          <w:rFonts w:hint="eastAsia" w:ascii="黑体" w:hAnsi="黑体" w:eastAsia="黑体"/>
          <w:bCs/>
          <w:color w:val="auto"/>
          <w:szCs w:val="21"/>
        </w:rPr>
        <w:t>采用《政府采购投标担保函》递交的，投标担保函有效期应与投标有效期一致。</w:t>
      </w:r>
    </w:p>
    <w:p>
      <w:pPr>
        <w:pStyle w:val="30"/>
        <w:numPr>
          <w:ilvl w:val="0"/>
          <w:numId w:val="30"/>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未中标的投标人的投标保证金将在本项目《中标通知书》发出之日起</w:t>
      </w:r>
      <w:r>
        <w:rPr>
          <w:rFonts w:ascii="黑体" w:hAnsi="黑体" w:eastAsia="黑体"/>
          <w:bCs/>
          <w:color w:val="auto"/>
          <w:szCs w:val="21"/>
        </w:rPr>
        <w:t>5个工作日内退还。</w:t>
      </w:r>
      <w:r>
        <w:rPr>
          <w:rFonts w:hint="eastAsia" w:ascii="黑体" w:hAnsi="黑体" w:eastAsia="黑体"/>
          <w:bCs/>
          <w:color w:val="auto"/>
          <w:szCs w:val="21"/>
        </w:rPr>
        <w:t>中标人的投标保证金自政府采购合同签订之日起</w:t>
      </w:r>
      <w:r>
        <w:rPr>
          <w:rFonts w:ascii="黑体" w:hAnsi="黑体" w:eastAsia="黑体"/>
          <w:bCs/>
          <w:color w:val="auto"/>
          <w:szCs w:val="21"/>
        </w:rPr>
        <w:t>5个工作日内退还。</w:t>
      </w:r>
    </w:p>
    <w:p>
      <w:pPr>
        <w:pStyle w:val="30"/>
        <w:numPr>
          <w:ilvl w:val="0"/>
          <w:numId w:val="30"/>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中标人有下列情形之一的，投标保证金将被没收：</w:t>
      </w:r>
    </w:p>
    <w:p>
      <w:pPr>
        <w:pStyle w:val="30"/>
        <w:numPr>
          <w:ilvl w:val="0"/>
          <w:numId w:val="32"/>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投标人在招标文件中规定的投标有效期内撤销其投标文件；</w:t>
      </w:r>
    </w:p>
    <w:p>
      <w:pPr>
        <w:pStyle w:val="30"/>
        <w:numPr>
          <w:ilvl w:val="0"/>
          <w:numId w:val="32"/>
        </w:numPr>
        <w:spacing w:line="360" w:lineRule="auto"/>
        <w:ind w:firstLineChars="0"/>
        <w:rPr>
          <w:rFonts w:ascii="黑体" w:hAnsi="黑体" w:eastAsia="黑体"/>
          <w:bCs/>
          <w:color w:val="auto"/>
          <w:szCs w:val="21"/>
        </w:rPr>
      </w:pPr>
      <w:r>
        <w:rPr>
          <w:rFonts w:hint="eastAsia" w:ascii="黑体" w:hAnsi="黑体" w:eastAsia="黑体"/>
          <w:bCs/>
          <w:color w:val="auto"/>
          <w:szCs w:val="21"/>
        </w:rPr>
        <w:t>提供虚假材料谋取中标的；</w:t>
      </w:r>
    </w:p>
    <w:p>
      <w:pPr>
        <w:pStyle w:val="30"/>
        <w:numPr>
          <w:ilvl w:val="0"/>
          <w:numId w:val="32"/>
        </w:numPr>
        <w:spacing w:line="360" w:lineRule="auto"/>
        <w:ind w:firstLineChars="0"/>
        <w:rPr>
          <w:rFonts w:ascii="黑体" w:hAnsi="黑体" w:eastAsia="黑体"/>
          <w:bCs/>
          <w:color w:val="auto"/>
          <w:szCs w:val="21"/>
        </w:rPr>
      </w:pPr>
      <w:r>
        <w:rPr>
          <w:rFonts w:hint="eastAsia" w:ascii="黑体" w:hAnsi="黑体" w:eastAsia="黑体"/>
          <w:bCs/>
          <w:color w:val="auto"/>
          <w:szCs w:val="21"/>
        </w:rPr>
        <w:t>中标后，无正当理由放弃中标资格；</w:t>
      </w:r>
    </w:p>
    <w:p>
      <w:pPr>
        <w:pStyle w:val="30"/>
        <w:numPr>
          <w:ilvl w:val="0"/>
          <w:numId w:val="32"/>
        </w:numPr>
        <w:spacing w:line="360" w:lineRule="auto"/>
        <w:ind w:firstLineChars="0"/>
        <w:rPr>
          <w:rFonts w:ascii="黑体" w:hAnsi="黑体" w:eastAsia="黑体"/>
          <w:bCs/>
          <w:color w:val="auto"/>
          <w:szCs w:val="21"/>
        </w:rPr>
      </w:pPr>
      <w:r>
        <w:rPr>
          <w:rFonts w:hint="eastAsia" w:ascii="黑体" w:hAnsi="黑体" w:eastAsia="黑体"/>
          <w:bCs/>
          <w:color w:val="auto"/>
          <w:szCs w:val="21"/>
        </w:rPr>
        <w:t>中标后，无正当理由不与采购人签订合同；</w:t>
      </w:r>
    </w:p>
    <w:p>
      <w:pPr>
        <w:pStyle w:val="30"/>
        <w:numPr>
          <w:ilvl w:val="0"/>
          <w:numId w:val="32"/>
        </w:numPr>
        <w:spacing w:line="360" w:lineRule="auto"/>
        <w:ind w:firstLineChars="0"/>
        <w:rPr>
          <w:rFonts w:ascii="黑体" w:hAnsi="黑体" w:eastAsia="黑体"/>
          <w:bCs/>
          <w:color w:val="auto"/>
          <w:szCs w:val="21"/>
        </w:rPr>
      </w:pPr>
      <w:r>
        <w:rPr>
          <w:rFonts w:hint="eastAsia" w:ascii="黑体" w:hAnsi="黑体" w:eastAsia="黑体"/>
          <w:bCs/>
          <w:color w:val="auto"/>
          <w:szCs w:val="21"/>
        </w:rPr>
        <w:t>法律法规规定的其它行为。</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投标有效期</w:t>
      </w:r>
    </w:p>
    <w:p>
      <w:pPr>
        <w:pStyle w:val="30"/>
        <w:numPr>
          <w:ilvl w:val="0"/>
          <w:numId w:val="33"/>
        </w:numPr>
        <w:spacing w:line="360" w:lineRule="auto"/>
        <w:ind w:left="567" w:hanging="567" w:firstLineChars="0"/>
        <w:rPr>
          <w:rFonts w:ascii="黑体" w:hAnsi="黑体" w:eastAsia="黑体"/>
          <w:bCs/>
          <w:color w:val="auto"/>
          <w:spacing w:val="-2"/>
          <w:szCs w:val="21"/>
        </w:rPr>
      </w:pPr>
      <w:r>
        <w:rPr>
          <w:rFonts w:hint="eastAsia" w:ascii="黑体" w:hAnsi="黑体" w:eastAsia="黑体"/>
          <w:bCs/>
          <w:color w:val="auto"/>
          <w:spacing w:val="-2"/>
          <w:szCs w:val="21"/>
        </w:rPr>
        <w:t>投标</w:t>
      </w:r>
      <w:r>
        <w:rPr>
          <w:rFonts w:hint="eastAsia" w:ascii="黑体" w:hAnsi="黑体" w:eastAsia="黑体"/>
          <w:color w:val="auto"/>
        </w:rPr>
        <w:t>有效期自招标文件规定的</w:t>
      </w:r>
      <w:r>
        <w:rPr>
          <w:rFonts w:hint="eastAsia" w:ascii="黑体" w:hAnsi="黑体" w:eastAsia="黑体"/>
          <w:bCs/>
          <w:color w:val="auto"/>
          <w:spacing w:val="-2"/>
          <w:szCs w:val="21"/>
        </w:rPr>
        <w:t>投标文件</w:t>
      </w:r>
      <w:r>
        <w:rPr>
          <w:rFonts w:hint="eastAsia" w:ascii="黑体" w:hAnsi="黑体" w:eastAsia="黑体"/>
          <w:color w:val="auto"/>
        </w:rPr>
        <w:t>递交截止时间起算</w:t>
      </w:r>
      <w:r>
        <w:rPr>
          <w:rFonts w:hint="eastAsia" w:ascii="黑体" w:hAnsi="黑体" w:eastAsia="黑体"/>
          <w:bCs/>
          <w:color w:val="auto"/>
          <w:spacing w:val="-2"/>
          <w:szCs w:val="21"/>
        </w:rPr>
        <w:t>，并在</w:t>
      </w:r>
      <w:r>
        <w:rPr>
          <w:rFonts w:hint="eastAsia" w:ascii="黑体" w:hAnsi="黑体" w:eastAsia="黑体"/>
          <w:b/>
          <w:color w:val="auto"/>
          <w:szCs w:val="21"/>
          <w:u w:val="single"/>
        </w:rPr>
        <w:t>投标须知前附表</w:t>
      </w:r>
      <w:r>
        <w:rPr>
          <w:rFonts w:hint="eastAsia" w:ascii="黑体" w:hAnsi="黑体" w:eastAsia="黑体"/>
          <w:color w:val="auto"/>
        </w:rPr>
        <w:t>中所述期限内有效</w:t>
      </w:r>
      <w:r>
        <w:rPr>
          <w:rFonts w:hint="eastAsia" w:ascii="黑体" w:hAnsi="黑体" w:eastAsia="黑体"/>
          <w:bCs/>
          <w:color w:val="auto"/>
          <w:spacing w:val="-2"/>
          <w:szCs w:val="21"/>
        </w:rPr>
        <w:t>。投标有效期</w:t>
      </w:r>
      <w:r>
        <w:rPr>
          <w:rFonts w:hint="eastAsia" w:ascii="黑体" w:hAnsi="黑体" w:eastAsia="黑体"/>
          <w:color w:val="auto"/>
        </w:rPr>
        <w:t>比规定时间短</w:t>
      </w:r>
      <w:r>
        <w:rPr>
          <w:rFonts w:hint="eastAsia" w:ascii="黑体" w:hAnsi="黑体" w:eastAsia="黑体"/>
          <w:bCs/>
          <w:color w:val="auto"/>
          <w:spacing w:val="-2"/>
          <w:szCs w:val="21"/>
        </w:rPr>
        <w:t>的投标将被视为非实质性响应，视为无效投标。</w:t>
      </w:r>
    </w:p>
    <w:p>
      <w:pPr>
        <w:pStyle w:val="30"/>
        <w:numPr>
          <w:ilvl w:val="0"/>
          <w:numId w:val="33"/>
        </w:numPr>
        <w:spacing w:line="360" w:lineRule="auto"/>
        <w:ind w:left="567" w:hanging="567" w:firstLineChars="0"/>
        <w:rPr>
          <w:rFonts w:ascii="黑体" w:hAnsi="黑体" w:eastAsia="黑体"/>
          <w:bCs/>
          <w:color w:val="auto"/>
          <w:spacing w:val="-2"/>
          <w:szCs w:val="21"/>
        </w:rPr>
      </w:pPr>
      <w:r>
        <w:rPr>
          <w:rFonts w:hint="eastAsia" w:ascii="黑体" w:hAnsi="黑体" w:eastAsia="黑体"/>
          <w:bCs/>
          <w:color w:val="auto"/>
          <w:szCs w:val="21"/>
        </w:rPr>
        <w:t>出现特殊情况需延长投标有效期的，采购人或采购代理机构可于投标有效期满之前要求投标人同意延长有效期，要求与答复均以书面形式通知所有投标人。投标人同意延长的，应相应延长其投标保证金的有效期，但不得要求或被允许修改或撤销其投标文件；投标人可以拒绝延长有效期，但其投标将会被视为无效，拒绝延长有效期的投标人有权收回其投标保证金。</w:t>
      </w:r>
    </w:p>
    <w:p>
      <w:pPr>
        <w:pStyle w:val="30"/>
        <w:numPr>
          <w:ilvl w:val="0"/>
          <w:numId w:val="11"/>
        </w:numPr>
        <w:spacing w:before="312" w:beforeLines="100" w:line="360" w:lineRule="auto"/>
        <w:ind w:firstLineChars="0"/>
        <w:rPr>
          <w:rFonts w:ascii="黑体" w:hAnsi="黑体" w:eastAsia="黑体"/>
          <w:b/>
          <w:color w:val="auto"/>
        </w:rPr>
      </w:pPr>
      <w:bookmarkStart w:id="25" w:name="_Toc357676129"/>
      <w:r>
        <w:rPr>
          <w:rFonts w:hint="eastAsia" w:ascii="黑体" w:hAnsi="黑体" w:eastAsia="黑体"/>
          <w:b/>
          <w:color w:val="auto"/>
        </w:rPr>
        <w:t>投标文件的式样和签署</w:t>
      </w:r>
      <w:bookmarkEnd w:id="25"/>
    </w:p>
    <w:p>
      <w:pPr>
        <w:pStyle w:val="30"/>
        <w:numPr>
          <w:ilvl w:val="0"/>
          <w:numId w:val="34"/>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投标文件的式样：投标人应准备一份投标文件正本、电子文件、唱标信封和</w:t>
      </w:r>
      <w:r>
        <w:rPr>
          <w:rFonts w:ascii="黑体" w:hAnsi="黑体" w:eastAsia="黑体"/>
          <w:bCs/>
          <w:color w:val="auto"/>
          <w:szCs w:val="21"/>
          <w:u w:val="single"/>
        </w:rPr>
        <w:t xml:space="preserve"> </w:t>
      </w:r>
      <w:bookmarkStart w:id="26" w:name="_Hlk81180014"/>
      <w:r>
        <w:rPr>
          <w:rFonts w:hint="eastAsia" w:ascii="黑体" w:hAnsi="黑体" w:eastAsia="黑体"/>
          <w:b/>
          <w:color w:val="auto"/>
          <w:szCs w:val="21"/>
          <w:u w:val="single"/>
        </w:rPr>
        <w:t>详见投标须知前附表</w:t>
      </w:r>
      <w:r>
        <w:rPr>
          <w:rFonts w:ascii="黑体" w:hAnsi="黑体" w:eastAsia="黑体"/>
          <w:b/>
          <w:color w:val="auto"/>
          <w:szCs w:val="21"/>
          <w:u w:val="single"/>
        </w:rPr>
        <w:t xml:space="preserve"> </w:t>
      </w:r>
      <w:bookmarkEnd w:id="26"/>
      <w:r>
        <w:rPr>
          <w:rFonts w:hint="eastAsia" w:ascii="黑体" w:hAnsi="黑体" w:eastAsia="黑体"/>
          <w:bCs/>
          <w:color w:val="auto"/>
          <w:szCs w:val="21"/>
        </w:rPr>
        <w:t>中规定数目的副本，投标文件的副本可采用正本的复印件。每套投标文件须清楚地标明“正本”或“副本”。若副本与正本不符，以正本为准。</w:t>
      </w:r>
    </w:p>
    <w:p>
      <w:pPr>
        <w:pStyle w:val="30"/>
        <w:numPr>
          <w:ilvl w:val="0"/>
          <w:numId w:val="34"/>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投标文件的签署：</w:t>
      </w:r>
    </w:p>
    <w:p>
      <w:pPr>
        <w:pStyle w:val="30"/>
        <w:numPr>
          <w:ilvl w:val="2"/>
          <w:numId w:val="35"/>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文件的正本需打印或用不褪色墨水书写，投标文件要求签名的由法定代表人或经其正式授权的代表签字，投标文件要求盖章的需加盖投标人公章，副本可由正本复印而成，与正本具有同等法律效力。授权代表须将以书面形式出具的《法定代表人授权委托书》附在投标文件中；</w:t>
      </w:r>
    </w:p>
    <w:p>
      <w:pPr>
        <w:pStyle w:val="30"/>
        <w:numPr>
          <w:ilvl w:val="2"/>
          <w:numId w:val="35"/>
        </w:numPr>
        <w:spacing w:line="360" w:lineRule="auto"/>
        <w:ind w:firstLineChars="0"/>
        <w:rPr>
          <w:rFonts w:ascii="黑体" w:hAnsi="黑体" w:eastAsia="黑体"/>
          <w:bCs/>
          <w:color w:val="auto"/>
          <w:szCs w:val="21"/>
        </w:rPr>
      </w:pPr>
      <w:r>
        <w:rPr>
          <w:rFonts w:hint="eastAsia" w:ascii="黑体" w:hAnsi="黑体" w:eastAsia="黑体"/>
          <w:bCs/>
          <w:color w:val="auto"/>
          <w:szCs w:val="21"/>
        </w:rPr>
        <w:t>投标文件中的任何重要的插字、涂改和增删，必须由法定代表人或经其正式授权的代表在旁边签署。</w:t>
      </w:r>
    </w:p>
    <w:p>
      <w:pPr>
        <w:pStyle w:val="30"/>
        <w:numPr>
          <w:ilvl w:val="0"/>
          <w:numId w:val="34"/>
        </w:numPr>
        <w:spacing w:line="360" w:lineRule="auto"/>
        <w:ind w:left="567" w:hanging="567" w:firstLineChars="0"/>
        <w:rPr>
          <w:rFonts w:ascii="黑体" w:hAnsi="黑体" w:eastAsia="黑体"/>
          <w:bCs/>
          <w:color w:val="auto"/>
          <w:szCs w:val="21"/>
        </w:rPr>
      </w:pPr>
      <w:r>
        <w:rPr>
          <w:rFonts w:hint="eastAsia" w:ascii="黑体" w:hAnsi="黑体" w:eastAsia="黑体" w:cs="Times New Roman"/>
          <w:bCs/>
          <w:color w:val="auto"/>
          <w:szCs w:val="21"/>
        </w:rPr>
        <w:t>投标文件的“正本”及所有“副本”的封面及骑缝均须由投标人加盖投标人公章</w:t>
      </w:r>
      <w:r>
        <w:rPr>
          <w:rFonts w:hint="eastAsia" w:ascii="黑体" w:hAnsi="黑体" w:eastAsia="黑体"/>
          <w:bCs/>
          <w:color w:val="auto"/>
          <w:szCs w:val="21"/>
        </w:rPr>
        <w:t>。</w:t>
      </w:r>
    </w:p>
    <w:p>
      <w:pPr>
        <w:pStyle w:val="30"/>
        <w:numPr>
          <w:ilvl w:val="0"/>
          <w:numId w:val="10"/>
        </w:numPr>
        <w:spacing w:before="312" w:beforeLines="100" w:line="360" w:lineRule="auto"/>
        <w:ind w:firstLineChars="0"/>
        <w:rPr>
          <w:rFonts w:ascii="黑体" w:hAnsi="黑体" w:eastAsia="黑体"/>
          <w:b/>
          <w:bCs/>
          <w:color w:val="auto"/>
          <w:sz w:val="24"/>
          <w:szCs w:val="24"/>
        </w:rPr>
      </w:pPr>
      <w:r>
        <w:rPr>
          <w:rFonts w:hint="eastAsia" w:ascii="黑体" w:hAnsi="黑体" w:eastAsia="黑体"/>
          <w:b/>
          <w:bCs/>
          <w:color w:val="auto"/>
          <w:sz w:val="24"/>
          <w:szCs w:val="24"/>
        </w:rPr>
        <w:t>投标文件的递交</w:t>
      </w:r>
    </w:p>
    <w:p>
      <w:pPr>
        <w:pStyle w:val="30"/>
        <w:numPr>
          <w:ilvl w:val="0"/>
          <w:numId w:val="11"/>
        </w:numPr>
        <w:spacing w:line="360" w:lineRule="auto"/>
        <w:ind w:firstLineChars="0"/>
        <w:rPr>
          <w:rFonts w:ascii="黑体" w:hAnsi="黑体" w:eastAsia="黑体"/>
          <w:b/>
          <w:color w:val="auto"/>
        </w:rPr>
      </w:pPr>
      <w:bookmarkStart w:id="27" w:name="_Toc357676131"/>
      <w:r>
        <w:rPr>
          <w:rFonts w:hint="eastAsia" w:ascii="黑体" w:hAnsi="黑体" w:eastAsia="黑体"/>
          <w:b/>
          <w:color w:val="auto"/>
        </w:rPr>
        <w:t>投标文件的装订、密封和标记</w:t>
      </w:r>
      <w:bookmarkEnd w:id="27"/>
    </w:p>
    <w:p>
      <w:pPr>
        <w:pStyle w:val="30"/>
        <w:numPr>
          <w:ilvl w:val="0"/>
          <w:numId w:val="36"/>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投标人应当对投标文件进行装订（所有文件均不允许采用活动夹方式装订），如投标人对招标文件多个包组进行投标的，其投标文件的编制应按每个包的要求分别装订和封装。</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2478"/>
        <w:gridCol w:w="1624"/>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96" w:type="pct"/>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序号</w:t>
            </w:r>
          </w:p>
        </w:tc>
        <w:tc>
          <w:tcPr>
            <w:tcW w:w="1413" w:type="pct"/>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文件名称</w:t>
            </w:r>
          </w:p>
        </w:tc>
        <w:tc>
          <w:tcPr>
            <w:tcW w:w="926" w:type="pct"/>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装订</w:t>
            </w:r>
          </w:p>
        </w:tc>
        <w:tc>
          <w:tcPr>
            <w:tcW w:w="2264" w:type="pct"/>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1</w:t>
            </w:r>
          </w:p>
        </w:tc>
        <w:tc>
          <w:tcPr>
            <w:tcW w:w="1413" w:type="pct"/>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投标文件</w:t>
            </w:r>
          </w:p>
        </w:tc>
        <w:tc>
          <w:tcPr>
            <w:tcW w:w="926" w:type="pct"/>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独立装订</w:t>
            </w:r>
          </w:p>
        </w:tc>
        <w:tc>
          <w:tcPr>
            <w:tcW w:w="2264" w:type="pct"/>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正本、副本一起密封包装</w:t>
            </w:r>
          </w:p>
          <w:p>
            <w:pPr>
              <w:spacing w:line="360" w:lineRule="auto"/>
              <w:jc w:val="center"/>
              <w:rPr>
                <w:rFonts w:ascii="黑体" w:hAnsi="黑体" w:eastAsia="黑体"/>
                <w:color w:val="auto"/>
                <w:szCs w:val="21"/>
              </w:rPr>
            </w:pPr>
            <w:r>
              <w:rPr>
                <w:rFonts w:hint="eastAsia" w:ascii="黑体" w:hAnsi="黑体" w:eastAsia="黑体"/>
                <w:color w:val="auto"/>
                <w:szCs w:val="21"/>
              </w:rPr>
              <w:t>(内附电子文件)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spacing w:line="360" w:lineRule="auto"/>
              <w:jc w:val="center"/>
              <w:rPr>
                <w:rFonts w:ascii="黑体" w:hAnsi="黑体" w:eastAsia="黑体"/>
                <w:color w:val="auto"/>
                <w:szCs w:val="21"/>
              </w:rPr>
            </w:pPr>
            <w:r>
              <w:rPr>
                <w:rFonts w:ascii="黑体" w:hAnsi="黑体" w:eastAsia="黑体"/>
                <w:color w:val="auto"/>
                <w:szCs w:val="21"/>
              </w:rPr>
              <w:t>2</w:t>
            </w:r>
          </w:p>
        </w:tc>
        <w:tc>
          <w:tcPr>
            <w:tcW w:w="1413" w:type="pct"/>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唱标信封</w:t>
            </w:r>
          </w:p>
        </w:tc>
        <w:tc>
          <w:tcPr>
            <w:tcW w:w="926" w:type="pct"/>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独立装订</w:t>
            </w:r>
          </w:p>
        </w:tc>
        <w:tc>
          <w:tcPr>
            <w:tcW w:w="2264" w:type="pct"/>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单独密封包装</w:t>
            </w:r>
          </w:p>
        </w:tc>
      </w:tr>
    </w:tbl>
    <w:p>
      <w:pPr>
        <w:pStyle w:val="30"/>
        <w:numPr>
          <w:ilvl w:val="0"/>
          <w:numId w:val="36"/>
        </w:numPr>
        <w:spacing w:line="360" w:lineRule="auto"/>
        <w:ind w:firstLineChars="0"/>
        <w:rPr>
          <w:rFonts w:ascii="黑体" w:hAnsi="黑体" w:eastAsia="黑体"/>
          <w:bCs/>
          <w:color w:val="auto"/>
          <w:szCs w:val="21"/>
        </w:rPr>
      </w:pPr>
      <w:r>
        <w:rPr>
          <w:rFonts w:hint="eastAsia" w:ascii="黑体" w:hAnsi="黑体" w:eastAsia="黑体"/>
          <w:bCs/>
          <w:color w:val="auto"/>
          <w:szCs w:val="21"/>
        </w:rPr>
        <w:t>电子文件</w:t>
      </w:r>
      <w:bookmarkStart w:id="28" w:name="_Hlk86740118"/>
      <w:r>
        <w:rPr>
          <w:rFonts w:hint="eastAsia" w:ascii="黑体" w:hAnsi="黑体" w:eastAsia="黑体"/>
          <w:bCs/>
          <w:color w:val="auto"/>
          <w:szCs w:val="21"/>
        </w:rPr>
        <w:t>须同时提交以下文件</w:t>
      </w:r>
      <w:bookmarkEnd w:id="28"/>
      <w:r>
        <w:rPr>
          <w:rFonts w:hint="eastAsia" w:ascii="黑体" w:hAnsi="黑体" w:eastAsia="黑体"/>
          <w:bCs/>
          <w:color w:val="auto"/>
          <w:szCs w:val="21"/>
        </w:rPr>
        <w:t>：</w:t>
      </w:r>
      <w:bookmarkStart w:id="29" w:name="_Hlk86740096"/>
      <w:r>
        <w:rPr>
          <w:rFonts w:hint="eastAsia" w:ascii="黑体" w:hAnsi="黑体" w:eastAsia="黑体"/>
          <w:bCs/>
          <w:color w:val="auto"/>
          <w:szCs w:val="21"/>
        </w:rPr>
        <w:t>①可编辑的WORD或 EXCEL 格式文件。②按招标文件要求签署、盖章后的正本投标文件扫描成PDF格式文件。</w:t>
      </w:r>
      <w:r>
        <w:rPr>
          <w:rFonts w:ascii="黑体" w:hAnsi="黑体" w:eastAsia="黑体"/>
          <w:bCs/>
          <w:color w:val="auto"/>
          <w:szCs w:val="21"/>
        </w:rPr>
        <w:t>电子文件</w:t>
      </w:r>
      <w:r>
        <w:rPr>
          <w:rFonts w:hint="eastAsia" w:ascii="黑体" w:hAnsi="黑体" w:eastAsia="黑体"/>
          <w:bCs/>
          <w:color w:val="auto"/>
          <w:szCs w:val="21"/>
        </w:rPr>
        <w:t>由</w:t>
      </w:r>
      <w:r>
        <w:rPr>
          <w:rFonts w:ascii="黑体" w:hAnsi="黑体" w:eastAsia="黑体"/>
          <w:bCs/>
          <w:color w:val="auto"/>
          <w:szCs w:val="21"/>
        </w:rPr>
        <w:t>CD-R光盘</w:t>
      </w:r>
      <w:r>
        <w:rPr>
          <w:rFonts w:hint="eastAsia" w:ascii="黑体" w:hAnsi="黑体" w:eastAsia="黑体"/>
          <w:bCs/>
          <w:color w:val="auto"/>
          <w:szCs w:val="21"/>
        </w:rPr>
        <w:t>或U盘</w:t>
      </w:r>
      <w:r>
        <w:rPr>
          <w:rFonts w:ascii="黑体" w:hAnsi="黑体" w:eastAsia="黑体"/>
          <w:bCs/>
          <w:color w:val="auto"/>
          <w:szCs w:val="21"/>
        </w:rPr>
        <w:t>储存</w:t>
      </w:r>
      <w:bookmarkEnd w:id="29"/>
      <w:r>
        <w:rPr>
          <w:rFonts w:hint="eastAsia" w:ascii="黑体" w:hAnsi="黑体" w:eastAsia="黑体"/>
          <w:bCs/>
          <w:color w:val="auto"/>
          <w:szCs w:val="21"/>
        </w:rPr>
        <w:t>。</w:t>
      </w:r>
    </w:p>
    <w:p>
      <w:pPr>
        <w:pStyle w:val="30"/>
        <w:numPr>
          <w:ilvl w:val="0"/>
          <w:numId w:val="36"/>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为方便开标唱标，投标人应将投标函、开标一览表、投标明细报价表（如适用）、法定代表人身份证明书或法定代表人授权委托书、投标保证金缴付凭证、投标保证金汇入情况说明一起密封提交，若联合体投标，应将各方共同签署的《联合体投标协议》一并提交；并在信封上标明“唱标信封”的字样。</w:t>
      </w:r>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投标文件</w:t>
      </w:r>
      <w:r>
        <w:rPr>
          <w:rFonts w:hint="eastAsia" w:ascii="黑体" w:hAnsi="黑体" w:eastAsia="黑体"/>
          <w:b/>
          <w:bCs/>
          <w:color w:val="auto"/>
          <w:szCs w:val="21"/>
        </w:rPr>
        <w:t>包装密封</w:t>
      </w:r>
    </w:p>
    <w:p>
      <w:pPr>
        <w:pStyle w:val="30"/>
        <w:numPr>
          <w:ilvl w:val="0"/>
          <w:numId w:val="37"/>
        </w:numPr>
        <w:tabs>
          <w:tab w:val="left" w:pos="567"/>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投标人应将投标文件密封包装；</w:t>
      </w:r>
    </w:p>
    <w:p>
      <w:pPr>
        <w:pStyle w:val="30"/>
        <w:numPr>
          <w:ilvl w:val="0"/>
          <w:numId w:val="37"/>
        </w:numPr>
        <w:tabs>
          <w:tab w:val="left" w:pos="567"/>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不足以造成投标文件可从外包装内散出而导致投标文件泄密的，不认定为投标文件未密封。</w:t>
      </w:r>
    </w:p>
    <w:p>
      <w:pPr>
        <w:pStyle w:val="30"/>
        <w:numPr>
          <w:ilvl w:val="0"/>
          <w:numId w:val="37"/>
        </w:numPr>
        <w:tabs>
          <w:tab w:val="left" w:pos="567"/>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包装封套均应注明：</w:t>
      </w:r>
    </w:p>
    <w:p>
      <w:pPr>
        <w:pStyle w:val="30"/>
        <w:spacing w:line="360" w:lineRule="auto"/>
        <w:ind w:left="567" w:firstLine="0" w:firstLineChars="0"/>
        <w:rPr>
          <w:rFonts w:ascii="黑体" w:hAnsi="黑体" w:eastAsia="黑体"/>
          <w:color w:val="auto"/>
          <w:szCs w:val="21"/>
          <w:u w:val="single"/>
        </w:rPr>
      </w:pPr>
      <w:r>
        <w:rPr>
          <w:rFonts w:hint="eastAsia" w:ascii="黑体" w:hAnsi="黑体" w:eastAsia="黑体"/>
          <w:bCs/>
          <w:color w:val="auto"/>
          <w:szCs w:val="21"/>
        </w:rPr>
        <w:t>收件人名称：</w:t>
      </w:r>
      <w:r>
        <w:rPr>
          <w:rFonts w:ascii="黑体" w:hAnsi="黑体" w:eastAsia="黑体"/>
          <w:color w:val="auto"/>
          <w:szCs w:val="21"/>
          <w:u w:val="single"/>
        </w:rPr>
        <w:t xml:space="preserve">广东有德招标采购有限公司         </w:t>
      </w:r>
    </w:p>
    <w:p>
      <w:pPr>
        <w:pStyle w:val="30"/>
        <w:spacing w:line="360" w:lineRule="auto"/>
        <w:ind w:left="567" w:firstLine="0" w:firstLineChars="0"/>
        <w:rPr>
          <w:rFonts w:ascii="黑体" w:hAnsi="黑体" w:eastAsia="黑体"/>
          <w:bCs/>
          <w:color w:val="auto"/>
          <w:szCs w:val="21"/>
        </w:rPr>
      </w:pPr>
      <w:r>
        <w:rPr>
          <w:rFonts w:hint="eastAsia" w:ascii="黑体" w:hAnsi="黑体" w:eastAsia="黑体"/>
          <w:color w:val="auto"/>
          <w:szCs w:val="21"/>
        </w:rPr>
        <w:t>投标人名称：</w:t>
      </w:r>
      <w:r>
        <w:rPr>
          <w:rFonts w:ascii="黑体" w:hAnsi="黑体" w:eastAsia="黑体"/>
          <w:color w:val="auto"/>
          <w:szCs w:val="21"/>
          <w:u w:val="single"/>
        </w:rPr>
        <w:t xml:space="preserve">                                 </w:t>
      </w:r>
    </w:p>
    <w:p>
      <w:pPr>
        <w:pStyle w:val="30"/>
        <w:spacing w:line="360" w:lineRule="auto"/>
        <w:ind w:left="567" w:firstLine="0" w:firstLineChars="0"/>
        <w:rPr>
          <w:rFonts w:ascii="黑体" w:hAnsi="黑体" w:eastAsia="黑体"/>
          <w:bCs/>
          <w:color w:val="auto"/>
          <w:szCs w:val="21"/>
        </w:rPr>
      </w:pPr>
      <w:r>
        <w:rPr>
          <w:rFonts w:hint="eastAsia" w:ascii="黑体" w:hAnsi="黑体" w:eastAsia="黑体"/>
          <w:bCs/>
          <w:color w:val="auto"/>
          <w:szCs w:val="21"/>
        </w:rPr>
        <w:t>项目名称：</w:t>
      </w:r>
      <w:r>
        <w:rPr>
          <w:rFonts w:ascii="黑体" w:hAnsi="黑体" w:eastAsia="黑体"/>
          <w:bCs/>
          <w:color w:val="auto"/>
          <w:szCs w:val="21"/>
          <w:u w:val="single"/>
        </w:rPr>
        <w:t xml:space="preserve">        （详见投标邀请函）         </w:t>
      </w:r>
    </w:p>
    <w:p>
      <w:pPr>
        <w:pStyle w:val="30"/>
        <w:spacing w:line="360" w:lineRule="auto"/>
        <w:ind w:left="567" w:firstLine="0" w:firstLineChars="0"/>
        <w:rPr>
          <w:rFonts w:ascii="黑体" w:hAnsi="黑体" w:eastAsia="黑体"/>
          <w:bCs/>
          <w:color w:val="auto"/>
          <w:szCs w:val="21"/>
        </w:rPr>
      </w:pPr>
      <w:r>
        <w:rPr>
          <w:rFonts w:hint="eastAsia" w:ascii="黑体" w:hAnsi="黑体" w:eastAsia="黑体"/>
          <w:bCs/>
          <w:color w:val="auto"/>
          <w:szCs w:val="21"/>
        </w:rPr>
        <w:t>项目编号：</w:t>
      </w:r>
      <w:r>
        <w:rPr>
          <w:rFonts w:ascii="黑体" w:hAnsi="黑体" w:eastAsia="黑体"/>
          <w:bCs/>
          <w:color w:val="auto"/>
          <w:szCs w:val="21"/>
          <w:u w:val="single"/>
        </w:rPr>
        <w:t xml:space="preserve">        （详见投标邀请函）         </w:t>
      </w:r>
    </w:p>
    <w:p>
      <w:pPr>
        <w:pStyle w:val="30"/>
        <w:spacing w:line="360" w:lineRule="auto"/>
        <w:ind w:left="567" w:firstLine="0" w:firstLineChars="0"/>
        <w:rPr>
          <w:rFonts w:ascii="黑体" w:hAnsi="黑体" w:eastAsia="黑体"/>
          <w:bCs/>
          <w:color w:val="auto"/>
          <w:szCs w:val="21"/>
        </w:rPr>
      </w:pPr>
      <w:r>
        <w:rPr>
          <w:rFonts w:hint="eastAsia" w:ascii="黑体" w:hAnsi="黑体" w:eastAsia="黑体"/>
          <w:bCs/>
          <w:color w:val="auto"/>
          <w:szCs w:val="21"/>
        </w:rPr>
        <w:t>注明：“</w:t>
      </w:r>
      <w:r>
        <w:rPr>
          <w:rFonts w:hint="eastAsia" w:ascii="黑体" w:hAnsi="黑体" w:eastAsia="黑体"/>
          <w:bCs/>
          <w:color w:val="auto"/>
          <w:szCs w:val="21"/>
          <w:u w:val="single"/>
        </w:rPr>
        <w:t>于</w:t>
      </w:r>
      <w:r>
        <w:rPr>
          <w:rFonts w:ascii="黑体" w:hAnsi="黑体" w:eastAsia="黑体"/>
          <w:bCs/>
          <w:color w:val="auto"/>
          <w:szCs w:val="21"/>
          <w:u w:val="single"/>
        </w:rPr>
        <w:t xml:space="preserve">  </w:t>
      </w:r>
      <w:r>
        <w:rPr>
          <w:rFonts w:hint="eastAsia" w:ascii="黑体" w:hAnsi="黑体" w:eastAsia="黑体"/>
          <w:bCs/>
          <w:color w:val="auto"/>
          <w:szCs w:val="21"/>
          <w:u w:val="single"/>
        </w:rPr>
        <w:t>年</w:t>
      </w:r>
      <w:r>
        <w:rPr>
          <w:rFonts w:ascii="黑体" w:hAnsi="黑体" w:eastAsia="黑体"/>
          <w:bCs/>
          <w:color w:val="auto"/>
          <w:szCs w:val="21"/>
          <w:u w:val="single"/>
        </w:rPr>
        <w:t xml:space="preserve">  </w:t>
      </w:r>
      <w:r>
        <w:rPr>
          <w:rFonts w:hint="eastAsia" w:ascii="黑体" w:hAnsi="黑体" w:eastAsia="黑体"/>
          <w:bCs/>
          <w:color w:val="auto"/>
          <w:szCs w:val="21"/>
          <w:u w:val="single"/>
        </w:rPr>
        <w:t>月</w:t>
      </w:r>
      <w:r>
        <w:rPr>
          <w:rFonts w:ascii="黑体" w:hAnsi="黑体" w:eastAsia="黑体"/>
          <w:bCs/>
          <w:color w:val="auto"/>
          <w:szCs w:val="21"/>
          <w:u w:val="single"/>
        </w:rPr>
        <w:t xml:space="preserve">  </w:t>
      </w:r>
      <w:r>
        <w:rPr>
          <w:rFonts w:hint="eastAsia" w:ascii="黑体" w:hAnsi="黑体" w:eastAsia="黑体"/>
          <w:bCs/>
          <w:color w:val="auto"/>
          <w:szCs w:val="21"/>
          <w:u w:val="single"/>
        </w:rPr>
        <w:t>日北京时间</w:t>
      </w:r>
      <w:r>
        <w:rPr>
          <w:rFonts w:ascii="黑体" w:hAnsi="黑体" w:eastAsia="黑体"/>
          <w:bCs/>
          <w:color w:val="auto"/>
          <w:szCs w:val="21"/>
          <w:u w:val="single"/>
        </w:rPr>
        <w:t xml:space="preserve">  ：</w:t>
      </w:r>
      <w:r>
        <w:rPr>
          <w:rFonts w:hint="eastAsia" w:ascii="黑体" w:hAnsi="黑体" w:eastAsia="黑体"/>
          <w:bCs/>
          <w:color w:val="auto"/>
          <w:szCs w:val="21"/>
          <w:u w:val="single"/>
        </w:rPr>
        <w:t xml:space="preserve"> </w:t>
      </w:r>
      <w:r>
        <w:rPr>
          <w:rFonts w:ascii="黑体" w:hAnsi="黑体" w:eastAsia="黑体"/>
          <w:bCs/>
          <w:color w:val="auto"/>
          <w:szCs w:val="21"/>
          <w:u w:val="single"/>
        </w:rPr>
        <w:t xml:space="preserve"> </w:t>
      </w:r>
      <w:r>
        <w:rPr>
          <w:rFonts w:hint="eastAsia" w:ascii="黑体" w:hAnsi="黑体" w:eastAsia="黑体"/>
          <w:bCs/>
          <w:color w:val="auto"/>
          <w:szCs w:val="21"/>
        </w:rPr>
        <w:t>（详见投标邀请函）之前不得启封”的字样。</w:t>
      </w:r>
    </w:p>
    <w:p>
      <w:pPr>
        <w:pStyle w:val="30"/>
        <w:numPr>
          <w:ilvl w:val="0"/>
          <w:numId w:val="37"/>
        </w:numPr>
        <w:tabs>
          <w:tab w:val="left" w:pos="567"/>
        </w:tabs>
        <w:spacing w:line="360" w:lineRule="auto"/>
        <w:ind w:left="567" w:hanging="567" w:firstLineChars="0"/>
        <w:rPr>
          <w:rFonts w:ascii="黑体" w:hAnsi="黑体" w:eastAsia="黑体"/>
          <w:bCs/>
          <w:color w:val="auto"/>
          <w:spacing w:val="-4"/>
          <w:szCs w:val="21"/>
        </w:rPr>
      </w:pPr>
      <w:r>
        <w:rPr>
          <w:rFonts w:hint="eastAsia" w:ascii="黑体" w:hAnsi="黑体" w:eastAsia="黑体"/>
          <w:bCs/>
          <w:color w:val="auto"/>
          <w:spacing w:val="-4"/>
          <w:szCs w:val="21"/>
        </w:rPr>
        <w:t>如果未按本须知上款要求加写标记和密封，采购代理机构对误投或提前启封概不负责。</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投标截止期</w:t>
      </w:r>
    </w:p>
    <w:p>
      <w:pPr>
        <w:pStyle w:val="30"/>
        <w:numPr>
          <w:ilvl w:val="0"/>
          <w:numId w:val="38"/>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投标人应在不迟于</w:t>
      </w:r>
      <w:r>
        <w:rPr>
          <w:rFonts w:hint="eastAsia" w:ascii="黑体" w:hAnsi="黑体" w:eastAsia="黑体"/>
          <w:b/>
          <w:bCs/>
          <w:color w:val="auto"/>
          <w:szCs w:val="21"/>
          <w:u w:val="single"/>
        </w:rPr>
        <w:t>投标邀请函</w:t>
      </w:r>
      <w:r>
        <w:rPr>
          <w:rFonts w:hint="eastAsia" w:ascii="黑体" w:hAnsi="黑体" w:eastAsia="黑体"/>
          <w:bCs/>
          <w:color w:val="auto"/>
          <w:szCs w:val="21"/>
        </w:rPr>
        <w:t>中规定的截止日期和时间将投标文件递交至采购代理机构，递交地点应是</w:t>
      </w:r>
      <w:r>
        <w:rPr>
          <w:rFonts w:hint="eastAsia" w:ascii="黑体" w:hAnsi="黑体" w:eastAsia="黑体"/>
          <w:b/>
          <w:bCs/>
          <w:color w:val="auto"/>
          <w:szCs w:val="21"/>
          <w:u w:val="single"/>
        </w:rPr>
        <w:t>投标邀请函</w:t>
      </w:r>
      <w:r>
        <w:rPr>
          <w:rFonts w:hint="eastAsia" w:ascii="黑体" w:hAnsi="黑体" w:eastAsia="黑体"/>
          <w:bCs/>
          <w:color w:val="auto"/>
          <w:szCs w:val="21"/>
        </w:rPr>
        <w:t>中指明的地址。</w:t>
      </w:r>
    </w:p>
    <w:p>
      <w:pPr>
        <w:pStyle w:val="30"/>
        <w:numPr>
          <w:ilvl w:val="0"/>
          <w:numId w:val="38"/>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采购代理机构将拒绝在规定的投标截止期后收到的任何投标文件。</w:t>
      </w:r>
    </w:p>
    <w:p>
      <w:pPr>
        <w:pStyle w:val="30"/>
        <w:numPr>
          <w:ilvl w:val="0"/>
          <w:numId w:val="11"/>
        </w:numPr>
        <w:spacing w:before="312" w:beforeLines="100" w:line="360" w:lineRule="auto"/>
        <w:ind w:firstLineChars="0"/>
        <w:rPr>
          <w:rFonts w:ascii="黑体" w:hAnsi="黑体" w:eastAsia="黑体"/>
          <w:b/>
          <w:color w:val="auto"/>
        </w:rPr>
      </w:pPr>
      <w:bookmarkStart w:id="30" w:name="_Toc357676133"/>
      <w:r>
        <w:rPr>
          <w:rFonts w:hint="eastAsia" w:ascii="黑体" w:hAnsi="黑体" w:eastAsia="黑体"/>
          <w:b/>
          <w:color w:val="auto"/>
        </w:rPr>
        <w:t>投标文件的修改和撤回</w:t>
      </w:r>
      <w:bookmarkEnd w:id="30"/>
    </w:p>
    <w:p>
      <w:pPr>
        <w:pStyle w:val="30"/>
        <w:numPr>
          <w:ilvl w:val="0"/>
          <w:numId w:val="39"/>
        </w:numPr>
        <w:spacing w:line="360" w:lineRule="auto"/>
        <w:ind w:left="567" w:hanging="567" w:firstLineChars="0"/>
        <w:rPr>
          <w:rFonts w:ascii="黑体" w:hAnsi="黑体" w:eastAsia="黑体"/>
          <w:bCs/>
          <w:color w:val="auto"/>
          <w:szCs w:val="21"/>
        </w:rPr>
      </w:pPr>
      <w:r>
        <w:rPr>
          <w:rFonts w:hint="eastAsia" w:ascii="黑体" w:hAnsi="黑体" w:eastAsia="黑体"/>
          <w:bCs/>
          <w:color w:val="auto"/>
          <w:spacing w:val="-2"/>
          <w:szCs w:val="21"/>
        </w:rPr>
        <w:t>投</w:t>
      </w:r>
      <w:r>
        <w:rPr>
          <w:rFonts w:hint="eastAsia" w:ascii="黑体" w:hAnsi="黑体" w:eastAsia="黑体"/>
          <w:bCs/>
          <w:color w:val="auto"/>
          <w:szCs w:val="21"/>
        </w:rPr>
        <w:t>标人在投标截止时间前，可以对所递交的投标文件进行补充、修改或者撤回，并书面通知采购代理机构。补充、修改的内容应当按照招标文件要求签署、盖章，密封后，作为投标文件的组成部分。</w:t>
      </w:r>
    </w:p>
    <w:p>
      <w:pPr>
        <w:pStyle w:val="30"/>
        <w:numPr>
          <w:ilvl w:val="0"/>
          <w:numId w:val="39"/>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在投标截止时间之后，投标人不得对其投标文件做任何修改和补充。</w:t>
      </w:r>
    </w:p>
    <w:p>
      <w:pPr>
        <w:pStyle w:val="30"/>
        <w:numPr>
          <w:ilvl w:val="0"/>
          <w:numId w:val="39"/>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在提交投标文件截止时间至投标有效期满之前，投标人不得撤回其投标文件。</w:t>
      </w:r>
    </w:p>
    <w:p>
      <w:pPr>
        <w:pStyle w:val="30"/>
        <w:numPr>
          <w:ilvl w:val="0"/>
          <w:numId w:val="10"/>
        </w:numPr>
        <w:spacing w:before="312" w:beforeLines="100" w:line="360" w:lineRule="auto"/>
        <w:ind w:firstLineChars="0"/>
        <w:rPr>
          <w:rFonts w:ascii="黑体" w:hAnsi="黑体" w:eastAsia="黑体"/>
          <w:b/>
          <w:bCs/>
          <w:color w:val="auto"/>
          <w:szCs w:val="21"/>
        </w:rPr>
      </w:pPr>
      <w:r>
        <w:rPr>
          <w:rFonts w:hint="eastAsia" w:ascii="黑体" w:hAnsi="黑体" w:eastAsia="黑体"/>
          <w:b/>
          <w:bCs/>
          <w:color w:val="auto"/>
          <w:szCs w:val="21"/>
        </w:rPr>
        <w:t>开标与评标准则</w:t>
      </w:r>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开标</w:t>
      </w:r>
    </w:p>
    <w:p>
      <w:pPr>
        <w:pStyle w:val="30"/>
        <w:numPr>
          <w:ilvl w:val="0"/>
          <w:numId w:val="40"/>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采购代理机构按</w:t>
      </w:r>
      <w:r>
        <w:rPr>
          <w:rFonts w:hint="eastAsia" w:ascii="黑体" w:hAnsi="黑体" w:eastAsia="黑体"/>
          <w:b/>
          <w:bCs/>
          <w:color w:val="auto"/>
          <w:szCs w:val="21"/>
          <w:u w:val="single"/>
        </w:rPr>
        <w:t>投标邀请函</w:t>
      </w:r>
      <w:r>
        <w:rPr>
          <w:rFonts w:hint="eastAsia" w:ascii="黑体" w:hAnsi="黑体" w:eastAsia="黑体"/>
          <w:bCs/>
          <w:color w:val="auto"/>
          <w:szCs w:val="21"/>
        </w:rPr>
        <w:t>中规定的日期、时间和地点组织公开开标。开标时邀请所有投标人代表参加。参加开标的法定代表人或其授权代表携带有效身份证签名报到以证明其出席。</w:t>
      </w:r>
    </w:p>
    <w:p>
      <w:pPr>
        <w:pStyle w:val="30"/>
        <w:numPr>
          <w:ilvl w:val="0"/>
          <w:numId w:val="40"/>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开标由采购代理机构主持，邀请投标人参加。评标委员会成员不得参加开标活动。</w:t>
      </w:r>
    </w:p>
    <w:p>
      <w:pPr>
        <w:pStyle w:val="30"/>
        <w:numPr>
          <w:ilvl w:val="0"/>
          <w:numId w:val="40"/>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投标人不足</w:t>
      </w:r>
      <w:r>
        <w:rPr>
          <w:rFonts w:ascii="黑体" w:hAnsi="黑体" w:eastAsia="黑体"/>
          <w:bCs/>
          <w:color w:val="auto"/>
          <w:szCs w:val="21"/>
        </w:rPr>
        <w:t>3家的，不得开标。</w:t>
      </w:r>
    </w:p>
    <w:p>
      <w:pPr>
        <w:pStyle w:val="30"/>
        <w:numPr>
          <w:ilvl w:val="0"/>
          <w:numId w:val="40"/>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开标时，由投标人或其推选的代表检查投标文件的密封情况；经确认无误后，由采购人或采购代理机构工作人员当众拆封，宣布投标人名称、投标价格和招标文件规定的需要宣布的其他内容。</w:t>
      </w:r>
    </w:p>
    <w:p>
      <w:pPr>
        <w:pStyle w:val="30"/>
        <w:numPr>
          <w:ilvl w:val="0"/>
          <w:numId w:val="40"/>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开标过程应当由采购人或者采购代理机构负责记录，由参加开标的各投标人代表和相关工作人员签字确认。</w:t>
      </w:r>
    </w:p>
    <w:p>
      <w:pPr>
        <w:pStyle w:val="30"/>
        <w:numPr>
          <w:ilvl w:val="0"/>
          <w:numId w:val="40"/>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0"/>
        <w:numPr>
          <w:ilvl w:val="0"/>
          <w:numId w:val="40"/>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投标人未参加开标的，视同认可开标结果。</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评标委员会和评标方法</w:t>
      </w:r>
    </w:p>
    <w:p>
      <w:pPr>
        <w:pStyle w:val="30"/>
        <w:numPr>
          <w:ilvl w:val="0"/>
          <w:numId w:val="41"/>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评标由依照政府采购法律、法规、规章、政策的规定，组建的评标委员会负责。</w:t>
      </w:r>
    </w:p>
    <w:p>
      <w:pPr>
        <w:pStyle w:val="30"/>
        <w:numPr>
          <w:ilvl w:val="0"/>
          <w:numId w:val="41"/>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评标委员会由采购人代表和评审专家组成，成员人数应为</w:t>
      </w:r>
      <w:r>
        <w:rPr>
          <w:rFonts w:hint="eastAsia" w:ascii="黑体" w:hAnsi="黑体" w:eastAsia="黑体"/>
          <w:b/>
          <w:color w:val="auto"/>
          <w:szCs w:val="21"/>
          <w:u w:val="single"/>
        </w:rPr>
        <w:t>详见投标人须知前附表</w:t>
      </w:r>
      <w:r>
        <w:rPr>
          <w:rFonts w:ascii="黑体" w:hAnsi="黑体" w:eastAsia="黑体"/>
          <w:bCs/>
          <w:color w:val="auto"/>
          <w:szCs w:val="21"/>
        </w:rPr>
        <w:t>，其中评审专家不得少于成员总数的三分之二。</w:t>
      </w:r>
    </w:p>
    <w:p>
      <w:pPr>
        <w:pStyle w:val="30"/>
        <w:numPr>
          <w:ilvl w:val="0"/>
          <w:numId w:val="41"/>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评标委员会成员依法从政府采购评审专家库中，通过随机方式抽取。</w:t>
      </w:r>
    </w:p>
    <w:p>
      <w:pPr>
        <w:pStyle w:val="30"/>
        <w:numPr>
          <w:ilvl w:val="0"/>
          <w:numId w:val="41"/>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评标委员会将按照招标文件确定的评标方法进行评标。评标委员会对投标文件的评审分为符合性检查和商务评审、技术评审、价格评审。</w:t>
      </w:r>
    </w:p>
    <w:p>
      <w:pPr>
        <w:pStyle w:val="30"/>
        <w:numPr>
          <w:ilvl w:val="0"/>
          <w:numId w:val="41"/>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本次评标采用</w:t>
      </w:r>
      <w:r>
        <w:rPr>
          <w:rFonts w:ascii="黑体" w:hAnsi="黑体" w:eastAsia="黑体"/>
          <w:b/>
          <w:bCs/>
          <w:color w:val="auto"/>
          <w:szCs w:val="21"/>
          <w:u w:val="single"/>
        </w:rPr>
        <w:t xml:space="preserve"> 详见</w:t>
      </w:r>
      <w:r>
        <w:rPr>
          <w:rFonts w:hint="eastAsia" w:ascii="黑体" w:hAnsi="黑体" w:eastAsia="黑体"/>
          <w:b/>
          <w:bCs/>
          <w:color w:val="auto"/>
          <w:szCs w:val="21"/>
          <w:u w:val="single"/>
        </w:rPr>
        <w:t>投标须知前附表</w:t>
      </w:r>
      <w:r>
        <w:rPr>
          <w:rFonts w:ascii="黑体" w:hAnsi="黑体" w:eastAsia="黑体"/>
          <w:b/>
          <w:bCs/>
          <w:color w:val="auto"/>
          <w:szCs w:val="21"/>
          <w:u w:val="single"/>
        </w:rPr>
        <w:t xml:space="preserve"> </w:t>
      </w:r>
      <w:r>
        <w:rPr>
          <w:rFonts w:hint="eastAsia" w:ascii="黑体" w:hAnsi="黑体" w:eastAsia="黑体"/>
          <w:bCs/>
          <w:color w:val="auto"/>
          <w:szCs w:val="21"/>
        </w:rPr>
        <w:t>中选定的方法，具体见招标文件第五部分“评标方法、步骤、标准”。</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投标文件的资格性与符合性审查</w:t>
      </w:r>
    </w:p>
    <w:p>
      <w:pPr>
        <w:pStyle w:val="30"/>
        <w:numPr>
          <w:ilvl w:val="0"/>
          <w:numId w:val="42"/>
        </w:numPr>
        <w:tabs>
          <w:tab w:val="left" w:pos="426"/>
          <w:tab w:val="left" w:pos="567"/>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 xml:space="preserve"> 资格性审查：</w:t>
      </w:r>
      <w:bookmarkStart w:id="31" w:name="_Hlk90649924"/>
      <w:bookmarkStart w:id="32" w:name="_Hlk79422321"/>
      <w:r>
        <w:rPr>
          <w:rFonts w:hint="eastAsia" w:ascii="黑体" w:hAnsi="黑体" w:eastAsia="黑体"/>
          <w:bCs/>
          <w:color w:val="auto"/>
          <w:szCs w:val="21"/>
        </w:rPr>
        <w:t>公开招标采购项目开标结束后</w:t>
      </w:r>
      <w:bookmarkEnd w:id="31"/>
      <w:r>
        <w:rPr>
          <w:rFonts w:hint="eastAsia" w:ascii="黑体" w:hAnsi="黑体" w:eastAsia="黑体"/>
          <w:bCs/>
          <w:color w:val="auto"/>
          <w:szCs w:val="21"/>
        </w:rPr>
        <w:t>，采购人或者采购代理机构应当依法对投标人的资格进行审查</w:t>
      </w:r>
      <w:bookmarkEnd w:id="32"/>
      <w:r>
        <w:rPr>
          <w:rFonts w:hint="eastAsia" w:ascii="黑体" w:hAnsi="黑体" w:eastAsia="黑体"/>
          <w:bCs/>
          <w:color w:val="auto"/>
          <w:szCs w:val="21"/>
        </w:rPr>
        <w:t>。</w:t>
      </w:r>
    </w:p>
    <w:p>
      <w:pPr>
        <w:pStyle w:val="30"/>
        <w:numPr>
          <w:ilvl w:val="0"/>
          <w:numId w:val="4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符合性审查：评标委员会对符合资格的投标人的投标文件进行符合性审查，以确定其是否满足招标文件实质性要求。</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投标文件的澄清</w:t>
      </w:r>
    </w:p>
    <w:p>
      <w:pPr>
        <w:pStyle w:val="30"/>
        <w:numPr>
          <w:ilvl w:val="0"/>
          <w:numId w:val="4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评标期间，对于投标文件中含义不明确、同类问题表述不一致或者有明显文字和计算错误的内容，评标委员会以书面的形式要求投标人作出必要的澄清、说明或者补正。</w:t>
      </w:r>
    </w:p>
    <w:p>
      <w:pPr>
        <w:pStyle w:val="30"/>
        <w:numPr>
          <w:ilvl w:val="0"/>
          <w:numId w:val="4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投标人的澄清、说明或者补正采用书面形式，并加盖公章，或者由法定代表人或其授权的代表签字。投标人的澄清、说明或者补正不得超出投标文件的范围或者改变投标文件的实质性内容。</w:t>
      </w:r>
    </w:p>
    <w:p>
      <w:pPr>
        <w:pStyle w:val="30"/>
        <w:numPr>
          <w:ilvl w:val="0"/>
          <w:numId w:val="4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投标人的澄清文件是其投标文件的组成部分。</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定标原则与授标</w:t>
      </w:r>
    </w:p>
    <w:p>
      <w:pPr>
        <w:pStyle w:val="30"/>
        <w:numPr>
          <w:ilvl w:val="0"/>
          <w:numId w:val="44"/>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评标委员会按照招标文件确定的评标方法、步骤、标准，对投标文件进行评审，提出书面评标报告。</w:t>
      </w:r>
    </w:p>
    <w:p>
      <w:pPr>
        <w:pStyle w:val="30"/>
        <w:numPr>
          <w:ilvl w:val="0"/>
          <w:numId w:val="44"/>
        </w:numPr>
        <w:spacing w:line="360" w:lineRule="auto"/>
        <w:ind w:left="567" w:hanging="567" w:firstLineChars="0"/>
        <w:rPr>
          <w:rFonts w:ascii="黑体" w:hAnsi="黑体" w:eastAsia="黑体"/>
          <w:bCs/>
          <w:color w:val="auto"/>
          <w:szCs w:val="21"/>
        </w:rPr>
      </w:pPr>
      <w:r>
        <w:rPr>
          <w:rFonts w:ascii="黑体" w:hAnsi="黑体" w:eastAsia="黑体"/>
          <w:bCs/>
          <w:color w:val="auto"/>
          <w:szCs w:val="21"/>
        </w:rPr>
        <w:t>采购代理机构</w:t>
      </w:r>
      <w:r>
        <w:rPr>
          <w:rFonts w:hint="eastAsia" w:ascii="黑体" w:hAnsi="黑体" w:eastAsia="黑体"/>
          <w:bCs/>
          <w:color w:val="auto"/>
          <w:szCs w:val="21"/>
        </w:rPr>
        <w:t>自评标</w:t>
      </w:r>
      <w:r>
        <w:rPr>
          <w:rFonts w:ascii="黑体" w:hAnsi="黑体" w:eastAsia="黑体"/>
          <w:bCs/>
          <w:color w:val="auto"/>
          <w:szCs w:val="21"/>
        </w:rPr>
        <w:t>结束</w:t>
      </w:r>
      <w:r>
        <w:rPr>
          <w:rFonts w:hint="eastAsia" w:ascii="黑体" w:hAnsi="黑体" w:eastAsia="黑体"/>
          <w:bCs/>
          <w:color w:val="auto"/>
          <w:szCs w:val="21"/>
        </w:rPr>
        <w:t>后</w:t>
      </w:r>
      <w:r>
        <w:rPr>
          <w:rFonts w:ascii="黑体" w:hAnsi="黑体" w:eastAsia="黑体"/>
          <w:bCs/>
          <w:color w:val="auto"/>
          <w:szCs w:val="21"/>
        </w:rPr>
        <w:t>2个工作日内将</w:t>
      </w:r>
      <w:r>
        <w:rPr>
          <w:rFonts w:hint="eastAsia" w:ascii="黑体" w:hAnsi="黑体" w:eastAsia="黑体"/>
          <w:bCs/>
          <w:color w:val="auto"/>
          <w:szCs w:val="21"/>
        </w:rPr>
        <w:t>评标</w:t>
      </w:r>
      <w:r>
        <w:rPr>
          <w:rFonts w:ascii="黑体" w:hAnsi="黑体" w:eastAsia="黑体"/>
          <w:bCs/>
          <w:color w:val="auto"/>
          <w:szCs w:val="21"/>
        </w:rPr>
        <w:t>报告送采购人。采购人应当自收到</w:t>
      </w:r>
      <w:r>
        <w:rPr>
          <w:rFonts w:hint="eastAsia" w:ascii="黑体" w:hAnsi="黑体" w:eastAsia="黑体"/>
          <w:bCs/>
          <w:color w:val="auto"/>
          <w:szCs w:val="21"/>
        </w:rPr>
        <w:t>评标</w:t>
      </w:r>
      <w:r>
        <w:rPr>
          <w:rFonts w:ascii="黑体" w:hAnsi="黑体" w:eastAsia="黑体"/>
          <w:bCs/>
          <w:color w:val="auto"/>
          <w:szCs w:val="21"/>
        </w:rPr>
        <w:t>报告之日起5个工作日内在</w:t>
      </w:r>
      <w:r>
        <w:rPr>
          <w:rFonts w:hint="eastAsia" w:ascii="黑体" w:hAnsi="黑体" w:eastAsia="黑体"/>
          <w:bCs/>
          <w:color w:val="auto"/>
          <w:szCs w:val="21"/>
        </w:rPr>
        <w:t>评标报告确定的</w:t>
      </w:r>
      <w:r>
        <w:rPr>
          <w:rFonts w:ascii="黑体" w:hAnsi="黑体" w:eastAsia="黑体"/>
          <w:bCs/>
          <w:color w:val="auto"/>
          <w:szCs w:val="21"/>
        </w:rPr>
        <w:t>中标候选人</w:t>
      </w:r>
      <w:r>
        <w:rPr>
          <w:rFonts w:hint="eastAsia" w:ascii="黑体" w:hAnsi="黑体" w:eastAsia="黑体"/>
          <w:bCs/>
          <w:color w:val="auto"/>
          <w:szCs w:val="21"/>
        </w:rPr>
        <w:t>名单</w:t>
      </w:r>
      <w:r>
        <w:rPr>
          <w:rFonts w:ascii="黑体" w:hAnsi="黑体" w:eastAsia="黑体"/>
          <w:bCs/>
          <w:color w:val="auto"/>
          <w:szCs w:val="21"/>
        </w:rPr>
        <w:t>中按顺序确定中标</w:t>
      </w:r>
      <w:r>
        <w:rPr>
          <w:rFonts w:hint="eastAsia" w:ascii="黑体" w:hAnsi="黑体" w:eastAsia="黑体"/>
          <w:bCs/>
          <w:color w:val="auto"/>
          <w:szCs w:val="21"/>
        </w:rPr>
        <w:t>人。</w:t>
      </w:r>
    </w:p>
    <w:p>
      <w:pPr>
        <w:pStyle w:val="30"/>
        <w:numPr>
          <w:ilvl w:val="0"/>
          <w:numId w:val="44"/>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采购人在收到评标报告</w:t>
      </w:r>
      <w:r>
        <w:rPr>
          <w:rFonts w:ascii="黑体" w:hAnsi="黑体" w:eastAsia="黑体"/>
          <w:bCs/>
          <w:color w:val="auto"/>
          <w:szCs w:val="21"/>
        </w:rPr>
        <w:t>5个工作日内未按评标报告推荐的中标候选人顺序确定中标人，又不</w:t>
      </w:r>
      <w:r>
        <w:rPr>
          <w:rFonts w:hint="eastAsia" w:ascii="黑体" w:hAnsi="黑体" w:eastAsia="黑体"/>
          <w:bCs/>
          <w:color w:val="auto"/>
          <w:spacing w:val="-4"/>
          <w:szCs w:val="21"/>
        </w:rPr>
        <w:t>能说明合法理由的，视同按评标报告推荐的顺序确定排名第一的中标候选人为中标人。</w:t>
      </w:r>
    </w:p>
    <w:p>
      <w:pPr>
        <w:pStyle w:val="30"/>
        <w:widowControl/>
        <w:numPr>
          <w:ilvl w:val="0"/>
          <w:numId w:val="11"/>
        </w:numPr>
        <w:spacing w:line="360" w:lineRule="auto"/>
        <w:ind w:firstLineChars="0"/>
        <w:jc w:val="left"/>
        <w:rPr>
          <w:rFonts w:ascii="黑体" w:hAnsi="黑体" w:eastAsia="黑体"/>
          <w:b/>
          <w:color w:val="auto"/>
          <w:szCs w:val="21"/>
        </w:rPr>
      </w:pPr>
      <w:r>
        <w:rPr>
          <w:rFonts w:ascii="黑体" w:hAnsi="黑体" w:eastAsia="黑体"/>
          <w:b/>
          <w:color w:val="auto"/>
          <w:szCs w:val="21"/>
        </w:rPr>
        <w:t>特别说明</w:t>
      </w:r>
    </w:p>
    <w:p>
      <w:pPr>
        <w:pStyle w:val="30"/>
        <w:widowControl/>
        <w:numPr>
          <w:ilvl w:val="0"/>
          <w:numId w:val="45"/>
        </w:numPr>
        <w:tabs>
          <w:tab w:val="left" w:pos="567"/>
        </w:tabs>
        <w:spacing w:line="360" w:lineRule="auto"/>
        <w:ind w:firstLineChars="0"/>
        <w:jc w:val="left"/>
        <w:rPr>
          <w:rFonts w:ascii="黑体" w:hAnsi="黑体" w:eastAsia="黑体"/>
          <w:b/>
          <w:bCs/>
          <w:color w:val="auto"/>
          <w:szCs w:val="21"/>
        </w:rPr>
      </w:pPr>
      <w:r>
        <w:rPr>
          <w:rFonts w:hint="eastAsia" w:ascii="黑体" w:hAnsi="黑体" w:eastAsia="黑体"/>
          <w:b/>
          <w:bCs/>
          <w:color w:val="auto"/>
          <w:szCs w:val="21"/>
        </w:rPr>
        <w:t>有下列情形之一的，视为投标人串通投标，其投标无效：</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不同投标人的投标文件由同一单位或者个人编制；</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不同投标人委托同一单位或者个人办理投标事宜；</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不同投标人的投标文件载明的项目管理成员或者联系人员为同一人；</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不同投标人的投标文件异常一致或者投标报价呈规律性差异；</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不同投标人的投标文件相互混装；</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不同投标人的投标保证金从同一单位或者个人的账户转出。</w:t>
      </w:r>
    </w:p>
    <w:p>
      <w:pPr>
        <w:pStyle w:val="30"/>
        <w:widowControl/>
        <w:numPr>
          <w:ilvl w:val="1"/>
          <w:numId w:val="11"/>
        </w:numPr>
        <w:spacing w:line="360" w:lineRule="auto"/>
        <w:ind w:firstLineChars="0"/>
        <w:jc w:val="left"/>
        <w:rPr>
          <w:rFonts w:ascii="黑体" w:hAnsi="黑体" w:eastAsia="黑体"/>
          <w:b/>
          <w:bCs/>
          <w:color w:val="auto"/>
          <w:szCs w:val="21"/>
        </w:rPr>
      </w:pPr>
      <w:r>
        <w:rPr>
          <w:rFonts w:hint="eastAsia" w:ascii="黑体" w:hAnsi="黑体" w:eastAsia="黑体"/>
          <w:b/>
          <w:bCs/>
          <w:color w:val="auto"/>
          <w:szCs w:val="21"/>
        </w:rPr>
        <w:t>投标人存在下列情况之一的，投标无效：</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未按照招标文件的规定提交投标保证金的；</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投标文件未按招标文件要求签署、盖章的；</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不具备招标文件中规定的资格要求的；</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报价超过招标文件中规定的预算金额或者最高限价的；</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投标文件含有采购人不能接受的附加条件的；</w:t>
      </w:r>
    </w:p>
    <w:p>
      <w:pPr>
        <w:pStyle w:val="30"/>
        <w:widowControl/>
        <w:numPr>
          <w:ilvl w:val="2"/>
          <w:numId w:val="11"/>
        </w:numPr>
        <w:spacing w:line="360" w:lineRule="auto"/>
        <w:ind w:firstLineChars="0"/>
        <w:jc w:val="left"/>
        <w:rPr>
          <w:rFonts w:ascii="黑体" w:hAnsi="黑体" w:eastAsia="黑体"/>
          <w:color w:val="auto"/>
          <w:szCs w:val="21"/>
        </w:rPr>
      </w:pPr>
      <w:r>
        <w:rPr>
          <w:rFonts w:hint="eastAsia" w:ascii="黑体" w:hAnsi="黑体" w:eastAsia="黑体"/>
          <w:color w:val="auto"/>
          <w:szCs w:val="21"/>
        </w:rPr>
        <w:t>法律、法规和招标文件规定的其他无效情形。</w:t>
      </w:r>
    </w:p>
    <w:p>
      <w:pPr>
        <w:pStyle w:val="30"/>
        <w:widowControl/>
        <w:numPr>
          <w:ilvl w:val="1"/>
          <w:numId w:val="11"/>
        </w:numPr>
        <w:spacing w:line="360" w:lineRule="auto"/>
        <w:ind w:firstLineChars="0"/>
        <w:jc w:val="left"/>
        <w:rPr>
          <w:rFonts w:ascii="黑体" w:hAnsi="黑体" w:eastAsia="黑体"/>
          <w:b/>
          <w:bCs/>
          <w:color w:val="auto"/>
          <w:szCs w:val="21"/>
        </w:rPr>
      </w:pPr>
      <w:r>
        <w:rPr>
          <w:rFonts w:ascii="黑体" w:hAnsi="黑体" w:eastAsia="黑体"/>
          <w:b/>
          <w:bCs/>
          <w:color w:val="auto"/>
          <w:szCs w:val="21"/>
        </w:rPr>
        <w:t>废标</w:t>
      </w:r>
    </w:p>
    <w:p>
      <w:pPr>
        <w:pStyle w:val="30"/>
        <w:widowControl/>
        <w:numPr>
          <w:ilvl w:val="2"/>
          <w:numId w:val="11"/>
        </w:numPr>
        <w:spacing w:line="360" w:lineRule="auto"/>
        <w:ind w:firstLineChars="0"/>
        <w:jc w:val="left"/>
        <w:rPr>
          <w:rFonts w:ascii="黑体" w:hAnsi="黑体" w:eastAsia="黑体"/>
          <w:color w:val="auto"/>
          <w:szCs w:val="21"/>
        </w:rPr>
      </w:pPr>
      <w:r>
        <w:rPr>
          <w:rFonts w:ascii="黑体" w:hAnsi="黑体" w:eastAsia="黑体"/>
          <w:color w:val="auto"/>
          <w:szCs w:val="21"/>
        </w:rPr>
        <w:t>在招标采购中，出现下列情形之一的，应予废标</w:t>
      </w:r>
      <w:r>
        <w:rPr>
          <w:rFonts w:hint="eastAsia" w:ascii="黑体" w:hAnsi="黑体" w:eastAsia="黑体"/>
          <w:color w:val="auto"/>
          <w:szCs w:val="21"/>
        </w:rPr>
        <w:t>。</w:t>
      </w:r>
    </w:p>
    <w:p>
      <w:pPr>
        <w:pStyle w:val="30"/>
        <w:widowControl/>
        <w:numPr>
          <w:ilvl w:val="3"/>
          <w:numId w:val="46"/>
        </w:numPr>
        <w:tabs>
          <w:tab w:val="left" w:pos="1134"/>
        </w:tabs>
        <w:spacing w:line="360" w:lineRule="auto"/>
        <w:ind w:left="993" w:hanging="993" w:firstLineChars="0"/>
        <w:jc w:val="left"/>
        <w:rPr>
          <w:rFonts w:ascii="黑体" w:hAnsi="黑体" w:eastAsia="黑体"/>
          <w:color w:val="auto"/>
          <w:szCs w:val="21"/>
        </w:rPr>
      </w:pPr>
      <w:r>
        <w:rPr>
          <w:rFonts w:ascii="黑体" w:hAnsi="黑体" w:eastAsia="黑体"/>
          <w:color w:val="auto"/>
          <w:szCs w:val="21"/>
        </w:rPr>
        <w:t>符合专业条件的供应商或者对</w:t>
      </w:r>
      <w:r>
        <w:rPr>
          <w:rFonts w:hint="eastAsia" w:ascii="黑体" w:hAnsi="黑体" w:eastAsia="黑体"/>
          <w:color w:val="auto"/>
          <w:szCs w:val="21"/>
        </w:rPr>
        <w:t>招标</w:t>
      </w:r>
      <w:r>
        <w:rPr>
          <w:rFonts w:ascii="黑体" w:hAnsi="黑体" w:eastAsia="黑体"/>
          <w:color w:val="auto"/>
          <w:szCs w:val="21"/>
        </w:rPr>
        <w:t>文件作实质响应的供应商不足三家的；</w:t>
      </w:r>
    </w:p>
    <w:p>
      <w:pPr>
        <w:pStyle w:val="30"/>
        <w:widowControl/>
        <w:numPr>
          <w:ilvl w:val="3"/>
          <w:numId w:val="46"/>
        </w:numPr>
        <w:tabs>
          <w:tab w:val="left" w:pos="1134"/>
        </w:tabs>
        <w:spacing w:line="360" w:lineRule="auto"/>
        <w:ind w:left="993" w:hanging="993" w:firstLineChars="0"/>
        <w:jc w:val="left"/>
        <w:rPr>
          <w:rFonts w:ascii="黑体" w:hAnsi="黑体" w:eastAsia="黑体"/>
          <w:color w:val="auto"/>
          <w:szCs w:val="21"/>
        </w:rPr>
      </w:pPr>
      <w:r>
        <w:rPr>
          <w:rFonts w:ascii="黑体" w:hAnsi="黑体" w:eastAsia="黑体"/>
          <w:color w:val="auto"/>
          <w:szCs w:val="21"/>
        </w:rPr>
        <w:t>出现影响采购公正的违法、违规行为的；</w:t>
      </w:r>
    </w:p>
    <w:p>
      <w:pPr>
        <w:pStyle w:val="30"/>
        <w:widowControl/>
        <w:numPr>
          <w:ilvl w:val="3"/>
          <w:numId w:val="46"/>
        </w:numPr>
        <w:tabs>
          <w:tab w:val="left" w:pos="1134"/>
        </w:tabs>
        <w:spacing w:line="360" w:lineRule="auto"/>
        <w:ind w:left="993" w:hanging="993" w:firstLineChars="0"/>
        <w:jc w:val="left"/>
        <w:rPr>
          <w:rFonts w:ascii="黑体" w:hAnsi="黑体" w:eastAsia="黑体"/>
          <w:color w:val="auto"/>
          <w:szCs w:val="21"/>
        </w:rPr>
      </w:pPr>
      <w:r>
        <w:rPr>
          <w:rFonts w:ascii="黑体" w:hAnsi="黑体" w:eastAsia="黑体"/>
          <w:color w:val="auto"/>
          <w:szCs w:val="21"/>
        </w:rPr>
        <w:t>投标人的报价均超过了采购预算，采购人不能支付的；</w:t>
      </w:r>
    </w:p>
    <w:p>
      <w:pPr>
        <w:pStyle w:val="30"/>
        <w:widowControl/>
        <w:numPr>
          <w:ilvl w:val="3"/>
          <w:numId w:val="46"/>
        </w:numPr>
        <w:tabs>
          <w:tab w:val="left" w:pos="1134"/>
        </w:tabs>
        <w:spacing w:line="360" w:lineRule="auto"/>
        <w:ind w:left="993" w:hanging="993" w:firstLineChars="0"/>
        <w:jc w:val="left"/>
        <w:rPr>
          <w:rFonts w:ascii="黑体" w:hAnsi="黑体" w:eastAsia="黑体"/>
          <w:color w:val="auto"/>
          <w:szCs w:val="21"/>
        </w:rPr>
      </w:pPr>
      <w:r>
        <w:rPr>
          <w:rFonts w:ascii="黑体" w:hAnsi="黑体" w:eastAsia="黑体"/>
          <w:color w:val="auto"/>
          <w:szCs w:val="21"/>
        </w:rPr>
        <w:t>因重大变故，采购任务取消的</w:t>
      </w:r>
      <w:r>
        <w:rPr>
          <w:rFonts w:hint="eastAsia" w:ascii="黑体" w:hAnsi="黑体" w:eastAsia="黑体"/>
          <w:color w:val="auto"/>
          <w:szCs w:val="21"/>
        </w:rPr>
        <w:t>。</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询问、质疑、投诉</w:t>
      </w:r>
    </w:p>
    <w:p>
      <w:pPr>
        <w:pStyle w:val="30"/>
        <w:numPr>
          <w:ilvl w:val="0"/>
          <w:numId w:val="47"/>
        </w:numPr>
        <w:spacing w:line="360" w:lineRule="auto"/>
        <w:ind w:firstLineChars="0"/>
        <w:rPr>
          <w:rFonts w:ascii="黑体" w:hAnsi="黑体" w:eastAsia="黑体"/>
          <w:bCs/>
          <w:color w:val="auto"/>
          <w:szCs w:val="21"/>
        </w:rPr>
      </w:pPr>
      <w:r>
        <w:rPr>
          <w:rFonts w:hint="eastAsia" w:ascii="黑体" w:hAnsi="黑体" w:eastAsia="黑体"/>
          <w:bCs/>
          <w:color w:val="auto"/>
          <w:szCs w:val="21"/>
        </w:rPr>
        <w:t xml:space="preserve"> 询问</w:t>
      </w:r>
    </w:p>
    <w:p>
      <w:pPr>
        <w:pStyle w:val="30"/>
        <w:numPr>
          <w:ilvl w:val="2"/>
          <w:numId w:val="48"/>
        </w:numPr>
        <w:spacing w:line="360" w:lineRule="auto"/>
        <w:ind w:firstLineChars="0"/>
        <w:rPr>
          <w:rFonts w:ascii="黑体" w:hAnsi="黑体" w:eastAsia="黑体"/>
          <w:bCs/>
          <w:color w:val="auto"/>
          <w:szCs w:val="21"/>
        </w:rPr>
      </w:pPr>
      <w:r>
        <w:rPr>
          <w:rFonts w:hint="eastAsia" w:ascii="黑体" w:hAnsi="黑体" w:eastAsia="黑体"/>
          <w:bCs/>
          <w:color w:val="auto"/>
          <w:szCs w:val="21"/>
        </w:rPr>
        <w:t>供应商对政府采购活动事项有疑问的，可以向采购人或者采购代理机构提出询问，询问可以口头方式提出，也可以书面方式提出。</w:t>
      </w:r>
    </w:p>
    <w:p>
      <w:pPr>
        <w:pStyle w:val="30"/>
        <w:numPr>
          <w:ilvl w:val="2"/>
          <w:numId w:val="48"/>
        </w:numPr>
        <w:spacing w:line="360" w:lineRule="auto"/>
        <w:ind w:firstLineChars="0"/>
        <w:rPr>
          <w:rFonts w:ascii="黑体" w:hAnsi="黑体" w:eastAsia="黑体"/>
          <w:bCs/>
          <w:color w:val="auto"/>
          <w:szCs w:val="21"/>
        </w:rPr>
      </w:pPr>
      <w:r>
        <w:rPr>
          <w:rFonts w:hint="eastAsia" w:ascii="黑体" w:hAnsi="黑体" w:eastAsia="黑体"/>
          <w:bCs/>
          <w:color w:val="auto"/>
          <w:szCs w:val="21"/>
        </w:rPr>
        <w:t>如采用书面方式提出询问，供应商为自然人的，询问函应当由本人签字；供应商为法人或者其他组织的，应当由法定代表人、主要负责人或授权代表签字并加盖公章或者盖章，并加盖公章。响应供应商递交询问函时非法定代表人亲自办理的需提供法定代表人授权委托书（应载明授权代表的姓名或者名称、代理事项、具体权限、期限和相关事项）及授权代表身份证复印件。</w:t>
      </w:r>
    </w:p>
    <w:p>
      <w:pPr>
        <w:pStyle w:val="30"/>
        <w:numPr>
          <w:ilvl w:val="2"/>
          <w:numId w:val="48"/>
        </w:numPr>
        <w:spacing w:line="360" w:lineRule="auto"/>
        <w:ind w:firstLineChars="0"/>
        <w:rPr>
          <w:rFonts w:ascii="黑体" w:hAnsi="黑体" w:eastAsia="黑体"/>
          <w:bCs/>
          <w:color w:val="auto"/>
          <w:szCs w:val="21"/>
        </w:rPr>
      </w:pPr>
      <w:r>
        <w:rPr>
          <w:rFonts w:hint="eastAsia" w:ascii="黑体" w:hAnsi="黑体" w:eastAsia="黑体"/>
          <w:bCs/>
          <w:color w:val="auto"/>
          <w:szCs w:val="21"/>
        </w:rPr>
        <w:t>采购人或者采购代理机构在三个工作日内对供应商依法提出的询问作出答复。</w:t>
      </w:r>
    </w:p>
    <w:p>
      <w:pPr>
        <w:pStyle w:val="30"/>
        <w:numPr>
          <w:ilvl w:val="0"/>
          <w:numId w:val="47"/>
        </w:numPr>
        <w:spacing w:line="360" w:lineRule="auto"/>
        <w:ind w:firstLineChars="0"/>
        <w:rPr>
          <w:rFonts w:ascii="黑体" w:hAnsi="黑体" w:eastAsia="黑体"/>
          <w:bCs/>
          <w:color w:val="auto"/>
          <w:szCs w:val="21"/>
        </w:rPr>
      </w:pPr>
      <w:r>
        <w:rPr>
          <w:rFonts w:hint="eastAsia" w:ascii="黑体" w:hAnsi="黑体" w:eastAsia="黑体"/>
          <w:bCs/>
          <w:color w:val="auto"/>
          <w:szCs w:val="21"/>
        </w:rPr>
        <w:t xml:space="preserve"> 质疑</w:t>
      </w:r>
    </w:p>
    <w:p>
      <w:pPr>
        <w:pStyle w:val="30"/>
        <w:numPr>
          <w:ilvl w:val="2"/>
          <w:numId w:val="49"/>
        </w:numPr>
        <w:spacing w:line="360" w:lineRule="auto"/>
        <w:ind w:firstLineChars="0"/>
        <w:rPr>
          <w:rFonts w:ascii="黑体" w:hAnsi="黑体" w:eastAsia="黑体"/>
          <w:bCs/>
          <w:color w:val="auto"/>
          <w:szCs w:val="21"/>
        </w:rPr>
      </w:pPr>
      <w:r>
        <w:rPr>
          <w:rFonts w:hint="eastAsia" w:ascii="黑体" w:hAnsi="黑体" w:eastAsia="黑体" w:cs="宋体"/>
          <w:color w:val="auto"/>
          <w:kern w:val="0"/>
          <w:szCs w:val="21"/>
        </w:rPr>
        <w:t>供应商认为采购文件、采购过程、中标或者成交结果使自己的权益受到损害的，可以在知道或者应知其权益受到损害之日起7个工作日内，以书面形式向采购人、采购代理机构提出质疑。</w:t>
      </w:r>
    </w:p>
    <w:p>
      <w:pPr>
        <w:pStyle w:val="30"/>
        <w:numPr>
          <w:ilvl w:val="2"/>
          <w:numId w:val="49"/>
        </w:numPr>
        <w:spacing w:line="360" w:lineRule="auto"/>
        <w:ind w:firstLineChars="0"/>
        <w:rPr>
          <w:rFonts w:ascii="黑体" w:hAnsi="黑体" w:eastAsia="黑体"/>
          <w:bCs/>
          <w:color w:val="auto"/>
          <w:szCs w:val="21"/>
        </w:rPr>
      </w:pPr>
      <w:r>
        <w:rPr>
          <w:rFonts w:hint="eastAsia" w:ascii="黑体" w:hAnsi="黑体" w:eastAsia="黑体"/>
          <w:bCs/>
          <w:color w:val="auto"/>
          <w:szCs w:val="21"/>
        </w:rPr>
        <w:t>提出质疑的供应商应当是参与所质疑项目采购活动的供应商。</w:t>
      </w:r>
    </w:p>
    <w:p>
      <w:pPr>
        <w:pStyle w:val="30"/>
        <w:numPr>
          <w:ilvl w:val="0"/>
          <w:numId w:val="47"/>
        </w:numPr>
        <w:spacing w:line="360" w:lineRule="auto"/>
        <w:ind w:firstLineChars="0"/>
        <w:rPr>
          <w:rFonts w:ascii="黑体" w:hAnsi="黑体" w:eastAsia="黑体"/>
          <w:bCs/>
          <w:color w:val="auto"/>
          <w:szCs w:val="21"/>
        </w:rPr>
      </w:pPr>
      <w:r>
        <w:rPr>
          <w:rFonts w:hint="eastAsia" w:ascii="黑体" w:hAnsi="黑体" w:eastAsia="黑体"/>
          <w:bCs/>
          <w:color w:val="auto"/>
          <w:szCs w:val="21"/>
        </w:rPr>
        <w:t xml:space="preserve"> 提交要求：</w:t>
      </w:r>
    </w:p>
    <w:p>
      <w:pPr>
        <w:pStyle w:val="30"/>
        <w:numPr>
          <w:ilvl w:val="2"/>
          <w:numId w:val="50"/>
        </w:numPr>
        <w:spacing w:line="360" w:lineRule="auto"/>
        <w:ind w:firstLineChars="0"/>
        <w:rPr>
          <w:rFonts w:ascii="黑体" w:hAnsi="黑体" w:eastAsia="黑体"/>
          <w:bCs/>
          <w:color w:val="auto"/>
          <w:szCs w:val="21"/>
        </w:rPr>
      </w:pPr>
      <w:r>
        <w:rPr>
          <w:rFonts w:hint="eastAsia" w:ascii="黑体" w:hAnsi="黑体" w:eastAsia="黑体"/>
          <w:bCs/>
          <w:color w:val="auto"/>
          <w:szCs w:val="21"/>
        </w:rPr>
        <w:t>以书面形式向采购人或者采购代理机构一次性提出针对同一采购程序环节的质疑。</w:t>
      </w:r>
    </w:p>
    <w:p>
      <w:pPr>
        <w:pStyle w:val="30"/>
        <w:numPr>
          <w:ilvl w:val="2"/>
          <w:numId w:val="50"/>
        </w:numPr>
        <w:spacing w:line="360" w:lineRule="auto"/>
        <w:ind w:firstLineChars="0"/>
        <w:rPr>
          <w:rFonts w:ascii="黑体" w:hAnsi="黑体" w:eastAsia="黑体"/>
          <w:bCs/>
          <w:color w:val="auto"/>
          <w:szCs w:val="21"/>
        </w:rPr>
      </w:pPr>
      <w:r>
        <w:rPr>
          <w:rFonts w:hint="eastAsia" w:ascii="黑体" w:hAnsi="黑体" w:eastAsia="黑体"/>
          <w:bCs/>
          <w:color w:val="auto"/>
          <w:spacing w:val="-4"/>
          <w:szCs w:val="21"/>
        </w:rPr>
        <w:t>以联合体形式参加政府采购活动的，其质疑应当由组成联合体的所有供应商共同提出</w:t>
      </w:r>
      <w:r>
        <w:rPr>
          <w:rFonts w:hint="eastAsia" w:ascii="黑体" w:hAnsi="黑体" w:eastAsia="黑体"/>
          <w:bCs/>
          <w:color w:val="auto"/>
          <w:szCs w:val="21"/>
        </w:rPr>
        <w:t>。</w:t>
      </w:r>
    </w:p>
    <w:p>
      <w:pPr>
        <w:pStyle w:val="30"/>
        <w:numPr>
          <w:ilvl w:val="2"/>
          <w:numId w:val="50"/>
        </w:numPr>
        <w:spacing w:line="360" w:lineRule="auto"/>
        <w:ind w:firstLineChars="0"/>
        <w:rPr>
          <w:rFonts w:ascii="黑体" w:hAnsi="黑体" w:eastAsia="黑体"/>
          <w:bCs/>
          <w:color w:val="auto"/>
          <w:szCs w:val="21"/>
        </w:rPr>
      </w:pPr>
      <w:r>
        <w:rPr>
          <w:rFonts w:hint="eastAsia" w:ascii="黑体" w:hAnsi="黑体" w:eastAsia="黑体"/>
          <w:bCs/>
          <w:color w:val="auto"/>
          <w:szCs w:val="21"/>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pPr>
        <w:pStyle w:val="30"/>
        <w:numPr>
          <w:ilvl w:val="2"/>
          <w:numId w:val="50"/>
        </w:numPr>
        <w:spacing w:line="360" w:lineRule="auto"/>
        <w:ind w:firstLineChars="0"/>
        <w:rPr>
          <w:rFonts w:ascii="黑体" w:hAnsi="黑体" w:eastAsia="黑体"/>
          <w:bCs/>
          <w:color w:val="auto"/>
          <w:szCs w:val="21"/>
        </w:rPr>
      </w:pPr>
      <w:r>
        <w:rPr>
          <w:rFonts w:hint="eastAsia" w:ascii="黑体" w:hAnsi="黑体" w:eastAsia="黑体"/>
          <w:bCs/>
          <w:color w:val="auto"/>
          <w:szCs w:val="21"/>
        </w:rPr>
        <w:t>供应商捏造事实、提供虚假材料或者以非法手段取得证明材料不能作为质疑的证明材料。采购人或者采购代理机构在收到投标人的书面质疑后</w:t>
      </w:r>
      <w:r>
        <w:rPr>
          <w:rFonts w:ascii="黑体" w:hAnsi="黑体" w:eastAsia="黑体"/>
          <w:bCs/>
          <w:color w:val="auto"/>
          <w:szCs w:val="21"/>
        </w:rPr>
        <w:t>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pPr>
        <w:pStyle w:val="30"/>
        <w:numPr>
          <w:ilvl w:val="2"/>
          <w:numId w:val="50"/>
        </w:numPr>
        <w:spacing w:line="360" w:lineRule="auto"/>
        <w:ind w:firstLineChars="0"/>
        <w:rPr>
          <w:rFonts w:ascii="黑体" w:hAnsi="黑体" w:eastAsia="黑体"/>
          <w:bCs/>
          <w:color w:val="auto"/>
          <w:szCs w:val="21"/>
        </w:rPr>
      </w:pPr>
      <w:r>
        <w:rPr>
          <w:rFonts w:hint="eastAsia" w:ascii="黑体" w:hAnsi="黑体" w:eastAsia="黑体"/>
          <w:bCs/>
          <w:color w:val="auto"/>
          <w:szCs w:val="21"/>
        </w:rPr>
        <w:t>采购人或采购代理机构接收以书面形式递交的质疑函，接收质疑函的联系人、联系方式和通讯地址：</w:t>
      </w:r>
    </w:p>
    <w:p>
      <w:pPr>
        <w:ind w:firstLine="707" w:firstLineChars="337"/>
        <w:rPr>
          <w:rFonts w:ascii="黑体" w:hAnsi="黑体" w:eastAsia="黑体"/>
          <w:color w:val="auto"/>
          <w:szCs w:val="21"/>
        </w:rPr>
      </w:pPr>
      <w:r>
        <w:rPr>
          <w:rFonts w:hint="eastAsia" w:ascii="黑体" w:hAnsi="黑体" w:eastAsia="黑体"/>
          <w:color w:val="auto"/>
          <w:szCs w:val="21"/>
        </w:rPr>
        <w:t>联系人：陈先生</w:t>
      </w:r>
      <w:r>
        <w:rPr>
          <w:rFonts w:ascii="黑体" w:hAnsi="黑体" w:eastAsia="黑体"/>
          <w:color w:val="auto"/>
          <w:szCs w:val="21"/>
        </w:rPr>
        <w:t xml:space="preserve">       </w:t>
      </w:r>
      <w:r>
        <w:rPr>
          <w:rFonts w:hint="eastAsia" w:ascii="黑体" w:hAnsi="黑体" w:eastAsia="黑体"/>
          <w:color w:val="auto"/>
          <w:szCs w:val="21"/>
        </w:rPr>
        <w:t>联系电话：（</w:t>
      </w:r>
      <w:r>
        <w:rPr>
          <w:rFonts w:ascii="黑体" w:hAnsi="黑体" w:eastAsia="黑体"/>
          <w:color w:val="auto"/>
          <w:szCs w:val="21"/>
        </w:rPr>
        <w:t>0769）23362836</w:t>
      </w:r>
      <w:r>
        <w:rPr>
          <w:rFonts w:hint="eastAsia" w:ascii="黑体" w:hAnsi="黑体" w:eastAsia="黑体"/>
          <w:color w:val="auto"/>
          <w:szCs w:val="21"/>
        </w:rPr>
        <w:t>-8006</w:t>
      </w:r>
    </w:p>
    <w:p>
      <w:pPr>
        <w:spacing w:line="360" w:lineRule="auto"/>
        <w:ind w:firstLine="707" w:firstLineChars="337"/>
        <w:rPr>
          <w:rFonts w:ascii="黑体" w:hAnsi="黑体" w:eastAsia="黑体"/>
          <w:color w:val="auto"/>
          <w:szCs w:val="21"/>
        </w:rPr>
      </w:pPr>
      <w:r>
        <w:rPr>
          <w:rFonts w:hint="eastAsia" w:ascii="黑体" w:hAnsi="黑体" w:eastAsia="黑体"/>
          <w:color w:val="auto"/>
          <w:szCs w:val="21"/>
        </w:rPr>
        <w:t>联系地址：东莞市东城街道东莞大道</w:t>
      </w:r>
      <w:r>
        <w:rPr>
          <w:rFonts w:ascii="黑体" w:hAnsi="黑体" w:eastAsia="黑体"/>
          <w:color w:val="auto"/>
          <w:szCs w:val="21"/>
        </w:rPr>
        <w:t>19号鼎峰卡布斯国际广场A座1603A</w:t>
      </w:r>
      <w:r>
        <w:rPr>
          <w:rFonts w:hint="eastAsia" w:ascii="黑体" w:hAnsi="黑体" w:eastAsia="黑体"/>
          <w:color w:val="auto"/>
          <w:szCs w:val="21"/>
        </w:rPr>
        <w:t>号</w:t>
      </w:r>
    </w:p>
    <w:p>
      <w:pPr>
        <w:pStyle w:val="30"/>
        <w:numPr>
          <w:ilvl w:val="0"/>
          <w:numId w:val="47"/>
        </w:numPr>
        <w:spacing w:line="360" w:lineRule="auto"/>
        <w:ind w:firstLineChars="0"/>
        <w:rPr>
          <w:rFonts w:ascii="黑体" w:hAnsi="黑体" w:eastAsia="黑体"/>
          <w:bCs/>
          <w:color w:val="auto"/>
          <w:szCs w:val="21"/>
        </w:rPr>
      </w:pPr>
      <w:r>
        <w:rPr>
          <w:rFonts w:hint="eastAsia" w:ascii="黑体" w:hAnsi="黑体" w:eastAsia="黑体"/>
          <w:bCs/>
          <w:color w:val="auto"/>
          <w:szCs w:val="21"/>
        </w:rPr>
        <w:t xml:space="preserve">  投诉</w:t>
      </w:r>
    </w:p>
    <w:p>
      <w:pPr>
        <w:pStyle w:val="30"/>
        <w:widowControl/>
        <w:numPr>
          <w:ilvl w:val="2"/>
          <w:numId w:val="51"/>
        </w:numPr>
        <w:shd w:val="clear" w:color="auto" w:fill="FFFFFF"/>
        <w:wordWrap w:val="0"/>
        <w:spacing w:line="360" w:lineRule="auto"/>
        <w:ind w:firstLineChars="0"/>
        <w:jc w:val="left"/>
        <w:rPr>
          <w:rFonts w:ascii="黑体" w:hAnsi="黑体" w:eastAsia="黑体" w:cs="宋体"/>
          <w:color w:val="auto"/>
          <w:kern w:val="0"/>
          <w:szCs w:val="21"/>
        </w:rPr>
      </w:pPr>
      <w:r>
        <w:rPr>
          <w:rFonts w:hint="eastAsia" w:ascii="黑体" w:hAnsi="黑体" w:eastAsia="黑体" w:cs="宋体"/>
          <w:color w:val="auto"/>
          <w:kern w:val="0"/>
          <w:szCs w:val="21"/>
        </w:rPr>
        <w:t>质疑供应商对采购人、采购代理机构的答复不满意，或者采购人、采购代理机构未在规定时间内作出答复的，可以在答复期满后15个工作日内根据《政府采购质疑和投诉办法》(财政部令第94号)第六条规定向财政部门提起投诉。</w:t>
      </w:r>
    </w:p>
    <w:p>
      <w:pPr>
        <w:pStyle w:val="30"/>
        <w:widowControl/>
        <w:numPr>
          <w:ilvl w:val="2"/>
          <w:numId w:val="51"/>
        </w:numPr>
        <w:shd w:val="clear" w:color="auto" w:fill="FFFFFF"/>
        <w:wordWrap w:val="0"/>
        <w:spacing w:line="360" w:lineRule="auto"/>
        <w:ind w:firstLineChars="0"/>
        <w:jc w:val="left"/>
        <w:rPr>
          <w:rFonts w:ascii="黑体" w:hAnsi="黑体" w:eastAsia="黑体" w:cs="宋体"/>
          <w:color w:val="auto"/>
          <w:kern w:val="0"/>
          <w:szCs w:val="21"/>
        </w:rPr>
      </w:pPr>
      <w:r>
        <w:rPr>
          <w:rFonts w:hint="eastAsia" w:ascii="黑体" w:hAnsi="黑体" w:eastAsia="黑体" w:cs="宋体"/>
          <w:color w:val="auto"/>
          <w:kern w:val="0"/>
          <w:szCs w:val="21"/>
        </w:rPr>
        <w:t>投诉人在全国范围12个月内三次以上投诉查无实据的，由财政部门列入不良行为记录名单。</w:t>
      </w:r>
    </w:p>
    <w:p>
      <w:pPr>
        <w:pStyle w:val="30"/>
        <w:widowControl/>
        <w:numPr>
          <w:ilvl w:val="2"/>
          <w:numId w:val="51"/>
        </w:numPr>
        <w:shd w:val="clear" w:color="auto" w:fill="FFFFFF"/>
        <w:wordWrap w:val="0"/>
        <w:spacing w:line="360" w:lineRule="auto"/>
        <w:ind w:firstLineChars="0"/>
        <w:jc w:val="left"/>
        <w:rPr>
          <w:rFonts w:ascii="黑体" w:hAnsi="黑体" w:eastAsia="黑体" w:cs="宋体"/>
          <w:color w:val="auto"/>
          <w:kern w:val="0"/>
          <w:szCs w:val="21"/>
        </w:rPr>
      </w:pPr>
      <w:r>
        <w:rPr>
          <w:rFonts w:hint="eastAsia" w:ascii="黑体" w:hAnsi="黑体" w:eastAsia="黑体" w:cs="宋体"/>
          <w:color w:val="auto"/>
          <w:kern w:val="0"/>
          <w:szCs w:val="21"/>
        </w:rPr>
        <w:t>投诉人有下列行为之一的，属于虚假、恶意投诉，由财政部门列入不良行为记录名单，禁止其1至3年内参加政府采购活动：（一）捏造事实;（二）提供虚假材料;（三）以非法手段取得证明材料。证据来源的合法性存在明显疑问，投诉人无法证明其取得方式合法的，视为以非法手段取得证明材料。</w:t>
      </w:r>
    </w:p>
    <w:p>
      <w:pPr>
        <w:pStyle w:val="30"/>
        <w:widowControl/>
        <w:numPr>
          <w:ilvl w:val="2"/>
          <w:numId w:val="51"/>
        </w:numPr>
        <w:shd w:val="clear" w:color="auto" w:fill="FFFFFF"/>
        <w:wordWrap w:val="0"/>
        <w:spacing w:line="360" w:lineRule="auto"/>
        <w:ind w:firstLineChars="0"/>
        <w:jc w:val="left"/>
        <w:rPr>
          <w:rFonts w:ascii="黑体" w:hAnsi="黑体" w:eastAsia="黑体" w:cs="宋体"/>
          <w:color w:val="auto"/>
          <w:spacing w:val="-4"/>
          <w:kern w:val="0"/>
          <w:szCs w:val="21"/>
        </w:rPr>
      </w:pPr>
      <w:r>
        <w:rPr>
          <w:rFonts w:hint="eastAsia" w:ascii="黑体" w:hAnsi="黑体" w:eastAsia="黑体" w:cs="宋体"/>
          <w:color w:val="auto"/>
          <w:spacing w:val="-4"/>
          <w:kern w:val="0"/>
          <w:szCs w:val="21"/>
        </w:rPr>
        <w:t>以联合体形式参加政府采购活动的，其投诉应当由组成联合体的所有供应商共同提出。</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中标通知书</w:t>
      </w:r>
    </w:p>
    <w:p>
      <w:pPr>
        <w:pStyle w:val="30"/>
        <w:numPr>
          <w:ilvl w:val="0"/>
          <w:numId w:val="5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采购人或者采购代理机构应当自中标人确定之日起</w:t>
      </w:r>
      <w:r>
        <w:rPr>
          <w:rFonts w:ascii="黑体" w:hAnsi="黑体" w:eastAsia="黑体"/>
          <w:bCs/>
          <w:color w:val="auto"/>
          <w:szCs w:val="21"/>
        </w:rPr>
        <w:t>2个工作日内在指定媒体公告中标结果和发出中标通知书，公告期为1个工作日</w:t>
      </w:r>
      <w:r>
        <w:rPr>
          <w:rFonts w:hint="eastAsia" w:ascii="黑体" w:hAnsi="黑体" w:eastAsia="黑体"/>
          <w:bCs/>
          <w:color w:val="auto"/>
          <w:szCs w:val="21"/>
        </w:rPr>
        <w:t>。</w:t>
      </w:r>
    </w:p>
    <w:p>
      <w:pPr>
        <w:pStyle w:val="30"/>
        <w:numPr>
          <w:ilvl w:val="0"/>
          <w:numId w:val="5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《中标通知书》对中标人和采购人具有同等法律效力。</w:t>
      </w:r>
    </w:p>
    <w:p>
      <w:pPr>
        <w:pStyle w:val="30"/>
        <w:numPr>
          <w:ilvl w:val="0"/>
          <w:numId w:val="5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中标通知书发出后，采购人不得违法改变中标结果，中标人无正当理由不得放弃中标。</w:t>
      </w:r>
    </w:p>
    <w:p>
      <w:pPr>
        <w:pStyle w:val="30"/>
        <w:numPr>
          <w:ilvl w:val="0"/>
          <w:numId w:val="52"/>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《中标通知书》将作为授予合同资格的合法依据，是合同的一个组成部分。</w:t>
      </w:r>
    </w:p>
    <w:p>
      <w:pPr>
        <w:pStyle w:val="30"/>
        <w:numPr>
          <w:ilvl w:val="0"/>
          <w:numId w:val="10"/>
        </w:numPr>
        <w:spacing w:before="312" w:beforeLines="100" w:line="360" w:lineRule="auto"/>
        <w:ind w:firstLineChars="0"/>
        <w:rPr>
          <w:rFonts w:ascii="黑体" w:hAnsi="黑体" w:eastAsia="黑体"/>
          <w:b/>
          <w:bCs/>
          <w:color w:val="auto"/>
          <w:szCs w:val="21"/>
        </w:rPr>
      </w:pPr>
      <w:r>
        <w:rPr>
          <w:rFonts w:hint="eastAsia" w:ascii="黑体" w:hAnsi="黑体" w:eastAsia="黑体"/>
          <w:b/>
          <w:bCs/>
          <w:color w:val="auto"/>
          <w:szCs w:val="21"/>
        </w:rPr>
        <w:t>授予合同</w:t>
      </w:r>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合同的订立</w:t>
      </w:r>
    </w:p>
    <w:p>
      <w:pPr>
        <w:pStyle w:val="30"/>
        <w:numPr>
          <w:ilvl w:val="0"/>
          <w:numId w:val="5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采购人应当自《中标通知书》发出之日起30日内，按照招标文件和中标人投标文件的约定，与中标人签订书面合同。所签订的合同不得对招标文件确定的事项和中标人投标文件作实质性修改。</w:t>
      </w:r>
    </w:p>
    <w:p>
      <w:pPr>
        <w:pStyle w:val="30"/>
        <w:numPr>
          <w:ilvl w:val="0"/>
          <w:numId w:val="53"/>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采购人或者采购代理机构不得向中标人提出任何不合理的要求，作为签订合同的条件，不得与中标人私下订立背离合同实质性内容的协议。</w:t>
      </w:r>
    </w:p>
    <w:p>
      <w:pPr>
        <w:pStyle w:val="30"/>
        <w:numPr>
          <w:ilvl w:val="0"/>
          <w:numId w:val="53"/>
        </w:numPr>
        <w:spacing w:line="360" w:lineRule="auto"/>
        <w:ind w:left="567" w:hanging="567" w:firstLineChars="0"/>
        <w:rPr>
          <w:rFonts w:ascii="黑体" w:hAnsi="黑体" w:eastAsia="黑体"/>
          <w:bCs/>
          <w:color w:val="auto"/>
          <w:szCs w:val="21"/>
        </w:rPr>
      </w:pPr>
      <w:r>
        <w:rPr>
          <w:rFonts w:ascii="黑体" w:hAnsi="黑体" w:eastAsia="黑体"/>
          <w:bCs/>
          <w:color w:val="auto"/>
          <w:szCs w:val="21"/>
        </w:rPr>
        <w:t>中标</w:t>
      </w:r>
      <w:r>
        <w:rPr>
          <w:rFonts w:hint="eastAsia" w:ascii="黑体" w:hAnsi="黑体" w:eastAsia="黑体"/>
          <w:bCs/>
          <w:color w:val="auto"/>
          <w:szCs w:val="21"/>
        </w:rPr>
        <w:t>人</w:t>
      </w:r>
      <w:r>
        <w:rPr>
          <w:rFonts w:ascii="黑体" w:hAnsi="黑体" w:eastAsia="黑体"/>
          <w:bCs/>
          <w:color w:val="auto"/>
          <w:szCs w:val="21"/>
        </w:rPr>
        <w:t>拒绝与采购人签订合同的，采购人可以按照评审报告推荐的中标候选人名单排序，确定下一候选人为中标</w:t>
      </w:r>
      <w:r>
        <w:rPr>
          <w:rFonts w:hint="eastAsia" w:ascii="黑体" w:hAnsi="黑体" w:eastAsia="黑体"/>
          <w:bCs/>
          <w:color w:val="auto"/>
          <w:szCs w:val="21"/>
        </w:rPr>
        <w:t>人</w:t>
      </w:r>
      <w:r>
        <w:rPr>
          <w:rFonts w:ascii="黑体" w:hAnsi="黑体" w:eastAsia="黑体"/>
          <w:bCs/>
          <w:color w:val="auto"/>
          <w:szCs w:val="21"/>
        </w:rPr>
        <w:t>，也可以重新开展政府采购活动。</w:t>
      </w:r>
    </w:p>
    <w:p>
      <w:pPr>
        <w:pStyle w:val="30"/>
        <w:numPr>
          <w:ilvl w:val="0"/>
          <w:numId w:val="11"/>
        </w:numPr>
        <w:spacing w:line="360" w:lineRule="auto"/>
        <w:ind w:firstLineChars="0"/>
        <w:rPr>
          <w:rFonts w:ascii="黑体" w:hAnsi="黑体" w:eastAsia="黑体"/>
          <w:b/>
          <w:color w:val="auto"/>
        </w:rPr>
      </w:pPr>
      <w:r>
        <w:rPr>
          <w:rFonts w:hint="eastAsia" w:ascii="黑体" w:hAnsi="黑体" w:eastAsia="黑体"/>
          <w:b/>
          <w:color w:val="auto"/>
        </w:rPr>
        <w:t>合同的履行</w:t>
      </w:r>
    </w:p>
    <w:p>
      <w:pPr>
        <w:pStyle w:val="30"/>
        <w:numPr>
          <w:ilvl w:val="0"/>
          <w:numId w:val="54"/>
        </w:numPr>
        <w:spacing w:line="360" w:lineRule="auto"/>
        <w:ind w:firstLineChars="0"/>
        <w:rPr>
          <w:rFonts w:ascii="黑体" w:hAnsi="黑体" w:eastAsia="黑体"/>
          <w:bCs/>
          <w:color w:val="auto"/>
          <w:szCs w:val="21"/>
        </w:rPr>
      </w:pPr>
      <w:r>
        <w:rPr>
          <w:rFonts w:hint="eastAsia" w:ascii="黑体" w:hAnsi="黑体" w:eastAsia="黑体"/>
          <w:bCs/>
          <w:color w:val="auto"/>
          <w:szCs w:val="21"/>
        </w:rPr>
        <w:t xml:space="preserve"> 采购人和中标人应当根据合同的约定依法履行合同义务。</w:t>
      </w:r>
    </w:p>
    <w:p>
      <w:pPr>
        <w:pStyle w:val="30"/>
        <w:numPr>
          <w:ilvl w:val="0"/>
          <w:numId w:val="54"/>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政府采购合同订立后，合同各方不得擅自变更、中止或者终止合同。政府采购合同需要变更的，采购人应将有关合同变更内容，以书面形式报相关监管部门备案；因特殊情况需要中止或终止合同的，采购人应将中止或终止合同的理由以及相应措施，以书面形式报相关监管部门备案。</w:t>
      </w:r>
    </w:p>
    <w:p>
      <w:pPr>
        <w:pStyle w:val="30"/>
        <w:numPr>
          <w:ilvl w:val="0"/>
          <w:numId w:val="54"/>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政府采购合同履行中，采购人需追加与合同标的相同的货物、工程或者服务的，在不改变合同其他条款的前提下，可以与中标人签订补充合同，但所补充合同的采购金额不得超过原合同采购金额的百分之十。签订补充合同的必须按规定备案。</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履约担保</w:t>
      </w:r>
    </w:p>
    <w:p>
      <w:pPr>
        <w:pStyle w:val="30"/>
        <w:numPr>
          <w:ilvl w:val="0"/>
          <w:numId w:val="55"/>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color w:val="auto"/>
          <w:szCs w:val="21"/>
        </w:rPr>
        <w:t>中标人应按</w:t>
      </w:r>
      <w:r>
        <w:rPr>
          <w:rFonts w:hint="eastAsia" w:ascii="黑体" w:hAnsi="黑体" w:eastAsia="黑体"/>
          <w:b/>
          <w:bCs/>
          <w:color w:val="auto"/>
          <w:szCs w:val="21"/>
          <w:u w:val="single"/>
        </w:rPr>
        <w:t>投标须知前附表</w:t>
      </w:r>
      <w:r>
        <w:rPr>
          <w:rFonts w:hint="eastAsia" w:ascii="黑体" w:hAnsi="黑体" w:eastAsia="黑体"/>
          <w:color w:val="auto"/>
          <w:szCs w:val="21"/>
        </w:rPr>
        <w:t>要求向采购人缴纳履约担保（如采用保函形式，格式详见招标文件第七部分投标文件格式—政府采购履约担保）。履约担保可以采用银行转账或者以专业担保机构、金融机构出具的担保函的形式缴交。履约保函的内容，应符合招标文件、投标响应文件和采购合同的要求。履约保函应在采购合同有效期满后28天内继续有效。</w:t>
      </w:r>
    </w:p>
    <w:p>
      <w:pPr>
        <w:pStyle w:val="30"/>
        <w:numPr>
          <w:ilvl w:val="0"/>
          <w:numId w:val="55"/>
        </w:numPr>
        <w:tabs>
          <w:tab w:val="left" w:pos="709"/>
        </w:tabs>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在整个项目验收合格后，中标人向采购人提交退回履约保证金的申请，采购人办理履约保证金退还手续，将履约保证金退回原中标人的汇入账户。</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发票</w:t>
      </w:r>
    </w:p>
    <w:p>
      <w:pPr>
        <w:pStyle w:val="30"/>
        <w:numPr>
          <w:ilvl w:val="0"/>
          <w:numId w:val="56"/>
        </w:numPr>
        <w:spacing w:line="360" w:lineRule="auto"/>
        <w:ind w:firstLineChars="0"/>
        <w:rPr>
          <w:rFonts w:ascii="黑体" w:hAnsi="黑体" w:eastAsia="黑体"/>
          <w:bCs/>
          <w:color w:val="auto"/>
          <w:spacing w:val="-2"/>
          <w:szCs w:val="21"/>
        </w:rPr>
      </w:pPr>
      <w:r>
        <w:rPr>
          <w:rFonts w:hint="eastAsia" w:ascii="黑体" w:hAnsi="黑体" w:eastAsia="黑体"/>
          <w:bCs/>
          <w:color w:val="auto"/>
          <w:spacing w:val="-2"/>
          <w:szCs w:val="21"/>
        </w:rPr>
        <w:t xml:space="preserve"> 中标人与采购人签署合同后，开具发票时，开发票的单位名称必须与中标人的名称一致。</w:t>
      </w:r>
    </w:p>
    <w:p>
      <w:pPr>
        <w:pStyle w:val="30"/>
        <w:numPr>
          <w:ilvl w:val="0"/>
          <w:numId w:val="11"/>
        </w:numPr>
        <w:spacing w:before="312" w:beforeLines="100" w:line="360" w:lineRule="auto"/>
        <w:ind w:firstLineChars="0"/>
        <w:rPr>
          <w:rFonts w:ascii="黑体" w:hAnsi="黑体" w:eastAsia="黑体"/>
          <w:b/>
          <w:color w:val="auto"/>
        </w:rPr>
      </w:pPr>
      <w:bookmarkStart w:id="33" w:name="_Toc357676148"/>
      <w:r>
        <w:rPr>
          <w:rFonts w:hint="eastAsia" w:ascii="黑体" w:hAnsi="黑体" w:eastAsia="黑体"/>
          <w:b/>
          <w:color w:val="auto"/>
        </w:rPr>
        <w:t>招标代理服务费</w:t>
      </w:r>
      <w:bookmarkEnd w:id="33"/>
    </w:p>
    <w:p>
      <w:pPr>
        <w:pStyle w:val="30"/>
        <w:numPr>
          <w:ilvl w:val="0"/>
          <w:numId w:val="57"/>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中标人应在领取《中标通知书》原件时向采购代理机构一次性支付招标代理服务费</w:t>
      </w:r>
      <w:r>
        <w:rPr>
          <w:rFonts w:ascii="黑体" w:hAnsi="黑体" w:eastAsia="黑体"/>
          <w:bCs/>
          <w:color w:val="auto"/>
          <w:szCs w:val="21"/>
        </w:rPr>
        <w:t>(</w:t>
      </w:r>
      <w:r>
        <w:rPr>
          <w:rFonts w:hint="eastAsia" w:ascii="黑体" w:hAnsi="黑体" w:eastAsia="黑体"/>
          <w:bCs/>
          <w:color w:val="auto"/>
          <w:szCs w:val="21"/>
        </w:rPr>
        <w:t>参照国家计委文件</w:t>
      </w:r>
      <w:r>
        <w:rPr>
          <w:rFonts w:ascii="黑体" w:hAnsi="黑体" w:eastAsia="黑体"/>
          <w:bCs/>
          <w:color w:val="auto"/>
          <w:szCs w:val="21"/>
        </w:rPr>
        <w:t>“</w:t>
      </w:r>
      <w:r>
        <w:rPr>
          <w:rFonts w:hint="eastAsia" w:ascii="黑体" w:hAnsi="黑体" w:eastAsia="黑体"/>
          <w:bCs/>
          <w:color w:val="auto"/>
          <w:szCs w:val="21"/>
        </w:rPr>
        <w:t>计价格</w:t>
      </w:r>
      <w:r>
        <w:rPr>
          <w:rFonts w:ascii="黑体" w:hAnsi="黑体" w:eastAsia="黑体"/>
          <w:bCs/>
          <w:color w:val="auto"/>
          <w:szCs w:val="21"/>
        </w:rPr>
        <w:t>[2002]1980</w:t>
      </w:r>
      <w:r>
        <w:rPr>
          <w:rFonts w:hint="eastAsia" w:ascii="黑体" w:hAnsi="黑体" w:eastAsia="黑体"/>
          <w:bCs/>
          <w:color w:val="auto"/>
          <w:szCs w:val="21"/>
        </w:rPr>
        <w:t>号文</w:t>
      </w:r>
      <w:r>
        <w:rPr>
          <w:rFonts w:ascii="黑体" w:hAnsi="黑体" w:eastAsia="黑体"/>
          <w:bCs/>
          <w:color w:val="auto"/>
          <w:szCs w:val="21"/>
        </w:rPr>
        <w:t>”</w:t>
      </w:r>
      <w:r>
        <w:rPr>
          <w:rFonts w:hint="eastAsia" w:ascii="黑体" w:hAnsi="黑体" w:eastAsia="黑体"/>
          <w:bCs/>
          <w:color w:val="auto"/>
          <w:szCs w:val="21"/>
        </w:rPr>
        <w:t>、“发改办价格</w:t>
      </w:r>
      <w:r>
        <w:rPr>
          <w:rFonts w:ascii="黑体" w:hAnsi="黑体" w:eastAsia="黑体"/>
          <w:bCs/>
          <w:color w:val="auto"/>
          <w:szCs w:val="21"/>
        </w:rPr>
        <w:t>[2003]857</w:t>
      </w:r>
      <w:r>
        <w:rPr>
          <w:rFonts w:hint="eastAsia" w:ascii="黑体" w:hAnsi="黑体" w:eastAsia="黑体"/>
          <w:bCs/>
          <w:color w:val="auto"/>
          <w:szCs w:val="21"/>
        </w:rPr>
        <w:t>号文”和“发改价格</w:t>
      </w:r>
      <w:r>
        <w:rPr>
          <w:rFonts w:ascii="黑体" w:hAnsi="黑体" w:eastAsia="黑体"/>
          <w:bCs/>
          <w:color w:val="auto"/>
          <w:szCs w:val="21"/>
        </w:rPr>
        <w:t>[2011]534号文</w:t>
      </w:r>
      <w:r>
        <w:rPr>
          <w:rFonts w:hint="eastAsia" w:ascii="黑体" w:hAnsi="黑体" w:eastAsia="黑体"/>
          <w:bCs/>
          <w:color w:val="auto"/>
          <w:szCs w:val="21"/>
        </w:rPr>
        <w:t>”的规定标准执行</w:t>
      </w:r>
      <w:r>
        <w:rPr>
          <w:rFonts w:ascii="黑体" w:hAnsi="黑体" w:eastAsia="黑体"/>
          <w:bCs/>
          <w:color w:val="auto"/>
          <w:szCs w:val="21"/>
        </w:rPr>
        <w:t>)</w:t>
      </w:r>
      <w:r>
        <w:rPr>
          <w:rFonts w:hint="eastAsia" w:ascii="黑体" w:hAnsi="黑体" w:eastAsia="黑体"/>
          <w:bCs/>
          <w:color w:val="auto"/>
          <w:szCs w:val="21"/>
        </w:rPr>
        <w:t>。</w:t>
      </w:r>
    </w:p>
    <w:p>
      <w:pPr>
        <w:pStyle w:val="30"/>
        <w:numPr>
          <w:ilvl w:val="0"/>
          <w:numId w:val="57"/>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本项目类型为</w:t>
      </w:r>
      <w:r>
        <w:rPr>
          <w:rFonts w:hint="eastAsia" w:ascii="黑体" w:hAnsi="黑体" w:eastAsia="黑体"/>
          <w:bCs/>
          <w:color w:val="auto"/>
          <w:szCs w:val="21"/>
          <w:u w:val="single"/>
        </w:rPr>
        <w:t>（</w:t>
      </w:r>
      <w:r>
        <w:rPr>
          <w:rFonts w:hint="eastAsia" w:ascii="黑体" w:hAnsi="黑体" w:eastAsia="黑体"/>
          <w:b/>
          <w:bCs/>
          <w:color w:val="auto"/>
          <w:szCs w:val="21"/>
          <w:u w:val="single"/>
        </w:rPr>
        <w:t>详见投标须知前附表</w:t>
      </w:r>
      <w:r>
        <w:rPr>
          <w:rFonts w:hint="eastAsia" w:ascii="黑体" w:hAnsi="黑体" w:eastAsia="黑体"/>
          <w:bCs/>
          <w:color w:val="auto"/>
          <w:szCs w:val="21"/>
          <w:u w:val="single"/>
        </w:rPr>
        <w:t>）</w:t>
      </w:r>
      <w:r>
        <w:rPr>
          <w:rFonts w:hint="eastAsia" w:ascii="黑体" w:hAnsi="黑体" w:eastAsia="黑体"/>
          <w:b/>
          <w:bCs/>
          <w:color w:val="auto"/>
          <w:szCs w:val="21"/>
        </w:rPr>
        <w:t>。</w:t>
      </w:r>
    </w:p>
    <w:p>
      <w:pPr>
        <w:pStyle w:val="30"/>
        <w:numPr>
          <w:ilvl w:val="0"/>
          <w:numId w:val="57"/>
        </w:numPr>
        <w:spacing w:line="360" w:lineRule="auto"/>
        <w:ind w:left="567" w:hanging="567" w:firstLineChars="0"/>
        <w:rPr>
          <w:rFonts w:ascii="黑体" w:hAnsi="黑体" w:eastAsia="黑体"/>
          <w:bCs/>
          <w:color w:val="auto"/>
          <w:szCs w:val="21"/>
        </w:rPr>
      </w:pPr>
      <w:r>
        <w:rPr>
          <w:rFonts w:ascii="黑体" w:hAnsi="黑体" w:eastAsia="黑体"/>
          <w:bCs/>
          <w:color w:val="auto"/>
          <w:szCs w:val="21"/>
        </w:rPr>
        <w:t>招标代理服务收</w:t>
      </w:r>
      <w:r>
        <w:rPr>
          <w:rFonts w:hint="eastAsia" w:ascii="黑体" w:hAnsi="黑体" w:eastAsia="黑体"/>
          <w:bCs/>
          <w:color w:val="auto"/>
          <w:szCs w:val="21"/>
        </w:rPr>
        <w:t>费</w:t>
      </w:r>
      <w:r>
        <w:rPr>
          <w:rFonts w:ascii="黑体" w:hAnsi="黑体" w:eastAsia="黑体"/>
          <w:bCs/>
          <w:color w:val="auto"/>
          <w:szCs w:val="21"/>
        </w:rPr>
        <w:t>标准</w:t>
      </w:r>
      <w:r>
        <w:rPr>
          <w:rFonts w:hint="eastAsia" w:ascii="黑体" w:hAnsi="黑体" w:eastAsia="黑体"/>
          <w:bCs/>
          <w:color w:val="auto"/>
          <w:szCs w:val="21"/>
        </w:rPr>
        <w:t>：</w:t>
      </w:r>
    </w:p>
    <w:tbl>
      <w:tblPr>
        <w:tblStyle w:val="20"/>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445"/>
        <w:gridCol w:w="1457"/>
        <w:gridCol w:w="2332"/>
        <w:gridCol w:w="25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4" w:hRule="atLeast"/>
          <w:jc w:val="center"/>
        </w:trPr>
        <w:tc>
          <w:tcPr>
            <w:tcW w:w="1394" w:type="pct"/>
            <w:tcBorders>
              <w:tl2br w:val="single" w:color="000000" w:sz="8" w:space="0"/>
            </w:tcBorders>
            <w:shd w:val="clear" w:color="auto" w:fill="auto"/>
          </w:tcPr>
          <w:p>
            <w:pPr>
              <w:rPr>
                <w:rFonts w:ascii="黑体" w:hAnsi="黑体" w:eastAsia="黑体"/>
                <w:color w:val="auto"/>
                <w:szCs w:val="21"/>
              </w:rPr>
            </w:pPr>
            <w:r>
              <w:rPr>
                <w:rFonts w:ascii="黑体" w:hAnsi="黑体" w:eastAsia="黑体"/>
                <w:color w:val="auto"/>
                <w:szCs w:val="21"/>
              </w:rPr>
              <w:t xml:space="preserve">              </w:t>
            </w:r>
            <w:r>
              <w:rPr>
                <w:rFonts w:hint="eastAsia" w:ascii="黑体" w:hAnsi="黑体" w:eastAsia="黑体"/>
                <w:color w:val="auto"/>
                <w:szCs w:val="21"/>
              </w:rPr>
              <w:t xml:space="preserve">  </w:t>
            </w:r>
            <w:r>
              <w:rPr>
                <w:rFonts w:ascii="黑体" w:hAnsi="黑体" w:eastAsia="黑体"/>
                <w:color w:val="auto"/>
                <w:szCs w:val="21"/>
              </w:rPr>
              <w:t>费率</w:t>
            </w:r>
          </w:p>
          <w:p>
            <w:pPr>
              <w:rPr>
                <w:rFonts w:ascii="黑体" w:hAnsi="黑体" w:eastAsia="黑体"/>
                <w:color w:val="auto"/>
                <w:szCs w:val="21"/>
              </w:rPr>
            </w:pPr>
            <w:r>
              <w:rPr>
                <w:rFonts w:hint="eastAsia" w:ascii="黑体" w:hAnsi="黑体" w:eastAsia="黑体"/>
                <w:color w:val="auto"/>
                <w:szCs w:val="21"/>
              </w:rPr>
              <w:t>中标金额</w:t>
            </w:r>
          </w:p>
        </w:tc>
        <w:tc>
          <w:tcPr>
            <w:tcW w:w="831" w:type="pct"/>
            <w:shd w:val="clear" w:color="auto" w:fill="auto"/>
            <w:vAlign w:val="center"/>
          </w:tcPr>
          <w:p>
            <w:pPr>
              <w:jc w:val="center"/>
              <w:rPr>
                <w:rFonts w:ascii="黑体" w:hAnsi="黑体" w:eastAsia="黑体"/>
                <w:color w:val="auto"/>
                <w:szCs w:val="21"/>
              </w:rPr>
            </w:pPr>
            <w:r>
              <w:rPr>
                <w:rFonts w:hint="eastAsia" w:ascii="黑体" w:hAnsi="黑体" w:eastAsia="黑体"/>
                <w:color w:val="auto"/>
                <w:szCs w:val="21"/>
              </w:rPr>
              <w:t>货物招标</w:t>
            </w:r>
          </w:p>
        </w:tc>
        <w:tc>
          <w:tcPr>
            <w:tcW w:w="1330" w:type="pct"/>
            <w:shd w:val="clear" w:color="auto" w:fill="auto"/>
            <w:vAlign w:val="center"/>
          </w:tcPr>
          <w:p>
            <w:pPr>
              <w:jc w:val="center"/>
              <w:rPr>
                <w:rFonts w:ascii="黑体" w:hAnsi="黑体" w:eastAsia="黑体"/>
                <w:color w:val="auto"/>
                <w:szCs w:val="21"/>
              </w:rPr>
            </w:pPr>
            <w:r>
              <w:rPr>
                <w:rFonts w:hint="eastAsia" w:ascii="黑体" w:hAnsi="黑体" w:eastAsia="黑体"/>
                <w:color w:val="auto"/>
                <w:szCs w:val="21"/>
              </w:rPr>
              <w:t>服务招标</w:t>
            </w:r>
          </w:p>
        </w:tc>
        <w:tc>
          <w:tcPr>
            <w:tcW w:w="1446" w:type="pct"/>
            <w:shd w:val="clear" w:color="auto" w:fill="auto"/>
            <w:vAlign w:val="center"/>
          </w:tcPr>
          <w:p>
            <w:pPr>
              <w:jc w:val="center"/>
              <w:rPr>
                <w:rFonts w:ascii="黑体" w:hAnsi="黑体" w:eastAsia="黑体"/>
                <w:color w:val="auto"/>
                <w:szCs w:val="21"/>
              </w:rPr>
            </w:pPr>
            <w:r>
              <w:rPr>
                <w:rFonts w:hint="eastAsia" w:ascii="黑体" w:hAnsi="黑体" w:eastAsia="黑体"/>
                <w:color w:val="auto"/>
                <w:szCs w:val="21"/>
              </w:rPr>
              <w:t>工程招标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0"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100万元以下</w:t>
            </w:r>
          </w:p>
        </w:tc>
        <w:tc>
          <w:tcPr>
            <w:tcW w:w="831" w:type="pct"/>
            <w:vAlign w:val="center"/>
          </w:tcPr>
          <w:p>
            <w:pPr>
              <w:jc w:val="center"/>
              <w:rPr>
                <w:rFonts w:ascii="黑体" w:hAnsi="黑体" w:eastAsia="黑体"/>
                <w:color w:val="auto"/>
                <w:szCs w:val="21"/>
              </w:rPr>
            </w:pPr>
            <w:r>
              <w:rPr>
                <w:rFonts w:ascii="黑体" w:hAnsi="黑体" w:eastAsia="黑体"/>
                <w:color w:val="auto"/>
                <w:szCs w:val="21"/>
              </w:rPr>
              <w:t>1.5%</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1.5%</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100-500万元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1.1%</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0.8%</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1"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500-1000万元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0.8%</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0.45%</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7"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1000-5000万元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 xml:space="preserve">0.5%                </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0.25%</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5000万元-1亿元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 xml:space="preserve">0.25%                 </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0.1%</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4"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1-5亿元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0.05%</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0.05%</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1"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5-10亿元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0.035%</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0.035%</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0.035%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3"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10-50亿元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0.008%</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0.008%</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394" w:type="pct"/>
            <w:vAlign w:val="center"/>
          </w:tcPr>
          <w:p>
            <w:pPr>
              <w:jc w:val="center"/>
              <w:rPr>
                <w:rFonts w:ascii="黑体" w:hAnsi="黑体" w:eastAsia="黑体"/>
                <w:color w:val="auto"/>
                <w:szCs w:val="21"/>
              </w:rPr>
            </w:pPr>
            <w:r>
              <w:rPr>
                <w:rFonts w:ascii="黑体" w:hAnsi="黑体" w:eastAsia="黑体"/>
                <w:color w:val="auto"/>
                <w:szCs w:val="21"/>
              </w:rPr>
              <w:t>50-100亿元</w:t>
            </w:r>
          </w:p>
        </w:tc>
        <w:tc>
          <w:tcPr>
            <w:tcW w:w="831" w:type="pct"/>
            <w:vAlign w:val="center"/>
          </w:tcPr>
          <w:p>
            <w:pPr>
              <w:jc w:val="center"/>
              <w:rPr>
                <w:rFonts w:ascii="黑体" w:hAnsi="黑体" w:eastAsia="黑体"/>
                <w:color w:val="auto"/>
                <w:szCs w:val="21"/>
              </w:rPr>
            </w:pPr>
            <w:r>
              <w:rPr>
                <w:rFonts w:ascii="黑体" w:hAnsi="黑体" w:eastAsia="黑体"/>
                <w:color w:val="auto"/>
                <w:szCs w:val="21"/>
              </w:rPr>
              <w:t>0.006%</w:t>
            </w:r>
          </w:p>
        </w:tc>
        <w:tc>
          <w:tcPr>
            <w:tcW w:w="1330" w:type="pct"/>
            <w:vAlign w:val="center"/>
          </w:tcPr>
          <w:p>
            <w:pPr>
              <w:jc w:val="center"/>
              <w:rPr>
                <w:rFonts w:ascii="黑体" w:hAnsi="黑体" w:eastAsia="黑体"/>
                <w:color w:val="auto"/>
                <w:szCs w:val="21"/>
              </w:rPr>
            </w:pPr>
            <w:r>
              <w:rPr>
                <w:rFonts w:ascii="黑体" w:hAnsi="黑体" w:eastAsia="黑体"/>
                <w:color w:val="auto"/>
                <w:szCs w:val="21"/>
              </w:rPr>
              <w:t>0.006%</w:t>
            </w:r>
          </w:p>
        </w:tc>
        <w:tc>
          <w:tcPr>
            <w:tcW w:w="1446" w:type="pct"/>
            <w:vAlign w:val="center"/>
          </w:tcPr>
          <w:p>
            <w:pPr>
              <w:jc w:val="center"/>
              <w:rPr>
                <w:rFonts w:ascii="黑体" w:hAnsi="黑体" w:eastAsia="黑体"/>
                <w:color w:val="auto"/>
                <w:szCs w:val="21"/>
              </w:rPr>
            </w:pPr>
            <w:r>
              <w:rPr>
                <w:rFonts w:ascii="黑体" w:hAnsi="黑体" w:eastAsia="黑体"/>
                <w:color w:val="auto"/>
                <w:szCs w:val="21"/>
              </w:rPr>
              <w:t>0.006%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jc w:val="center"/>
        </w:trPr>
        <w:tc>
          <w:tcPr>
            <w:tcW w:w="1394" w:type="pct"/>
            <w:vAlign w:val="center"/>
          </w:tcPr>
          <w:p>
            <w:pPr>
              <w:jc w:val="center"/>
              <w:rPr>
                <w:rFonts w:ascii="黑体" w:hAnsi="黑体" w:eastAsia="黑体"/>
                <w:color w:val="auto"/>
              </w:rPr>
            </w:pPr>
            <w:r>
              <w:rPr>
                <w:rFonts w:ascii="黑体" w:hAnsi="黑体" w:eastAsia="黑体"/>
                <w:color w:val="auto"/>
              </w:rPr>
              <w:t>100亿以上</w:t>
            </w:r>
          </w:p>
        </w:tc>
        <w:tc>
          <w:tcPr>
            <w:tcW w:w="831" w:type="pct"/>
            <w:vAlign w:val="center"/>
          </w:tcPr>
          <w:p>
            <w:pPr>
              <w:jc w:val="center"/>
              <w:rPr>
                <w:rFonts w:ascii="黑体" w:hAnsi="黑体" w:eastAsia="黑体"/>
                <w:color w:val="auto"/>
              </w:rPr>
            </w:pPr>
            <w:r>
              <w:rPr>
                <w:rFonts w:ascii="黑体" w:hAnsi="黑体" w:eastAsia="黑体"/>
                <w:color w:val="auto"/>
              </w:rPr>
              <w:t>0.004%</w:t>
            </w:r>
          </w:p>
        </w:tc>
        <w:tc>
          <w:tcPr>
            <w:tcW w:w="1330" w:type="pct"/>
            <w:vAlign w:val="center"/>
          </w:tcPr>
          <w:p>
            <w:pPr>
              <w:jc w:val="center"/>
              <w:rPr>
                <w:rFonts w:ascii="黑体" w:hAnsi="黑体" w:eastAsia="黑体"/>
                <w:color w:val="auto"/>
              </w:rPr>
            </w:pPr>
            <w:r>
              <w:rPr>
                <w:rFonts w:ascii="黑体" w:hAnsi="黑体" w:eastAsia="黑体"/>
                <w:color w:val="auto"/>
              </w:rPr>
              <w:t>0.004%</w:t>
            </w:r>
          </w:p>
        </w:tc>
        <w:tc>
          <w:tcPr>
            <w:tcW w:w="1446" w:type="pct"/>
            <w:vAlign w:val="center"/>
          </w:tcPr>
          <w:p>
            <w:pPr>
              <w:jc w:val="center"/>
              <w:rPr>
                <w:rFonts w:ascii="黑体" w:hAnsi="黑体" w:eastAsia="黑体"/>
                <w:color w:val="auto"/>
              </w:rPr>
            </w:pPr>
            <w:r>
              <w:rPr>
                <w:rFonts w:ascii="黑体" w:hAnsi="黑体" w:eastAsia="黑体"/>
                <w:color w:val="auto"/>
              </w:rPr>
              <w:t>0.004%</w:t>
            </w:r>
          </w:p>
        </w:tc>
      </w:tr>
    </w:tbl>
    <w:p>
      <w:pPr>
        <w:pStyle w:val="30"/>
        <w:numPr>
          <w:ilvl w:val="0"/>
          <w:numId w:val="57"/>
        </w:numPr>
        <w:spacing w:line="360" w:lineRule="auto"/>
        <w:ind w:left="567" w:hanging="567" w:firstLineChars="0"/>
        <w:rPr>
          <w:rFonts w:ascii="黑体" w:hAnsi="黑体" w:eastAsia="黑体"/>
          <w:bCs/>
          <w:color w:val="auto"/>
          <w:szCs w:val="21"/>
        </w:rPr>
      </w:pPr>
      <w:r>
        <w:rPr>
          <w:rFonts w:ascii="黑体" w:hAnsi="黑体" w:eastAsia="黑体"/>
          <w:bCs/>
          <w:color w:val="auto"/>
          <w:szCs w:val="21"/>
        </w:rPr>
        <w:t>招标代理服务费按差额定率累进法计算</w:t>
      </w:r>
      <w:r>
        <w:rPr>
          <w:rFonts w:hint="eastAsia" w:ascii="黑体" w:hAnsi="黑体" w:eastAsia="黑体"/>
          <w:bCs/>
          <w:color w:val="auto"/>
          <w:szCs w:val="21"/>
        </w:rPr>
        <w:t>。</w:t>
      </w:r>
    </w:p>
    <w:p>
      <w:pPr>
        <w:pStyle w:val="30"/>
        <w:numPr>
          <w:ilvl w:val="0"/>
          <w:numId w:val="57"/>
        </w:numPr>
        <w:spacing w:line="360" w:lineRule="auto"/>
        <w:ind w:left="567" w:hanging="567" w:firstLineChars="0"/>
        <w:rPr>
          <w:rFonts w:ascii="黑体" w:hAnsi="黑体" w:eastAsia="黑体"/>
          <w:bCs/>
          <w:color w:val="auto"/>
          <w:szCs w:val="21"/>
        </w:rPr>
      </w:pPr>
      <w:r>
        <w:rPr>
          <w:rFonts w:ascii="黑体" w:hAnsi="黑体" w:eastAsia="黑体"/>
          <w:bCs/>
          <w:color w:val="auto"/>
          <w:szCs w:val="21"/>
        </w:rPr>
        <w:t>招标代理服务费币种为人民币</w:t>
      </w:r>
      <w:r>
        <w:rPr>
          <w:rFonts w:hint="eastAsia" w:ascii="黑体" w:hAnsi="黑体" w:eastAsia="黑体"/>
          <w:bCs/>
          <w:color w:val="auto"/>
          <w:szCs w:val="21"/>
        </w:rPr>
        <w:t>。</w:t>
      </w:r>
    </w:p>
    <w:p>
      <w:pPr>
        <w:pStyle w:val="30"/>
        <w:numPr>
          <w:ilvl w:val="0"/>
          <w:numId w:val="57"/>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招标服务费只收现金、银行转账或电汇。</w:t>
      </w:r>
    </w:p>
    <w:p>
      <w:pPr>
        <w:pStyle w:val="30"/>
        <w:numPr>
          <w:ilvl w:val="0"/>
          <w:numId w:val="57"/>
        </w:numPr>
        <w:spacing w:line="360" w:lineRule="auto"/>
        <w:ind w:left="567" w:hanging="567" w:firstLineChars="0"/>
        <w:rPr>
          <w:rFonts w:ascii="黑体" w:hAnsi="黑体" w:eastAsia="黑体"/>
          <w:bCs/>
          <w:color w:val="auto"/>
          <w:szCs w:val="21"/>
        </w:rPr>
      </w:pPr>
      <w:r>
        <w:rPr>
          <w:rFonts w:ascii="黑体" w:hAnsi="黑体" w:eastAsia="黑体"/>
          <w:bCs/>
          <w:color w:val="auto"/>
          <w:szCs w:val="21"/>
        </w:rPr>
        <w:t>招标代理服务费收取</w:t>
      </w:r>
      <w:r>
        <w:rPr>
          <w:rFonts w:hint="eastAsia" w:ascii="黑体" w:hAnsi="黑体" w:eastAsia="黑体"/>
          <w:bCs/>
          <w:color w:val="auto"/>
          <w:szCs w:val="21"/>
        </w:rPr>
        <w:t>账户：</w:t>
      </w:r>
    </w:p>
    <w:p>
      <w:pPr>
        <w:pStyle w:val="30"/>
        <w:spacing w:line="360" w:lineRule="auto"/>
        <w:ind w:firstLine="567" w:firstLineChars="270"/>
        <w:rPr>
          <w:rFonts w:ascii="黑体" w:hAnsi="黑体" w:eastAsia="黑体"/>
          <w:bCs/>
          <w:color w:val="auto"/>
          <w:szCs w:val="21"/>
        </w:rPr>
      </w:pPr>
      <w:r>
        <w:rPr>
          <w:rFonts w:ascii="黑体" w:hAnsi="黑体" w:eastAsia="黑体"/>
          <w:bCs/>
          <w:color w:val="auto"/>
          <w:szCs w:val="21"/>
        </w:rPr>
        <w:t>收款单位名称：</w:t>
      </w:r>
      <w:r>
        <w:rPr>
          <w:rFonts w:hint="eastAsia" w:ascii="黑体" w:hAnsi="黑体" w:eastAsia="黑体"/>
          <w:bCs/>
          <w:color w:val="auto"/>
          <w:szCs w:val="21"/>
        </w:rPr>
        <w:t>广东有德招标采购有限公司东莞分公司</w:t>
      </w:r>
    </w:p>
    <w:p>
      <w:pPr>
        <w:pStyle w:val="30"/>
        <w:spacing w:line="360" w:lineRule="auto"/>
        <w:ind w:firstLine="567" w:firstLineChars="270"/>
        <w:rPr>
          <w:rFonts w:ascii="黑体" w:hAnsi="黑体" w:eastAsia="黑体"/>
          <w:bCs/>
          <w:color w:val="auto"/>
          <w:szCs w:val="21"/>
        </w:rPr>
      </w:pPr>
      <w:r>
        <w:rPr>
          <w:rFonts w:ascii="黑体" w:hAnsi="黑体" w:eastAsia="黑体"/>
          <w:bCs/>
          <w:color w:val="auto"/>
          <w:szCs w:val="21"/>
        </w:rPr>
        <w:t>开户银行：</w:t>
      </w:r>
      <w:r>
        <w:rPr>
          <w:rFonts w:hint="eastAsia" w:ascii="黑体" w:hAnsi="黑体" w:eastAsia="黑体"/>
          <w:bCs/>
          <w:color w:val="auto"/>
          <w:szCs w:val="21"/>
        </w:rPr>
        <w:t>中国建设银行股份有限公司东莞南城支行</w:t>
      </w:r>
    </w:p>
    <w:p>
      <w:pPr>
        <w:pStyle w:val="30"/>
        <w:spacing w:line="360" w:lineRule="auto"/>
        <w:ind w:firstLine="567" w:firstLineChars="270"/>
        <w:rPr>
          <w:rFonts w:ascii="黑体" w:hAnsi="黑体" w:eastAsia="黑体"/>
          <w:bCs/>
          <w:color w:val="auto"/>
          <w:szCs w:val="21"/>
        </w:rPr>
      </w:pPr>
      <w:r>
        <w:rPr>
          <w:rFonts w:ascii="黑体" w:hAnsi="黑体" w:eastAsia="黑体"/>
          <w:bCs/>
          <w:color w:val="auto"/>
          <w:szCs w:val="21"/>
        </w:rPr>
        <w:t>收款账号：44001776040053011261</w:t>
      </w:r>
    </w:p>
    <w:p>
      <w:pPr>
        <w:pStyle w:val="30"/>
        <w:numPr>
          <w:ilvl w:val="0"/>
          <w:numId w:val="11"/>
        </w:numPr>
        <w:spacing w:before="312" w:beforeLines="100" w:line="360" w:lineRule="auto"/>
        <w:ind w:firstLineChars="0"/>
        <w:rPr>
          <w:rFonts w:ascii="黑体" w:hAnsi="黑体" w:eastAsia="黑体"/>
          <w:b/>
          <w:color w:val="auto"/>
        </w:rPr>
      </w:pPr>
      <w:r>
        <w:rPr>
          <w:rFonts w:hint="eastAsia" w:ascii="黑体" w:hAnsi="黑体" w:eastAsia="黑体"/>
          <w:b/>
          <w:color w:val="auto"/>
        </w:rPr>
        <w:t>招标文件符号说明</w:t>
      </w:r>
    </w:p>
    <w:p>
      <w:pPr>
        <w:pStyle w:val="30"/>
        <w:numPr>
          <w:ilvl w:val="0"/>
          <w:numId w:val="58"/>
        </w:numPr>
        <w:spacing w:line="360" w:lineRule="auto"/>
        <w:ind w:left="567" w:hanging="567" w:firstLineChars="0"/>
        <w:rPr>
          <w:rFonts w:ascii="黑体" w:hAnsi="黑体" w:eastAsia="黑体"/>
          <w:bCs/>
          <w:color w:val="auto"/>
          <w:szCs w:val="21"/>
        </w:rPr>
      </w:pPr>
      <w:r>
        <w:rPr>
          <w:rFonts w:hint="eastAsia" w:ascii="黑体" w:hAnsi="黑体" w:eastAsia="黑体"/>
          <w:bCs/>
          <w:color w:val="auto"/>
          <w:szCs w:val="21"/>
        </w:rPr>
        <w:t>招标文件中，打“★”号条款为实质性条款，若有任何一条负偏离或不满足则导致投标无效。打“▲”号条款为重要技术参数，若有部分“▲”条款未响应或不满足，将根据评审要求影响其得分，但不作为无效投标条款。打“◆</w:t>
      </w:r>
      <w:r>
        <w:rPr>
          <w:rFonts w:ascii="黑体" w:hAnsi="黑体" w:eastAsia="黑体"/>
          <w:bCs/>
          <w:color w:val="auto"/>
          <w:szCs w:val="21"/>
        </w:rPr>
        <w:t>”</w:t>
      </w:r>
      <w:r>
        <w:rPr>
          <w:rFonts w:hint="eastAsia" w:ascii="黑体" w:hAnsi="黑体" w:eastAsia="黑体"/>
          <w:bCs/>
          <w:color w:val="auto"/>
          <w:szCs w:val="21"/>
        </w:rPr>
        <w:t>号条款为核心产品。</w:t>
      </w:r>
    </w:p>
    <w:p>
      <w:pPr>
        <w:pStyle w:val="3"/>
        <w:keepNext w:val="0"/>
        <w:keepLines w:val="0"/>
        <w:pageBreakBefore/>
        <w:tabs>
          <w:tab w:val="left" w:pos="426"/>
          <w:tab w:val="left" w:pos="567"/>
        </w:tabs>
        <w:spacing w:line="360" w:lineRule="auto"/>
        <w:jc w:val="left"/>
        <w:rPr>
          <w:rStyle w:val="23"/>
          <w:rFonts w:ascii="黑体" w:hAnsi="黑体" w:eastAsia="黑体"/>
          <w:b/>
          <w:bCs/>
          <w:color w:val="auto"/>
          <w:spacing w:val="12"/>
          <w:sz w:val="21"/>
          <w:szCs w:val="21"/>
        </w:rPr>
      </w:pPr>
      <w:bookmarkStart w:id="34" w:name="_Toc515040753"/>
      <w:bookmarkStart w:id="35" w:name="_Toc90980550"/>
      <w:bookmarkStart w:id="36" w:name="_Toc515363625"/>
      <w:r>
        <w:rPr>
          <w:rStyle w:val="23"/>
          <w:rFonts w:hint="eastAsia" w:ascii="黑体" w:hAnsi="黑体" w:eastAsia="黑体"/>
          <w:b/>
          <w:bCs/>
          <w:color w:val="auto"/>
          <w:spacing w:val="12"/>
          <w:sz w:val="21"/>
          <w:szCs w:val="21"/>
        </w:rPr>
        <w:t>附件1  询问函格式</w:t>
      </w:r>
      <w:bookmarkEnd w:id="34"/>
      <w:bookmarkEnd w:id="35"/>
      <w:bookmarkEnd w:id="36"/>
    </w:p>
    <w:p>
      <w:pPr>
        <w:spacing w:before="312" w:beforeLines="100" w:after="312" w:afterLines="100"/>
        <w:jc w:val="center"/>
        <w:rPr>
          <w:rFonts w:ascii="黑体" w:hAnsi="黑体" w:eastAsia="黑体" w:cs="Times New Roman"/>
          <w:b/>
          <w:bCs/>
          <w:color w:val="auto"/>
          <w:spacing w:val="20"/>
          <w:sz w:val="28"/>
          <w:szCs w:val="28"/>
        </w:rPr>
      </w:pPr>
      <w:r>
        <w:rPr>
          <w:rFonts w:hint="eastAsia" w:ascii="黑体" w:hAnsi="黑体" w:eastAsia="黑体" w:cs="Times New Roman"/>
          <w:b/>
          <w:bCs/>
          <w:color w:val="auto"/>
          <w:spacing w:val="20"/>
          <w:sz w:val="28"/>
          <w:szCs w:val="28"/>
        </w:rPr>
        <w:t>询问函</w:t>
      </w:r>
    </w:p>
    <w:p>
      <w:pPr>
        <w:widowControl/>
        <w:adjustRightInd w:val="0"/>
        <w:spacing w:after="156" w:afterLines="50" w:line="360" w:lineRule="auto"/>
        <w:rPr>
          <w:rFonts w:ascii="黑体" w:hAnsi="黑体" w:eastAsia="黑体"/>
          <w:color w:val="auto"/>
          <w:szCs w:val="21"/>
        </w:rPr>
      </w:pPr>
      <w:r>
        <w:rPr>
          <w:rFonts w:ascii="黑体" w:hAnsi="黑体" w:eastAsia="黑体"/>
          <w:color w:val="auto"/>
          <w:szCs w:val="21"/>
          <w:u w:val="single"/>
        </w:rPr>
        <w:t>广东有德招标采购有限公司</w:t>
      </w:r>
      <w:r>
        <w:rPr>
          <w:rFonts w:hint="eastAsia" w:ascii="黑体" w:hAnsi="黑体" w:eastAsia="黑体"/>
          <w:color w:val="auto"/>
          <w:szCs w:val="21"/>
        </w:rPr>
        <w:t>：</w:t>
      </w:r>
    </w:p>
    <w:p>
      <w:pPr>
        <w:widowControl/>
        <w:tabs>
          <w:tab w:val="left" w:pos="6300"/>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我单位已获取招标文件并准备参与</w:t>
      </w:r>
      <w:r>
        <w:rPr>
          <w:rFonts w:ascii="黑体" w:hAnsi="黑体" w:eastAsia="黑体"/>
          <w:i/>
          <w:color w:val="auto"/>
          <w:szCs w:val="21"/>
          <w:u w:val="single"/>
        </w:rPr>
        <w:t xml:space="preserve">           </w:t>
      </w:r>
      <w:r>
        <w:rPr>
          <w:rFonts w:hint="eastAsia" w:ascii="黑体" w:hAnsi="黑体" w:eastAsia="黑体"/>
          <w:color w:val="auto"/>
          <w:szCs w:val="21"/>
        </w:rPr>
        <w:t>项目（项目编号</w:t>
      </w:r>
      <w:r>
        <w:rPr>
          <w:rFonts w:hint="eastAsia" w:ascii="黑体" w:hAnsi="黑体" w:eastAsia="黑体"/>
          <w:color w:val="auto"/>
          <w:szCs w:val="21"/>
          <w:u w:val="single"/>
        </w:rPr>
        <w:t>：</w:t>
      </w:r>
      <w:r>
        <w:rPr>
          <w:rFonts w:ascii="黑体" w:hAnsi="黑体" w:eastAsia="黑体"/>
          <w:color w:val="auto"/>
          <w:szCs w:val="21"/>
          <w:u w:val="single"/>
        </w:rPr>
        <w:t xml:space="preserve">        </w:t>
      </w:r>
      <w:r>
        <w:rPr>
          <w:rFonts w:hint="eastAsia" w:ascii="黑体" w:hAnsi="黑体" w:eastAsia="黑体"/>
          <w:color w:val="auto"/>
          <w:szCs w:val="21"/>
        </w:rPr>
        <w:t>）的投标（或报价）活动，现有以下几个内容（或条款）存在疑问（或无法理解），特提出询问。</w:t>
      </w:r>
    </w:p>
    <w:p>
      <w:pPr>
        <w:widowControl/>
        <w:tabs>
          <w:tab w:val="center" w:pos="5019"/>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一、</w:t>
      </w:r>
      <w:r>
        <w:rPr>
          <w:rFonts w:ascii="黑体" w:hAnsi="黑体" w:eastAsia="黑体"/>
          <w:color w:val="auto"/>
          <w:szCs w:val="21"/>
          <w:u w:val="single"/>
        </w:rPr>
        <w:t xml:space="preserve">                        </w:t>
      </w:r>
      <w:r>
        <w:rPr>
          <w:rFonts w:ascii="黑体" w:hAnsi="黑体" w:eastAsia="黑体"/>
          <w:color w:val="auto"/>
          <w:szCs w:val="21"/>
        </w:rPr>
        <w:t>（事项一）</w:t>
      </w:r>
      <w:r>
        <w:rPr>
          <w:rFonts w:ascii="黑体" w:hAnsi="黑体" w:eastAsia="黑体"/>
          <w:color w:val="auto"/>
          <w:szCs w:val="21"/>
        </w:rPr>
        <w:tab/>
      </w:r>
    </w:p>
    <w:p>
      <w:pPr>
        <w:widowControl/>
        <w:tabs>
          <w:tab w:val="left" w:pos="6300"/>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w:t>
      </w:r>
      <w:r>
        <w:rPr>
          <w:rFonts w:ascii="黑体" w:hAnsi="黑体" w:eastAsia="黑体"/>
          <w:color w:val="auto"/>
          <w:szCs w:val="21"/>
        </w:rPr>
        <w:t>1）</w:t>
      </w:r>
      <w:r>
        <w:rPr>
          <w:rFonts w:ascii="黑体" w:hAnsi="黑体" w:eastAsia="黑体"/>
          <w:color w:val="auto"/>
          <w:szCs w:val="21"/>
          <w:u w:val="single"/>
        </w:rPr>
        <w:t xml:space="preserve">                       </w:t>
      </w:r>
      <w:r>
        <w:rPr>
          <w:rFonts w:ascii="黑体" w:hAnsi="黑体" w:eastAsia="黑体"/>
          <w:color w:val="auto"/>
          <w:szCs w:val="21"/>
        </w:rPr>
        <w:t>（问题或条款内容）</w:t>
      </w:r>
    </w:p>
    <w:p>
      <w:pPr>
        <w:widowControl/>
        <w:tabs>
          <w:tab w:val="left" w:pos="6300"/>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w:t>
      </w:r>
      <w:r>
        <w:rPr>
          <w:rFonts w:ascii="黑体" w:hAnsi="黑体" w:eastAsia="黑体"/>
          <w:color w:val="auto"/>
          <w:szCs w:val="21"/>
        </w:rPr>
        <w:t>2）</w:t>
      </w:r>
      <w:r>
        <w:rPr>
          <w:rFonts w:ascii="黑体" w:hAnsi="黑体" w:eastAsia="黑体"/>
          <w:color w:val="auto"/>
          <w:szCs w:val="21"/>
          <w:u w:val="single"/>
        </w:rPr>
        <w:t xml:space="preserve">                       </w:t>
      </w:r>
      <w:r>
        <w:rPr>
          <w:rFonts w:ascii="黑体" w:hAnsi="黑体" w:eastAsia="黑体"/>
          <w:color w:val="auto"/>
          <w:szCs w:val="21"/>
        </w:rPr>
        <w:t>（说明疑问或无法理解原因）</w:t>
      </w:r>
    </w:p>
    <w:p>
      <w:pPr>
        <w:widowControl/>
        <w:tabs>
          <w:tab w:val="left" w:pos="6300"/>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w:t>
      </w:r>
      <w:r>
        <w:rPr>
          <w:rFonts w:ascii="黑体" w:hAnsi="黑体" w:eastAsia="黑体"/>
          <w:color w:val="auto"/>
          <w:szCs w:val="21"/>
        </w:rPr>
        <w:t>3）</w:t>
      </w:r>
      <w:r>
        <w:rPr>
          <w:rFonts w:ascii="黑体" w:hAnsi="黑体" w:eastAsia="黑体"/>
          <w:color w:val="auto"/>
          <w:szCs w:val="21"/>
          <w:u w:val="single"/>
        </w:rPr>
        <w:t xml:space="preserve">                       </w:t>
      </w:r>
      <w:r>
        <w:rPr>
          <w:rFonts w:ascii="黑体" w:hAnsi="黑体" w:eastAsia="黑体"/>
          <w:color w:val="auto"/>
          <w:szCs w:val="21"/>
        </w:rPr>
        <w:t>（建议）</w:t>
      </w:r>
    </w:p>
    <w:p>
      <w:pPr>
        <w:widowControl/>
        <w:tabs>
          <w:tab w:val="left" w:pos="6300"/>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二、</w:t>
      </w:r>
      <w:r>
        <w:rPr>
          <w:rFonts w:ascii="黑体" w:hAnsi="黑体" w:eastAsia="黑体"/>
          <w:color w:val="auto"/>
          <w:szCs w:val="21"/>
          <w:u w:val="single"/>
        </w:rPr>
        <w:t xml:space="preserve">                       </w:t>
      </w:r>
      <w:r>
        <w:rPr>
          <w:rFonts w:ascii="黑体" w:hAnsi="黑体" w:eastAsia="黑体"/>
          <w:color w:val="auto"/>
          <w:szCs w:val="21"/>
        </w:rPr>
        <w:t xml:space="preserve"> （事项二）</w:t>
      </w:r>
    </w:p>
    <w:p>
      <w:pPr>
        <w:widowControl/>
        <w:tabs>
          <w:tab w:val="left" w:pos="6300"/>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w:t>
      </w:r>
    </w:p>
    <w:p>
      <w:pPr>
        <w:widowControl/>
        <w:tabs>
          <w:tab w:val="left" w:pos="6300"/>
        </w:tabs>
        <w:adjustRightInd w:val="0"/>
        <w:spacing w:line="360" w:lineRule="auto"/>
        <w:ind w:firstLine="420" w:firstLineChars="200"/>
        <w:rPr>
          <w:rFonts w:ascii="黑体" w:hAnsi="黑体" w:eastAsia="黑体"/>
          <w:color w:val="auto"/>
          <w:szCs w:val="21"/>
        </w:rPr>
      </w:pPr>
      <w:r>
        <w:rPr>
          <w:rFonts w:hint="eastAsia" w:ascii="黑体" w:hAnsi="黑体" w:eastAsia="黑体"/>
          <w:color w:val="auto"/>
          <w:szCs w:val="21"/>
        </w:rPr>
        <w:t>随附相关证明材料如下：（目录）。</w:t>
      </w:r>
    </w:p>
    <w:p>
      <w:pPr>
        <w:widowControl/>
        <w:tabs>
          <w:tab w:val="left" w:pos="6300"/>
        </w:tabs>
        <w:adjustRightInd w:val="0"/>
        <w:spacing w:line="360" w:lineRule="auto"/>
        <w:ind w:firstLine="1260" w:firstLineChars="600"/>
        <w:rPr>
          <w:rFonts w:ascii="黑体" w:hAnsi="黑体" w:eastAsia="黑体"/>
          <w:color w:val="auto"/>
          <w:szCs w:val="21"/>
        </w:rPr>
      </w:pPr>
      <w:r>
        <w:rPr>
          <w:rFonts w:hint="eastAsia" w:ascii="黑体" w:hAnsi="黑体" w:eastAsia="黑体"/>
          <w:color w:val="auto"/>
          <w:szCs w:val="21"/>
        </w:rPr>
        <w:t>询问人：（公章）</w:t>
      </w:r>
    </w:p>
    <w:p>
      <w:pPr>
        <w:widowControl/>
        <w:tabs>
          <w:tab w:val="left" w:pos="6300"/>
        </w:tabs>
        <w:adjustRightInd w:val="0"/>
        <w:spacing w:line="360" w:lineRule="auto"/>
        <w:ind w:firstLine="1260" w:firstLineChars="600"/>
        <w:rPr>
          <w:rFonts w:ascii="黑体" w:hAnsi="黑体" w:eastAsia="黑体"/>
          <w:color w:val="auto"/>
          <w:szCs w:val="21"/>
        </w:rPr>
      </w:pPr>
      <w:r>
        <w:rPr>
          <w:rFonts w:hint="eastAsia" w:ascii="黑体" w:hAnsi="黑体" w:eastAsia="黑体"/>
          <w:color w:val="auto"/>
          <w:szCs w:val="21"/>
        </w:rPr>
        <w:t>法定代表人（授权代表）：</w:t>
      </w:r>
    </w:p>
    <w:p>
      <w:pPr>
        <w:tabs>
          <w:tab w:val="left" w:pos="6300"/>
        </w:tabs>
        <w:adjustRightInd w:val="0"/>
        <w:spacing w:line="360" w:lineRule="auto"/>
        <w:ind w:firstLine="1260" w:firstLineChars="600"/>
        <w:rPr>
          <w:rFonts w:ascii="黑体" w:hAnsi="黑体" w:eastAsia="黑体"/>
          <w:color w:val="auto"/>
          <w:szCs w:val="21"/>
        </w:rPr>
      </w:pPr>
      <w:r>
        <w:rPr>
          <w:rFonts w:hint="eastAsia" w:ascii="黑体" w:hAnsi="黑体" w:eastAsia="黑体"/>
          <w:color w:val="auto"/>
          <w:szCs w:val="21"/>
        </w:rPr>
        <w:t>地址</w:t>
      </w:r>
      <w:r>
        <w:rPr>
          <w:rFonts w:ascii="黑体" w:hAnsi="黑体" w:eastAsia="黑体"/>
          <w:color w:val="auto"/>
          <w:szCs w:val="21"/>
        </w:rPr>
        <w:t>/邮编：</w:t>
      </w:r>
    </w:p>
    <w:p>
      <w:pPr>
        <w:tabs>
          <w:tab w:val="left" w:pos="6300"/>
        </w:tabs>
        <w:adjustRightInd w:val="0"/>
        <w:spacing w:line="360" w:lineRule="auto"/>
        <w:ind w:firstLine="1260" w:firstLineChars="600"/>
        <w:rPr>
          <w:rFonts w:ascii="黑体" w:hAnsi="黑体" w:eastAsia="黑体"/>
          <w:color w:val="auto"/>
          <w:szCs w:val="21"/>
        </w:rPr>
      </w:pPr>
      <w:r>
        <w:rPr>
          <w:rFonts w:hint="eastAsia" w:ascii="黑体" w:hAnsi="黑体" w:eastAsia="黑体"/>
          <w:color w:val="auto"/>
          <w:szCs w:val="21"/>
        </w:rPr>
        <w:t>电话</w:t>
      </w:r>
      <w:r>
        <w:rPr>
          <w:rFonts w:ascii="黑体" w:hAnsi="黑体" w:eastAsia="黑体"/>
          <w:color w:val="auto"/>
          <w:szCs w:val="21"/>
        </w:rPr>
        <w:t>/传真：</w:t>
      </w:r>
    </w:p>
    <w:p>
      <w:pPr>
        <w:adjustRightInd w:val="0"/>
        <w:spacing w:before="624" w:beforeLines="200" w:line="360" w:lineRule="auto"/>
        <w:jc w:val="right"/>
        <w:rPr>
          <w:rFonts w:ascii="黑体" w:hAnsi="黑体" w:eastAsia="黑体"/>
          <w:color w:val="auto"/>
          <w:szCs w:val="21"/>
        </w:rPr>
      </w:pPr>
      <w:r>
        <w:rPr>
          <w:rFonts w:hint="eastAsia" w:ascii="黑体" w:hAnsi="黑体" w:eastAsia="黑体"/>
          <w:color w:val="auto"/>
          <w:szCs w:val="21"/>
        </w:rPr>
        <w:t>年</w:t>
      </w:r>
      <w:r>
        <w:rPr>
          <w:rFonts w:ascii="黑体" w:hAnsi="黑体" w:eastAsia="黑体"/>
          <w:color w:val="auto"/>
          <w:szCs w:val="21"/>
        </w:rPr>
        <w:t xml:space="preserve">     </w:t>
      </w:r>
      <w:r>
        <w:rPr>
          <w:rFonts w:hint="eastAsia" w:ascii="黑体" w:hAnsi="黑体" w:eastAsia="黑体"/>
          <w:color w:val="auto"/>
          <w:szCs w:val="21"/>
        </w:rPr>
        <w:t>月</w:t>
      </w:r>
      <w:r>
        <w:rPr>
          <w:rFonts w:ascii="黑体" w:hAnsi="黑体" w:eastAsia="黑体"/>
          <w:color w:val="auto"/>
          <w:szCs w:val="21"/>
        </w:rPr>
        <w:t xml:space="preserve">     </w:t>
      </w:r>
      <w:r>
        <w:rPr>
          <w:rFonts w:hint="eastAsia" w:ascii="黑体" w:hAnsi="黑体" w:eastAsia="黑体"/>
          <w:color w:val="auto"/>
          <w:szCs w:val="21"/>
        </w:rPr>
        <w:t>日</w:t>
      </w:r>
    </w:p>
    <w:p>
      <w:pPr>
        <w:snapToGrid w:val="0"/>
        <w:spacing w:line="360" w:lineRule="auto"/>
        <w:ind w:firstLine="422" w:firstLineChars="201"/>
        <w:rPr>
          <w:rFonts w:ascii="黑体" w:hAnsi="黑体" w:eastAsia="黑体"/>
          <w:color w:val="auto"/>
          <w:szCs w:val="21"/>
        </w:rPr>
      </w:pPr>
    </w:p>
    <w:p>
      <w:pPr>
        <w:pStyle w:val="3"/>
        <w:keepNext w:val="0"/>
        <w:keepLines w:val="0"/>
        <w:pageBreakBefore/>
        <w:tabs>
          <w:tab w:val="left" w:pos="426"/>
          <w:tab w:val="left" w:pos="567"/>
        </w:tabs>
        <w:spacing w:line="360" w:lineRule="auto"/>
        <w:jc w:val="left"/>
        <w:rPr>
          <w:rStyle w:val="23"/>
          <w:rFonts w:ascii="黑体" w:hAnsi="黑体" w:eastAsia="黑体"/>
          <w:b/>
          <w:bCs w:val="0"/>
          <w:color w:val="auto"/>
          <w:spacing w:val="12"/>
          <w:sz w:val="21"/>
          <w:szCs w:val="21"/>
        </w:rPr>
      </w:pPr>
      <w:bookmarkStart w:id="37" w:name="_Toc515040754"/>
      <w:bookmarkStart w:id="38" w:name="_Toc515363626"/>
      <w:bookmarkStart w:id="39" w:name="_Toc90980551"/>
      <w:r>
        <w:rPr>
          <w:rStyle w:val="23"/>
          <w:rFonts w:hint="eastAsia" w:ascii="黑体" w:hAnsi="黑体" w:eastAsia="黑体"/>
          <w:b/>
          <w:bCs w:val="0"/>
          <w:color w:val="auto"/>
          <w:spacing w:val="12"/>
          <w:sz w:val="21"/>
          <w:szCs w:val="21"/>
        </w:rPr>
        <w:t>附件2  质疑函格式</w:t>
      </w:r>
      <w:bookmarkEnd w:id="37"/>
      <w:bookmarkEnd w:id="38"/>
      <w:bookmarkEnd w:id="39"/>
    </w:p>
    <w:p>
      <w:pPr>
        <w:spacing w:before="312" w:beforeLines="100" w:after="312" w:afterLines="100"/>
        <w:jc w:val="center"/>
        <w:rPr>
          <w:rFonts w:ascii="黑体" w:hAnsi="黑体" w:eastAsia="黑体" w:cs="Times New Roman"/>
          <w:b/>
          <w:color w:val="auto"/>
          <w:spacing w:val="20"/>
          <w:sz w:val="28"/>
          <w:szCs w:val="28"/>
        </w:rPr>
      </w:pPr>
      <w:r>
        <w:rPr>
          <w:rFonts w:hint="eastAsia" w:ascii="黑体" w:hAnsi="黑体" w:eastAsia="黑体" w:cs="Times New Roman"/>
          <w:b/>
          <w:color w:val="auto"/>
          <w:spacing w:val="20"/>
          <w:sz w:val="28"/>
          <w:szCs w:val="28"/>
        </w:rPr>
        <w:t>质疑函</w:t>
      </w:r>
    </w:p>
    <w:p>
      <w:pPr>
        <w:adjustRightInd w:val="0"/>
        <w:snapToGrid w:val="0"/>
        <w:spacing w:line="360" w:lineRule="auto"/>
        <w:rPr>
          <w:rFonts w:ascii="黑体" w:hAnsi="黑体" w:eastAsia="黑体" w:cs="仿宋"/>
          <w:bCs/>
          <w:color w:val="auto"/>
          <w:szCs w:val="21"/>
        </w:rPr>
      </w:pPr>
      <w:r>
        <w:rPr>
          <w:rFonts w:hint="eastAsia" w:ascii="黑体" w:hAnsi="黑体" w:eastAsia="黑体" w:cs="仿宋"/>
          <w:bCs/>
          <w:color w:val="auto"/>
          <w:szCs w:val="21"/>
        </w:rPr>
        <w:t>一、质疑供应商基本信息</w:t>
      </w:r>
    </w:p>
    <w:p>
      <w:pPr>
        <w:adjustRightInd w:val="0"/>
        <w:snapToGrid w:val="0"/>
        <w:spacing w:line="360" w:lineRule="auto"/>
        <w:rPr>
          <w:rFonts w:ascii="黑体" w:hAnsi="黑体" w:eastAsia="黑体" w:cs="仿宋"/>
          <w:color w:val="auto"/>
          <w:szCs w:val="21"/>
          <w:u w:val="dotted"/>
        </w:rPr>
      </w:pPr>
      <w:r>
        <w:rPr>
          <w:rFonts w:hint="eastAsia" w:ascii="黑体" w:hAnsi="黑体" w:eastAsia="黑体" w:cs="仿宋"/>
          <w:color w:val="auto"/>
          <w:szCs w:val="21"/>
        </w:rPr>
        <w:t>质疑供应商：</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rPr>
      </w:pPr>
      <w:r>
        <w:rPr>
          <w:rFonts w:hint="eastAsia" w:ascii="黑体" w:hAnsi="黑体" w:eastAsia="黑体" w:cs="仿宋"/>
          <w:color w:val="auto"/>
          <w:szCs w:val="21"/>
        </w:rPr>
        <w:t>地址：</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rPr>
        <w:t>邮编：</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rPr>
      </w:pPr>
      <w:r>
        <w:rPr>
          <w:rFonts w:hint="eastAsia" w:ascii="黑体" w:hAnsi="黑体" w:eastAsia="黑体" w:cs="仿宋"/>
          <w:color w:val="auto"/>
          <w:szCs w:val="21"/>
        </w:rPr>
        <w:t>联系人：</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hint="eastAsia" w:ascii="黑体" w:hAnsi="黑体" w:eastAsia="黑体" w:cs="仿宋"/>
          <w:color w:val="auto"/>
          <w:szCs w:val="21"/>
        </w:rPr>
        <w:t>联系电话：</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u w:val="dotted"/>
        </w:rPr>
      </w:pPr>
      <w:r>
        <w:rPr>
          <w:rFonts w:hint="eastAsia" w:ascii="黑体" w:hAnsi="黑体" w:eastAsia="黑体" w:cs="仿宋"/>
          <w:color w:val="auto"/>
          <w:szCs w:val="21"/>
        </w:rPr>
        <w:t>授权代表：</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b/>
          <w:color w:val="auto"/>
          <w:szCs w:val="21"/>
        </w:rPr>
      </w:pPr>
      <w:r>
        <w:rPr>
          <w:rFonts w:hint="eastAsia" w:ascii="黑体" w:hAnsi="黑体" w:eastAsia="黑体" w:cs="仿宋"/>
          <w:color w:val="auto"/>
          <w:szCs w:val="21"/>
        </w:rPr>
        <w:t>联系电话：</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b/>
          <w:color w:val="auto"/>
          <w:szCs w:val="21"/>
        </w:rPr>
      </w:pPr>
      <w:r>
        <w:rPr>
          <w:rFonts w:hint="eastAsia" w:ascii="黑体" w:hAnsi="黑体" w:eastAsia="黑体" w:cs="仿宋"/>
          <w:color w:val="auto"/>
          <w:szCs w:val="21"/>
        </w:rPr>
        <w:t>地   址：</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rPr>
        <w:t>邮编：</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before="156" w:beforeLines="50" w:line="360" w:lineRule="auto"/>
        <w:rPr>
          <w:rFonts w:ascii="黑体" w:hAnsi="黑体" w:eastAsia="黑体" w:cs="仿宋"/>
          <w:bCs/>
          <w:color w:val="auto"/>
          <w:szCs w:val="21"/>
        </w:rPr>
      </w:pPr>
      <w:r>
        <w:rPr>
          <w:rFonts w:hint="eastAsia" w:ascii="黑体" w:hAnsi="黑体" w:eastAsia="黑体" w:cs="仿宋"/>
          <w:bCs/>
          <w:color w:val="auto"/>
          <w:szCs w:val="21"/>
        </w:rPr>
        <w:t xml:space="preserve">二、质疑项目基本情况 </w:t>
      </w:r>
    </w:p>
    <w:p>
      <w:pPr>
        <w:adjustRightInd w:val="0"/>
        <w:snapToGrid w:val="0"/>
        <w:spacing w:line="360" w:lineRule="auto"/>
        <w:rPr>
          <w:rFonts w:ascii="黑体" w:hAnsi="黑体" w:eastAsia="黑体" w:cs="仿宋"/>
          <w:color w:val="auto"/>
          <w:szCs w:val="21"/>
        </w:rPr>
      </w:pPr>
      <w:r>
        <w:rPr>
          <w:rFonts w:hint="eastAsia" w:ascii="黑体" w:hAnsi="黑体" w:eastAsia="黑体" w:cs="仿宋"/>
          <w:color w:val="auto"/>
          <w:szCs w:val="21"/>
        </w:rPr>
        <w:t>质疑项目的名称：</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rPr>
      </w:pPr>
      <w:r>
        <w:rPr>
          <w:rFonts w:hint="eastAsia" w:ascii="黑体" w:hAnsi="黑体" w:eastAsia="黑体" w:cs="仿宋"/>
          <w:color w:val="auto"/>
          <w:szCs w:val="21"/>
        </w:rPr>
        <w:t>质疑项目的编号：</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rPr>
        <w:t>包号：</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u w:val="single"/>
        </w:rPr>
      </w:pPr>
      <w:r>
        <w:rPr>
          <w:rFonts w:hint="eastAsia" w:ascii="黑体" w:hAnsi="黑体" w:eastAsia="黑体" w:cs="仿宋"/>
          <w:color w:val="auto"/>
          <w:szCs w:val="21"/>
        </w:rPr>
        <w:t>采购人名称：</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u w:val="single"/>
        </w:rPr>
      </w:pPr>
      <w:r>
        <w:rPr>
          <w:rFonts w:hint="eastAsia" w:ascii="黑体" w:hAnsi="黑体" w:eastAsia="黑体" w:cs="仿宋"/>
          <w:color w:val="auto"/>
          <w:szCs w:val="21"/>
        </w:rPr>
        <w:t>采购文件获取日期：</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before="156" w:beforeLines="50" w:line="360" w:lineRule="auto"/>
        <w:rPr>
          <w:rFonts w:ascii="黑体" w:hAnsi="黑体" w:eastAsia="黑体" w:cs="仿宋"/>
          <w:bCs/>
          <w:color w:val="auto"/>
          <w:szCs w:val="21"/>
        </w:rPr>
      </w:pPr>
      <w:r>
        <w:rPr>
          <w:rFonts w:hint="eastAsia" w:ascii="黑体" w:hAnsi="黑体" w:eastAsia="黑体" w:cs="仿宋"/>
          <w:bCs/>
          <w:color w:val="auto"/>
          <w:szCs w:val="21"/>
        </w:rPr>
        <w:t>三、质疑事项具体内容</w:t>
      </w:r>
    </w:p>
    <w:p>
      <w:pPr>
        <w:adjustRightInd w:val="0"/>
        <w:snapToGrid w:val="0"/>
        <w:spacing w:line="360" w:lineRule="auto"/>
        <w:rPr>
          <w:rFonts w:ascii="黑体" w:hAnsi="黑体" w:eastAsia="黑体" w:cs="仿宋"/>
          <w:color w:val="auto"/>
          <w:szCs w:val="21"/>
          <w:u w:val="single"/>
        </w:rPr>
      </w:pPr>
      <w:r>
        <w:rPr>
          <w:rFonts w:hint="eastAsia" w:ascii="黑体" w:hAnsi="黑体" w:eastAsia="黑体" w:cs="仿宋"/>
          <w:color w:val="auto"/>
          <w:szCs w:val="21"/>
        </w:rPr>
        <w:t>质疑事项</w:t>
      </w:r>
      <w:r>
        <w:rPr>
          <w:rFonts w:ascii="黑体" w:hAnsi="黑体" w:eastAsia="黑体" w:cs="仿宋"/>
          <w:color w:val="auto"/>
          <w:szCs w:val="21"/>
        </w:rPr>
        <w:t>1：</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u w:val="single"/>
        </w:rPr>
      </w:pPr>
      <w:r>
        <w:rPr>
          <w:rFonts w:hint="eastAsia" w:ascii="黑体" w:hAnsi="黑体" w:eastAsia="黑体" w:cs="仿宋"/>
          <w:color w:val="auto"/>
          <w:szCs w:val="21"/>
        </w:rPr>
        <w:t>事实依据：</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u w:val="single"/>
        </w:rPr>
      </w:pPr>
      <w:r>
        <w:rPr>
          <w:rFonts w:hint="eastAsia" w:ascii="黑体" w:hAnsi="黑体" w:eastAsia="黑体" w:cs="仿宋"/>
          <w:color w:val="auto"/>
          <w:szCs w:val="21"/>
        </w:rPr>
        <w:t>法律依据：</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s="仿宋"/>
          <w:color w:val="auto"/>
          <w:szCs w:val="21"/>
          <w:u w:val="dotted"/>
        </w:rPr>
      </w:pPr>
      <w:r>
        <w:rPr>
          <w:rFonts w:hint="eastAsia" w:ascii="黑体" w:hAnsi="黑体" w:eastAsia="黑体" w:cs="仿宋"/>
          <w:color w:val="auto"/>
          <w:szCs w:val="21"/>
        </w:rPr>
        <w:t>质疑事项</w:t>
      </w:r>
      <w:r>
        <w:rPr>
          <w:rFonts w:ascii="黑体" w:hAnsi="黑体" w:eastAsia="黑体" w:cs="仿宋"/>
          <w:color w:val="auto"/>
          <w:szCs w:val="21"/>
        </w:rPr>
        <w:t>2</w:t>
      </w:r>
    </w:p>
    <w:p>
      <w:pPr>
        <w:adjustRightInd w:val="0"/>
        <w:snapToGrid w:val="0"/>
        <w:spacing w:line="360" w:lineRule="auto"/>
        <w:rPr>
          <w:rFonts w:ascii="黑体" w:hAnsi="黑体" w:eastAsia="黑体" w:cs="仿宋"/>
          <w:color w:val="auto"/>
          <w:szCs w:val="21"/>
        </w:rPr>
      </w:pPr>
      <w:r>
        <w:rPr>
          <w:rFonts w:hint="eastAsia" w:ascii="黑体" w:hAnsi="黑体" w:eastAsia="黑体" w:cs="仿宋"/>
          <w:color w:val="auto"/>
          <w:szCs w:val="21"/>
        </w:rPr>
        <w:t>……</w:t>
      </w:r>
    </w:p>
    <w:p>
      <w:pPr>
        <w:adjustRightInd w:val="0"/>
        <w:snapToGrid w:val="0"/>
        <w:spacing w:line="360" w:lineRule="auto"/>
        <w:rPr>
          <w:rFonts w:ascii="黑体" w:hAnsi="黑体" w:eastAsia="黑体" w:cs="仿宋"/>
          <w:bCs/>
          <w:color w:val="auto"/>
          <w:szCs w:val="21"/>
        </w:rPr>
      </w:pPr>
      <w:r>
        <w:rPr>
          <w:rFonts w:hint="eastAsia" w:ascii="黑体" w:hAnsi="黑体" w:eastAsia="黑体" w:cs="仿宋"/>
          <w:bCs/>
          <w:color w:val="auto"/>
          <w:szCs w:val="21"/>
        </w:rPr>
        <w:t>四、与质疑事项相关的质疑请求</w:t>
      </w:r>
    </w:p>
    <w:p>
      <w:pPr>
        <w:adjustRightInd w:val="0"/>
        <w:snapToGrid w:val="0"/>
        <w:spacing w:line="360" w:lineRule="auto"/>
        <w:rPr>
          <w:rFonts w:ascii="黑体" w:hAnsi="黑体" w:eastAsia="黑体" w:cs="仿宋"/>
          <w:color w:val="auto"/>
          <w:szCs w:val="21"/>
          <w:u w:val="dotted"/>
        </w:rPr>
      </w:pPr>
      <w:r>
        <w:rPr>
          <w:rFonts w:hint="eastAsia" w:ascii="黑体" w:hAnsi="黑体" w:eastAsia="黑体" w:cs="仿宋"/>
          <w:color w:val="auto"/>
          <w:szCs w:val="21"/>
        </w:rPr>
        <w:t>请求：</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r>
        <w:rPr>
          <w:rFonts w:ascii="黑体" w:hAnsi="黑体" w:eastAsia="黑体" w:cs="仿宋"/>
          <w:color w:val="auto"/>
          <w:szCs w:val="21"/>
          <w:u w:val="single"/>
        </w:rPr>
        <w:t xml:space="preserve">  </w:t>
      </w:r>
      <w:r>
        <w:rPr>
          <w:rFonts w:hint="eastAsia" w:ascii="黑体" w:hAnsi="黑体" w:eastAsia="黑体" w:cs="仿宋"/>
          <w:color w:val="auto"/>
          <w:szCs w:val="21"/>
          <w:u w:val="single"/>
        </w:rPr>
        <w:t xml:space="preserve">             </w:t>
      </w:r>
    </w:p>
    <w:p>
      <w:pPr>
        <w:adjustRightInd w:val="0"/>
        <w:snapToGrid w:val="0"/>
        <w:spacing w:line="360" w:lineRule="auto"/>
        <w:rPr>
          <w:rFonts w:ascii="黑体" w:hAnsi="黑体" w:eastAsia="黑体"/>
          <w:color w:val="auto"/>
          <w:szCs w:val="21"/>
        </w:rPr>
      </w:pPr>
      <w:r>
        <w:rPr>
          <w:rFonts w:hint="eastAsia" w:ascii="黑体" w:hAnsi="黑体" w:eastAsia="黑体"/>
          <w:color w:val="auto"/>
          <w:szCs w:val="21"/>
        </w:rPr>
        <w:t>签字</w:t>
      </w:r>
      <w:r>
        <w:rPr>
          <w:rFonts w:ascii="黑体" w:hAnsi="黑体" w:eastAsia="黑体"/>
          <w:color w:val="auto"/>
          <w:szCs w:val="21"/>
        </w:rPr>
        <w:t xml:space="preserve">(签章)：                   公章：                      </w:t>
      </w:r>
    </w:p>
    <w:p>
      <w:pPr>
        <w:adjustRightInd w:val="0"/>
        <w:snapToGrid w:val="0"/>
        <w:spacing w:line="360" w:lineRule="auto"/>
        <w:rPr>
          <w:rFonts w:ascii="黑体" w:hAnsi="黑体" w:eastAsia="黑体"/>
          <w:color w:val="auto"/>
          <w:szCs w:val="21"/>
        </w:rPr>
      </w:pPr>
      <w:r>
        <w:rPr>
          <w:rFonts w:hint="eastAsia" w:ascii="黑体" w:hAnsi="黑体" w:eastAsia="黑体"/>
          <w:color w:val="auto"/>
          <w:szCs w:val="21"/>
        </w:rPr>
        <w:t>日    期：</w:t>
      </w:r>
      <w:r>
        <w:rPr>
          <w:rFonts w:ascii="黑体" w:hAnsi="黑体" w:eastAsia="黑体"/>
          <w:color w:val="auto"/>
          <w:szCs w:val="21"/>
        </w:rPr>
        <w:t xml:space="preserve">    </w:t>
      </w:r>
    </w:p>
    <w:p>
      <w:pPr>
        <w:adjustRightInd w:val="0"/>
        <w:snapToGrid w:val="0"/>
        <w:spacing w:line="360" w:lineRule="auto"/>
        <w:rPr>
          <w:rFonts w:ascii="黑体" w:hAnsi="黑体" w:eastAsia="黑体" w:cs="仿宋"/>
          <w:color w:val="auto"/>
          <w:szCs w:val="21"/>
        </w:rPr>
      </w:pPr>
    </w:p>
    <w:p>
      <w:pPr>
        <w:adjustRightInd w:val="0"/>
        <w:snapToGrid w:val="0"/>
        <w:spacing w:line="360" w:lineRule="auto"/>
        <w:rPr>
          <w:rFonts w:ascii="黑体" w:hAnsi="黑体" w:eastAsia="黑体" w:cs="仿宋"/>
          <w:color w:val="auto"/>
          <w:szCs w:val="21"/>
        </w:rPr>
      </w:pPr>
    </w:p>
    <w:p>
      <w:pPr>
        <w:adjustRightInd w:val="0"/>
        <w:snapToGrid w:val="0"/>
        <w:spacing w:line="360" w:lineRule="auto"/>
        <w:rPr>
          <w:rFonts w:ascii="黑体" w:hAnsi="黑体" w:eastAsia="黑体"/>
          <w:b/>
          <w:color w:val="auto"/>
          <w:szCs w:val="21"/>
        </w:rPr>
      </w:pPr>
      <w:r>
        <w:rPr>
          <w:rFonts w:hint="eastAsia" w:ascii="黑体" w:hAnsi="黑体" w:eastAsia="黑体"/>
          <w:b/>
          <w:color w:val="auto"/>
          <w:szCs w:val="21"/>
        </w:rPr>
        <w:t>质疑函制作说明：</w:t>
      </w:r>
    </w:p>
    <w:p>
      <w:pPr>
        <w:pStyle w:val="30"/>
        <w:widowControl/>
        <w:numPr>
          <w:ilvl w:val="0"/>
          <w:numId w:val="59"/>
        </w:numPr>
        <w:adjustRightInd w:val="0"/>
        <w:snapToGrid w:val="0"/>
        <w:spacing w:line="360" w:lineRule="auto"/>
        <w:ind w:firstLineChars="0"/>
        <w:jc w:val="left"/>
        <w:rPr>
          <w:rFonts w:ascii="黑体" w:hAnsi="黑体" w:eastAsia="黑体"/>
          <w:b/>
          <w:color w:val="auto"/>
          <w:szCs w:val="21"/>
        </w:rPr>
      </w:pPr>
      <w:r>
        <w:rPr>
          <w:rFonts w:ascii="黑体" w:hAnsi="黑体" w:eastAsia="黑体"/>
          <w:color w:val="auto"/>
          <w:szCs w:val="21"/>
        </w:rPr>
        <w:t>供应商提出质疑时，应提交质疑函和必要的证明材料。</w:t>
      </w:r>
    </w:p>
    <w:p>
      <w:pPr>
        <w:pStyle w:val="30"/>
        <w:widowControl/>
        <w:numPr>
          <w:ilvl w:val="0"/>
          <w:numId w:val="59"/>
        </w:numPr>
        <w:adjustRightInd w:val="0"/>
        <w:snapToGrid w:val="0"/>
        <w:spacing w:line="360" w:lineRule="auto"/>
        <w:ind w:firstLineChars="0"/>
        <w:jc w:val="left"/>
        <w:rPr>
          <w:rFonts w:ascii="黑体" w:hAnsi="黑体" w:eastAsia="黑体"/>
          <w:b/>
          <w:color w:val="auto"/>
          <w:szCs w:val="21"/>
        </w:rPr>
      </w:pPr>
      <w:r>
        <w:rPr>
          <w:rFonts w:hint="eastAsia" w:ascii="黑体" w:hAnsi="黑体" w:eastAsia="黑体"/>
          <w:color w:val="auto"/>
          <w:szCs w:val="21"/>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30"/>
        <w:widowControl/>
        <w:numPr>
          <w:ilvl w:val="0"/>
          <w:numId w:val="59"/>
        </w:numPr>
        <w:adjustRightInd w:val="0"/>
        <w:snapToGrid w:val="0"/>
        <w:spacing w:line="360" w:lineRule="auto"/>
        <w:ind w:firstLineChars="0"/>
        <w:jc w:val="left"/>
        <w:rPr>
          <w:rFonts w:ascii="黑体" w:hAnsi="黑体" w:eastAsia="黑体"/>
          <w:b/>
          <w:color w:val="auto"/>
          <w:szCs w:val="21"/>
        </w:rPr>
      </w:pPr>
      <w:r>
        <w:rPr>
          <w:rFonts w:hint="eastAsia" w:ascii="黑体" w:hAnsi="黑体" w:eastAsia="黑体"/>
          <w:color w:val="auto"/>
          <w:szCs w:val="21"/>
        </w:rPr>
        <w:t>质疑供应商若对项目的某一分包进行质疑，质疑函中应列明具体分包号。</w:t>
      </w:r>
    </w:p>
    <w:p>
      <w:pPr>
        <w:pStyle w:val="30"/>
        <w:widowControl/>
        <w:numPr>
          <w:ilvl w:val="0"/>
          <w:numId w:val="59"/>
        </w:numPr>
        <w:adjustRightInd w:val="0"/>
        <w:snapToGrid w:val="0"/>
        <w:spacing w:line="360" w:lineRule="auto"/>
        <w:ind w:firstLineChars="0"/>
        <w:jc w:val="left"/>
        <w:rPr>
          <w:rFonts w:ascii="黑体" w:hAnsi="黑体" w:eastAsia="黑体"/>
          <w:b/>
          <w:color w:val="auto"/>
          <w:szCs w:val="21"/>
        </w:rPr>
      </w:pPr>
      <w:r>
        <w:rPr>
          <w:rFonts w:hint="eastAsia" w:ascii="黑体" w:hAnsi="黑体" w:eastAsia="黑体"/>
          <w:color w:val="auto"/>
          <w:szCs w:val="21"/>
        </w:rPr>
        <w:t>质疑函的质疑事项应具体、明确，并有必要的事实依据和法律依据。</w:t>
      </w:r>
    </w:p>
    <w:p>
      <w:pPr>
        <w:pStyle w:val="30"/>
        <w:widowControl/>
        <w:numPr>
          <w:ilvl w:val="0"/>
          <w:numId w:val="59"/>
        </w:numPr>
        <w:adjustRightInd w:val="0"/>
        <w:snapToGrid w:val="0"/>
        <w:spacing w:line="360" w:lineRule="auto"/>
        <w:ind w:firstLineChars="0"/>
        <w:jc w:val="left"/>
        <w:rPr>
          <w:rFonts w:ascii="黑体" w:hAnsi="黑体" w:eastAsia="黑体"/>
          <w:b/>
          <w:color w:val="auto"/>
          <w:szCs w:val="21"/>
        </w:rPr>
      </w:pPr>
      <w:r>
        <w:rPr>
          <w:rFonts w:hint="eastAsia" w:ascii="黑体" w:hAnsi="黑体" w:eastAsia="黑体"/>
          <w:color w:val="auto"/>
          <w:szCs w:val="21"/>
        </w:rPr>
        <w:t>质疑函的质疑请求应与质疑事项相关。</w:t>
      </w:r>
    </w:p>
    <w:p>
      <w:pPr>
        <w:pStyle w:val="30"/>
        <w:widowControl/>
        <w:numPr>
          <w:ilvl w:val="0"/>
          <w:numId w:val="59"/>
        </w:numPr>
        <w:adjustRightInd w:val="0"/>
        <w:snapToGrid w:val="0"/>
        <w:spacing w:line="360" w:lineRule="auto"/>
        <w:ind w:firstLineChars="0"/>
        <w:jc w:val="left"/>
        <w:rPr>
          <w:rFonts w:ascii="黑体" w:hAnsi="黑体" w:eastAsia="黑体"/>
          <w:b/>
          <w:color w:val="auto"/>
          <w:szCs w:val="21"/>
        </w:rPr>
      </w:pPr>
      <w:r>
        <w:rPr>
          <w:rFonts w:hint="eastAsia" w:ascii="黑体" w:hAnsi="黑体" w:eastAsia="黑体"/>
          <w:color w:val="auto"/>
          <w:szCs w:val="21"/>
        </w:rPr>
        <w:t>质疑供应商为自然人的，质疑函应由本人签字；质疑供应商为法人或者其他组织的，质疑函应由法定代表人、主要负责人，或者其授权代表签字或者盖章，并加盖公章。</w:t>
      </w:r>
    </w:p>
    <w:p>
      <w:pPr>
        <w:pStyle w:val="30"/>
        <w:spacing w:line="360" w:lineRule="auto"/>
        <w:ind w:left="420" w:firstLine="0" w:firstLineChars="0"/>
        <w:rPr>
          <w:rFonts w:ascii="宋体" w:hAnsi="宋体" w:eastAsia="宋体"/>
          <w:bCs/>
          <w:color w:val="auto"/>
          <w:szCs w:val="21"/>
        </w:rPr>
      </w:pPr>
    </w:p>
    <w:p>
      <w:pPr>
        <w:pStyle w:val="2"/>
        <w:keepNext w:val="0"/>
        <w:keepLines w:val="0"/>
        <w:pageBreakBefore/>
        <w:spacing w:line="360" w:lineRule="auto"/>
        <w:jc w:val="center"/>
        <w:rPr>
          <w:rFonts w:ascii="黑体" w:hAnsi="黑体" w:eastAsia="黑体"/>
          <w:color w:val="auto"/>
          <w:spacing w:val="20"/>
          <w:sz w:val="32"/>
          <w:szCs w:val="32"/>
        </w:rPr>
      </w:pPr>
      <w:bookmarkStart w:id="40" w:name="_Toc405313955"/>
      <w:bookmarkStart w:id="41" w:name="_Toc391627751"/>
      <w:bookmarkStart w:id="42" w:name="_Toc90980552"/>
      <w:r>
        <w:rPr>
          <w:rFonts w:hint="eastAsia" w:ascii="黑体" w:hAnsi="黑体" w:eastAsia="黑体"/>
          <w:color w:val="auto"/>
          <w:spacing w:val="20"/>
          <w:sz w:val="32"/>
          <w:szCs w:val="32"/>
        </w:rPr>
        <w:t>第五部分</w:t>
      </w:r>
      <w:r>
        <w:rPr>
          <w:rFonts w:ascii="黑体" w:hAnsi="黑体" w:eastAsia="黑体"/>
          <w:color w:val="auto"/>
          <w:spacing w:val="20"/>
          <w:sz w:val="32"/>
          <w:szCs w:val="32"/>
        </w:rPr>
        <w:t xml:space="preserve"> </w:t>
      </w:r>
      <w:r>
        <w:rPr>
          <w:rFonts w:hint="eastAsia" w:ascii="黑体" w:hAnsi="黑体" w:eastAsia="黑体"/>
          <w:color w:val="auto"/>
          <w:spacing w:val="20"/>
          <w:sz w:val="32"/>
          <w:szCs w:val="32"/>
        </w:rPr>
        <w:t>评标方法、步骤、标准</w:t>
      </w:r>
      <w:bookmarkEnd w:id="40"/>
      <w:bookmarkEnd w:id="41"/>
      <w:bookmarkEnd w:id="42"/>
    </w:p>
    <w:p>
      <w:pPr>
        <w:pStyle w:val="30"/>
        <w:numPr>
          <w:ilvl w:val="0"/>
          <w:numId w:val="60"/>
        </w:numPr>
        <w:spacing w:before="312" w:beforeLines="100" w:line="360" w:lineRule="auto"/>
        <w:ind w:firstLineChars="0"/>
        <w:rPr>
          <w:rFonts w:ascii="黑体" w:hAnsi="黑体" w:eastAsia="黑体"/>
          <w:b/>
          <w:bCs/>
          <w:color w:val="auto"/>
          <w:sz w:val="24"/>
          <w:szCs w:val="24"/>
        </w:rPr>
      </w:pPr>
      <w:r>
        <w:rPr>
          <w:rFonts w:hint="eastAsia" w:ascii="黑体" w:hAnsi="黑体" w:eastAsia="黑体"/>
          <w:b/>
          <w:bCs/>
          <w:color w:val="auto"/>
          <w:sz w:val="24"/>
          <w:szCs w:val="24"/>
        </w:rPr>
        <w:t>总则</w:t>
      </w:r>
    </w:p>
    <w:p>
      <w:pPr>
        <w:pStyle w:val="30"/>
        <w:numPr>
          <w:ilvl w:val="0"/>
          <w:numId w:val="61"/>
        </w:numPr>
        <w:spacing w:line="360" w:lineRule="auto"/>
        <w:ind w:firstLineChars="0"/>
        <w:rPr>
          <w:rFonts w:ascii="黑体" w:hAnsi="黑体" w:eastAsia="黑体"/>
          <w:b/>
          <w:bCs/>
          <w:color w:val="auto"/>
          <w:szCs w:val="21"/>
        </w:rPr>
      </w:pPr>
      <w:r>
        <w:rPr>
          <w:rFonts w:hint="eastAsia" w:ascii="黑体" w:hAnsi="黑体" w:eastAsia="黑体"/>
          <w:b/>
          <w:bCs/>
          <w:color w:val="auto"/>
          <w:szCs w:val="21"/>
        </w:rPr>
        <w:t>评标委员会</w:t>
      </w:r>
    </w:p>
    <w:p>
      <w:pPr>
        <w:pStyle w:val="30"/>
        <w:numPr>
          <w:ilvl w:val="1"/>
          <w:numId w:val="62"/>
        </w:numPr>
        <w:spacing w:line="360" w:lineRule="auto"/>
        <w:ind w:firstLineChars="0"/>
        <w:rPr>
          <w:rFonts w:ascii="黑体" w:hAnsi="黑体" w:eastAsia="黑体"/>
          <w:bCs/>
          <w:color w:val="auto"/>
          <w:szCs w:val="21"/>
        </w:rPr>
      </w:pPr>
      <w:r>
        <w:rPr>
          <w:rFonts w:hint="eastAsia" w:ascii="黑体" w:hAnsi="黑体" w:eastAsia="黑体"/>
          <w:bCs/>
          <w:color w:val="auto"/>
          <w:szCs w:val="21"/>
        </w:rPr>
        <w:t>本次招标依法组建评标委员会。</w:t>
      </w:r>
    </w:p>
    <w:p>
      <w:pPr>
        <w:pStyle w:val="30"/>
        <w:numPr>
          <w:ilvl w:val="1"/>
          <w:numId w:val="62"/>
        </w:numPr>
        <w:spacing w:line="360" w:lineRule="auto"/>
        <w:ind w:firstLineChars="0"/>
        <w:rPr>
          <w:rFonts w:ascii="黑体" w:hAnsi="黑体" w:eastAsia="黑体"/>
          <w:bCs/>
          <w:color w:val="auto"/>
          <w:szCs w:val="21"/>
        </w:rPr>
      </w:pPr>
      <w:r>
        <w:rPr>
          <w:rFonts w:hint="eastAsia" w:ascii="黑体" w:hAnsi="黑体" w:eastAsia="黑体" w:cs="宋体"/>
          <w:color w:val="auto"/>
          <w:szCs w:val="21"/>
          <w:lang w:eastAsia="zh-TW"/>
        </w:rPr>
        <w:t>评标委员会成员名单在评标结果公告前应当保密。</w:t>
      </w:r>
      <w:r>
        <w:rPr>
          <w:rFonts w:hint="eastAsia" w:ascii="黑体" w:hAnsi="黑体" w:eastAsia="黑体"/>
          <w:bCs/>
          <w:color w:val="auto"/>
          <w:szCs w:val="21"/>
        </w:rPr>
        <w:t>评审专家有下列情形之一的，受到邀请应主动提出回避，采购当事人也可以要求该评审专家回避：</w:t>
      </w:r>
    </w:p>
    <w:p>
      <w:pPr>
        <w:pStyle w:val="30"/>
        <w:numPr>
          <w:ilvl w:val="2"/>
          <w:numId w:val="63"/>
        </w:numPr>
        <w:spacing w:line="360" w:lineRule="auto"/>
        <w:ind w:firstLineChars="0"/>
        <w:rPr>
          <w:rFonts w:ascii="黑体" w:hAnsi="黑体" w:eastAsia="黑体"/>
          <w:bCs/>
          <w:color w:val="auto"/>
          <w:szCs w:val="21"/>
        </w:rPr>
      </w:pPr>
      <w:r>
        <w:rPr>
          <w:rFonts w:hint="eastAsia" w:ascii="黑体" w:hAnsi="黑体" w:eastAsia="黑体" w:cs="宋体"/>
          <w:color w:val="auto"/>
          <w:szCs w:val="21"/>
          <w:lang w:eastAsia="zh-TW"/>
        </w:rPr>
        <w:t>参加采购活动前</w:t>
      </w:r>
      <w:r>
        <w:rPr>
          <w:rFonts w:ascii="黑体" w:hAnsi="黑体" w:eastAsia="黑体" w:cs="宋体"/>
          <w:color w:val="auto"/>
          <w:szCs w:val="21"/>
          <w:lang w:eastAsia="zh-TW"/>
        </w:rPr>
        <w:t>3年内与供应商存在劳动关系</w:t>
      </w:r>
      <w:r>
        <w:rPr>
          <w:rFonts w:hint="eastAsia" w:ascii="黑体" w:hAnsi="黑体" w:eastAsia="黑体" w:cs="宋体"/>
          <w:color w:val="auto"/>
          <w:szCs w:val="21"/>
          <w:lang w:eastAsia="zh-TW"/>
        </w:rPr>
        <w:t>；</w:t>
      </w:r>
    </w:p>
    <w:p>
      <w:pPr>
        <w:pStyle w:val="30"/>
        <w:numPr>
          <w:ilvl w:val="2"/>
          <w:numId w:val="63"/>
        </w:numPr>
        <w:spacing w:line="360" w:lineRule="auto"/>
        <w:ind w:firstLineChars="0"/>
        <w:rPr>
          <w:rFonts w:ascii="黑体" w:hAnsi="黑体" w:eastAsia="黑体"/>
          <w:bCs/>
          <w:color w:val="auto"/>
          <w:szCs w:val="21"/>
        </w:rPr>
      </w:pPr>
      <w:r>
        <w:rPr>
          <w:rFonts w:hint="eastAsia" w:ascii="黑体" w:hAnsi="黑体" w:eastAsia="黑体" w:cs="宋体"/>
          <w:color w:val="auto"/>
          <w:szCs w:val="21"/>
          <w:lang w:eastAsia="zh-TW"/>
        </w:rPr>
        <w:t>参加采购活动前</w:t>
      </w:r>
      <w:r>
        <w:rPr>
          <w:rFonts w:ascii="黑体" w:hAnsi="黑体" w:eastAsia="黑体" w:cs="宋体"/>
          <w:color w:val="auto"/>
          <w:szCs w:val="21"/>
          <w:lang w:eastAsia="zh-TW"/>
        </w:rPr>
        <w:t>3年内担任供应商的董事、监事；</w:t>
      </w:r>
    </w:p>
    <w:p>
      <w:pPr>
        <w:pStyle w:val="30"/>
        <w:numPr>
          <w:ilvl w:val="2"/>
          <w:numId w:val="63"/>
        </w:numPr>
        <w:spacing w:line="360" w:lineRule="auto"/>
        <w:ind w:firstLineChars="0"/>
        <w:rPr>
          <w:rFonts w:ascii="黑体" w:hAnsi="黑体" w:eastAsia="黑体"/>
          <w:bCs/>
          <w:color w:val="auto"/>
          <w:szCs w:val="21"/>
        </w:rPr>
      </w:pPr>
      <w:r>
        <w:rPr>
          <w:rFonts w:hint="eastAsia" w:ascii="黑体" w:hAnsi="黑体" w:eastAsia="黑体"/>
          <w:bCs/>
          <w:color w:val="auto"/>
          <w:szCs w:val="21"/>
        </w:rPr>
        <w:t>参加采购活动前</w:t>
      </w:r>
      <w:r>
        <w:rPr>
          <w:rFonts w:ascii="黑体" w:hAnsi="黑体" w:eastAsia="黑体"/>
          <w:bCs/>
          <w:color w:val="auto"/>
          <w:szCs w:val="21"/>
        </w:rPr>
        <w:t>3年内是供应商的控股股东或者实际控制人</w:t>
      </w:r>
      <w:r>
        <w:rPr>
          <w:rFonts w:hint="eastAsia" w:ascii="黑体" w:hAnsi="黑体" w:eastAsia="黑体"/>
          <w:bCs/>
          <w:color w:val="auto"/>
          <w:szCs w:val="21"/>
        </w:rPr>
        <w:t>；</w:t>
      </w:r>
    </w:p>
    <w:p>
      <w:pPr>
        <w:pStyle w:val="30"/>
        <w:numPr>
          <w:ilvl w:val="2"/>
          <w:numId w:val="63"/>
        </w:numPr>
        <w:spacing w:line="360" w:lineRule="auto"/>
        <w:ind w:firstLineChars="0"/>
        <w:rPr>
          <w:rFonts w:ascii="黑体" w:hAnsi="黑体" w:eastAsia="黑体"/>
          <w:bCs/>
          <w:color w:val="auto"/>
          <w:szCs w:val="21"/>
        </w:rPr>
      </w:pPr>
      <w:r>
        <w:rPr>
          <w:rFonts w:hint="eastAsia" w:ascii="黑体" w:hAnsi="黑体" w:eastAsia="黑体"/>
          <w:bCs/>
          <w:color w:val="auto"/>
          <w:szCs w:val="21"/>
        </w:rPr>
        <w:t>与供应商的法定代表人或者负责人有夫妻、直系血亲、三代以内旁系血亲或者近姻亲关系；</w:t>
      </w:r>
    </w:p>
    <w:p>
      <w:pPr>
        <w:pStyle w:val="30"/>
        <w:numPr>
          <w:ilvl w:val="2"/>
          <w:numId w:val="63"/>
        </w:numPr>
        <w:spacing w:line="360" w:lineRule="auto"/>
        <w:ind w:firstLineChars="0"/>
        <w:rPr>
          <w:rFonts w:ascii="黑体" w:hAnsi="黑体" w:eastAsia="黑体"/>
          <w:bCs/>
          <w:color w:val="auto"/>
          <w:szCs w:val="21"/>
        </w:rPr>
      </w:pPr>
      <w:r>
        <w:rPr>
          <w:rFonts w:hint="eastAsia" w:ascii="黑体" w:hAnsi="黑体" w:eastAsia="黑体" w:cs="宋体"/>
          <w:color w:val="auto"/>
          <w:szCs w:val="21"/>
          <w:lang w:eastAsia="zh-TW"/>
        </w:rPr>
        <w:t>与供应商有其他可能影响政府采购活动公平、公正进行的关系。</w:t>
      </w:r>
    </w:p>
    <w:p>
      <w:pPr>
        <w:pStyle w:val="30"/>
        <w:numPr>
          <w:ilvl w:val="1"/>
          <w:numId w:val="62"/>
        </w:numPr>
        <w:spacing w:line="360" w:lineRule="auto"/>
        <w:ind w:firstLineChars="0"/>
        <w:rPr>
          <w:rFonts w:ascii="黑体" w:hAnsi="黑体" w:eastAsia="黑体"/>
          <w:bCs/>
          <w:color w:val="auto"/>
          <w:szCs w:val="21"/>
        </w:rPr>
      </w:pPr>
      <w:r>
        <w:rPr>
          <w:rFonts w:hint="eastAsia" w:ascii="黑体" w:hAnsi="黑体" w:eastAsia="黑体"/>
          <w:bCs/>
          <w:color w:val="auto"/>
          <w:szCs w:val="21"/>
        </w:rPr>
        <w:t>评标委员会负责具体评标事务，并独立履行下列职责：</w:t>
      </w:r>
    </w:p>
    <w:p>
      <w:pPr>
        <w:pStyle w:val="30"/>
        <w:widowControl/>
        <w:numPr>
          <w:ilvl w:val="2"/>
          <w:numId w:val="62"/>
        </w:numPr>
        <w:spacing w:line="360" w:lineRule="auto"/>
        <w:ind w:firstLineChars="0"/>
        <w:jc w:val="left"/>
        <w:rPr>
          <w:rFonts w:ascii="黑体" w:hAnsi="黑体" w:eastAsia="黑体" w:cs="宋体"/>
          <w:color w:val="auto"/>
          <w:szCs w:val="21"/>
          <w:lang w:eastAsia="zh-TW"/>
        </w:rPr>
      </w:pPr>
      <w:r>
        <w:rPr>
          <w:rFonts w:hint="eastAsia" w:ascii="黑体" w:hAnsi="黑体" w:eastAsia="黑体" w:cs="宋体"/>
          <w:color w:val="auto"/>
          <w:szCs w:val="21"/>
          <w:lang w:eastAsia="zh-TW"/>
        </w:rPr>
        <w:t>审查、评价投标文件是否符合招标文件的商务、技术等实质性要求；</w:t>
      </w:r>
    </w:p>
    <w:p>
      <w:pPr>
        <w:pStyle w:val="30"/>
        <w:widowControl/>
        <w:numPr>
          <w:ilvl w:val="2"/>
          <w:numId w:val="62"/>
        </w:numPr>
        <w:spacing w:line="360" w:lineRule="auto"/>
        <w:ind w:firstLineChars="0"/>
        <w:jc w:val="left"/>
        <w:rPr>
          <w:rFonts w:ascii="黑体" w:hAnsi="黑体" w:eastAsia="黑体" w:cs="宋体"/>
          <w:color w:val="auto"/>
          <w:szCs w:val="21"/>
          <w:lang w:eastAsia="zh-TW"/>
        </w:rPr>
      </w:pPr>
      <w:r>
        <w:rPr>
          <w:rFonts w:hint="eastAsia" w:ascii="黑体" w:hAnsi="黑体" w:eastAsia="黑体" w:cs="宋体"/>
          <w:color w:val="auto"/>
          <w:szCs w:val="21"/>
          <w:lang w:eastAsia="zh-TW"/>
        </w:rPr>
        <w:t>要求投标人对投标文件有关事项作出澄清或者说明；</w:t>
      </w:r>
    </w:p>
    <w:p>
      <w:pPr>
        <w:pStyle w:val="30"/>
        <w:widowControl/>
        <w:numPr>
          <w:ilvl w:val="2"/>
          <w:numId w:val="62"/>
        </w:numPr>
        <w:spacing w:line="360" w:lineRule="auto"/>
        <w:ind w:firstLineChars="0"/>
        <w:jc w:val="left"/>
        <w:rPr>
          <w:rFonts w:ascii="黑体" w:hAnsi="黑体" w:eastAsia="黑体" w:cs="宋体"/>
          <w:color w:val="auto"/>
          <w:szCs w:val="21"/>
          <w:lang w:eastAsia="zh-TW"/>
        </w:rPr>
      </w:pPr>
      <w:r>
        <w:rPr>
          <w:rFonts w:hint="eastAsia" w:ascii="黑体" w:hAnsi="黑体" w:eastAsia="黑体" w:cs="宋体"/>
          <w:color w:val="auto"/>
          <w:szCs w:val="21"/>
          <w:lang w:eastAsia="zh-TW"/>
        </w:rPr>
        <w:t>对投标文件进行比较和评价；</w:t>
      </w:r>
    </w:p>
    <w:p>
      <w:pPr>
        <w:pStyle w:val="30"/>
        <w:widowControl/>
        <w:numPr>
          <w:ilvl w:val="2"/>
          <w:numId w:val="62"/>
        </w:numPr>
        <w:spacing w:line="360" w:lineRule="auto"/>
        <w:ind w:firstLineChars="0"/>
        <w:jc w:val="left"/>
        <w:rPr>
          <w:rFonts w:ascii="黑体" w:hAnsi="黑体" w:eastAsia="黑体" w:cs="宋体"/>
          <w:color w:val="auto"/>
          <w:szCs w:val="21"/>
          <w:lang w:eastAsia="zh-TW"/>
        </w:rPr>
      </w:pPr>
      <w:r>
        <w:rPr>
          <w:rFonts w:hint="eastAsia" w:ascii="黑体" w:hAnsi="黑体" w:eastAsia="黑体" w:cs="宋体"/>
          <w:color w:val="auto"/>
          <w:szCs w:val="21"/>
          <w:lang w:eastAsia="zh-TW"/>
        </w:rPr>
        <w:t>确定中标候选人名单，以及根据采购人委托直接确定中标人；</w:t>
      </w:r>
    </w:p>
    <w:p>
      <w:pPr>
        <w:pStyle w:val="30"/>
        <w:widowControl/>
        <w:numPr>
          <w:ilvl w:val="2"/>
          <w:numId w:val="62"/>
        </w:numPr>
        <w:spacing w:line="360" w:lineRule="auto"/>
        <w:ind w:firstLineChars="0"/>
        <w:jc w:val="left"/>
        <w:rPr>
          <w:rFonts w:ascii="黑体" w:hAnsi="黑体" w:eastAsia="黑体" w:cs="宋体"/>
          <w:color w:val="auto"/>
          <w:szCs w:val="21"/>
          <w:lang w:eastAsia="zh-TW"/>
        </w:rPr>
      </w:pPr>
      <w:r>
        <w:rPr>
          <w:rFonts w:hint="eastAsia" w:ascii="黑体" w:hAnsi="黑体" w:eastAsia="黑体" w:cs="宋体"/>
          <w:color w:val="auto"/>
          <w:szCs w:val="21"/>
          <w:lang w:eastAsia="zh-TW"/>
        </w:rPr>
        <w:t>向采购人、采购代理机构或者有关部门报告评标中发现的违法行为。</w:t>
      </w:r>
    </w:p>
    <w:p>
      <w:pPr>
        <w:pStyle w:val="30"/>
        <w:widowControl/>
        <w:numPr>
          <w:ilvl w:val="1"/>
          <w:numId w:val="62"/>
        </w:numPr>
        <w:spacing w:line="360" w:lineRule="auto"/>
        <w:ind w:firstLineChars="0"/>
        <w:jc w:val="left"/>
        <w:rPr>
          <w:rFonts w:ascii="黑体" w:hAnsi="黑体" w:eastAsia="黑体" w:cs="宋体"/>
          <w:color w:val="auto"/>
          <w:szCs w:val="21"/>
          <w:lang w:eastAsia="zh-TW"/>
        </w:rPr>
      </w:pPr>
      <w:r>
        <w:rPr>
          <w:rFonts w:hint="eastAsia" w:ascii="黑体" w:hAnsi="黑体" w:eastAsia="黑体" w:cs="宋体"/>
          <w:color w:val="auto"/>
          <w:szCs w:val="21"/>
          <w:lang w:eastAsia="zh-TW"/>
        </w:rPr>
        <w:t>对于投标文件中含义不明确、同类问题表述不一致或者有明显文字和计算错误的内容，评标委员会应当以书面形式要求投标人作出必要的澄清、说明或者补正。</w:t>
      </w:r>
    </w:p>
    <w:p>
      <w:pPr>
        <w:pStyle w:val="30"/>
        <w:numPr>
          <w:ilvl w:val="1"/>
          <w:numId w:val="62"/>
        </w:numPr>
        <w:spacing w:line="360" w:lineRule="auto"/>
        <w:ind w:firstLineChars="0"/>
        <w:rPr>
          <w:rFonts w:ascii="黑体" w:hAnsi="黑体" w:eastAsia="黑体"/>
          <w:bCs/>
          <w:color w:val="auto"/>
          <w:szCs w:val="21"/>
        </w:rPr>
      </w:pPr>
      <w:r>
        <w:rPr>
          <w:rFonts w:hint="eastAsia" w:ascii="黑体" w:hAnsi="黑体" w:eastAsia="黑体"/>
          <w:bCs/>
          <w:color w:val="auto"/>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30"/>
        <w:numPr>
          <w:ilvl w:val="1"/>
          <w:numId w:val="62"/>
        </w:numPr>
        <w:spacing w:line="360" w:lineRule="auto"/>
        <w:ind w:firstLineChars="0"/>
        <w:rPr>
          <w:rFonts w:ascii="黑体" w:hAnsi="黑体" w:eastAsia="黑体"/>
          <w:bCs/>
          <w:color w:val="auto"/>
          <w:spacing w:val="-4"/>
          <w:szCs w:val="21"/>
        </w:rPr>
      </w:pPr>
      <w:r>
        <w:rPr>
          <w:rFonts w:hint="eastAsia" w:ascii="黑体" w:hAnsi="黑体" w:eastAsia="黑体"/>
          <w:bCs/>
          <w:color w:val="auto"/>
          <w:spacing w:val="-4"/>
          <w:szCs w:val="21"/>
        </w:rPr>
        <w:t>参与评标工作的所有人员必须遵守</w:t>
      </w:r>
      <w:r>
        <w:rPr>
          <w:rFonts w:hint="eastAsia" w:ascii="黑体" w:hAnsi="黑体" w:eastAsia="黑体"/>
          <w:color w:val="auto"/>
          <w:spacing w:val="-4"/>
          <w:szCs w:val="21"/>
        </w:rPr>
        <w:t>《中华人民共和国政府采购法》、《中华人民共和国政府采购法实施条例》、财政部《政府采购货物和服务招标投标管理办法》、广东省实施《中华人民共和国政府采购法》办法</w:t>
      </w:r>
      <w:r>
        <w:rPr>
          <w:rFonts w:hint="eastAsia" w:ascii="黑体" w:hAnsi="黑体" w:eastAsia="黑体"/>
          <w:bCs/>
          <w:color w:val="auto"/>
          <w:spacing w:val="-4"/>
          <w:szCs w:val="21"/>
        </w:rPr>
        <w:t>及相关法律、法规的规定，以确保评标的公平、公正。</w:t>
      </w:r>
    </w:p>
    <w:p>
      <w:pPr>
        <w:pStyle w:val="30"/>
        <w:numPr>
          <w:ilvl w:val="0"/>
          <w:numId w:val="61"/>
        </w:numPr>
        <w:spacing w:before="312" w:beforeLines="100" w:line="360" w:lineRule="auto"/>
        <w:ind w:firstLineChars="0"/>
        <w:rPr>
          <w:rFonts w:ascii="黑体" w:hAnsi="黑体" w:eastAsia="黑体"/>
          <w:b/>
          <w:bCs/>
          <w:color w:val="auto"/>
          <w:szCs w:val="21"/>
        </w:rPr>
      </w:pPr>
      <w:r>
        <w:rPr>
          <w:rFonts w:hint="eastAsia" w:ascii="黑体" w:hAnsi="黑体" w:eastAsia="黑体"/>
          <w:b/>
          <w:bCs/>
          <w:color w:val="auto"/>
          <w:szCs w:val="21"/>
        </w:rPr>
        <w:t>评标方法</w:t>
      </w:r>
    </w:p>
    <w:p>
      <w:pPr>
        <w:pStyle w:val="30"/>
        <w:numPr>
          <w:ilvl w:val="1"/>
          <w:numId w:val="64"/>
        </w:numPr>
        <w:spacing w:line="360" w:lineRule="auto"/>
        <w:ind w:left="426" w:hanging="426" w:firstLineChars="0"/>
        <w:rPr>
          <w:rFonts w:ascii="黑体" w:hAnsi="黑体" w:eastAsia="黑体"/>
          <w:bCs/>
          <w:color w:val="auto"/>
          <w:szCs w:val="21"/>
        </w:rPr>
      </w:pPr>
      <w:r>
        <w:rPr>
          <w:rFonts w:hint="eastAsia" w:ascii="黑体" w:hAnsi="黑体" w:eastAsia="黑体"/>
          <w:bCs/>
          <w:color w:val="auto"/>
          <w:szCs w:val="21"/>
        </w:rPr>
        <w:t>本项目按照</w:t>
      </w:r>
      <w:r>
        <w:rPr>
          <w:rFonts w:hint="eastAsia" w:ascii="黑体" w:hAnsi="黑体" w:eastAsia="黑体"/>
          <w:b/>
          <w:bCs/>
          <w:color w:val="auto"/>
          <w:szCs w:val="21"/>
          <w:u w:val="single"/>
        </w:rPr>
        <w:t>投标须知前附表</w:t>
      </w:r>
      <w:r>
        <w:rPr>
          <w:rFonts w:hint="eastAsia" w:ascii="黑体" w:hAnsi="黑体" w:eastAsia="黑体"/>
          <w:b/>
          <w:bCs/>
          <w:color w:val="auto"/>
          <w:szCs w:val="21"/>
        </w:rPr>
        <w:t>规定</w:t>
      </w:r>
      <w:r>
        <w:rPr>
          <w:rFonts w:hint="eastAsia" w:ascii="黑体" w:hAnsi="黑体" w:eastAsia="黑体"/>
          <w:bCs/>
          <w:color w:val="auto"/>
          <w:szCs w:val="21"/>
        </w:rPr>
        <w:t>的评标方法进行评审。</w:t>
      </w:r>
    </w:p>
    <w:p>
      <w:pPr>
        <w:pStyle w:val="30"/>
        <w:numPr>
          <w:ilvl w:val="1"/>
          <w:numId w:val="64"/>
        </w:numPr>
        <w:spacing w:line="360" w:lineRule="auto"/>
        <w:ind w:left="426" w:hanging="426" w:firstLineChars="0"/>
        <w:rPr>
          <w:rFonts w:ascii="黑体" w:hAnsi="黑体" w:eastAsia="黑体"/>
          <w:bCs/>
          <w:color w:val="auto"/>
          <w:szCs w:val="21"/>
        </w:rPr>
      </w:pPr>
      <w:r>
        <w:rPr>
          <w:rFonts w:hint="eastAsia" w:ascii="黑体" w:hAnsi="黑体" w:eastAsia="黑体"/>
          <w:bCs/>
          <w:color w:val="auto"/>
          <w:szCs w:val="21"/>
        </w:rPr>
        <w:t>综合评分法：是指投标文件满足招标文件全部实质性要求，且按照评审因素的量化指标评审得分最高的投标人为中标候选人的评标方法。</w:t>
      </w:r>
    </w:p>
    <w:p>
      <w:pPr>
        <w:pStyle w:val="30"/>
        <w:numPr>
          <w:ilvl w:val="0"/>
          <w:numId w:val="65"/>
        </w:numPr>
        <w:tabs>
          <w:tab w:val="left" w:pos="567"/>
        </w:tabs>
        <w:spacing w:line="360" w:lineRule="auto"/>
        <w:ind w:firstLineChars="0"/>
        <w:rPr>
          <w:rFonts w:ascii="黑体" w:hAnsi="黑体" w:eastAsia="黑体"/>
          <w:bCs/>
          <w:color w:val="auto"/>
          <w:szCs w:val="21"/>
        </w:rPr>
      </w:pPr>
      <w:r>
        <w:rPr>
          <w:rFonts w:hint="eastAsia" w:ascii="黑体" w:hAnsi="黑体" w:eastAsia="黑体"/>
          <w:bCs/>
          <w:color w:val="auto"/>
          <w:szCs w:val="21"/>
        </w:rPr>
        <w:t>各项得分按四舍五入原则精确到小数点后两位。</w:t>
      </w:r>
    </w:p>
    <w:p>
      <w:pPr>
        <w:pStyle w:val="30"/>
        <w:numPr>
          <w:ilvl w:val="1"/>
          <w:numId w:val="64"/>
        </w:numPr>
        <w:spacing w:line="360" w:lineRule="auto"/>
        <w:ind w:left="426" w:hanging="426" w:firstLineChars="0"/>
        <w:rPr>
          <w:rFonts w:ascii="黑体" w:hAnsi="黑体" w:eastAsia="黑体"/>
          <w:bCs/>
          <w:color w:val="auto"/>
          <w:szCs w:val="21"/>
        </w:rPr>
      </w:pPr>
      <w:r>
        <w:rPr>
          <w:rFonts w:hint="eastAsia" w:ascii="黑体" w:hAnsi="黑体" w:eastAsia="黑体"/>
          <w:bCs/>
          <w:color w:val="auto"/>
          <w:szCs w:val="21"/>
        </w:rPr>
        <w:t>最低评标价法：是指投标文件满足招标文件全部实质性要求，且投标报价最低的投标人为中标候选人的评标方法。</w:t>
      </w:r>
    </w:p>
    <w:p>
      <w:pPr>
        <w:pStyle w:val="30"/>
        <w:numPr>
          <w:ilvl w:val="0"/>
          <w:numId w:val="61"/>
        </w:numPr>
        <w:spacing w:before="312" w:beforeLines="100" w:line="360" w:lineRule="auto"/>
        <w:ind w:firstLineChars="0"/>
        <w:rPr>
          <w:rFonts w:ascii="黑体" w:hAnsi="黑体" w:eastAsia="黑体"/>
          <w:bCs/>
          <w:color w:val="auto"/>
          <w:szCs w:val="21"/>
        </w:rPr>
      </w:pPr>
      <w:r>
        <w:rPr>
          <w:rFonts w:hint="eastAsia" w:ascii="黑体" w:hAnsi="黑体" w:eastAsia="黑体"/>
          <w:b/>
          <w:bCs/>
          <w:color w:val="auto"/>
          <w:szCs w:val="21"/>
        </w:rPr>
        <w:t>评标步骤</w:t>
      </w:r>
    </w:p>
    <w:p>
      <w:pPr>
        <w:pStyle w:val="30"/>
        <w:numPr>
          <w:ilvl w:val="1"/>
          <w:numId w:val="66"/>
        </w:numPr>
        <w:spacing w:line="360" w:lineRule="auto"/>
        <w:ind w:left="426" w:hanging="426" w:firstLineChars="0"/>
        <w:rPr>
          <w:rFonts w:ascii="黑体" w:hAnsi="黑体" w:eastAsia="黑体"/>
          <w:color w:val="auto"/>
        </w:rPr>
      </w:pPr>
      <w:r>
        <w:rPr>
          <w:rFonts w:hint="eastAsia" w:ascii="黑体" w:hAnsi="黑体" w:eastAsia="黑体"/>
          <w:bCs/>
          <w:color w:val="auto"/>
          <w:szCs w:val="21"/>
        </w:rPr>
        <w:t>综合评分法：</w:t>
      </w:r>
      <w:bookmarkStart w:id="43" w:name="_Hlk81182166"/>
      <w:bookmarkStart w:id="44" w:name="_Hlk81181953"/>
      <w:r>
        <w:rPr>
          <w:rFonts w:hint="eastAsia" w:ascii="黑体" w:hAnsi="黑体" w:eastAsia="黑体"/>
          <w:bCs/>
          <w:color w:val="auto"/>
          <w:szCs w:val="21"/>
        </w:rPr>
        <w:t>公开招标采购项目开标结束后，采购人或者采购代理机构应当依法对投标人的资格进行审查</w:t>
      </w:r>
      <w:bookmarkEnd w:id="43"/>
      <w:r>
        <w:rPr>
          <w:rFonts w:hint="eastAsia" w:ascii="黑体" w:hAnsi="黑体" w:eastAsia="黑体"/>
          <w:color w:val="auto"/>
        </w:rPr>
        <w:t>（</w:t>
      </w:r>
      <w:bookmarkStart w:id="45" w:name="_Hlk79425785"/>
      <w:r>
        <w:rPr>
          <w:rFonts w:hint="eastAsia" w:ascii="黑体" w:hAnsi="黑体" w:eastAsia="黑体"/>
          <w:color w:val="auto"/>
        </w:rPr>
        <w:t>详见附表一资格性审查表</w:t>
      </w:r>
      <w:bookmarkEnd w:id="45"/>
      <w:r>
        <w:rPr>
          <w:rFonts w:hint="eastAsia" w:ascii="黑体" w:hAnsi="黑体" w:eastAsia="黑体"/>
          <w:color w:val="auto"/>
        </w:rPr>
        <w:t>），通过资格性审查的投标人由评标委员会对其投标文件进行符合性评审（</w:t>
      </w:r>
      <w:bookmarkStart w:id="46" w:name="_Hlk79425810"/>
      <w:r>
        <w:rPr>
          <w:rFonts w:hint="eastAsia" w:ascii="黑体" w:hAnsi="黑体" w:eastAsia="黑体"/>
          <w:color w:val="auto"/>
        </w:rPr>
        <w:t>详见附表二</w:t>
      </w:r>
      <w:r>
        <w:rPr>
          <w:rFonts w:ascii="黑体" w:hAnsi="黑体" w:eastAsia="黑体"/>
          <w:color w:val="auto"/>
        </w:rPr>
        <w:t>符合性审查表</w:t>
      </w:r>
      <w:bookmarkEnd w:id="46"/>
      <w:r>
        <w:rPr>
          <w:rFonts w:hint="eastAsia" w:ascii="黑体" w:hAnsi="黑体" w:eastAsia="黑体"/>
          <w:color w:val="auto"/>
        </w:rPr>
        <w:t>），</w:t>
      </w:r>
      <w:bookmarkStart w:id="47" w:name="_Hlk81182229"/>
      <w:r>
        <w:rPr>
          <w:rFonts w:hint="eastAsia" w:ascii="黑体" w:hAnsi="黑体" w:eastAsia="黑体"/>
          <w:color w:val="auto"/>
        </w:rPr>
        <w:t>只有通过符合性审查的投标</w:t>
      </w:r>
      <w:bookmarkEnd w:id="47"/>
      <w:r>
        <w:rPr>
          <w:rFonts w:hint="eastAsia" w:ascii="黑体" w:hAnsi="黑体" w:eastAsia="黑体"/>
          <w:color w:val="auto"/>
        </w:rPr>
        <w:t>才能进入详细的评审和价格评审，</w:t>
      </w:r>
      <w:bookmarkEnd w:id="44"/>
      <w:r>
        <w:rPr>
          <w:rFonts w:hint="eastAsia" w:ascii="黑体" w:hAnsi="黑体" w:eastAsia="黑体"/>
          <w:color w:val="auto"/>
        </w:rPr>
        <w:t>最后评标委员会出具评标报告。</w:t>
      </w:r>
    </w:p>
    <w:p>
      <w:pPr>
        <w:pStyle w:val="30"/>
        <w:numPr>
          <w:ilvl w:val="1"/>
          <w:numId w:val="66"/>
        </w:numPr>
        <w:spacing w:line="360" w:lineRule="auto"/>
        <w:ind w:left="426" w:hanging="426" w:firstLineChars="0"/>
        <w:rPr>
          <w:rFonts w:ascii="黑体" w:hAnsi="黑体" w:eastAsia="黑体"/>
          <w:color w:val="auto"/>
        </w:rPr>
      </w:pPr>
      <w:r>
        <w:rPr>
          <w:rFonts w:hint="eastAsia" w:ascii="黑体" w:hAnsi="黑体" w:eastAsia="黑体"/>
          <w:color w:val="auto"/>
        </w:rPr>
        <w:t>评标时，评标委员会各成员应当独立对每个投标人的投标文件进行评价，并汇总每个投</w:t>
      </w:r>
    </w:p>
    <w:p>
      <w:pPr>
        <w:pStyle w:val="30"/>
        <w:spacing w:line="360" w:lineRule="auto"/>
        <w:ind w:left="426" w:firstLine="0" w:firstLineChars="0"/>
        <w:rPr>
          <w:rFonts w:ascii="黑体" w:hAnsi="黑体" w:eastAsia="黑体"/>
          <w:color w:val="auto"/>
        </w:rPr>
      </w:pPr>
      <w:r>
        <w:rPr>
          <w:rFonts w:hint="eastAsia" w:ascii="黑体" w:hAnsi="黑体" w:eastAsia="黑体"/>
          <w:color w:val="auto"/>
        </w:rPr>
        <w:t>标人的得分。</w:t>
      </w:r>
    </w:p>
    <w:p>
      <w:pPr>
        <w:pStyle w:val="30"/>
        <w:numPr>
          <w:ilvl w:val="0"/>
          <w:numId w:val="60"/>
        </w:numPr>
        <w:spacing w:before="312" w:beforeLines="100" w:line="360" w:lineRule="auto"/>
        <w:ind w:firstLineChars="0"/>
        <w:rPr>
          <w:rFonts w:ascii="黑体" w:hAnsi="黑体" w:eastAsia="黑体"/>
          <w:b/>
          <w:bCs/>
          <w:color w:val="auto"/>
          <w:szCs w:val="21"/>
        </w:rPr>
      </w:pPr>
      <w:r>
        <w:rPr>
          <w:rFonts w:hint="eastAsia" w:ascii="黑体" w:hAnsi="黑体" w:eastAsia="黑体"/>
          <w:b/>
          <w:bCs/>
          <w:color w:val="auto"/>
          <w:szCs w:val="21"/>
        </w:rPr>
        <w:t>投标无效的情形</w:t>
      </w:r>
    </w:p>
    <w:p>
      <w:pPr>
        <w:pStyle w:val="30"/>
        <w:numPr>
          <w:ilvl w:val="0"/>
          <w:numId w:val="61"/>
        </w:numPr>
        <w:spacing w:line="360" w:lineRule="auto"/>
        <w:ind w:firstLineChars="0"/>
        <w:rPr>
          <w:rFonts w:ascii="黑体" w:hAnsi="黑体" w:eastAsia="黑体"/>
          <w:bCs/>
          <w:color w:val="auto"/>
          <w:szCs w:val="21"/>
        </w:rPr>
      </w:pPr>
      <w:r>
        <w:rPr>
          <w:rFonts w:hint="eastAsia" w:ascii="黑体" w:hAnsi="黑体" w:eastAsia="黑体"/>
          <w:bCs/>
          <w:color w:val="auto"/>
          <w:szCs w:val="21"/>
        </w:rPr>
        <w:t>详见资格性审查、符合性审查和招标文件其他投标无效条款。</w:t>
      </w:r>
    </w:p>
    <w:p>
      <w:pPr>
        <w:pStyle w:val="30"/>
        <w:numPr>
          <w:ilvl w:val="0"/>
          <w:numId w:val="60"/>
        </w:numPr>
        <w:spacing w:before="312" w:beforeLines="100" w:line="360" w:lineRule="auto"/>
        <w:ind w:firstLineChars="0"/>
        <w:rPr>
          <w:rFonts w:ascii="黑体" w:hAnsi="黑体" w:eastAsia="黑体"/>
          <w:b/>
          <w:bCs/>
          <w:color w:val="auto"/>
          <w:szCs w:val="21"/>
        </w:rPr>
      </w:pPr>
      <w:r>
        <w:rPr>
          <w:rFonts w:hint="eastAsia" w:ascii="黑体" w:hAnsi="黑体" w:eastAsia="黑体"/>
          <w:b/>
          <w:bCs/>
          <w:color w:val="auto"/>
          <w:szCs w:val="21"/>
        </w:rPr>
        <w:t>详细评审</w:t>
      </w:r>
    </w:p>
    <w:p>
      <w:pPr>
        <w:pStyle w:val="30"/>
        <w:numPr>
          <w:ilvl w:val="0"/>
          <w:numId w:val="61"/>
        </w:numPr>
        <w:tabs>
          <w:tab w:val="left" w:pos="426"/>
        </w:tabs>
        <w:spacing w:line="360" w:lineRule="auto"/>
        <w:ind w:firstLineChars="0"/>
        <w:rPr>
          <w:rFonts w:ascii="黑体" w:hAnsi="黑体" w:eastAsia="黑体"/>
          <w:bCs/>
          <w:color w:val="auto"/>
          <w:szCs w:val="21"/>
        </w:rPr>
      </w:pPr>
      <w:r>
        <w:rPr>
          <w:rFonts w:hint="eastAsia" w:ascii="黑体" w:hAnsi="黑体" w:eastAsia="黑体"/>
          <w:bCs/>
          <w:color w:val="auto"/>
          <w:szCs w:val="21"/>
        </w:rPr>
        <w:t>评标委员会应当按照招标文件中规定的评标方法和标准，对符合性审查合格的投标文件进行商务和技术评估，综合比较与评价。具体商务、技术部分的</w:t>
      </w:r>
      <w:bookmarkStart w:id="48" w:name="_Hlk75740750"/>
      <w:r>
        <w:rPr>
          <w:rFonts w:hint="eastAsia" w:ascii="黑体" w:hAnsi="黑体" w:eastAsia="黑体"/>
          <w:bCs/>
          <w:color w:val="auto"/>
          <w:szCs w:val="21"/>
        </w:rPr>
        <w:t>评审</w:t>
      </w:r>
      <w:bookmarkEnd w:id="48"/>
      <w:r>
        <w:rPr>
          <w:rFonts w:hint="eastAsia" w:ascii="黑体" w:hAnsi="黑体" w:eastAsia="黑体"/>
          <w:bCs/>
          <w:color w:val="auto"/>
          <w:szCs w:val="21"/>
        </w:rPr>
        <w:t>因素详见</w:t>
      </w:r>
      <w:r>
        <w:rPr>
          <w:rFonts w:hint="eastAsia" w:ascii="黑体" w:hAnsi="黑体" w:eastAsia="黑体"/>
          <w:color w:val="auto"/>
        </w:rPr>
        <w:t>《商务、技术评审细则》（附表三）。</w:t>
      </w:r>
    </w:p>
    <w:p>
      <w:pPr>
        <w:pStyle w:val="30"/>
        <w:numPr>
          <w:ilvl w:val="0"/>
          <w:numId w:val="60"/>
        </w:numPr>
        <w:spacing w:before="312" w:beforeLines="100" w:line="360" w:lineRule="auto"/>
        <w:ind w:firstLineChars="0"/>
        <w:rPr>
          <w:rFonts w:ascii="黑体" w:hAnsi="黑体" w:eastAsia="黑体"/>
          <w:b/>
          <w:bCs/>
          <w:color w:val="auto"/>
          <w:szCs w:val="21"/>
        </w:rPr>
      </w:pPr>
      <w:r>
        <w:rPr>
          <w:rFonts w:hint="eastAsia" w:ascii="黑体" w:hAnsi="黑体" w:eastAsia="黑体"/>
          <w:b/>
          <w:bCs/>
          <w:color w:val="auto"/>
          <w:szCs w:val="21"/>
        </w:rPr>
        <w:t>价格评审</w:t>
      </w:r>
    </w:p>
    <w:p>
      <w:pPr>
        <w:pStyle w:val="30"/>
        <w:numPr>
          <w:ilvl w:val="0"/>
          <w:numId w:val="61"/>
        </w:numPr>
        <w:tabs>
          <w:tab w:val="left" w:pos="426"/>
        </w:tabs>
        <w:spacing w:line="360" w:lineRule="auto"/>
        <w:ind w:firstLineChars="0"/>
        <w:rPr>
          <w:rFonts w:ascii="黑体" w:hAnsi="黑体" w:eastAsia="黑体"/>
          <w:bCs/>
          <w:color w:val="auto"/>
          <w:szCs w:val="21"/>
        </w:rPr>
      </w:pPr>
      <w:r>
        <w:rPr>
          <w:rFonts w:hint="eastAsia" w:ascii="黑体" w:hAnsi="黑体" w:eastAsia="黑体"/>
          <w:bCs/>
          <w:color w:val="auto"/>
          <w:szCs w:val="21"/>
        </w:rPr>
        <w:t>投标文件报价出现前后不一致的，除招标文件另有规定外，按照下列规定修正：</w:t>
      </w:r>
    </w:p>
    <w:p>
      <w:pPr>
        <w:pStyle w:val="30"/>
        <w:numPr>
          <w:ilvl w:val="1"/>
          <w:numId w:val="67"/>
        </w:numPr>
        <w:spacing w:line="360" w:lineRule="auto"/>
        <w:ind w:firstLineChars="0"/>
        <w:rPr>
          <w:rFonts w:ascii="黑体" w:hAnsi="黑体" w:eastAsia="黑体"/>
          <w:bCs/>
          <w:color w:val="auto"/>
          <w:szCs w:val="21"/>
        </w:rPr>
      </w:pPr>
      <w:r>
        <w:rPr>
          <w:rFonts w:hint="eastAsia" w:ascii="黑体" w:hAnsi="黑体" w:eastAsia="黑体"/>
          <w:color w:val="auto"/>
        </w:rPr>
        <w:t>投标文件中开标一览表（报价表）内容与投标文件中相应内容不一致的，以开标一览表（报价表）为准；</w:t>
      </w:r>
    </w:p>
    <w:p>
      <w:pPr>
        <w:pStyle w:val="30"/>
        <w:numPr>
          <w:ilvl w:val="1"/>
          <w:numId w:val="67"/>
        </w:numPr>
        <w:spacing w:line="360" w:lineRule="auto"/>
        <w:ind w:firstLineChars="0"/>
        <w:rPr>
          <w:rFonts w:ascii="黑体" w:hAnsi="黑体" w:eastAsia="黑体"/>
          <w:bCs/>
          <w:color w:val="auto"/>
          <w:szCs w:val="21"/>
        </w:rPr>
      </w:pPr>
      <w:r>
        <w:rPr>
          <w:rFonts w:hint="eastAsia" w:ascii="黑体" w:hAnsi="黑体" w:eastAsia="黑体"/>
          <w:bCs/>
          <w:color w:val="auto"/>
          <w:szCs w:val="21"/>
        </w:rPr>
        <w:t>大写金额和小写金额不一致的，以大写金额为准；</w:t>
      </w:r>
    </w:p>
    <w:p>
      <w:pPr>
        <w:pStyle w:val="30"/>
        <w:numPr>
          <w:ilvl w:val="1"/>
          <w:numId w:val="67"/>
        </w:numPr>
        <w:spacing w:line="360" w:lineRule="auto"/>
        <w:ind w:firstLineChars="0"/>
        <w:rPr>
          <w:rFonts w:ascii="黑体" w:hAnsi="黑体" w:eastAsia="黑体"/>
          <w:bCs/>
          <w:color w:val="auto"/>
          <w:szCs w:val="21"/>
        </w:rPr>
      </w:pPr>
      <w:r>
        <w:rPr>
          <w:rFonts w:hint="eastAsia" w:ascii="黑体" w:hAnsi="黑体" w:eastAsia="黑体"/>
          <w:bCs/>
          <w:color w:val="auto"/>
          <w:szCs w:val="21"/>
        </w:rPr>
        <w:t>单价金额小数点或者百分比有明显错位的，以开标一览表的总价为准，并修改单价；</w:t>
      </w:r>
    </w:p>
    <w:p>
      <w:pPr>
        <w:pStyle w:val="30"/>
        <w:numPr>
          <w:ilvl w:val="1"/>
          <w:numId w:val="67"/>
        </w:numPr>
        <w:spacing w:line="360" w:lineRule="auto"/>
        <w:ind w:firstLineChars="0"/>
        <w:rPr>
          <w:rFonts w:ascii="黑体" w:hAnsi="黑体" w:eastAsia="黑体"/>
          <w:bCs/>
          <w:color w:val="auto"/>
          <w:szCs w:val="21"/>
        </w:rPr>
      </w:pPr>
      <w:r>
        <w:rPr>
          <w:rFonts w:hint="eastAsia" w:ascii="黑体" w:hAnsi="黑体" w:eastAsia="黑体"/>
          <w:bCs/>
          <w:color w:val="auto"/>
          <w:szCs w:val="21"/>
        </w:rPr>
        <w:t>总价金额与按单价汇总金额不一致的，以单价金额计算结果为准。</w:t>
      </w:r>
    </w:p>
    <w:p>
      <w:pPr>
        <w:pStyle w:val="30"/>
        <w:tabs>
          <w:tab w:val="left" w:pos="426"/>
        </w:tabs>
        <w:spacing w:line="360" w:lineRule="auto"/>
        <w:ind w:left="567" w:firstLine="0" w:firstLineChars="0"/>
        <w:rPr>
          <w:rFonts w:ascii="黑体" w:hAnsi="黑体" w:eastAsia="黑体"/>
          <w:bCs/>
          <w:color w:val="auto"/>
          <w:szCs w:val="21"/>
        </w:rPr>
      </w:pPr>
      <w:r>
        <w:rPr>
          <w:rFonts w:hint="eastAsia" w:ascii="黑体" w:hAnsi="黑体" w:eastAsia="黑体"/>
          <w:bCs/>
          <w:color w:val="auto"/>
          <w:szCs w:val="21"/>
        </w:rPr>
        <w:t>同时出现两种以上不一致的，按照前款规定的顺序修正。修正后的报价</w:t>
      </w:r>
      <w:r>
        <w:rPr>
          <w:rFonts w:hint="eastAsia" w:ascii="黑体" w:hAnsi="黑体" w:eastAsia="黑体" w:cs="宋体"/>
          <w:color w:val="auto"/>
          <w:szCs w:val="21"/>
          <w:lang w:eastAsia="zh-TW"/>
        </w:rPr>
        <w:t>按照《政府采购货物和服务招标投标管理办法》第五十一条第二款的规定</w:t>
      </w:r>
      <w:r>
        <w:rPr>
          <w:rFonts w:hint="eastAsia" w:ascii="黑体" w:hAnsi="黑体" w:eastAsia="黑体"/>
          <w:bCs/>
          <w:color w:val="auto"/>
          <w:szCs w:val="21"/>
        </w:rPr>
        <w:t>经投标人确认后产生约束力，投标人不确认的，其投标无效。</w:t>
      </w:r>
    </w:p>
    <w:p>
      <w:pPr>
        <w:pStyle w:val="30"/>
        <w:numPr>
          <w:ilvl w:val="1"/>
          <w:numId w:val="67"/>
        </w:numPr>
        <w:spacing w:line="360" w:lineRule="auto"/>
        <w:ind w:firstLineChars="0"/>
        <w:rPr>
          <w:rFonts w:ascii="黑体" w:hAnsi="黑体" w:eastAsia="黑体"/>
          <w:bCs/>
          <w:color w:val="auto"/>
          <w:szCs w:val="21"/>
        </w:rPr>
      </w:pPr>
      <w:bookmarkStart w:id="49" w:name="_Hlk86745538"/>
      <w:r>
        <w:rPr>
          <w:rFonts w:hint="eastAsia" w:ascii="黑体" w:hAnsi="黑体" w:eastAsia="黑体"/>
          <w:bCs/>
          <w:color w:val="auto"/>
          <w:szCs w:val="21"/>
        </w:rPr>
        <w:t>投标文件中</w:t>
      </w:r>
      <w:bookmarkStart w:id="50" w:name="_Hlk81348653"/>
      <w:r>
        <w:rPr>
          <w:rFonts w:hint="eastAsia" w:ascii="黑体" w:hAnsi="黑体" w:eastAsia="黑体"/>
          <w:bCs/>
          <w:color w:val="auto"/>
          <w:szCs w:val="21"/>
        </w:rPr>
        <w:t>开标一览表（报价表）、</w:t>
      </w:r>
      <w:r>
        <w:rPr>
          <w:rFonts w:hint="eastAsia" w:ascii="黑体" w:hAnsi="黑体" w:eastAsia="黑体"/>
          <w:color w:val="auto"/>
          <w:szCs w:val="21"/>
        </w:rPr>
        <w:t>投标明细报价表</w:t>
      </w:r>
      <w:r>
        <w:rPr>
          <w:rFonts w:hint="eastAsia" w:ascii="黑体" w:hAnsi="黑体" w:eastAsia="黑体"/>
          <w:bCs/>
          <w:color w:val="auto"/>
          <w:szCs w:val="21"/>
        </w:rPr>
        <w:t>内容</w:t>
      </w:r>
      <w:bookmarkEnd w:id="50"/>
      <w:r>
        <w:rPr>
          <w:rFonts w:hint="eastAsia" w:ascii="黑体" w:hAnsi="黑体" w:eastAsia="黑体"/>
          <w:bCs/>
          <w:color w:val="auto"/>
          <w:szCs w:val="21"/>
        </w:rPr>
        <w:t>与唱标信封中开标一览表（报价表、</w:t>
      </w:r>
      <w:r>
        <w:rPr>
          <w:rFonts w:hint="eastAsia" w:ascii="黑体" w:hAnsi="黑体" w:eastAsia="黑体"/>
          <w:color w:val="auto"/>
          <w:szCs w:val="21"/>
        </w:rPr>
        <w:t>投标明细报价表</w:t>
      </w:r>
      <w:r>
        <w:rPr>
          <w:rFonts w:hint="eastAsia" w:ascii="黑体" w:hAnsi="黑体" w:eastAsia="黑体"/>
          <w:bCs/>
          <w:color w:val="auto"/>
          <w:szCs w:val="21"/>
        </w:rPr>
        <w:t>内容不一致的，以唱标信封中开标一览表（报价表）、</w:t>
      </w:r>
      <w:r>
        <w:rPr>
          <w:rFonts w:hint="eastAsia" w:ascii="黑体" w:hAnsi="黑体" w:eastAsia="黑体"/>
          <w:color w:val="auto"/>
          <w:szCs w:val="21"/>
        </w:rPr>
        <w:t>投标明细报价表</w:t>
      </w:r>
      <w:r>
        <w:rPr>
          <w:rFonts w:hint="eastAsia" w:ascii="黑体" w:hAnsi="黑体" w:eastAsia="黑体"/>
          <w:bCs/>
          <w:color w:val="auto"/>
          <w:szCs w:val="21"/>
        </w:rPr>
        <w:t>内容为准。</w:t>
      </w:r>
    </w:p>
    <w:bookmarkEnd w:id="49"/>
    <w:p>
      <w:pPr>
        <w:pStyle w:val="30"/>
        <w:numPr>
          <w:ilvl w:val="0"/>
          <w:numId w:val="61"/>
        </w:numPr>
        <w:tabs>
          <w:tab w:val="left" w:pos="426"/>
        </w:tabs>
        <w:spacing w:line="360" w:lineRule="auto"/>
        <w:ind w:firstLineChars="0"/>
        <w:rPr>
          <w:rFonts w:ascii="黑体" w:hAnsi="黑体" w:eastAsia="黑体"/>
          <w:bCs/>
          <w:color w:val="auto"/>
          <w:szCs w:val="21"/>
        </w:rPr>
      </w:pPr>
      <w:r>
        <w:rPr>
          <w:rFonts w:hint="eastAsia" w:ascii="黑体" w:hAnsi="黑体" w:eastAsia="黑体"/>
          <w:bCs/>
          <w:color w:val="auto"/>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0"/>
        <w:numPr>
          <w:ilvl w:val="0"/>
          <w:numId w:val="61"/>
        </w:numPr>
        <w:tabs>
          <w:tab w:val="left" w:pos="426"/>
        </w:tabs>
        <w:spacing w:before="312" w:beforeLines="100" w:line="360" w:lineRule="auto"/>
        <w:ind w:firstLineChars="0"/>
        <w:rPr>
          <w:rFonts w:ascii="黑体" w:hAnsi="黑体" w:eastAsia="黑体"/>
          <w:b/>
          <w:bCs/>
          <w:color w:val="auto"/>
          <w:szCs w:val="21"/>
        </w:rPr>
      </w:pPr>
      <w:r>
        <w:rPr>
          <w:rFonts w:hint="eastAsia" w:ascii="黑体" w:hAnsi="黑体" w:eastAsia="黑体"/>
          <w:b/>
          <w:bCs/>
          <w:color w:val="auto"/>
          <w:szCs w:val="21"/>
        </w:rPr>
        <w:t>政府采购政策落实</w:t>
      </w:r>
    </w:p>
    <w:p>
      <w:pPr>
        <w:pStyle w:val="30"/>
        <w:numPr>
          <w:ilvl w:val="1"/>
          <w:numId w:val="68"/>
        </w:numPr>
        <w:spacing w:line="360" w:lineRule="auto"/>
        <w:ind w:firstLineChars="0"/>
        <w:rPr>
          <w:rFonts w:ascii="黑体" w:hAnsi="黑体" w:eastAsia="黑体"/>
          <w:b/>
          <w:bCs/>
          <w:color w:val="auto"/>
          <w:szCs w:val="21"/>
        </w:rPr>
      </w:pPr>
      <w:r>
        <w:rPr>
          <w:rFonts w:hint="eastAsia" w:ascii="黑体" w:hAnsi="黑体" w:eastAsia="黑体"/>
          <w:b/>
          <w:bCs/>
          <w:color w:val="auto"/>
          <w:szCs w:val="21"/>
        </w:rPr>
        <w:t>对小型或微型企业投标的扶持</w:t>
      </w:r>
    </w:p>
    <w:p>
      <w:pPr>
        <w:pStyle w:val="30"/>
        <w:numPr>
          <w:ilvl w:val="2"/>
          <w:numId w:val="69"/>
        </w:numPr>
        <w:spacing w:line="360" w:lineRule="auto"/>
        <w:ind w:firstLineChars="0"/>
        <w:rPr>
          <w:rFonts w:ascii="黑体" w:hAnsi="黑体" w:eastAsia="黑体"/>
          <w:bCs/>
          <w:color w:val="auto"/>
          <w:szCs w:val="21"/>
        </w:rPr>
      </w:pPr>
      <w:r>
        <w:rPr>
          <w:rFonts w:hint="eastAsia" w:ascii="黑体" w:hAnsi="黑体" w:eastAsia="黑体"/>
          <w:bCs/>
          <w:color w:val="auto"/>
          <w:szCs w:val="21"/>
        </w:rPr>
        <w:t>根据财政部、工业和信息化部制定《政府采购促进中小企业发展管理办法》（财库[</w:t>
      </w:r>
      <w:r>
        <w:rPr>
          <w:rFonts w:ascii="黑体" w:hAnsi="黑体" w:eastAsia="黑体"/>
          <w:bCs/>
          <w:color w:val="auto"/>
          <w:szCs w:val="21"/>
        </w:rPr>
        <w:t>2020]46</w:t>
      </w:r>
      <w:r>
        <w:rPr>
          <w:rFonts w:hint="eastAsia" w:ascii="黑体" w:hAnsi="黑体" w:eastAsia="黑体"/>
          <w:bCs/>
          <w:color w:val="auto"/>
          <w:szCs w:val="21"/>
        </w:rPr>
        <w:t>号）的规定，对小微企业报价给予10%的扣除，用扣除后的价格参与评审。参加政府采购活动的中小企业应当提供《中小企业声明函》（格式详见招标文件第七部分投标文件格式）。</w:t>
      </w:r>
    </w:p>
    <w:p>
      <w:pPr>
        <w:pStyle w:val="30"/>
        <w:numPr>
          <w:ilvl w:val="1"/>
          <w:numId w:val="68"/>
        </w:numPr>
        <w:spacing w:line="360" w:lineRule="auto"/>
        <w:ind w:firstLineChars="0"/>
        <w:rPr>
          <w:rFonts w:ascii="黑体" w:hAnsi="黑体" w:eastAsia="黑体"/>
          <w:b/>
          <w:bCs/>
          <w:color w:val="auto"/>
          <w:szCs w:val="21"/>
        </w:rPr>
      </w:pPr>
      <w:r>
        <w:rPr>
          <w:rFonts w:hint="eastAsia" w:ascii="黑体" w:hAnsi="黑体" w:eastAsia="黑体"/>
          <w:b/>
          <w:bCs/>
          <w:color w:val="auto"/>
          <w:szCs w:val="21"/>
        </w:rPr>
        <w:t>对监狱企业投标的扶持</w:t>
      </w:r>
    </w:p>
    <w:p>
      <w:pPr>
        <w:pStyle w:val="30"/>
        <w:numPr>
          <w:ilvl w:val="2"/>
          <w:numId w:val="70"/>
        </w:numPr>
        <w:spacing w:line="360" w:lineRule="auto"/>
        <w:ind w:firstLineChars="0"/>
        <w:rPr>
          <w:rFonts w:ascii="黑体" w:hAnsi="黑体" w:eastAsia="黑体"/>
          <w:bCs/>
          <w:color w:val="auto"/>
          <w:szCs w:val="21"/>
        </w:rPr>
      </w:pPr>
      <w:r>
        <w:rPr>
          <w:rFonts w:hint="eastAsia" w:ascii="黑体" w:hAnsi="黑体" w:eastAsia="黑体"/>
          <w:bCs/>
          <w:color w:val="auto"/>
          <w:szCs w:val="21"/>
        </w:rPr>
        <w:t>为发挥政府采购支持监狱企业发展的作用，根据《关于政府采购支持监狱企业发展有关问题的通知》（财库</w:t>
      </w:r>
      <w:r>
        <w:rPr>
          <w:rFonts w:ascii="黑体" w:hAnsi="黑体" w:eastAsia="黑体"/>
          <w:bCs/>
          <w:color w:val="auto"/>
          <w:szCs w:val="21"/>
        </w:rPr>
        <w:t>[2014]68号）的规定，监狱企业视同小型、微型企业，享受一定比例的价格折扣优惠，用扣除后的价格作为其参与评审的价格。监狱企业参加政府采购活动时，应当提供由省级或以上监狱管理局、戒毒管理局（含新疆生产建设兵团）出具的属于监狱企业的证明文件，否则不予认可。（格式详见招标文件第七部分投标文件格式）</w:t>
      </w:r>
    </w:p>
    <w:p>
      <w:pPr>
        <w:pStyle w:val="30"/>
        <w:numPr>
          <w:ilvl w:val="1"/>
          <w:numId w:val="68"/>
        </w:numPr>
        <w:spacing w:line="360" w:lineRule="auto"/>
        <w:ind w:firstLineChars="0"/>
        <w:rPr>
          <w:rFonts w:ascii="黑体" w:hAnsi="黑体" w:eastAsia="黑体"/>
          <w:b/>
          <w:bCs/>
          <w:color w:val="auto"/>
          <w:szCs w:val="21"/>
        </w:rPr>
      </w:pPr>
      <w:r>
        <w:rPr>
          <w:rFonts w:hint="eastAsia" w:ascii="黑体" w:hAnsi="黑体" w:eastAsia="黑体"/>
          <w:b/>
          <w:bCs/>
          <w:color w:val="auto"/>
          <w:szCs w:val="21"/>
        </w:rPr>
        <w:t>对残疾人福利性单位投标的扶持</w:t>
      </w:r>
    </w:p>
    <w:p>
      <w:pPr>
        <w:pStyle w:val="30"/>
        <w:numPr>
          <w:ilvl w:val="2"/>
          <w:numId w:val="71"/>
        </w:numPr>
        <w:spacing w:line="360" w:lineRule="auto"/>
        <w:ind w:left="708" w:hanging="707" w:hangingChars="337"/>
        <w:rPr>
          <w:rFonts w:ascii="黑体" w:hAnsi="黑体" w:eastAsia="黑体"/>
          <w:bCs/>
          <w:color w:val="auto"/>
          <w:szCs w:val="21"/>
        </w:rPr>
      </w:pPr>
      <w:r>
        <w:rPr>
          <w:rFonts w:hint="eastAsia" w:ascii="黑体" w:hAnsi="黑体" w:eastAsia="黑体"/>
          <w:bCs/>
          <w:color w:val="auto"/>
          <w:szCs w:val="21"/>
        </w:rPr>
        <w:t>为了发挥政府采购促进残疾人就业的作用，根据财政部</w:t>
      </w:r>
      <w:r>
        <w:rPr>
          <w:rFonts w:ascii="黑体" w:hAnsi="黑体" w:eastAsia="黑体"/>
          <w:bCs/>
          <w:color w:val="auto"/>
          <w:szCs w:val="21"/>
        </w:rPr>
        <w:t xml:space="preserve"> </w:t>
      </w:r>
      <w:r>
        <w:rPr>
          <w:rFonts w:hint="eastAsia" w:ascii="黑体" w:hAnsi="黑体" w:eastAsia="黑体"/>
          <w:bCs/>
          <w:color w:val="auto"/>
          <w:szCs w:val="21"/>
        </w:rPr>
        <w:t>民政部</w:t>
      </w:r>
      <w:r>
        <w:rPr>
          <w:rFonts w:ascii="黑体" w:hAnsi="黑体" w:eastAsia="黑体"/>
          <w:bCs/>
          <w:color w:val="auto"/>
          <w:szCs w:val="21"/>
        </w:rPr>
        <w:t xml:space="preserve"> </w:t>
      </w:r>
      <w:r>
        <w:rPr>
          <w:rFonts w:hint="eastAsia" w:ascii="黑体" w:hAnsi="黑体" w:eastAsia="黑体"/>
          <w:bCs/>
          <w:color w:val="auto"/>
          <w:szCs w:val="21"/>
        </w:rPr>
        <w:t>中国残疾人联合会《关于促进残疾人就业政府采购政策的通知》（财库</w:t>
      </w:r>
      <w:r>
        <w:rPr>
          <w:rFonts w:ascii="黑体" w:hAnsi="黑体" w:eastAsia="黑体"/>
          <w:bCs/>
          <w:color w:val="auto"/>
          <w:szCs w:val="21"/>
        </w:rPr>
        <w:t>[2017]</w:t>
      </w:r>
      <w:r>
        <w:rPr>
          <w:rFonts w:hint="eastAsia" w:ascii="黑体" w:hAnsi="黑体" w:eastAsia="黑体"/>
          <w:bCs/>
          <w:color w:val="auto"/>
          <w:szCs w:val="21"/>
        </w:rPr>
        <w:t>1</w:t>
      </w:r>
      <w:r>
        <w:rPr>
          <w:rFonts w:ascii="黑体" w:hAnsi="黑体" w:eastAsia="黑体"/>
          <w:bCs/>
          <w:color w:val="auto"/>
          <w:szCs w:val="21"/>
        </w:rPr>
        <w:t>41号）的规定，残疾人福利性单位视同小型、微型企业，享受一定比例的价格折扣优惠，用扣除后的价格作为其参与评审的价格。参加政府采购活动的残疾人福利性单位应当提供《残疾人福利性单位声明函》</w:t>
      </w:r>
      <w:r>
        <w:rPr>
          <w:rFonts w:hint="eastAsia" w:ascii="黑体" w:hAnsi="黑体" w:eastAsia="黑体"/>
          <w:bCs/>
          <w:color w:val="auto"/>
          <w:szCs w:val="21"/>
        </w:rPr>
        <w:t>（格式详见招标文件第七部分投标文件格式）。</w:t>
      </w:r>
    </w:p>
    <w:p>
      <w:pPr>
        <w:pStyle w:val="30"/>
        <w:numPr>
          <w:ilvl w:val="1"/>
          <w:numId w:val="68"/>
        </w:numPr>
        <w:spacing w:line="360" w:lineRule="auto"/>
        <w:ind w:firstLineChars="0"/>
        <w:rPr>
          <w:rFonts w:ascii="黑体" w:hAnsi="黑体" w:eastAsia="黑体"/>
          <w:bCs/>
          <w:color w:val="auto"/>
          <w:szCs w:val="21"/>
        </w:rPr>
      </w:pPr>
      <w:r>
        <w:rPr>
          <w:rFonts w:hint="eastAsia" w:ascii="黑体" w:hAnsi="黑体" w:eastAsia="黑体"/>
          <w:bCs/>
          <w:color w:val="auto"/>
          <w:szCs w:val="21"/>
        </w:rPr>
        <w:t>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30%以上的，对联合体或者大中型企业的报价给予2%的扣除</w:t>
      </w:r>
      <w:r>
        <w:rPr>
          <w:rFonts w:ascii="黑体" w:hAnsi="黑体" w:eastAsia="黑体"/>
          <w:bCs/>
          <w:color w:val="auto"/>
          <w:szCs w:val="21"/>
        </w:rPr>
        <w:t>。</w:t>
      </w:r>
    </w:p>
    <w:p>
      <w:pPr>
        <w:pStyle w:val="30"/>
        <w:numPr>
          <w:ilvl w:val="1"/>
          <w:numId w:val="68"/>
        </w:numPr>
        <w:spacing w:line="360" w:lineRule="auto"/>
        <w:ind w:firstLineChars="0"/>
        <w:rPr>
          <w:rFonts w:ascii="黑体" w:hAnsi="黑体" w:eastAsia="黑体"/>
          <w:b/>
          <w:color w:val="auto"/>
        </w:rPr>
      </w:pPr>
      <w:bookmarkStart w:id="51" w:name="_Hlk86745708"/>
      <w:r>
        <w:rPr>
          <w:rFonts w:hint="eastAsia" w:ascii="黑体" w:hAnsi="黑体" w:eastAsia="黑体"/>
          <w:b/>
          <w:color w:val="auto"/>
        </w:rPr>
        <w:t>监狱企业产品、残疾人福利性单位产品价格扣除</w:t>
      </w:r>
    </w:p>
    <w:p>
      <w:pPr>
        <w:pStyle w:val="30"/>
        <w:spacing w:line="360" w:lineRule="auto"/>
        <w:ind w:left="567" w:firstLine="0" w:firstLineChars="0"/>
        <w:rPr>
          <w:rFonts w:ascii="黑体" w:hAnsi="黑体" w:eastAsia="黑体"/>
          <w:bCs/>
          <w:color w:val="auto"/>
        </w:rPr>
      </w:pPr>
      <w:r>
        <w:rPr>
          <w:rFonts w:hint="eastAsia" w:ascii="黑体" w:hAnsi="黑体" w:eastAsia="黑体"/>
          <w:bCs/>
          <w:color w:val="auto"/>
        </w:rPr>
        <w:t>监狱企业、</w:t>
      </w:r>
      <w:r>
        <w:rPr>
          <w:rFonts w:ascii="黑体" w:hAnsi="黑体" w:eastAsia="黑体"/>
          <w:bCs/>
          <w:color w:val="auto"/>
        </w:rPr>
        <w:t>残疾人福利性单位视同小微企业</w:t>
      </w:r>
      <w:r>
        <w:rPr>
          <w:rFonts w:hint="eastAsia" w:ascii="黑体" w:hAnsi="黑体" w:eastAsia="黑体"/>
          <w:bCs/>
          <w:color w:val="auto"/>
        </w:rPr>
        <w:t>，按上述第</w:t>
      </w:r>
      <w:r>
        <w:rPr>
          <w:rFonts w:ascii="黑体" w:hAnsi="黑体" w:eastAsia="黑体"/>
          <w:bCs/>
          <w:color w:val="auto"/>
        </w:rPr>
        <w:t>8.1.1</w:t>
      </w:r>
      <w:r>
        <w:rPr>
          <w:rFonts w:hint="eastAsia" w:ascii="黑体" w:hAnsi="黑体" w:eastAsia="黑体"/>
          <w:bCs/>
          <w:color w:val="auto"/>
        </w:rPr>
        <w:t>、8</w:t>
      </w:r>
      <w:r>
        <w:rPr>
          <w:rFonts w:ascii="黑体" w:hAnsi="黑体" w:eastAsia="黑体"/>
          <w:bCs/>
          <w:color w:val="auto"/>
        </w:rPr>
        <w:t>.4</w:t>
      </w:r>
      <w:r>
        <w:rPr>
          <w:rFonts w:hint="eastAsia" w:ascii="黑体" w:hAnsi="黑体" w:eastAsia="黑体"/>
          <w:bCs/>
          <w:color w:val="auto"/>
        </w:rPr>
        <w:t>条款享受评审中价格扣除。</w:t>
      </w:r>
    </w:p>
    <w:bookmarkEnd w:id="51"/>
    <w:p>
      <w:pPr>
        <w:pStyle w:val="30"/>
        <w:numPr>
          <w:ilvl w:val="1"/>
          <w:numId w:val="68"/>
        </w:numPr>
        <w:spacing w:line="360" w:lineRule="auto"/>
        <w:ind w:firstLineChars="0"/>
        <w:rPr>
          <w:rFonts w:ascii="黑体" w:hAnsi="黑体" w:eastAsia="黑体"/>
          <w:b/>
          <w:color w:val="auto"/>
          <w:szCs w:val="21"/>
        </w:rPr>
      </w:pPr>
      <w:r>
        <w:rPr>
          <w:rFonts w:hint="eastAsia" w:ascii="黑体" w:hAnsi="黑体" w:eastAsia="黑体"/>
          <w:b/>
          <w:color w:val="auto"/>
          <w:szCs w:val="21"/>
        </w:rPr>
        <w:t>投标人同时为小型、微型企业、监狱企业、残疾人福利性单位任两种或以上情况的，评审中只享受一次价格扣除，不重复进行价格扣除。</w:t>
      </w:r>
    </w:p>
    <w:p>
      <w:pPr>
        <w:pStyle w:val="30"/>
        <w:numPr>
          <w:ilvl w:val="1"/>
          <w:numId w:val="68"/>
        </w:numPr>
        <w:spacing w:line="360" w:lineRule="auto"/>
        <w:ind w:firstLineChars="0"/>
        <w:rPr>
          <w:rFonts w:ascii="黑体" w:hAnsi="黑体" w:eastAsia="黑体"/>
          <w:b/>
          <w:color w:val="auto"/>
        </w:rPr>
      </w:pPr>
      <w:r>
        <w:rPr>
          <w:rFonts w:hint="eastAsia" w:ascii="黑体" w:hAnsi="黑体" w:eastAsia="黑体"/>
          <w:b/>
          <w:color w:val="auto"/>
        </w:rPr>
        <w:t>节能产品、环境标志产品价格扣除：</w:t>
      </w:r>
    </w:p>
    <w:p>
      <w:pPr>
        <w:pStyle w:val="30"/>
        <w:numPr>
          <w:ilvl w:val="0"/>
          <w:numId w:val="72"/>
        </w:numPr>
        <w:spacing w:line="360" w:lineRule="auto"/>
        <w:ind w:left="709" w:hanging="709" w:firstLineChars="0"/>
        <w:rPr>
          <w:rFonts w:ascii="黑体" w:hAnsi="黑体" w:eastAsia="黑体"/>
          <w:color w:val="auto"/>
          <w:szCs w:val="21"/>
        </w:rPr>
      </w:pPr>
      <w:r>
        <w:rPr>
          <w:rFonts w:hint="eastAsia" w:ascii="黑体" w:hAnsi="黑体" w:eastAsia="黑体"/>
          <w:color w:val="auto"/>
          <w:szCs w:val="21"/>
        </w:rPr>
        <w:t>投标产品(针对非政府强制采购产品)纳入财政部、发展改革委颁发最新节能产品政府采购品目清单的，</w:t>
      </w:r>
      <w:r>
        <w:rPr>
          <w:rFonts w:hint="eastAsia" w:ascii="黑体" w:hAnsi="黑体" w:eastAsia="黑体"/>
          <w:bCs/>
          <w:color w:val="auto"/>
        </w:rPr>
        <w:t>对</w:t>
      </w:r>
      <w:r>
        <w:rPr>
          <w:rFonts w:hint="eastAsia" w:ascii="黑体" w:hAnsi="黑体" w:eastAsia="黑体"/>
          <w:color w:val="auto"/>
          <w:szCs w:val="21"/>
        </w:rPr>
        <w:t>节能</w:t>
      </w:r>
      <w:r>
        <w:rPr>
          <w:rFonts w:hint="eastAsia" w:ascii="黑体" w:hAnsi="黑体" w:eastAsia="黑体"/>
          <w:bCs/>
          <w:color w:val="auto"/>
        </w:rPr>
        <w:t>产品的价格给予1%的扣除，用扣除后的价格参与评审。（</w:t>
      </w:r>
      <w:r>
        <w:rPr>
          <w:rFonts w:hint="eastAsia" w:ascii="黑体" w:hAnsi="黑体" w:eastAsia="黑体"/>
          <w:color w:val="auto"/>
          <w:szCs w:val="21"/>
        </w:rPr>
        <w:t>提供投标产品有效期内的节能产品认证证书复印件加盖投标人公章）。</w:t>
      </w:r>
    </w:p>
    <w:p>
      <w:pPr>
        <w:pStyle w:val="30"/>
        <w:numPr>
          <w:ilvl w:val="0"/>
          <w:numId w:val="72"/>
        </w:numPr>
        <w:spacing w:line="360" w:lineRule="auto"/>
        <w:ind w:left="709" w:hanging="709" w:firstLineChars="0"/>
        <w:rPr>
          <w:rFonts w:ascii="黑体" w:hAnsi="黑体" w:eastAsia="黑体"/>
          <w:color w:val="auto"/>
          <w:szCs w:val="21"/>
        </w:rPr>
      </w:pPr>
      <w:r>
        <w:rPr>
          <w:rFonts w:hint="eastAsia" w:ascii="黑体" w:hAnsi="黑体" w:eastAsia="黑体"/>
          <w:color w:val="auto"/>
          <w:szCs w:val="21"/>
        </w:rPr>
        <w:t>投标产品纳入财政部、环境保护部颁布最新环境标志产品政府采购品目清单的，</w:t>
      </w:r>
      <w:r>
        <w:rPr>
          <w:rFonts w:hint="eastAsia" w:ascii="黑体" w:hAnsi="黑体" w:eastAsia="黑体"/>
          <w:bCs/>
          <w:color w:val="auto"/>
        </w:rPr>
        <w:t>对</w:t>
      </w:r>
      <w:r>
        <w:rPr>
          <w:rFonts w:hint="eastAsia" w:ascii="黑体" w:hAnsi="黑体" w:eastAsia="黑体"/>
          <w:color w:val="auto"/>
          <w:szCs w:val="21"/>
        </w:rPr>
        <w:t>环境标志产品</w:t>
      </w:r>
      <w:r>
        <w:rPr>
          <w:rFonts w:hint="eastAsia" w:ascii="黑体" w:hAnsi="黑体" w:eastAsia="黑体"/>
          <w:bCs/>
          <w:color w:val="auto"/>
        </w:rPr>
        <w:t>的价格给予1%的扣除，用扣除后的价格参与评审。（</w:t>
      </w:r>
      <w:r>
        <w:rPr>
          <w:rFonts w:hint="eastAsia" w:ascii="黑体" w:hAnsi="黑体" w:eastAsia="黑体"/>
          <w:color w:val="auto"/>
          <w:szCs w:val="21"/>
        </w:rPr>
        <w:t>提供投标产品有效期内的环境标志产品认证证书复印件加盖投标人公章）。</w:t>
      </w:r>
    </w:p>
    <w:p>
      <w:pPr>
        <w:pStyle w:val="30"/>
        <w:numPr>
          <w:ilvl w:val="1"/>
          <w:numId w:val="68"/>
        </w:numPr>
        <w:spacing w:line="360" w:lineRule="auto"/>
        <w:ind w:firstLineChars="0"/>
        <w:rPr>
          <w:rFonts w:ascii="黑体" w:hAnsi="黑体" w:eastAsia="黑体"/>
          <w:bCs/>
          <w:color w:val="auto"/>
          <w:szCs w:val="21"/>
        </w:rPr>
      </w:pPr>
      <w:r>
        <w:rPr>
          <w:rFonts w:hint="eastAsia" w:ascii="黑体" w:hAnsi="黑体" w:eastAsia="黑体"/>
          <w:bCs/>
          <w:color w:val="auto"/>
          <w:szCs w:val="21"/>
        </w:rPr>
        <w:t>价格分应当采用低价优先法计算，即满足招标文件要求且投标价格最低的投标报价为评标基准价，其价格分为满分。其他投标人的价格分统一按照下列公式计算：</w:t>
      </w:r>
    </w:p>
    <w:p>
      <w:pPr>
        <w:pStyle w:val="30"/>
        <w:spacing w:line="360" w:lineRule="auto"/>
        <w:ind w:left="567" w:firstLine="0" w:firstLineChars="0"/>
        <w:jc w:val="left"/>
        <w:rPr>
          <w:rFonts w:ascii="黑体" w:hAnsi="黑体" w:eastAsia="黑体"/>
          <w:color w:val="auto"/>
        </w:rPr>
      </w:pPr>
      <w:r>
        <w:rPr>
          <w:rFonts w:hint="eastAsia" w:ascii="黑体" w:hAnsi="黑体" w:eastAsia="黑体"/>
          <w:bCs/>
          <w:color w:val="auto"/>
          <w:szCs w:val="21"/>
        </w:rPr>
        <w:t>投标人价格得分</w:t>
      </w:r>
      <w:r>
        <w:rPr>
          <w:rFonts w:ascii="黑体" w:hAnsi="黑体" w:eastAsia="黑体"/>
          <w:bCs/>
          <w:color w:val="auto"/>
          <w:szCs w:val="21"/>
        </w:rPr>
        <w:t>=(评标基准价／</w:t>
      </w:r>
      <w:r>
        <w:rPr>
          <w:rFonts w:hint="eastAsia" w:ascii="黑体" w:hAnsi="黑体" w:eastAsia="黑体"/>
          <w:bCs/>
          <w:color w:val="auto"/>
          <w:szCs w:val="21"/>
        </w:rPr>
        <w:t>投标报价</w:t>
      </w:r>
      <w:r>
        <w:rPr>
          <w:rFonts w:ascii="黑体" w:hAnsi="黑体" w:eastAsia="黑体"/>
          <w:bCs/>
          <w:color w:val="auto"/>
          <w:szCs w:val="21"/>
        </w:rPr>
        <w:t>)×</w:t>
      </w:r>
      <w:r>
        <w:rPr>
          <w:rFonts w:hint="eastAsia" w:ascii="黑体" w:hAnsi="黑体" w:eastAsia="黑体"/>
          <w:color w:val="auto"/>
        </w:rPr>
        <w:t>价格权值</w:t>
      </w:r>
      <w:r>
        <w:rPr>
          <w:rFonts w:ascii="黑体" w:hAnsi="黑体" w:eastAsia="黑体"/>
          <w:bCs/>
          <w:color w:val="auto"/>
          <w:szCs w:val="21"/>
        </w:rPr>
        <w:t>×100</w:t>
      </w:r>
    </w:p>
    <w:p>
      <w:pPr>
        <w:spacing w:line="360" w:lineRule="auto"/>
        <w:ind w:firstLine="565" w:firstLineChars="280"/>
        <w:jc w:val="left"/>
        <w:rPr>
          <w:rFonts w:ascii="黑体" w:hAnsi="黑体" w:eastAsia="黑体"/>
          <w:bCs/>
          <w:color w:val="auto"/>
          <w:spacing w:val="-4"/>
          <w:szCs w:val="21"/>
        </w:rPr>
      </w:pPr>
      <w:r>
        <w:rPr>
          <w:rFonts w:hint="eastAsia" w:ascii="黑体" w:hAnsi="黑体" w:eastAsia="黑体"/>
          <w:bCs/>
          <w:color w:val="auto"/>
          <w:spacing w:val="-4"/>
          <w:szCs w:val="21"/>
        </w:rPr>
        <w:t>注：1.因落实政府采购政策进行价格调整的，以调整后的价格计算评标基准价和投标报价。</w:t>
      </w:r>
    </w:p>
    <w:p>
      <w:pPr>
        <w:pStyle w:val="30"/>
        <w:numPr>
          <w:ilvl w:val="0"/>
          <w:numId w:val="61"/>
        </w:numPr>
        <w:tabs>
          <w:tab w:val="left" w:pos="426"/>
        </w:tabs>
        <w:spacing w:before="156" w:beforeLines="50" w:after="156" w:afterLines="50" w:line="360" w:lineRule="auto"/>
        <w:ind w:firstLineChars="0"/>
        <w:rPr>
          <w:rFonts w:ascii="黑体" w:hAnsi="黑体" w:eastAsia="黑体"/>
          <w:b/>
          <w:bCs/>
          <w:color w:val="auto"/>
          <w:szCs w:val="21"/>
        </w:rPr>
      </w:pPr>
      <w:r>
        <w:rPr>
          <w:rFonts w:hint="eastAsia" w:ascii="黑体" w:hAnsi="黑体" w:eastAsia="黑体"/>
          <w:b/>
          <w:bCs/>
          <w:color w:val="auto"/>
          <w:szCs w:val="21"/>
        </w:rPr>
        <w:t>商务技术及价格评分</w:t>
      </w:r>
      <w:r>
        <w:rPr>
          <w:rFonts w:hint="eastAsia" w:ascii="黑体" w:hAnsi="黑体" w:eastAsia="黑体"/>
          <w:b/>
          <w:bCs/>
          <w:color w:val="auto"/>
        </w:rPr>
        <w:t>权值</w:t>
      </w:r>
      <w:r>
        <w:rPr>
          <w:rFonts w:hint="eastAsia" w:ascii="黑体" w:hAnsi="黑体" w:eastAsia="黑体"/>
          <w:b/>
          <w:bCs/>
          <w:color w:val="auto"/>
          <w:szCs w:val="21"/>
        </w:rPr>
        <w:t>分配</w:t>
      </w:r>
    </w:p>
    <w:tbl>
      <w:tblPr>
        <w:tblStyle w:val="2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85"/>
        <w:gridCol w:w="2418"/>
        <w:gridCol w:w="2418"/>
        <w:gridCol w:w="17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46" w:type="pct"/>
            <w:vAlign w:val="center"/>
          </w:tcPr>
          <w:p>
            <w:pPr>
              <w:jc w:val="center"/>
              <w:rPr>
                <w:rFonts w:ascii="黑体" w:hAnsi="黑体" w:eastAsia="黑体"/>
                <w:color w:val="auto"/>
              </w:rPr>
            </w:pPr>
            <w:r>
              <w:rPr>
                <w:rFonts w:hint="eastAsia" w:ascii="黑体" w:hAnsi="黑体" w:eastAsia="黑体"/>
                <w:color w:val="auto"/>
              </w:rPr>
              <w:t>评分项目</w:t>
            </w:r>
          </w:p>
        </w:tc>
        <w:tc>
          <w:tcPr>
            <w:tcW w:w="1379" w:type="pct"/>
            <w:vAlign w:val="center"/>
          </w:tcPr>
          <w:p>
            <w:pPr>
              <w:jc w:val="center"/>
              <w:rPr>
                <w:rFonts w:ascii="黑体" w:hAnsi="黑体" w:eastAsia="黑体"/>
                <w:color w:val="auto"/>
              </w:rPr>
            </w:pPr>
            <w:r>
              <w:rPr>
                <w:rFonts w:hint="eastAsia" w:ascii="黑体" w:hAnsi="黑体" w:eastAsia="黑体"/>
                <w:color w:val="auto"/>
              </w:rPr>
              <w:t>商务部分</w:t>
            </w:r>
          </w:p>
        </w:tc>
        <w:tc>
          <w:tcPr>
            <w:tcW w:w="1379" w:type="pct"/>
            <w:vAlign w:val="center"/>
          </w:tcPr>
          <w:p>
            <w:pPr>
              <w:jc w:val="center"/>
              <w:rPr>
                <w:rFonts w:ascii="黑体" w:hAnsi="黑体" w:eastAsia="黑体"/>
                <w:color w:val="auto"/>
              </w:rPr>
            </w:pPr>
            <w:r>
              <w:rPr>
                <w:rFonts w:hint="eastAsia" w:ascii="黑体" w:hAnsi="黑体" w:eastAsia="黑体"/>
                <w:color w:val="auto"/>
              </w:rPr>
              <w:t>技术部分</w:t>
            </w:r>
          </w:p>
        </w:tc>
        <w:tc>
          <w:tcPr>
            <w:tcW w:w="995" w:type="pct"/>
            <w:vAlign w:val="center"/>
          </w:tcPr>
          <w:p>
            <w:pPr>
              <w:jc w:val="center"/>
              <w:rPr>
                <w:rFonts w:ascii="黑体" w:hAnsi="黑体" w:eastAsia="黑体"/>
                <w:color w:val="auto"/>
              </w:rPr>
            </w:pPr>
            <w:r>
              <w:rPr>
                <w:rFonts w:hint="eastAsia" w:ascii="黑体" w:hAnsi="黑体" w:eastAsia="黑体"/>
                <w:color w:val="auto"/>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46" w:type="pct"/>
            <w:vAlign w:val="center"/>
          </w:tcPr>
          <w:p>
            <w:pPr>
              <w:jc w:val="center"/>
              <w:rPr>
                <w:rFonts w:ascii="黑体" w:hAnsi="黑体" w:eastAsia="黑体"/>
                <w:color w:val="auto"/>
              </w:rPr>
            </w:pPr>
            <w:r>
              <w:rPr>
                <w:rFonts w:hint="eastAsia" w:ascii="黑体" w:hAnsi="黑体" w:eastAsia="黑体"/>
                <w:color w:val="auto"/>
              </w:rPr>
              <w:t>权值（%）</w:t>
            </w:r>
          </w:p>
        </w:tc>
        <w:tc>
          <w:tcPr>
            <w:tcW w:w="1379" w:type="pct"/>
            <w:vAlign w:val="center"/>
          </w:tcPr>
          <w:p>
            <w:pPr>
              <w:jc w:val="center"/>
              <w:rPr>
                <w:rFonts w:ascii="黑体" w:hAnsi="黑体" w:eastAsia="黑体"/>
                <w:color w:val="auto"/>
                <w:highlight w:val="red"/>
              </w:rPr>
            </w:pPr>
            <w:r>
              <w:rPr>
                <w:rFonts w:hint="eastAsia" w:ascii="黑体" w:hAnsi="黑体" w:eastAsia="黑体"/>
                <w:color w:val="auto"/>
              </w:rPr>
              <w:t>30%</w:t>
            </w:r>
          </w:p>
        </w:tc>
        <w:tc>
          <w:tcPr>
            <w:tcW w:w="1379" w:type="pct"/>
            <w:vAlign w:val="center"/>
          </w:tcPr>
          <w:p>
            <w:pPr>
              <w:jc w:val="center"/>
              <w:rPr>
                <w:rFonts w:ascii="黑体" w:hAnsi="黑体" w:eastAsia="黑体"/>
                <w:i/>
                <w:color w:val="auto"/>
                <w:highlight w:val="red"/>
              </w:rPr>
            </w:pPr>
            <w:r>
              <w:rPr>
                <w:rFonts w:hint="eastAsia" w:ascii="黑体" w:hAnsi="黑体" w:eastAsia="黑体"/>
                <w:color w:val="auto"/>
              </w:rPr>
              <w:t>70%</w:t>
            </w:r>
          </w:p>
        </w:tc>
        <w:tc>
          <w:tcPr>
            <w:tcW w:w="995" w:type="pct"/>
          </w:tcPr>
          <w:p>
            <w:pPr>
              <w:jc w:val="center"/>
              <w:rPr>
                <w:rFonts w:ascii="黑体" w:hAnsi="黑体" w:eastAsia="黑体"/>
                <w:color w:val="auto"/>
                <w:highlight w:val="red"/>
              </w:rPr>
            </w:pPr>
            <w:r>
              <w:rPr>
                <w:rFonts w:hint="eastAsia" w:ascii="黑体" w:hAnsi="黑体" w:eastAsia="黑体"/>
                <w:color w:val="auto"/>
              </w:rPr>
              <w:t>100%</w:t>
            </w:r>
          </w:p>
        </w:tc>
      </w:tr>
    </w:tbl>
    <w:p>
      <w:pPr>
        <w:pStyle w:val="30"/>
        <w:numPr>
          <w:ilvl w:val="0"/>
          <w:numId w:val="73"/>
        </w:numPr>
        <w:spacing w:before="156" w:beforeLines="50" w:line="360" w:lineRule="auto"/>
        <w:ind w:firstLineChars="0"/>
        <w:rPr>
          <w:rFonts w:ascii="黑体" w:hAnsi="黑体" w:eastAsia="黑体"/>
          <w:bCs/>
          <w:color w:val="auto"/>
          <w:szCs w:val="21"/>
        </w:rPr>
      </w:pPr>
      <w:r>
        <w:rPr>
          <w:rFonts w:hint="eastAsia" w:ascii="黑体" w:hAnsi="黑体" w:eastAsia="黑体"/>
          <w:bCs/>
          <w:color w:val="auto"/>
          <w:szCs w:val="21"/>
        </w:rPr>
        <w:t>综合得分＝商务得分＋技术得分</w:t>
      </w:r>
    </w:p>
    <w:p>
      <w:pPr>
        <w:pStyle w:val="30"/>
        <w:numPr>
          <w:ilvl w:val="0"/>
          <w:numId w:val="61"/>
        </w:numPr>
        <w:tabs>
          <w:tab w:val="left" w:pos="426"/>
        </w:tabs>
        <w:spacing w:line="360" w:lineRule="auto"/>
        <w:ind w:firstLineChars="0"/>
        <w:rPr>
          <w:rFonts w:ascii="黑体" w:hAnsi="黑体" w:eastAsia="黑体"/>
          <w:b/>
          <w:bCs/>
          <w:color w:val="auto"/>
          <w:szCs w:val="21"/>
        </w:rPr>
      </w:pPr>
      <w:r>
        <w:rPr>
          <w:rFonts w:hint="eastAsia" w:ascii="黑体" w:hAnsi="黑体" w:eastAsia="黑体"/>
          <w:b/>
          <w:bCs/>
          <w:color w:val="auto"/>
          <w:szCs w:val="21"/>
        </w:rPr>
        <w:t>中标候选人</w:t>
      </w:r>
    </w:p>
    <w:p>
      <w:pPr>
        <w:pStyle w:val="30"/>
        <w:numPr>
          <w:ilvl w:val="1"/>
          <w:numId w:val="74"/>
        </w:numPr>
        <w:tabs>
          <w:tab w:val="left" w:pos="567"/>
          <w:tab w:val="left" w:pos="709"/>
        </w:tabs>
        <w:spacing w:line="360" w:lineRule="auto"/>
        <w:ind w:firstLineChars="0"/>
        <w:rPr>
          <w:rFonts w:ascii="黑体" w:hAnsi="黑体" w:eastAsia="黑体"/>
          <w:bCs/>
          <w:color w:val="auto"/>
          <w:szCs w:val="21"/>
        </w:rPr>
      </w:pPr>
      <w:bookmarkStart w:id="52" w:name="_Hlk90915126"/>
      <w:r>
        <w:rPr>
          <w:rFonts w:hint="eastAsia" w:ascii="黑体" w:hAnsi="黑体" w:eastAsia="黑体"/>
          <w:bCs/>
          <w:color w:val="auto"/>
          <w:szCs w:val="21"/>
        </w:rPr>
        <w:t>评标委员会出具评标报告，并排序推荐三名中标候选人。</w:t>
      </w:r>
    </w:p>
    <w:bookmarkEnd w:id="52"/>
    <w:p>
      <w:pPr>
        <w:pStyle w:val="30"/>
        <w:numPr>
          <w:ilvl w:val="1"/>
          <w:numId w:val="74"/>
        </w:numPr>
        <w:tabs>
          <w:tab w:val="left" w:pos="567"/>
          <w:tab w:val="left" w:pos="709"/>
        </w:tabs>
        <w:spacing w:line="360" w:lineRule="auto"/>
        <w:ind w:firstLineChars="0"/>
        <w:rPr>
          <w:rFonts w:ascii="黑体" w:hAnsi="黑体" w:eastAsia="黑体"/>
          <w:bCs/>
          <w:color w:val="auto"/>
          <w:szCs w:val="21"/>
        </w:rPr>
      </w:pPr>
      <w:r>
        <w:rPr>
          <w:rFonts w:hint="eastAsia" w:ascii="黑体" w:hAnsi="黑体" w:eastAsia="黑体"/>
          <w:bCs/>
          <w:color w:val="auto"/>
          <w:szCs w:val="21"/>
        </w:rPr>
        <w:t>使用综合评分法的采购项目：提供相同品牌产品或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bookmarkStart w:id="53" w:name="_Hlk81183397"/>
      <w:r>
        <w:rPr>
          <w:rFonts w:hint="eastAsia" w:ascii="黑体" w:hAnsi="黑体" w:eastAsia="黑体"/>
          <w:bCs/>
          <w:color w:val="auto"/>
          <w:szCs w:val="21"/>
        </w:rPr>
        <w:t>非单一产品采购项目，采购人将根据采购项目技术构成、产品价格比重等合理确定核心产品，并在招标文件中载明。多家投标人提供的核心产品品牌相同的，按上述规定处理。</w:t>
      </w:r>
    </w:p>
    <w:bookmarkEnd w:id="53"/>
    <w:p>
      <w:pPr>
        <w:pStyle w:val="30"/>
        <w:numPr>
          <w:ilvl w:val="1"/>
          <w:numId w:val="74"/>
        </w:numPr>
        <w:tabs>
          <w:tab w:val="left" w:pos="567"/>
          <w:tab w:val="left" w:pos="709"/>
        </w:tabs>
        <w:spacing w:line="360" w:lineRule="auto"/>
        <w:ind w:firstLineChars="0"/>
        <w:rPr>
          <w:rFonts w:ascii="黑体" w:hAnsi="黑体" w:eastAsia="黑体"/>
          <w:color w:val="auto"/>
        </w:rPr>
      </w:pPr>
      <w:r>
        <w:rPr>
          <w:rFonts w:hint="eastAsia" w:ascii="黑体" w:hAnsi="黑体" w:eastAsia="黑体"/>
          <w:bCs/>
          <w:color w:val="auto"/>
          <w:szCs w:val="21"/>
        </w:rPr>
        <w:t>采</w:t>
      </w:r>
      <w:r>
        <w:rPr>
          <w:rFonts w:ascii="黑体" w:hAnsi="黑体" w:eastAsia="黑体"/>
          <w:bCs/>
          <w:color w:val="auto"/>
          <w:szCs w:val="21"/>
        </w:rPr>
        <w:t>用综合评分法的，</w:t>
      </w:r>
      <w:r>
        <w:rPr>
          <w:rFonts w:hint="eastAsia" w:ascii="黑体" w:hAnsi="黑体" w:eastAsia="黑体"/>
          <w:bCs/>
          <w:color w:val="auto"/>
          <w:szCs w:val="21"/>
        </w:rPr>
        <w:t>评审结果</w:t>
      </w:r>
      <w:r>
        <w:rPr>
          <w:rFonts w:ascii="黑体" w:hAnsi="黑体" w:eastAsia="黑体"/>
          <w:bCs/>
          <w:color w:val="auto"/>
          <w:szCs w:val="21"/>
        </w:rPr>
        <w:t>按评审后得分由高到低的顺序排列。得分相同的，按投标报价由低到高顺序排列。</w:t>
      </w:r>
      <w:r>
        <w:rPr>
          <w:rFonts w:hint="eastAsia" w:ascii="黑体" w:hAnsi="黑体" w:eastAsia="黑体"/>
          <w:bCs/>
          <w:color w:val="auto"/>
          <w:szCs w:val="21"/>
        </w:rPr>
        <w:t>得分且投标报价相同并列的。投标文件满足招标文件全部实质性要求，且按照评审因素的量化指标评审得分最高的投标人为排名第一的中标候选人。</w:t>
      </w:r>
    </w:p>
    <w:p>
      <w:pPr>
        <w:pStyle w:val="30"/>
        <w:pageBreakBefore/>
        <w:numPr>
          <w:ilvl w:val="0"/>
          <w:numId w:val="75"/>
        </w:numPr>
        <w:spacing w:before="156" w:beforeLines="50" w:after="312" w:afterLines="100" w:line="360" w:lineRule="auto"/>
        <w:ind w:left="422" w:hanging="422" w:hangingChars="200"/>
        <w:rPr>
          <w:rFonts w:ascii="黑体" w:hAnsi="黑体" w:eastAsia="黑体"/>
          <w:b/>
          <w:bCs/>
          <w:color w:val="auto"/>
          <w:szCs w:val="21"/>
        </w:rPr>
      </w:pPr>
      <w:r>
        <w:rPr>
          <w:rFonts w:hint="eastAsia" w:ascii="黑体" w:hAnsi="黑体" w:eastAsia="黑体"/>
          <w:b/>
          <w:bCs/>
          <w:color w:val="auto"/>
          <w:szCs w:val="21"/>
        </w:rPr>
        <w:t>附表一</w:t>
      </w:r>
      <w:r>
        <w:rPr>
          <w:rFonts w:ascii="黑体" w:hAnsi="黑体" w:eastAsia="黑体"/>
          <w:b/>
          <w:bCs/>
          <w:color w:val="auto"/>
          <w:szCs w:val="21"/>
        </w:rPr>
        <w:t xml:space="preserve"> </w:t>
      </w:r>
      <w:bookmarkStart w:id="54" w:name="_Hlk79422957"/>
      <w:r>
        <w:rPr>
          <w:rFonts w:hint="eastAsia" w:ascii="黑体" w:hAnsi="黑体" w:eastAsia="黑体"/>
          <w:b/>
          <w:bCs/>
          <w:color w:val="auto"/>
          <w:szCs w:val="21"/>
        </w:rPr>
        <w:t>资格性审查表</w:t>
      </w:r>
      <w:bookmarkEnd w:id="54"/>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421"/>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序号</w:t>
            </w:r>
          </w:p>
        </w:tc>
        <w:tc>
          <w:tcPr>
            <w:tcW w:w="4558" w:type="pct"/>
            <w:gridSpan w:val="2"/>
            <w:tcBorders>
              <w:tl2br w:val="nil"/>
            </w:tcBorders>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1</w:t>
            </w:r>
          </w:p>
        </w:tc>
        <w:tc>
          <w:tcPr>
            <w:tcW w:w="4558" w:type="pct"/>
            <w:gridSpan w:val="2"/>
            <w:tcBorders>
              <w:tl2br w:val="nil"/>
            </w:tcBorders>
            <w:vAlign w:val="center"/>
          </w:tcPr>
          <w:p>
            <w:pPr>
              <w:spacing w:line="360" w:lineRule="auto"/>
              <w:jc w:val="left"/>
              <w:rPr>
                <w:rFonts w:ascii="黑体" w:hAnsi="黑体" w:eastAsia="黑体"/>
                <w:bCs/>
                <w:color w:val="auto"/>
                <w:szCs w:val="21"/>
              </w:rPr>
            </w:pPr>
            <w:r>
              <w:rPr>
                <w:rFonts w:hint="eastAsia" w:ascii="黑体" w:hAnsi="黑体" w:eastAsia="黑体"/>
                <w:color w:val="auto"/>
                <w:szCs w:val="21"/>
              </w:rPr>
              <w:t>投标供应商应具备《中华人民共和国政府采购法》第二十二条规定的条件，提供下列材料：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szCs w:val="21"/>
              </w:rPr>
            </w:pPr>
            <w:r>
              <w:rPr>
                <w:rFonts w:hint="eastAsia" w:ascii="黑体" w:hAnsi="黑体" w:eastAsia="黑体"/>
                <w:color w:val="auto"/>
                <w:szCs w:val="21"/>
              </w:rPr>
              <w:t>1</w:t>
            </w:r>
            <w:r>
              <w:rPr>
                <w:rFonts w:ascii="黑体" w:hAnsi="黑体" w:eastAsia="黑体"/>
                <w:color w:val="auto"/>
                <w:szCs w:val="21"/>
              </w:rPr>
              <w:t>.1</w:t>
            </w:r>
          </w:p>
        </w:tc>
        <w:tc>
          <w:tcPr>
            <w:tcW w:w="1381" w:type="pct"/>
            <w:tcBorders>
              <w:tl2br w:val="nil"/>
            </w:tcBorders>
            <w:vAlign w:val="center"/>
          </w:tcPr>
          <w:p>
            <w:pPr>
              <w:spacing w:line="360" w:lineRule="auto"/>
              <w:jc w:val="left"/>
              <w:rPr>
                <w:rFonts w:ascii="黑体" w:hAnsi="黑体" w:eastAsia="黑体"/>
                <w:color w:val="auto"/>
                <w:szCs w:val="21"/>
              </w:rPr>
            </w:pPr>
            <w:r>
              <w:rPr>
                <w:rFonts w:hint="eastAsia" w:ascii="黑体" w:hAnsi="黑体" w:eastAsia="黑体"/>
                <w:color w:val="auto"/>
                <w:szCs w:val="21"/>
              </w:rPr>
              <w:t>具有独立承担民事责任的能力</w:t>
            </w:r>
          </w:p>
        </w:tc>
        <w:tc>
          <w:tcPr>
            <w:tcW w:w="3177" w:type="pct"/>
            <w:vAlign w:val="center"/>
          </w:tcPr>
          <w:p>
            <w:pPr>
              <w:widowControl/>
              <w:shd w:val="clear" w:color="auto" w:fill="FFFFFF"/>
              <w:spacing w:line="360" w:lineRule="auto"/>
              <w:textAlignment w:val="baseline"/>
              <w:rPr>
                <w:rFonts w:ascii="黑体" w:hAnsi="黑体" w:eastAsia="黑体" w:cs="宋体"/>
                <w:color w:val="auto"/>
                <w:kern w:val="0"/>
                <w:szCs w:val="21"/>
              </w:rPr>
            </w:pPr>
            <w:r>
              <w:rPr>
                <w:rFonts w:hint="eastAsia" w:ascii="黑体" w:hAnsi="黑体" w:eastAsia="黑体" w:cs="宋体"/>
                <w:color w:val="auto"/>
                <w:kern w:val="0"/>
                <w:szCs w:val="21"/>
              </w:rPr>
              <w:t>具有独立承担民事责任的能力：提供在中华人民共和国境内注册的法人或其他组织的营业执照或事业单位法人证书或社会团体法 人登记证书复印件，如投标人为自然人的提供自然人身份证明复印件；如国家另有规定的，则从 其规定。（分支机构投标，须取得具有法人资格的总公司（总所）出具给分支机构的授权书，并 提供总公司（总所）和分支机构的营业执照（执业许可证）复印件。已由总公司（总所）授权的 ，总公司（总所）取得的相关资质证书对分支机构有效，法律法规或者行业另有规定的除外。）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szCs w:val="21"/>
              </w:rPr>
            </w:pPr>
            <w:r>
              <w:rPr>
                <w:rFonts w:ascii="黑体" w:hAnsi="黑体" w:eastAsia="黑体"/>
                <w:color w:val="auto"/>
                <w:szCs w:val="21"/>
              </w:rPr>
              <w:t>1.</w:t>
            </w:r>
            <w:r>
              <w:rPr>
                <w:rFonts w:hint="eastAsia" w:ascii="黑体" w:hAnsi="黑体" w:eastAsia="黑体"/>
                <w:color w:val="auto"/>
                <w:szCs w:val="21"/>
              </w:rPr>
              <w:t>2</w:t>
            </w:r>
          </w:p>
        </w:tc>
        <w:tc>
          <w:tcPr>
            <w:tcW w:w="1381" w:type="pct"/>
            <w:tcBorders>
              <w:tl2br w:val="nil"/>
            </w:tcBorders>
            <w:vAlign w:val="center"/>
          </w:tcPr>
          <w:p>
            <w:pPr>
              <w:spacing w:line="360" w:lineRule="auto"/>
              <w:jc w:val="left"/>
              <w:rPr>
                <w:rFonts w:ascii="黑体" w:hAnsi="黑体" w:eastAsia="黑体"/>
                <w:color w:val="auto"/>
                <w:szCs w:val="21"/>
              </w:rPr>
            </w:pPr>
            <w:r>
              <w:rPr>
                <w:rFonts w:hint="eastAsia" w:ascii="黑体" w:hAnsi="黑体" w:eastAsia="黑体" w:cs="宋体"/>
                <w:color w:val="auto"/>
                <w:kern w:val="0"/>
                <w:szCs w:val="21"/>
              </w:rPr>
              <w:t>有依法缴纳税收和社会保障资金的良好记录</w:t>
            </w:r>
          </w:p>
        </w:tc>
        <w:tc>
          <w:tcPr>
            <w:tcW w:w="3177" w:type="pct"/>
            <w:vAlign w:val="center"/>
          </w:tcPr>
          <w:p>
            <w:pPr>
              <w:spacing w:line="360" w:lineRule="auto"/>
              <w:jc w:val="left"/>
              <w:rPr>
                <w:rFonts w:ascii="黑体" w:hAnsi="黑体" w:eastAsia="黑体"/>
                <w:bCs/>
                <w:color w:val="auto"/>
                <w:szCs w:val="21"/>
              </w:rPr>
            </w:pPr>
            <w:r>
              <w:rPr>
                <w:rFonts w:hint="eastAsia" w:ascii="黑体" w:hAnsi="黑体" w:eastAsia="黑体" w:cs="宋体"/>
                <w:color w:val="auto"/>
                <w:kern w:val="0"/>
                <w:szCs w:val="21"/>
              </w:rPr>
              <w:t>提供资格声明函，详见投标文件格式。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szCs w:val="21"/>
              </w:rPr>
            </w:pPr>
            <w:r>
              <w:rPr>
                <w:rFonts w:ascii="黑体" w:hAnsi="黑体" w:eastAsia="黑体"/>
                <w:color w:val="auto"/>
                <w:szCs w:val="21"/>
              </w:rPr>
              <w:t>1.3</w:t>
            </w:r>
          </w:p>
        </w:tc>
        <w:tc>
          <w:tcPr>
            <w:tcW w:w="1381" w:type="pct"/>
            <w:tcBorders>
              <w:tl2br w:val="nil"/>
            </w:tcBorders>
            <w:vAlign w:val="center"/>
          </w:tcPr>
          <w:p>
            <w:pPr>
              <w:spacing w:line="360" w:lineRule="auto"/>
              <w:jc w:val="left"/>
              <w:rPr>
                <w:rFonts w:ascii="黑体" w:hAnsi="黑体" w:eastAsia="黑体"/>
                <w:color w:val="auto"/>
                <w:szCs w:val="21"/>
              </w:rPr>
            </w:pPr>
            <w:r>
              <w:rPr>
                <w:rFonts w:hint="eastAsia" w:ascii="黑体" w:hAnsi="黑体" w:eastAsia="黑体" w:cs="宋体"/>
                <w:color w:val="auto"/>
                <w:kern w:val="0"/>
                <w:szCs w:val="21"/>
              </w:rPr>
              <w:t>具有良好的商业信誉和健全的财务会计制度</w:t>
            </w:r>
          </w:p>
        </w:tc>
        <w:tc>
          <w:tcPr>
            <w:tcW w:w="3177" w:type="pct"/>
            <w:vAlign w:val="center"/>
          </w:tcPr>
          <w:p>
            <w:pPr>
              <w:spacing w:line="360" w:lineRule="auto"/>
              <w:jc w:val="left"/>
              <w:rPr>
                <w:rFonts w:ascii="黑体" w:hAnsi="黑体" w:eastAsia="黑体"/>
                <w:bCs/>
                <w:color w:val="auto"/>
                <w:szCs w:val="21"/>
              </w:rPr>
            </w:pPr>
            <w:r>
              <w:rPr>
                <w:rFonts w:hint="eastAsia" w:ascii="黑体" w:hAnsi="黑体" w:eastAsia="黑体" w:cs="宋体"/>
                <w:color w:val="auto"/>
                <w:kern w:val="0"/>
                <w:szCs w:val="21"/>
              </w:rPr>
              <w:t>提供资格声明函，详见投标文件格式。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szCs w:val="21"/>
              </w:rPr>
            </w:pPr>
            <w:r>
              <w:rPr>
                <w:rFonts w:ascii="黑体" w:hAnsi="黑体" w:eastAsia="黑体"/>
                <w:color w:val="auto"/>
                <w:szCs w:val="21"/>
              </w:rPr>
              <w:t>1.4</w:t>
            </w:r>
          </w:p>
        </w:tc>
        <w:tc>
          <w:tcPr>
            <w:tcW w:w="1381" w:type="pct"/>
            <w:tcBorders>
              <w:tl2br w:val="nil"/>
            </w:tcBorders>
            <w:vAlign w:val="center"/>
          </w:tcPr>
          <w:p>
            <w:pPr>
              <w:spacing w:line="360" w:lineRule="auto"/>
              <w:jc w:val="left"/>
              <w:rPr>
                <w:rFonts w:ascii="黑体" w:hAnsi="黑体" w:eastAsia="黑体"/>
                <w:color w:val="auto"/>
                <w:szCs w:val="21"/>
              </w:rPr>
            </w:pPr>
            <w:r>
              <w:rPr>
                <w:rFonts w:hint="eastAsia" w:ascii="黑体" w:hAnsi="黑体" w:eastAsia="黑体"/>
                <w:color w:val="auto"/>
                <w:szCs w:val="21"/>
              </w:rPr>
              <w:t>履行合同所必须的设备和专业技术能力</w:t>
            </w:r>
          </w:p>
        </w:tc>
        <w:tc>
          <w:tcPr>
            <w:tcW w:w="3177" w:type="pct"/>
            <w:vAlign w:val="center"/>
          </w:tcPr>
          <w:p>
            <w:pPr>
              <w:spacing w:line="360" w:lineRule="auto"/>
              <w:jc w:val="left"/>
              <w:rPr>
                <w:rFonts w:ascii="黑体" w:hAnsi="黑体" w:eastAsia="黑体"/>
                <w:bCs/>
                <w:color w:val="auto"/>
                <w:szCs w:val="21"/>
              </w:rPr>
            </w:pPr>
            <w:r>
              <w:rPr>
                <w:rFonts w:hint="eastAsia" w:ascii="黑体" w:hAnsi="黑体" w:eastAsia="黑体"/>
                <w:bCs/>
                <w:color w:val="auto"/>
                <w:szCs w:val="21"/>
              </w:rPr>
              <w:t>提供资格声明函，详见投标文件格式。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szCs w:val="21"/>
              </w:rPr>
            </w:pPr>
            <w:r>
              <w:rPr>
                <w:rFonts w:ascii="黑体" w:hAnsi="黑体" w:eastAsia="黑体"/>
                <w:color w:val="auto"/>
                <w:szCs w:val="21"/>
              </w:rPr>
              <w:t>1.</w:t>
            </w:r>
            <w:r>
              <w:rPr>
                <w:rFonts w:hint="eastAsia" w:ascii="黑体" w:hAnsi="黑体" w:eastAsia="黑体"/>
                <w:color w:val="auto"/>
                <w:szCs w:val="21"/>
              </w:rPr>
              <w:t>5</w:t>
            </w:r>
          </w:p>
        </w:tc>
        <w:tc>
          <w:tcPr>
            <w:tcW w:w="1381" w:type="pct"/>
            <w:tcBorders>
              <w:tl2br w:val="nil"/>
            </w:tcBorders>
            <w:vAlign w:val="center"/>
          </w:tcPr>
          <w:p>
            <w:pPr>
              <w:spacing w:line="360" w:lineRule="auto"/>
              <w:jc w:val="left"/>
              <w:rPr>
                <w:rFonts w:ascii="黑体" w:hAnsi="黑体" w:eastAsia="黑体" w:cs="Times New Roman"/>
                <w:color w:val="auto"/>
                <w:szCs w:val="21"/>
              </w:rPr>
            </w:pPr>
            <w:r>
              <w:rPr>
                <w:rFonts w:hint="eastAsia" w:ascii="黑体" w:hAnsi="黑体" w:eastAsia="黑体" w:cs="Times New Roman"/>
                <w:color w:val="auto"/>
                <w:szCs w:val="21"/>
              </w:rPr>
              <w:t>参加采购活动前3年内，在经营活动中没有重大违法记录：</w:t>
            </w:r>
          </w:p>
        </w:tc>
        <w:tc>
          <w:tcPr>
            <w:tcW w:w="3177" w:type="pct"/>
            <w:vAlign w:val="center"/>
          </w:tcPr>
          <w:p>
            <w:pPr>
              <w:spacing w:line="360" w:lineRule="auto"/>
              <w:rPr>
                <w:rFonts w:ascii="黑体" w:hAnsi="黑体" w:eastAsia="黑体"/>
                <w:bCs/>
                <w:color w:val="auto"/>
                <w:szCs w:val="21"/>
              </w:rPr>
            </w:pPr>
            <w:r>
              <w:rPr>
                <w:rFonts w:hint="eastAsia" w:ascii="黑体" w:hAnsi="黑体" w:eastAsia="黑体"/>
                <w:bCs/>
                <w:color w:val="auto"/>
                <w:szCs w:val="21"/>
              </w:rPr>
              <w:t>参加采购活动前3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spacing w:line="360" w:lineRule="auto"/>
              <w:rPr>
                <w:rFonts w:ascii="黑体" w:hAnsi="黑体" w:eastAsia="黑体"/>
                <w:bCs/>
                <w:color w:val="auto"/>
                <w:szCs w:val="21"/>
              </w:rPr>
            </w:pPr>
            <w:r>
              <w:rPr>
                <w:rFonts w:hint="eastAsia" w:ascii="黑体" w:hAnsi="黑体" w:eastAsia="黑体"/>
                <w:bCs/>
                <w:color w:val="auto"/>
                <w:szCs w:val="21"/>
              </w:rPr>
              <w:t>提供资格声明函，详见投标文件格式。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szCs w:val="21"/>
              </w:rPr>
            </w:pPr>
            <w:r>
              <w:rPr>
                <w:rFonts w:ascii="黑体" w:hAnsi="黑体" w:eastAsia="黑体"/>
                <w:color w:val="auto"/>
                <w:szCs w:val="21"/>
              </w:rPr>
              <w:t>1.</w:t>
            </w:r>
            <w:r>
              <w:rPr>
                <w:rFonts w:hint="eastAsia" w:ascii="黑体" w:hAnsi="黑体" w:eastAsia="黑体"/>
                <w:color w:val="auto"/>
                <w:szCs w:val="21"/>
              </w:rPr>
              <w:t>6</w:t>
            </w:r>
          </w:p>
        </w:tc>
        <w:tc>
          <w:tcPr>
            <w:tcW w:w="1381" w:type="pct"/>
            <w:tcBorders>
              <w:tl2br w:val="nil"/>
            </w:tcBorders>
            <w:vAlign w:val="center"/>
          </w:tcPr>
          <w:p>
            <w:pPr>
              <w:spacing w:line="360" w:lineRule="auto"/>
              <w:jc w:val="left"/>
              <w:rPr>
                <w:rFonts w:ascii="黑体" w:hAnsi="黑体" w:eastAsia="黑体"/>
                <w:color w:val="auto"/>
                <w:szCs w:val="21"/>
              </w:rPr>
            </w:pPr>
            <w:r>
              <w:rPr>
                <w:rFonts w:hint="eastAsia" w:ascii="黑体" w:hAnsi="黑体" w:eastAsia="黑体"/>
                <w:color w:val="auto"/>
                <w:szCs w:val="21"/>
              </w:rPr>
              <w:t>信用记录</w:t>
            </w:r>
          </w:p>
        </w:tc>
        <w:tc>
          <w:tcPr>
            <w:tcW w:w="3177" w:type="pct"/>
            <w:vAlign w:val="center"/>
          </w:tcPr>
          <w:p>
            <w:pPr>
              <w:spacing w:line="360" w:lineRule="auto"/>
              <w:rPr>
                <w:rFonts w:ascii="黑体" w:hAnsi="黑体" w:eastAsia="黑体"/>
                <w:bCs/>
                <w:color w:val="auto"/>
                <w:szCs w:val="21"/>
              </w:rPr>
            </w:pPr>
            <w:r>
              <w:rPr>
                <w:rFonts w:hint="eastAsia" w:ascii="黑体" w:hAnsi="黑体" w:eastAsia="黑体" w:cs="宋体"/>
                <w:color w:val="auto"/>
                <w:kern w:val="0"/>
                <w:szCs w:val="21"/>
              </w:rPr>
              <w:t>供应商未被列入“信用中国”网站(www.creditchina.gov.cn)“记录失信被执行人或重大税收违法失信主体”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 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rPr>
            </w:pPr>
            <w:r>
              <w:rPr>
                <w:rFonts w:ascii="黑体" w:hAnsi="黑体" w:eastAsia="黑体"/>
                <w:color w:val="auto"/>
              </w:rPr>
              <w:t>2</w:t>
            </w:r>
          </w:p>
        </w:tc>
        <w:tc>
          <w:tcPr>
            <w:tcW w:w="1381" w:type="pct"/>
            <w:tcBorders>
              <w:tl2br w:val="nil"/>
            </w:tcBorders>
            <w:vAlign w:val="center"/>
          </w:tcPr>
          <w:p>
            <w:pPr>
              <w:spacing w:line="360" w:lineRule="auto"/>
              <w:rPr>
                <w:rFonts w:ascii="黑体" w:hAnsi="黑体" w:eastAsia="黑体" w:cs="宋体"/>
                <w:color w:val="auto"/>
                <w:kern w:val="0"/>
                <w:szCs w:val="21"/>
              </w:rPr>
            </w:pPr>
            <w:r>
              <w:rPr>
                <w:rFonts w:hint="eastAsia" w:ascii="黑体" w:hAnsi="黑体" w:eastAsia="黑体" w:cs="宋体"/>
                <w:color w:val="auto"/>
                <w:kern w:val="0"/>
                <w:szCs w:val="21"/>
              </w:rPr>
              <w:t>供应商必须符合法律、行政法规规定的其他条件</w:t>
            </w:r>
          </w:p>
        </w:tc>
        <w:tc>
          <w:tcPr>
            <w:tcW w:w="3177" w:type="pct"/>
            <w:tcBorders>
              <w:tl2br w:val="nil"/>
            </w:tcBorders>
            <w:vAlign w:val="center"/>
          </w:tcPr>
          <w:p>
            <w:pPr>
              <w:spacing w:line="360" w:lineRule="auto"/>
              <w:rPr>
                <w:rFonts w:ascii="黑体" w:hAnsi="黑体" w:eastAsia="黑体" w:cs="宋体"/>
                <w:color w:val="auto"/>
                <w:kern w:val="0"/>
                <w:szCs w:val="21"/>
              </w:rPr>
            </w:pPr>
            <w:r>
              <w:rPr>
                <w:rFonts w:hint="eastAsia" w:ascii="黑体" w:hAnsi="黑体" w:eastAsia="黑体" w:cs="宋体"/>
                <w:color w:val="auto"/>
                <w:kern w:val="0"/>
                <w:szCs w:val="21"/>
              </w:rPr>
              <w:t>单位负责人为同一人或者存在直接控股、管理关系的不同供应商，不得同时参加本采购项目（或采购包）投标。为本项目提供整体设计、规范编制或者项目管理、监理、检测等服务的供应商，不得再参与本项目投标。</w:t>
            </w:r>
          </w:p>
          <w:p>
            <w:pPr>
              <w:spacing w:line="360" w:lineRule="auto"/>
              <w:rPr>
                <w:rFonts w:ascii="黑体" w:hAnsi="黑体" w:eastAsia="黑体" w:cs="宋体"/>
                <w:color w:val="auto"/>
                <w:kern w:val="0"/>
                <w:szCs w:val="21"/>
              </w:rPr>
            </w:pPr>
            <w:r>
              <w:rPr>
                <w:rFonts w:hint="eastAsia" w:ascii="黑体" w:hAnsi="黑体" w:eastAsia="黑体" w:cs="宋体"/>
                <w:color w:val="auto"/>
                <w:kern w:val="0"/>
                <w:szCs w:val="21"/>
              </w:rPr>
              <w:t>提供书面声明，格式自定。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rPr>
            </w:pPr>
            <w:r>
              <w:rPr>
                <w:rFonts w:ascii="黑体" w:hAnsi="黑体" w:eastAsia="黑体"/>
                <w:color w:val="auto"/>
              </w:rPr>
              <w:t>3</w:t>
            </w:r>
          </w:p>
        </w:tc>
        <w:tc>
          <w:tcPr>
            <w:tcW w:w="1381" w:type="pct"/>
            <w:tcBorders>
              <w:tl2br w:val="nil"/>
            </w:tcBorders>
            <w:vAlign w:val="center"/>
          </w:tcPr>
          <w:p>
            <w:pPr>
              <w:spacing w:line="360" w:lineRule="auto"/>
              <w:jc w:val="left"/>
              <w:rPr>
                <w:rFonts w:ascii="黑体" w:hAnsi="黑体" w:eastAsia="黑体"/>
                <w:color w:val="auto"/>
                <w:szCs w:val="21"/>
              </w:rPr>
            </w:pPr>
            <w:r>
              <w:rPr>
                <w:rFonts w:hint="eastAsia" w:ascii="黑体" w:hAnsi="黑体" w:eastAsia="黑体"/>
                <w:color w:val="auto"/>
                <w:szCs w:val="21"/>
              </w:rPr>
              <w:t>落实政府采购政策需满足的资格要求</w:t>
            </w:r>
          </w:p>
        </w:tc>
        <w:tc>
          <w:tcPr>
            <w:tcW w:w="317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面向中小企业，采购包专门预留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42" w:type="pct"/>
            <w:vAlign w:val="center"/>
          </w:tcPr>
          <w:p>
            <w:pPr>
              <w:jc w:val="center"/>
              <w:rPr>
                <w:rFonts w:ascii="黑体" w:hAnsi="黑体" w:eastAsia="黑体"/>
                <w:color w:val="auto"/>
              </w:rPr>
            </w:pPr>
            <w:r>
              <w:rPr>
                <w:rFonts w:ascii="黑体" w:hAnsi="黑体" w:eastAsia="黑体"/>
                <w:color w:val="auto"/>
              </w:rPr>
              <w:t>4</w:t>
            </w:r>
          </w:p>
        </w:tc>
        <w:tc>
          <w:tcPr>
            <w:tcW w:w="1381" w:type="pct"/>
            <w:tcBorders>
              <w:tl2br w:val="nil"/>
            </w:tcBorders>
            <w:vAlign w:val="center"/>
          </w:tcPr>
          <w:p>
            <w:pPr>
              <w:spacing w:line="360" w:lineRule="auto"/>
              <w:jc w:val="left"/>
              <w:rPr>
                <w:rFonts w:ascii="黑体" w:hAnsi="黑体" w:eastAsia="黑体"/>
                <w:color w:val="auto"/>
                <w:szCs w:val="21"/>
              </w:rPr>
            </w:pPr>
            <w:r>
              <w:rPr>
                <w:rFonts w:hint="eastAsia" w:ascii="黑体" w:hAnsi="黑体" w:eastAsia="黑体"/>
                <w:color w:val="auto"/>
                <w:szCs w:val="21"/>
              </w:rPr>
              <w:t>本项目的特定资格要求</w:t>
            </w:r>
          </w:p>
        </w:tc>
        <w:tc>
          <w:tcPr>
            <w:tcW w:w="3177"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具有食品药品监督管理部门或市场监督管理部门颁发的有效的食品经营许可证复印件</w:t>
            </w:r>
          </w:p>
        </w:tc>
      </w:tr>
    </w:tbl>
    <w:p>
      <w:pPr>
        <w:rPr>
          <w:color w:val="auto"/>
        </w:rPr>
      </w:pPr>
    </w:p>
    <w:p>
      <w:pPr>
        <w:pStyle w:val="30"/>
        <w:numPr>
          <w:ilvl w:val="0"/>
          <w:numId w:val="76"/>
        </w:numPr>
        <w:spacing w:before="156" w:beforeLines="50" w:line="360" w:lineRule="auto"/>
        <w:ind w:firstLineChars="0"/>
        <w:rPr>
          <w:rFonts w:ascii="黑体" w:hAnsi="黑体" w:eastAsia="黑体"/>
          <w:b/>
          <w:bCs/>
          <w:color w:val="auto"/>
          <w:szCs w:val="21"/>
        </w:rPr>
      </w:pPr>
      <w:r>
        <w:rPr>
          <w:rFonts w:hint="eastAsia" w:ascii="黑体" w:hAnsi="黑体" w:eastAsia="黑体"/>
          <w:b/>
          <w:bCs/>
          <w:color w:val="auto"/>
          <w:szCs w:val="21"/>
        </w:rPr>
        <w:t>说明：</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投标人必须严格按照《资格性审查表》的评审内容的要求如实提供证明材料并应加盖投标人公章，若投标人不满足《资格性审查表》中任何情形之一的，则其投标无效。</w:t>
      </w:r>
      <w:r>
        <w:rPr>
          <w:rFonts w:ascii="黑体" w:hAnsi="黑体" w:eastAsia="黑体"/>
          <w:color w:val="auto"/>
          <w:szCs w:val="21"/>
        </w:rPr>
        <w:cr/>
      </w:r>
    </w:p>
    <w:p>
      <w:pPr>
        <w:pStyle w:val="30"/>
        <w:pageBreakBefore/>
        <w:numPr>
          <w:ilvl w:val="0"/>
          <w:numId w:val="75"/>
        </w:numPr>
        <w:spacing w:before="156" w:beforeLines="50" w:after="312" w:afterLines="100" w:line="360" w:lineRule="auto"/>
        <w:ind w:left="422" w:hanging="422" w:hangingChars="200"/>
        <w:rPr>
          <w:rFonts w:ascii="黑体" w:hAnsi="黑体" w:eastAsia="黑体"/>
          <w:b/>
          <w:bCs/>
          <w:color w:val="auto"/>
          <w:szCs w:val="21"/>
        </w:rPr>
      </w:pPr>
      <w:r>
        <w:rPr>
          <w:rFonts w:hint="eastAsia" w:ascii="黑体" w:hAnsi="黑体" w:eastAsia="黑体"/>
          <w:b/>
          <w:bCs/>
          <w:color w:val="auto"/>
          <w:szCs w:val="21"/>
        </w:rPr>
        <w:t>附表二</w:t>
      </w:r>
      <w:r>
        <w:rPr>
          <w:rFonts w:ascii="黑体" w:hAnsi="黑体" w:eastAsia="黑体"/>
          <w:b/>
          <w:bCs/>
          <w:color w:val="auto"/>
          <w:szCs w:val="21"/>
        </w:rPr>
        <w:t xml:space="preserve"> </w:t>
      </w:r>
      <w:bookmarkStart w:id="55" w:name="_Hlk79425582"/>
      <w:r>
        <w:rPr>
          <w:rFonts w:ascii="黑体" w:hAnsi="黑体" w:eastAsia="黑体"/>
          <w:b/>
          <w:bCs/>
          <w:color w:val="auto"/>
          <w:szCs w:val="21"/>
        </w:rPr>
        <w:t xml:space="preserve"> </w:t>
      </w:r>
      <w:bookmarkStart w:id="56" w:name="_Hlk80867805"/>
      <w:r>
        <w:rPr>
          <w:rFonts w:ascii="黑体" w:hAnsi="黑体" w:eastAsia="黑体"/>
          <w:b/>
          <w:bCs/>
          <w:color w:val="auto"/>
          <w:szCs w:val="21"/>
        </w:rPr>
        <w:t>符合性审查表</w:t>
      </w:r>
      <w:bookmarkEnd w:id="55"/>
      <w:bookmarkEnd w:id="56"/>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44" w:type="pct"/>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序号</w:t>
            </w:r>
          </w:p>
        </w:tc>
        <w:tc>
          <w:tcPr>
            <w:tcW w:w="4256" w:type="pct"/>
            <w:vAlign w:val="center"/>
          </w:tcPr>
          <w:p>
            <w:pPr>
              <w:spacing w:line="360" w:lineRule="auto"/>
              <w:jc w:val="center"/>
              <w:rPr>
                <w:rFonts w:ascii="黑体" w:hAnsi="黑体" w:eastAsia="黑体" w:cs="Times New Roman"/>
                <w:b/>
                <w:color w:val="auto"/>
                <w:szCs w:val="21"/>
              </w:rPr>
            </w:pPr>
            <w:r>
              <w:rPr>
                <w:rFonts w:hint="eastAsia" w:ascii="黑体" w:hAnsi="黑体" w:eastAsia="黑体" w:cs="Times New Roman"/>
                <w:b/>
                <w:color w:val="auto"/>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1</w:t>
            </w:r>
          </w:p>
        </w:tc>
        <w:tc>
          <w:tcPr>
            <w:tcW w:w="4256" w:type="pct"/>
            <w:vAlign w:val="center"/>
          </w:tcPr>
          <w:p>
            <w:pPr>
              <w:spacing w:line="360" w:lineRule="auto"/>
              <w:jc w:val="left"/>
              <w:rPr>
                <w:rFonts w:ascii="黑体" w:hAnsi="黑体" w:eastAsia="黑体" w:cs="Times New Roman"/>
                <w:color w:val="auto"/>
                <w:szCs w:val="21"/>
              </w:rPr>
            </w:pPr>
            <w:r>
              <w:rPr>
                <w:rFonts w:hint="eastAsia" w:ascii="黑体" w:hAnsi="黑体" w:eastAsia="黑体" w:cs="Times New Roman"/>
                <w:color w:val="auto"/>
                <w:szCs w:val="21"/>
              </w:rPr>
              <w:t>合格的投标保证金。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2</w:t>
            </w:r>
          </w:p>
        </w:tc>
        <w:tc>
          <w:tcPr>
            <w:tcW w:w="4256" w:type="pct"/>
            <w:vAlign w:val="center"/>
          </w:tcPr>
          <w:p>
            <w:pPr>
              <w:spacing w:line="360" w:lineRule="auto"/>
              <w:jc w:val="left"/>
              <w:rPr>
                <w:rFonts w:ascii="黑体" w:hAnsi="黑体" w:eastAsia="黑体" w:cs="Times New Roman"/>
                <w:color w:val="auto"/>
                <w:szCs w:val="21"/>
              </w:rPr>
            </w:pPr>
            <w:r>
              <w:rPr>
                <w:rFonts w:hint="eastAsia" w:ascii="黑体" w:hAnsi="黑体" w:eastAsia="黑体" w:cs="Times New Roman"/>
                <w:color w:val="auto"/>
                <w:szCs w:val="21"/>
              </w:rPr>
              <w:t>投标报价不超过</w:t>
            </w:r>
            <w:r>
              <w:rPr>
                <w:rFonts w:hint="eastAsia" w:ascii="黑体" w:hAnsi="黑体" w:eastAsia="黑体"/>
                <w:color w:val="auto"/>
                <w:szCs w:val="21"/>
              </w:rPr>
              <w:t>本项目采购预算或最高限价。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3</w:t>
            </w:r>
          </w:p>
        </w:tc>
        <w:tc>
          <w:tcPr>
            <w:tcW w:w="4256" w:type="pct"/>
            <w:vAlign w:val="center"/>
          </w:tcPr>
          <w:p>
            <w:pPr>
              <w:spacing w:line="360" w:lineRule="auto"/>
              <w:jc w:val="left"/>
              <w:rPr>
                <w:rFonts w:ascii="黑体" w:hAnsi="黑体" w:eastAsia="黑体" w:cs="Times New Roman"/>
                <w:color w:val="auto"/>
                <w:szCs w:val="21"/>
              </w:rPr>
            </w:pPr>
            <w:r>
              <w:rPr>
                <w:rFonts w:hint="eastAsia" w:ascii="黑体" w:hAnsi="黑体" w:eastAsia="黑体" w:cs="Times New Roman"/>
                <w:color w:val="auto"/>
                <w:szCs w:val="21"/>
              </w:rPr>
              <w:t>法人授权委托证明。</w:t>
            </w:r>
          </w:p>
          <w:p>
            <w:pPr>
              <w:spacing w:line="360" w:lineRule="auto"/>
              <w:jc w:val="left"/>
              <w:rPr>
                <w:rFonts w:ascii="黑体" w:hAnsi="黑体" w:eastAsia="黑体" w:cs="Times New Roman"/>
                <w:color w:val="auto"/>
                <w:szCs w:val="21"/>
              </w:rPr>
            </w:pPr>
            <w:r>
              <w:rPr>
                <w:rFonts w:hint="eastAsia" w:ascii="黑体" w:hAnsi="黑体" w:eastAsia="黑体" w:cs="Times New Roman"/>
                <w:color w:val="auto"/>
                <w:szCs w:val="21"/>
              </w:rPr>
              <w:t>(投标人代表为法定代表人的除外)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4</w:t>
            </w:r>
          </w:p>
        </w:tc>
        <w:tc>
          <w:tcPr>
            <w:tcW w:w="4256" w:type="pct"/>
            <w:vAlign w:val="center"/>
          </w:tcPr>
          <w:p>
            <w:pPr>
              <w:spacing w:line="360" w:lineRule="auto"/>
              <w:jc w:val="left"/>
              <w:rPr>
                <w:rFonts w:ascii="黑体" w:hAnsi="黑体" w:eastAsia="黑体" w:cs="Times New Roman"/>
                <w:color w:val="auto"/>
                <w:szCs w:val="21"/>
              </w:rPr>
            </w:pPr>
            <w:r>
              <w:rPr>
                <w:rFonts w:hint="eastAsia" w:ascii="黑体" w:hAnsi="黑体" w:eastAsia="黑体" w:cs="Times New Roman"/>
                <w:color w:val="auto"/>
                <w:szCs w:val="21"/>
              </w:rPr>
              <w:t>投标函已提交并符合招标文件要求的，且投标有效期不少于招标文件中载明的投标有效期。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5</w:t>
            </w:r>
          </w:p>
        </w:tc>
        <w:tc>
          <w:tcPr>
            <w:tcW w:w="4256" w:type="pct"/>
            <w:vAlign w:val="center"/>
          </w:tcPr>
          <w:p>
            <w:pPr>
              <w:spacing w:line="360" w:lineRule="auto"/>
              <w:jc w:val="left"/>
              <w:rPr>
                <w:rFonts w:ascii="黑体" w:hAnsi="黑体" w:eastAsia="黑体"/>
                <w:color w:val="auto"/>
                <w:szCs w:val="21"/>
              </w:rPr>
            </w:pPr>
            <w:r>
              <w:rPr>
                <w:rFonts w:hint="eastAsia" w:ascii="黑体" w:hAnsi="黑体" w:eastAsia="黑体" w:cs="Times New Roman"/>
                <w:color w:val="auto"/>
                <w:szCs w:val="21"/>
              </w:rPr>
              <w:t>投标文件的式样、签署、盖章符合招标文件要求。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6</w:t>
            </w:r>
          </w:p>
        </w:tc>
        <w:tc>
          <w:tcPr>
            <w:tcW w:w="4256" w:type="pct"/>
            <w:vAlign w:val="center"/>
          </w:tcPr>
          <w:p>
            <w:pPr>
              <w:spacing w:line="360" w:lineRule="auto"/>
              <w:jc w:val="left"/>
              <w:rPr>
                <w:rFonts w:ascii="黑体" w:hAnsi="黑体" w:eastAsia="黑体"/>
                <w:bCs/>
                <w:color w:val="auto"/>
                <w:szCs w:val="21"/>
              </w:rPr>
            </w:pPr>
            <w:r>
              <w:rPr>
                <w:rFonts w:hint="eastAsia" w:ascii="黑体" w:hAnsi="黑体" w:eastAsia="黑体"/>
                <w:bCs/>
                <w:color w:val="auto"/>
                <w:szCs w:val="21"/>
              </w:rPr>
              <w:t>采购需求当中的★条款满足要求。</w:t>
            </w:r>
          </w:p>
          <w:p>
            <w:pPr>
              <w:spacing w:line="360" w:lineRule="auto"/>
              <w:jc w:val="left"/>
              <w:rPr>
                <w:rFonts w:ascii="黑体" w:hAnsi="黑体" w:eastAsia="黑体"/>
                <w:bCs/>
                <w:color w:val="auto"/>
                <w:szCs w:val="21"/>
              </w:rPr>
            </w:pPr>
            <w:r>
              <w:rPr>
                <w:rFonts w:hint="eastAsia" w:ascii="黑体" w:hAnsi="黑体" w:eastAsia="黑体"/>
                <w:bCs/>
                <w:color w:val="auto"/>
                <w:szCs w:val="21"/>
              </w:rPr>
              <w:t>(若本项目无★条款，此项通过)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7</w:t>
            </w:r>
          </w:p>
        </w:tc>
        <w:tc>
          <w:tcPr>
            <w:tcW w:w="4256" w:type="pct"/>
            <w:vAlign w:val="center"/>
          </w:tcPr>
          <w:p>
            <w:pPr>
              <w:spacing w:line="360" w:lineRule="auto"/>
              <w:jc w:val="left"/>
              <w:rPr>
                <w:rFonts w:ascii="黑体" w:hAnsi="黑体" w:eastAsia="黑体"/>
                <w:bCs/>
                <w:color w:val="auto"/>
                <w:szCs w:val="21"/>
              </w:rPr>
            </w:pPr>
            <w:r>
              <w:rPr>
                <w:rFonts w:hint="eastAsia" w:ascii="黑体" w:hAnsi="黑体" w:eastAsia="黑体"/>
                <w:bCs/>
                <w:color w:val="auto"/>
                <w:szCs w:val="21"/>
              </w:rPr>
              <w:t>投标文件未出现选择性报价或有附加条件报价的情形。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8</w:t>
            </w:r>
          </w:p>
        </w:tc>
        <w:tc>
          <w:tcPr>
            <w:tcW w:w="4256" w:type="pct"/>
            <w:vAlign w:val="center"/>
          </w:tcPr>
          <w:p>
            <w:pPr>
              <w:spacing w:line="360" w:lineRule="auto"/>
              <w:jc w:val="left"/>
              <w:rPr>
                <w:rFonts w:ascii="黑体" w:hAnsi="黑体" w:eastAsia="黑体"/>
                <w:bCs/>
                <w:color w:val="auto"/>
                <w:szCs w:val="21"/>
              </w:rPr>
            </w:pPr>
            <w:r>
              <w:rPr>
                <w:rFonts w:hint="eastAsia" w:ascii="黑体" w:hAnsi="黑体" w:eastAsia="黑体"/>
                <w:bCs/>
                <w:color w:val="auto"/>
                <w:szCs w:val="21"/>
              </w:rPr>
              <w:t>投标文件没有招标文件中规定的其它无效投标条款的。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44" w:type="pct"/>
            <w:vAlign w:val="center"/>
          </w:tcPr>
          <w:p>
            <w:pPr>
              <w:spacing w:line="360" w:lineRule="auto"/>
              <w:jc w:val="center"/>
              <w:rPr>
                <w:rFonts w:ascii="黑体" w:hAnsi="黑体" w:eastAsia="黑体"/>
                <w:bCs/>
                <w:color w:val="auto"/>
                <w:szCs w:val="21"/>
              </w:rPr>
            </w:pPr>
            <w:r>
              <w:rPr>
                <w:rFonts w:hint="eastAsia" w:ascii="黑体" w:hAnsi="黑体" w:eastAsia="黑体"/>
                <w:bCs/>
                <w:color w:val="auto"/>
                <w:szCs w:val="21"/>
              </w:rPr>
              <w:t>9</w:t>
            </w:r>
          </w:p>
        </w:tc>
        <w:tc>
          <w:tcPr>
            <w:tcW w:w="4256" w:type="pct"/>
            <w:vAlign w:val="center"/>
          </w:tcPr>
          <w:p>
            <w:pPr>
              <w:spacing w:line="360" w:lineRule="auto"/>
              <w:jc w:val="left"/>
              <w:rPr>
                <w:rFonts w:ascii="黑体" w:hAnsi="黑体" w:eastAsia="黑体"/>
                <w:bCs/>
                <w:color w:val="auto"/>
                <w:szCs w:val="21"/>
              </w:rPr>
            </w:pPr>
            <w:r>
              <w:rPr>
                <w:rFonts w:hint="eastAsia" w:ascii="黑体" w:hAnsi="黑体" w:eastAsia="黑体"/>
                <w:bCs/>
                <w:color w:val="auto"/>
                <w:szCs w:val="21"/>
              </w:rPr>
              <w:t>按有关法律、法规、规章不属于投标无效的。</w:t>
            </w:r>
          </w:p>
        </w:tc>
      </w:tr>
    </w:tbl>
    <w:p>
      <w:pPr>
        <w:pStyle w:val="30"/>
        <w:numPr>
          <w:ilvl w:val="0"/>
          <w:numId w:val="76"/>
        </w:numPr>
        <w:spacing w:before="468" w:beforeLines="150" w:line="360" w:lineRule="auto"/>
        <w:ind w:firstLineChars="0"/>
        <w:rPr>
          <w:rFonts w:ascii="黑体" w:hAnsi="黑体" w:eastAsia="黑体"/>
          <w:b/>
          <w:bCs/>
          <w:color w:val="auto"/>
          <w:szCs w:val="21"/>
        </w:rPr>
      </w:pPr>
      <w:r>
        <w:rPr>
          <w:rFonts w:hint="eastAsia" w:ascii="黑体" w:hAnsi="黑体" w:eastAsia="黑体"/>
          <w:b/>
          <w:bCs/>
          <w:color w:val="auto"/>
          <w:szCs w:val="21"/>
        </w:rPr>
        <w:t>说明：</w:t>
      </w:r>
    </w:p>
    <w:p>
      <w:pPr>
        <w:spacing w:before="156" w:beforeLines="50" w:line="360" w:lineRule="auto"/>
        <w:ind w:firstLine="420" w:firstLineChars="200"/>
        <w:rPr>
          <w:rFonts w:ascii="宋体" w:hAnsi="宋体" w:eastAsia="宋体"/>
          <w:b/>
          <w:bCs/>
          <w:color w:val="auto"/>
          <w:szCs w:val="21"/>
        </w:rPr>
      </w:pPr>
      <w:r>
        <w:rPr>
          <w:rFonts w:hint="eastAsia" w:ascii="黑体" w:hAnsi="黑体" w:eastAsia="黑体"/>
          <w:color w:val="auto"/>
          <w:szCs w:val="21"/>
        </w:rPr>
        <w:t>投标人必须严格按照《符合性审查表》的评审内容的要求如实提供证明材料并应加盖投标人公章，若投标人不满足《符合性审查表》中任何情形之一的，则其投标无效。</w:t>
      </w:r>
    </w:p>
    <w:p>
      <w:pPr>
        <w:pStyle w:val="30"/>
        <w:pageBreakBefore/>
        <w:numPr>
          <w:ilvl w:val="0"/>
          <w:numId w:val="75"/>
        </w:numPr>
        <w:spacing w:before="312" w:beforeLines="100" w:after="312" w:afterLines="100" w:line="360" w:lineRule="auto"/>
        <w:ind w:left="422" w:hanging="422" w:hangingChars="200"/>
        <w:rPr>
          <w:rFonts w:ascii="黑体" w:hAnsi="黑体" w:eastAsia="黑体"/>
          <w:b/>
          <w:bCs/>
          <w:color w:val="auto"/>
          <w:szCs w:val="21"/>
        </w:rPr>
      </w:pPr>
      <w:r>
        <w:rPr>
          <w:rFonts w:hint="eastAsia" w:ascii="黑体" w:hAnsi="黑体" w:eastAsia="黑体"/>
          <w:b/>
          <w:bCs/>
          <w:color w:val="auto"/>
          <w:szCs w:val="21"/>
        </w:rPr>
        <w:t>附表三</w:t>
      </w:r>
      <w:r>
        <w:rPr>
          <w:rFonts w:ascii="黑体" w:hAnsi="黑体" w:eastAsia="黑体"/>
          <w:b/>
          <w:bCs/>
          <w:color w:val="auto"/>
          <w:szCs w:val="21"/>
        </w:rPr>
        <w:t xml:space="preserve">  详细评审表</w:t>
      </w:r>
      <w:r>
        <w:rPr>
          <w:rFonts w:hint="eastAsia" w:ascii="黑体" w:hAnsi="黑体" w:eastAsia="黑体"/>
          <w:b/>
          <w:bCs/>
          <w:color w:val="auto"/>
          <w:szCs w:val="21"/>
        </w:rPr>
        <w:t>（含商务、技术评审细则）</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280"/>
        <w:gridCol w:w="1203"/>
        <w:gridCol w:w="5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jc w:val="center"/>
        </w:trPr>
        <w:tc>
          <w:tcPr>
            <w:tcW w:w="480" w:type="pct"/>
            <w:vAlign w:val="center"/>
          </w:tcPr>
          <w:p>
            <w:pPr>
              <w:pStyle w:val="36"/>
              <w:spacing w:after="62" w:afterLines="20" w:line="440" w:lineRule="exact"/>
              <w:ind w:firstLine="0" w:firstLineChars="0"/>
              <w:jc w:val="center"/>
              <w:rPr>
                <w:rFonts w:ascii="黑体" w:hAnsi="黑体" w:eastAsia="黑体"/>
                <w:b/>
                <w:color w:val="auto"/>
                <w:sz w:val="21"/>
                <w:szCs w:val="21"/>
              </w:rPr>
            </w:pPr>
            <w:r>
              <w:rPr>
                <w:rFonts w:hint="eastAsia" w:ascii="黑体" w:hAnsi="黑体" w:eastAsia="黑体"/>
                <w:b/>
                <w:color w:val="auto"/>
                <w:sz w:val="21"/>
                <w:szCs w:val="21"/>
              </w:rPr>
              <w:t>序号</w:t>
            </w:r>
          </w:p>
        </w:tc>
        <w:tc>
          <w:tcPr>
            <w:tcW w:w="730" w:type="pct"/>
            <w:vAlign w:val="center"/>
          </w:tcPr>
          <w:p>
            <w:pPr>
              <w:pStyle w:val="36"/>
              <w:spacing w:after="62" w:afterLines="20" w:line="440" w:lineRule="exact"/>
              <w:ind w:firstLine="0" w:firstLineChars="0"/>
              <w:jc w:val="center"/>
              <w:rPr>
                <w:rFonts w:ascii="黑体" w:hAnsi="黑体" w:eastAsia="黑体"/>
                <w:b/>
                <w:color w:val="auto"/>
                <w:sz w:val="21"/>
                <w:szCs w:val="21"/>
              </w:rPr>
            </w:pPr>
            <w:r>
              <w:rPr>
                <w:rFonts w:hint="eastAsia" w:ascii="黑体" w:hAnsi="黑体" w:eastAsia="黑体"/>
                <w:b/>
                <w:color w:val="auto"/>
                <w:sz w:val="21"/>
                <w:szCs w:val="21"/>
              </w:rPr>
              <w:t>评分内容</w:t>
            </w:r>
          </w:p>
        </w:tc>
        <w:tc>
          <w:tcPr>
            <w:tcW w:w="686" w:type="pct"/>
            <w:vAlign w:val="center"/>
          </w:tcPr>
          <w:p>
            <w:pPr>
              <w:pStyle w:val="36"/>
              <w:spacing w:after="62" w:afterLines="20" w:line="440" w:lineRule="exact"/>
              <w:ind w:firstLine="0" w:firstLineChars="0"/>
              <w:jc w:val="center"/>
              <w:rPr>
                <w:rFonts w:ascii="黑体" w:hAnsi="黑体" w:eastAsia="黑体"/>
                <w:b/>
                <w:color w:val="auto"/>
                <w:sz w:val="21"/>
                <w:szCs w:val="21"/>
              </w:rPr>
            </w:pPr>
            <w:r>
              <w:rPr>
                <w:rFonts w:hint="eastAsia" w:ascii="黑体" w:hAnsi="黑体" w:eastAsia="黑体"/>
                <w:b/>
                <w:color w:val="auto"/>
                <w:sz w:val="21"/>
                <w:szCs w:val="21"/>
              </w:rPr>
              <w:t>分值</w:t>
            </w:r>
          </w:p>
        </w:tc>
        <w:tc>
          <w:tcPr>
            <w:tcW w:w="3102" w:type="pct"/>
            <w:vAlign w:val="center"/>
          </w:tcPr>
          <w:p>
            <w:pPr>
              <w:pStyle w:val="36"/>
              <w:spacing w:after="62" w:afterLines="20" w:line="440" w:lineRule="exact"/>
              <w:ind w:firstLine="0" w:firstLineChars="0"/>
              <w:jc w:val="center"/>
              <w:rPr>
                <w:rFonts w:ascii="黑体" w:hAnsi="黑体" w:eastAsia="黑体"/>
                <w:b/>
                <w:color w:val="auto"/>
                <w:sz w:val="21"/>
                <w:szCs w:val="21"/>
              </w:rPr>
            </w:pPr>
            <w:r>
              <w:rPr>
                <w:rFonts w:hint="eastAsia" w:ascii="黑体" w:hAnsi="黑体" w:eastAsia="黑体"/>
                <w:b/>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000" w:type="pct"/>
            <w:gridSpan w:val="4"/>
            <w:vAlign w:val="center"/>
          </w:tcPr>
          <w:p>
            <w:pPr>
              <w:pStyle w:val="36"/>
              <w:spacing w:after="62" w:afterLines="20" w:line="440" w:lineRule="exact"/>
              <w:ind w:firstLine="0" w:firstLineChars="0"/>
              <w:jc w:val="center"/>
              <w:rPr>
                <w:rFonts w:ascii="黑体" w:hAnsi="黑体" w:eastAsia="黑体"/>
                <w:b/>
                <w:color w:val="auto"/>
                <w:sz w:val="21"/>
                <w:szCs w:val="21"/>
              </w:rPr>
            </w:pPr>
            <w:r>
              <w:rPr>
                <w:rFonts w:hint="eastAsia" w:ascii="黑体" w:hAnsi="黑体" w:eastAsia="黑体"/>
                <w:b/>
                <w:color w:val="auto"/>
                <w:sz w:val="21"/>
                <w:szCs w:val="21"/>
              </w:rPr>
              <w:t>商务评审细则（30分）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1</w:t>
            </w:r>
          </w:p>
        </w:tc>
        <w:tc>
          <w:tcPr>
            <w:tcW w:w="730" w:type="pct"/>
            <w:vAlign w:val="center"/>
          </w:tcPr>
          <w:p>
            <w:pPr>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业绩情况</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12分</w:t>
            </w:r>
          </w:p>
        </w:tc>
        <w:tc>
          <w:tcPr>
            <w:tcW w:w="3102" w:type="pct"/>
            <w:vAlign w:val="center"/>
          </w:tcPr>
          <w:p>
            <w:pPr>
              <w:spacing w:before="31" w:beforeLines="10" w:after="30" w:line="440" w:lineRule="exact"/>
              <w:rPr>
                <w:rFonts w:ascii="黑体" w:hAnsi="黑体" w:eastAsia="黑体"/>
                <w:color w:val="auto"/>
                <w:szCs w:val="21"/>
              </w:rPr>
            </w:pPr>
            <w:r>
              <w:rPr>
                <w:rFonts w:hint="eastAsia" w:ascii="黑体" w:hAnsi="黑体" w:eastAsia="黑体"/>
                <w:color w:val="auto"/>
                <w:szCs w:val="21"/>
              </w:rPr>
              <w:t>根据投标人提供的同类项目业绩（食堂承包或食材配送或配餐类）进行评审，每提供一项得4分，本项最高得12分。</w:t>
            </w:r>
          </w:p>
          <w:p>
            <w:pPr>
              <w:spacing w:before="31" w:beforeLines="10" w:after="30" w:line="440" w:lineRule="exact"/>
              <w:rPr>
                <w:rFonts w:ascii="黑体" w:hAnsi="黑体" w:eastAsia="黑体"/>
                <w:b/>
                <w:color w:val="auto"/>
                <w:szCs w:val="21"/>
                <w:u w:val="single"/>
              </w:rPr>
            </w:pPr>
            <w:r>
              <w:rPr>
                <w:rFonts w:hint="eastAsia" w:ascii="黑体" w:hAnsi="黑体" w:eastAsia="黑体"/>
                <w:b/>
                <w:color w:val="auto"/>
                <w:szCs w:val="21"/>
                <w:u w:val="single"/>
              </w:rPr>
              <w:t>注：须提供合同复印件加盖投标人公章。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2</w:t>
            </w:r>
          </w:p>
        </w:tc>
        <w:tc>
          <w:tcPr>
            <w:tcW w:w="730" w:type="pct"/>
            <w:vAlign w:val="center"/>
          </w:tcPr>
          <w:p>
            <w:pPr>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 xml:space="preserve">食品保险责任能力 </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5分</w:t>
            </w:r>
          </w:p>
        </w:tc>
        <w:tc>
          <w:tcPr>
            <w:tcW w:w="3102" w:type="pct"/>
            <w:vAlign w:val="center"/>
          </w:tcPr>
          <w:p>
            <w:pPr>
              <w:spacing w:before="31" w:beforeLines="10" w:after="30" w:line="440" w:lineRule="exact"/>
              <w:rPr>
                <w:rFonts w:ascii="黑体" w:hAnsi="黑体" w:eastAsia="黑体"/>
                <w:b/>
                <w:color w:val="auto"/>
                <w:szCs w:val="21"/>
                <w:u w:val="single"/>
              </w:rPr>
            </w:pPr>
            <w:r>
              <w:rPr>
                <w:rFonts w:hint="eastAsia" w:ascii="黑体" w:hAnsi="黑体" w:eastAsia="黑体"/>
                <w:color w:val="auto"/>
                <w:szCs w:val="21"/>
              </w:rPr>
              <w:t xml:space="preserve">根据投标人承诺中标后为采购人购买食品安全责任险（保险承保期限不短于项目服务期）的保额进行评审（本项最高得5分）： </w:t>
            </w:r>
            <w:r>
              <w:rPr>
                <w:rFonts w:hint="eastAsia" w:ascii="黑体" w:hAnsi="黑体" w:eastAsia="黑体"/>
                <w:color w:val="auto"/>
                <w:szCs w:val="21"/>
              </w:rPr>
              <w:br w:type="textWrapping"/>
            </w:r>
            <w:r>
              <w:rPr>
                <w:rFonts w:hint="eastAsia" w:ascii="黑体" w:hAnsi="黑体" w:eastAsia="黑体"/>
                <w:color w:val="auto"/>
                <w:szCs w:val="21"/>
              </w:rPr>
              <w:t xml:space="preserve">①保额为300万（含）以上，得5分； </w:t>
            </w:r>
            <w:r>
              <w:rPr>
                <w:rFonts w:hint="eastAsia" w:ascii="黑体" w:hAnsi="黑体" w:eastAsia="黑体"/>
                <w:color w:val="auto"/>
                <w:szCs w:val="21"/>
              </w:rPr>
              <w:br w:type="textWrapping"/>
            </w:r>
            <w:r>
              <w:rPr>
                <w:rFonts w:hint="eastAsia" w:ascii="黑体" w:hAnsi="黑体" w:eastAsia="黑体"/>
                <w:color w:val="auto"/>
                <w:szCs w:val="21"/>
              </w:rPr>
              <w:t xml:space="preserve">②保额为200万（含）以上的，得3分； </w:t>
            </w:r>
            <w:r>
              <w:rPr>
                <w:rFonts w:hint="eastAsia" w:ascii="黑体" w:hAnsi="黑体" w:eastAsia="黑体"/>
                <w:color w:val="auto"/>
                <w:szCs w:val="21"/>
              </w:rPr>
              <w:br w:type="textWrapping"/>
            </w:r>
            <w:r>
              <w:rPr>
                <w:rFonts w:hint="eastAsia" w:ascii="黑体" w:hAnsi="黑体" w:eastAsia="黑体"/>
                <w:color w:val="auto"/>
                <w:szCs w:val="21"/>
              </w:rPr>
              <w:t xml:space="preserve">③保额为100万（含）以上的，得1分； </w:t>
            </w:r>
            <w:r>
              <w:rPr>
                <w:rFonts w:hint="eastAsia" w:ascii="黑体" w:hAnsi="黑体" w:eastAsia="黑体"/>
                <w:color w:val="auto"/>
                <w:szCs w:val="21"/>
              </w:rPr>
              <w:br w:type="textWrapping"/>
            </w:r>
            <w:r>
              <w:rPr>
                <w:rFonts w:hint="eastAsia" w:ascii="黑体" w:hAnsi="黑体" w:eastAsia="黑体"/>
                <w:color w:val="auto"/>
                <w:szCs w:val="21"/>
              </w:rPr>
              <w:t>④其他情况不得分。</w:t>
            </w:r>
            <w:r>
              <w:rPr>
                <w:rFonts w:hint="eastAsia" w:ascii="黑体" w:hAnsi="黑体" w:eastAsia="黑体"/>
                <w:color w:val="auto"/>
                <w:szCs w:val="21"/>
              </w:rPr>
              <w:br w:type="textWrapping"/>
            </w:r>
            <w:r>
              <w:rPr>
                <w:rFonts w:hint="eastAsia" w:ascii="黑体" w:hAnsi="黑体" w:eastAsia="黑体"/>
                <w:b/>
                <w:color w:val="auto"/>
                <w:szCs w:val="21"/>
                <w:u w:val="single"/>
              </w:rPr>
              <w:t>注：须提供承诺函并加盖投标人公章。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3</w:t>
            </w:r>
          </w:p>
        </w:tc>
        <w:tc>
          <w:tcPr>
            <w:tcW w:w="730" w:type="pct"/>
            <w:vAlign w:val="center"/>
          </w:tcPr>
          <w:p>
            <w:pPr>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仓库储存场地（常温）面积</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8分</w:t>
            </w:r>
          </w:p>
        </w:tc>
        <w:tc>
          <w:tcPr>
            <w:tcW w:w="3102" w:type="pct"/>
            <w:vAlign w:val="center"/>
          </w:tcPr>
          <w:p>
            <w:pPr>
              <w:spacing w:before="31" w:beforeLines="10" w:after="30" w:line="440" w:lineRule="exact"/>
              <w:rPr>
                <w:rFonts w:ascii="黑体" w:hAnsi="黑体" w:eastAsia="黑体"/>
                <w:color w:val="auto"/>
                <w:szCs w:val="21"/>
              </w:rPr>
            </w:pPr>
            <w:r>
              <w:rPr>
                <w:rFonts w:hint="eastAsia" w:ascii="黑体" w:hAnsi="黑体" w:eastAsia="黑体"/>
                <w:color w:val="auto"/>
                <w:szCs w:val="21"/>
              </w:rPr>
              <w:t xml:space="preserve">根据拟投入本项目的仓库储存场地（常温）面积进行评审： </w:t>
            </w:r>
            <w:r>
              <w:rPr>
                <w:rFonts w:hint="eastAsia" w:ascii="黑体" w:hAnsi="黑体" w:eastAsia="黑体"/>
                <w:color w:val="auto"/>
                <w:szCs w:val="21"/>
              </w:rPr>
              <w:br w:type="textWrapping"/>
            </w:r>
            <w:r>
              <w:rPr>
                <w:rFonts w:hint="eastAsia" w:ascii="黑体" w:hAnsi="黑体" w:eastAsia="黑体"/>
                <w:color w:val="auto"/>
                <w:szCs w:val="21"/>
              </w:rPr>
              <w:t xml:space="preserve">①面积合计30平方米（含）以上，得8分； </w:t>
            </w:r>
            <w:r>
              <w:rPr>
                <w:rFonts w:hint="eastAsia" w:ascii="黑体" w:hAnsi="黑体" w:eastAsia="黑体"/>
                <w:color w:val="auto"/>
                <w:szCs w:val="21"/>
              </w:rPr>
              <w:br w:type="textWrapping"/>
            </w:r>
            <w:r>
              <w:rPr>
                <w:rFonts w:hint="eastAsia" w:ascii="黑体" w:hAnsi="黑体" w:eastAsia="黑体"/>
                <w:color w:val="auto"/>
                <w:szCs w:val="21"/>
              </w:rPr>
              <w:t xml:space="preserve">②面积合计20平方米（含）-30平方米（不含），得5分； </w:t>
            </w:r>
            <w:r>
              <w:rPr>
                <w:rFonts w:hint="eastAsia" w:ascii="黑体" w:hAnsi="黑体" w:eastAsia="黑体"/>
                <w:color w:val="auto"/>
                <w:szCs w:val="21"/>
              </w:rPr>
              <w:br w:type="textWrapping"/>
            </w:r>
            <w:r>
              <w:rPr>
                <w:rFonts w:hint="eastAsia" w:ascii="黑体" w:hAnsi="黑体" w:eastAsia="黑体"/>
                <w:color w:val="auto"/>
                <w:szCs w:val="21"/>
              </w:rPr>
              <w:t xml:space="preserve">③面积合计10平方米（含）-20平方米（不含），得3分； </w:t>
            </w:r>
            <w:r>
              <w:rPr>
                <w:rFonts w:hint="eastAsia" w:ascii="黑体" w:hAnsi="黑体" w:eastAsia="黑体"/>
                <w:color w:val="auto"/>
                <w:szCs w:val="21"/>
              </w:rPr>
              <w:br w:type="textWrapping"/>
            </w:r>
            <w:r>
              <w:rPr>
                <w:rFonts w:hint="eastAsia" w:ascii="黑体" w:hAnsi="黑体" w:eastAsia="黑体"/>
                <w:color w:val="auto"/>
                <w:szCs w:val="21"/>
              </w:rPr>
              <w:t>④面积合计10平方米（不含）以下，得1分；</w:t>
            </w:r>
            <w:r>
              <w:rPr>
                <w:rFonts w:hint="eastAsia" w:ascii="黑体" w:hAnsi="黑体" w:eastAsia="黑体"/>
                <w:color w:val="auto"/>
                <w:szCs w:val="21"/>
              </w:rPr>
              <w:br w:type="textWrapping"/>
            </w:r>
            <w:r>
              <w:rPr>
                <w:rFonts w:hint="eastAsia" w:ascii="黑体" w:hAnsi="黑体" w:eastAsia="黑体"/>
                <w:color w:val="auto"/>
                <w:szCs w:val="21"/>
              </w:rPr>
              <w:t xml:space="preserve">⑤未提供不得分。 </w:t>
            </w:r>
            <w:r>
              <w:rPr>
                <w:rFonts w:hint="eastAsia" w:ascii="黑体" w:hAnsi="黑体" w:eastAsia="黑体"/>
                <w:color w:val="auto"/>
                <w:szCs w:val="21"/>
              </w:rPr>
              <w:br w:type="textWrapping"/>
            </w:r>
            <w:r>
              <w:rPr>
                <w:rFonts w:hint="eastAsia" w:ascii="黑体" w:hAnsi="黑体" w:eastAsia="黑体"/>
                <w:b/>
                <w:bCs/>
                <w:color w:val="auto"/>
                <w:szCs w:val="21"/>
                <w:u w:val="single"/>
              </w:rPr>
              <w:t>注：须提供自有产权证明或租赁证明复印件并加盖投标人公章。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4</w:t>
            </w:r>
          </w:p>
        </w:tc>
        <w:tc>
          <w:tcPr>
            <w:tcW w:w="730" w:type="pct"/>
            <w:vAlign w:val="center"/>
          </w:tcPr>
          <w:p>
            <w:pPr>
              <w:spacing w:before="31" w:beforeLines="10" w:after="30" w:line="440" w:lineRule="exact"/>
              <w:jc w:val="center"/>
              <w:rPr>
                <w:rFonts w:ascii="黑体" w:hAnsi="黑体" w:eastAsia="黑体"/>
                <w:color w:val="auto"/>
                <w:szCs w:val="21"/>
              </w:rPr>
            </w:pPr>
            <w:r>
              <w:rPr>
                <w:rFonts w:hint="eastAsia" w:ascii="黑体" w:hAnsi="黑体" w:eastAsia="黑体"/>
                <w:bCs/>
                <w:color w:val="auto"/>
                <w:szCs w:val="21"/>
              </w:rPr>
              <w:t>服务响应时间</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5分</w:t>
            </w:r>
          </w:p>
        </w:tc>
        <w:tc>
          <w:tcPr>
            <w:tcW w:w="3102" w:type="pct"/>
            <w:vAlign w:val="center"/>
          </w:tcPr>
          <w:p>
            <w:pPr>
              <w:spacing w:before="31" w:beforeLines="10" w:after="30" w:line="440" w:lineRule="exact"/>
              <w:rPr>
                <w:rFonts w:ascii="黑体" w:hAnsi="黑体" w:eastAsia="黑体"/>
                <w:b/>
                <w:color w:val="auto"/>
                <w:szCs w:val="21"/>
                <w:u w:val="single"/>
              </w:rPr>
            </w:pPr>
            <w:r>
              <w:rPr>
                <w:rFonts w:hint="eastAsia" w:ascii="黑体" w:hAnsi="黑体" w:eastAsia="黑体"/>
                <w:color w:val="auto"/>
                <w:szCs w:val="21"/>
              </w:rPr>
              <w:t xml:space="preserve">根据投标人承诺的服务响应时间进行评审：  </w:t>
            </w:r>
            <w:r>
              <w:rPr>
                <w:rFonts w:hint="eastAsia" w:ascii="黑体" w:hAnsi="黑体" w:eastAsia="黑体"/>
                <w:color w:val="auto"/>
                <w:szCs w:val="21"/>
              </w:rPr>
              <w:br w:type="textWrapping"/>
            </w:r>
            <w:r>
              <w:rPr>
                <w:rFonts w:hint="eastAsia" w:ascii="黑体" w:hAnsi="黑体" w:eastAsia="黑体"/>
                <w:color w:val="auto"/>
                <w:szCs w:val="21"/>
              </w:rPr>
              <w:t xml:space="preserve">①收到采购人通知后1小时内响应并到达现场得5分；  </w:t>
            </w:r>
            <w:r>
              <w:rPr>
                <w:rFonts w:hint="eastAsia" w:ascii="黑体" w:hAnsi="黑体" w:eastAsia="黑体"/>
                <w:color w:val="auto"/>
                <w:szCs w:val="21"/>
              </w:rPr>
              <w:br w:type="textWrapping"/>
            </w:r>
            <w:r>
              <w:rPr>
                <w:rFonts w:hint="eastAsia" w:ascii="黑体" w:hAnsi="黑体" w:eastAsia="黑体"/>
                <w:color w:val="auto"/>
                <w:szCs w:val="21"/>
              </w:rPr>
              <w:t xml:space="preserve">②收到采购人通知后2小时内响应并到达现场得3分；  </w:t>
            </w:r>
            <w:r>
              <w:rPr>
                <w:rFonts w:hint="eastAsia" w:ascii="黑体" w:hAnsi="黑体" w:eastAsia="黑体"/>
                <w:color w:val="auto"/>
                <w:szCs w:val="21"/>
              </w:rPr>
              <w:br w:type="textWrapping"/>
            </w:r>
            <w:r>
              <w:rPr>
                <w:rFonts w:hint="eastAsia" w:ascii="黑体" w:hAnsi="黑体" w:eastAsia="黑体"/>
                <w:color w:val="auto"/>
                <w:szCs w:val="21"/>
              </w:rPr>
              <w:t xml:space="preserve">③收到采购人通知后3小时内响应并到达现场得1分。 </w:t>
            </w:r>
            <w:r>
              <w:rPr>
                <w:rFonts w:hint="eastAsia" w:ascii="黑体" w:hAnsi="黑体" w:eastAsia="黑体"/>
                <w:color w:val="auto"/>
                <w:szCs w:val="21"/>
              </w:rPr>
              <w:br w:type="textWrapping"/>
            </w:r>
            <w:r>
              <w:rPr>
                <w:rFonts w:hint="eastAsia" w:ascii="黑体" w:hAnsi="黑体" w:eastAsia="黑体"/>
                <w:b/>
                <w:bCs/>
                <w:color w:val="auto"/>
                <w:szCs w:val="21"/>
                <w:u w:val="single"/>
              </w:rPr>
              <w:t>注：须提供承诺函并加盖投标人公章。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000" w:type="pct"/>
            <w:gridSpan w:val="4"/>
            <w:vAlign w:val="center"/>
          </w:tcPr>
          <w:p>
            <w:pPr>
              <w:pStyle w:val="36"/>
              <w:spacing w:after="62" w:afterLines="20" w:line="440" w:lineRule="exact"/>
              <w:ind w:firstLine="0" w:firstLineChars="0"/>
              <w:jc w:val="center"/>
              <w:rPr>
                <w:rFonts w:ascii="黑体" w:hAnsi="黑体" w:eastAsia="黑体"/>
                <w:color w:val="auto"/>
              </w:rPr>
            </w:pPr>
            <w:r>
              <w:rPr>
                <w:rFonts w:hint="eastAsia" w:ascii="黑体" w:hAnsi="黑体" w:eastAsia="黑体"/>
                <w:b/>
                <w:color w:val="auto"/>
                <w:sz w:val="21"/>
                <w:szCs w:val="21"/>
              </w:rPr>
              <w:t>技术评审细则（70分）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1</w:t>
            </w:r>
          </w:p>
        </w:tc>
        <w:tc>
          <w:tcPr>
            <w:tcW w:w="730" w:type="pct"/>
            <w:vAlign w:val="center"/>
          </w:tcPr>
          <w:p>
            <w:pPr>
              <w:spacing w:before="31" w:beforeLines="10" w:after="30" w:line="440" w:lineRule="exact"/>
              <w:jc w:val="center"/>
              <w:rPr>
                <w:rFonts w:ascii="黑体" w:hAnsi="黑体" w:eastAsia="黑体"/>
                <w:color w:val="auto"/>
                <w:szCs w:val="21"/>
              </w:rPr>
            </w:pPr>
            <w:r>
              <w:rPr>
                <w:rFonts w:ascii="黑体" w:hAnsi="黑体" w:eastAsia="黑体"/>
                <w:color w:val="auto"/>
                <w:szCs w:val="21"/>
              </w:rPr>
              <w:t>总体实施方案</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20分</w:t>
            </w:r>
          </w:p>
        </w:tc>
        <w:tc>
          <w:tcPr>
            <w:tcW w:w="3102" w:type="pct"/>
            <w:vAlign w:val="center"/>
          </w:tcPr>
          <w:p>
            <w:pPr>
              <w:spacing w:before="31" w:beforeLines="10" w:after="30" w:line="440" w:lineRule="exact"/>
              <w:jc w:val="left"/>
              <w:rPr>
                <w:rFonts w:ascii="黑体" w:hAnsi="黑体" w:eastAsia="黑体"/>
                <w:color w:val="auto"/>
                <w:szCs w:val="21"/>
              </w:rPr>
            </w:pPr>
            <w:r>
              <w:rPr>
                <w:rFonts w:ascii="黑体" w:hAnsi="黑体" w:eastAsia="黑体"/>
                <w:color w:val="auto"/>
                <w:szCs w:val="21"/>
              </w:rPr>
              <w:t>根据投标人提供的本项目总体实施方案（包括但不限于</w:t>
            </w:r>
            <w:r>
              <w:rPr>
                <w:rFonts w:hint="eastAsia" w:ascii="黑体" w:hAnsi="黑体" w:eastAsia="黑体"/>
                <w:color w:val="auto"/>
                <w:szCs w:val="21"/>
              </w:rPr>
              <w:t>饭堂承包总体计划</w:t>
            </w:r>
            <w:r>
              <w:rPr>
                <w:rFonts w:ascii="黑体" w:hAnsi="黑体" w:eastAsia="黑体"/>
                <w:color w:val="auto"/>
                <w:szCs w:val="21"/>
              </w:rPr>
              <w:t>、总体工作流程和</w:t>
            </w:r>
            <w:r>
              <w:rPr>
                <w:rFonts w:hint="eastAsia" w:ascii="黑体" w:hAnsi="黑体" w:eastAsia="黑体"/>
                <w:color w:val="auto"/>
                <w:szCs w:val="21"/>
              </w:rPr>
              <w:t>食材供应</w:t>
            </w:r>
            <w:r>
              <w:rPr>
                <w:rFonts w:ascii="黑体" w:hAnsi="黑体" w:eastAsia="黑体"/>
                <w:color w:val="auto"/>
                <w:szCs w:val="21"/>
              </w:rPr>
              <w:t xml:space="preserve">质量服务保障措施等）进行评审： </w:t>
            </w:r>
            <w:r>
              <w:rPr>
                <w:rFonts w:ascii="黑体" w:hAnsi="黑体" w:eastAsia="黑体"/>
                <w:color w:val="auto"/>
                <w:szCs w:val="21"/>
              </w:rPr>
              <w:br w:type="textWrapping"/>
            </w:r>
            <w:r>
              <w:rPr>
                <w:rFonts w:ascii="黑体" w:hAnsi="黑体" w:eastAsia="黑体"/>
                <w:color w:val="auto"/>
                <w:szCs w:val="21"/>
              </w:rPr>
              <w:t>①实施计划科学合理，总体工作流程详尽完善、步骤清晰明确，</w:t>
            </w:r>
            <w:r>
              <w:rPr>
                <w:rFonts w:hint="eastAsia" w:ascii="黑体" w:hAnsi="黑体" w:eastAsia="黑体"/>
                <w:color w:val="auto"/>
                <w:szCs w:val="21"/>
              </w:rPr>
              <w:t>食材供应</w:t>
            </w:r>
            <w:r>
              <w:rPr>
                <w:rFonts w:ascii="黑体" w:hAnsi="黑体" w:eastAsia="黑体"/>
                <w:color w:val="auto"/>
                <w:szCs w:val="21"/>
              </w:rPr>
              <w:t>质量服务标准高，保障措施切实可行，得</w:t>
            </w:r>
            <w:r>
              <w:rPr>
                <w:rFonts w:hint="eastAsia" w:ascii="黑体" w:hAnsi="黑体" w:eastAsia="黑体"/>
                <w:color w:val="auto"/>
                <w:szCs w:val="21"/>
              </w:rPr>
              <w:t>20</w:t>
            </w:r>
            <w:r>
              <w:rPr>
                <w:rFonts w:ascii="黑体" w:hAnsi="黑体" w:eastAsia="黑体"/>
                <w:color w:val="auto"/>
                <w:szCs w:val="21"/>
              </w:rPr>
              <w:t xml:space="preserve">分； </w:t>
            </w:r>
            <w:r>
              <w:rPr>
                <w:rFonts w:ascii="黑体" w:hAnsi="黑体" w:eastAsia="黑体"/>
                <w:color w:val="auto"/>
                <w:szCs w:val="21"/>
              </w:rPr>
              <w:br w:type="textWrapping"/>
            </w:r>
            <w:r>
              <w:rPr>
                <w:rFonts w:ascii="黑体" w:hAnsi="黑体" w:eastAsia="黑体"/>
                <w:color w:val="auto"/>
                <w:szCs w:val="21"/>
              </w:rPr>
              <w:t>②实施组织计划基本合理，总体工作流程基本完整，</w:t>
            </w:r>
            <w:r>
              <w:rPr>
                <w:rFonts w:hint="eastAsia" w:ascii="黑体" w:hAnsi="黑体" w:eastAsia="黑体"/>
                <w:color w:val="auto"/>
                <w:szCs w:val="21"/>
              </w:rPr>
              <w:t>食材供应</w:t>
            </w:r>
            <w:r>
              <w:rPr>
                <w:rFonts w:ascii="黑体" w:hAnsi="黑体" w:eastAsia="黑体"/>
                <w:color w:val="auto"/>
                <w:szCs w:val="21"/>
              </w:rPr>
              <w:t>质量服务标准较高，保障措施基本可行，得</w:t>
            </w:r>
            <w:r>
              <w:rPr>
                <w:rFonts w:hint="eastAsia" w:ascii="黑体" w:hAnsi="黑体" w:eastAsia="黑体"/>
                <w:color w:val="auto"/>
                <w:szCs w:val="21"/>
              </w:rPr>
              <w:t>15</w:t>
            </w:r>
            <w:r>
              <w:rPr>
                <w:rFonts w:ascii="黑体" w:hAnsi="黑体" w:eastAsia="黑体"/>
                <w:color w:val="auto"/>
                <w:szCs w:val="21"/>
              </w:rPr>
              <w:t xml:space="preserve">分； </w:t>
            </w:r>
            <w:r>
              <w:rPr>
                <w:rFonts w:ascii="黑体" w:hAnsi="黑体" w:eastAsia="黑体"/>
                <w:color w:val="auto"/>
                <w:szCs w:val="21"/>
              </w:rPr>
              <w:br w:type="textWrapping"/>
            </w:r>
            <w:r>
              <w:rPr>
                <w:rFonts w:ascii="黑体" w:hAnsi="黑体" w:eastAsia="黑体"/>
                <w:color w:val="auto"/>
                <w:szCs w:val="21"/>
              </w:rPr>
              <w:t>③实施组织计划、总体工作流程、</w:t>
            </w:r>
            <w:r>
              <w:rPr>
                <w:rFonts w:hint="eastAsia" w:ascii="黑体" w:hAnsi="黑体" w:eastAsia="黑体"/>
                <w:color w:val="auto"/>
                <w:szCs w:val="21"/>
              </w:rPr>
              <w:t>食材供应</w:t>
            </w:r>
            <w:r>
              <w:rPr>
                <w:rFonts w:ascii="黑体" w:hAnsi="黑体" w:eastAsia="黑体"/>
                <w:color w:val="auto"/>
                <w:szCs w:val="21"/>
              </w:rPr>
              <w:t>质量服务标准及保障措施合理性一般，得</w:t>
            </w:r>
            <w:r>
              <w:rPr>
                <w:rFonts w:hint="eastAsia" w:ascii="黑体" w:hAnsi="黑体" w:eastAsia="黑体"/>
                <w:color w:val="auto"/>
                <w:szCs w:val="21"/>
              </w:rPr>
              <w:t>10</w:t>
            </w:r>
            <w:r>
              <w:rPr>
                <w:rFonts w:ascii="黑体" w:hAnsi="黑体" w:eastAsia="黑体"/>
                <w:color w:val="auto"/>
                <w:szCs w:val="21"/>
              </w:rPr>
              <w:t xml:space="preserve">分； </w:t>
            </w:r>
            <w:r>
              <w:rPr>
                <w:rFonts w:ascii="黑体" w:hAnsi="黑体" w:eastAsia="黑体"/>
                <w:color w:val="auto"/>
                <w:szCs w:val="21"/>
              </w:rPr>
              <w:br w:type="textWrapping"/>
            </w:r>
            <w:r>
              <w:rPr>
                <w:rFonts w:ascii="黑体" w:hAnsi="黑体" w:eastAsia="黑体"/>
                <w:color w:val="auto"/>
                <w:szCs w:val="21"/>
              </w:rPr>
              <w:t>④实施组织计划、总体工作流程、</w:t>
            </w:r>
            <w:r>
              <w:rPr>
                <w:rFonts w:hint="eastAsia" w:ascii="黑体" w:hAnsi="黑体" w:eastAsia="黑体"/>
                <w:color w:val="auto"/>
                <w:szCs w:val="21"/>
              </w:rPr>
              <w:t>食材供应</w:t>
            </w:r>
            <w:r>
              <w:rPr>
                <w:rFonts w:ascii="黑体" w:hAnsi="黑体" w:eastAsia="黑体"/>
                <w:color w:val="auto"/>
                <w:szCs w:val="21"/>
              </w:rPr>
              <w:t>质量服务标准及保障措施合理性弱，得</w:t>
            </w:r>
            <w:r>
              <w:rPr>
                <w:rFonts w:hint="eastAsia" w:ascii="黑体" w:hAnsi="黑体" w:eastAsia="黑体"/>
                <w:color w:val="auto"/>
                <w:szCs w:val="21"/>
              </w:rPr>
              <w:t>5</w:t>
            </w:r>
            <w:r>
              <w:rPr>
                <w:rFonts w:ascii="黑体" w:hAnsi="黑体" w:eastAsia="黑体"/>
                <w:color w:val="auto"/>
                <w:szCs w:val="21"/>
              </w:rPr>
              <w:t>分；</w:t>
            </w:r>
          </w:p>
          <w:p>
            <w:pPr>
              <w:spacing w:before="31" w:beforeLines="10" w:after="30" w:line="440" w:lineRule="exact"/>
              <w:jc w:val="left"/>
              <w:rPr>
                <w:rFonts w:ascii="黑体" w:hAnsi="黑体" w:eastAsia="黑体"/>
                <w:color w:val="auto"/>
                <w:szCs w:val="21"/>
              </w:rPr>
            </w:pPr>
            <w:r>
              <w:rPr>
                <w:rFonts w:ascii="黑体" w:hAnsi="黑体" w:eastAsia="黑体"/>
                <w:color w:val="auto"/>
                <w:szCs w:val="21"/>
              </w:rPr>
              <w:t>⑤实施组织计划、总体工作流程、</w:t>
            </w:r>
            <w:r>
              <w:rPr>
                <w:rFonts w:hint="eastAsia" w:ascii="黑体" w:hAnsi="黑体" w:eastAsia="黑体"/>
                <w:color w:val="auto"/>
                <w:szCs w:val="21"/>
              </w:rPr>
              <w:t>食材供应</w:t>
            </w:r>
            <w:r>
              <w:rPr>
                <w:rFonts w:ascii="黑体" w:hAnsi="黑体" w:eastAsia="黑体"/>
                <w:color w:val="auto"/>
                <w:szCs w:val="21"/>
              </w:rPr>
              <w:t>质量服务标准及保障措施</w:t>
            </w:r>
            <w:r>
              <w:rPr>
                <w:rFonts w:hint="eastAsia" w:ascii="黑体" w:hAnsi="黑体" w:eastAsia="黑体"/>
                <w:color w:val="auto"/>
                <w:szCs w:val="21"/>
              </w:rPr>
              <w:t>不合理</w:t>
            </w:r>
            <w:r>
              <w:rPr>
                <w:rFonts w:ascii="黑体" w:hAnsi="黑体" w:eastAsia="黑体"/>
                <w:color w:val="auto"/>
                <w:szCs w:val="21"/>
              </w:rPr>
              <w:t>，得</w:t>
            </w:r>
            <w:r>
              <w:rPr>
                <w:rFonts w:hint="eastAsia" w:ascii="黑体" w:hAnsi="黑体" w:eastAsia="黑体"/>
                <w:color w:val="auto"/>
                <w:szCs w:val="21"/>
              </w:rPr>
              <w:t>1</w:t>
            </w:r>
            <w:r>
              <w:rPr>
                <w:rFonts w:ascii="黑体" w:hAnsi="黑体" w:eastAsia="黑体"/>
                <w:color w:val="auto"/>
                <w:szCs w:val="21"/>
              </w:rPr>
              <w:t>分</w:t>
            </w:r>
            <w:r>
              <w:rPr>
                <w:rFonts w:hint="eastAsia" w:ascii="黑体" w:hAnsi="黑体" w:eastAsia="黑体"/>
                <w:color w:val="auto"/>
                <w:szCs w:val="21"/>
              </w:rPr>
              <w:t>；</w:t>
            </w:r>
            <w:r>
              <w:rPr>
                <w:rFonts w:ascii="黑体" w:hAnsi="黑体" w:eastAsia="黑体"/>
                <w:color w:val="auto"/>
                <w:szCs w:val="21"/>
              </w:rPr>
              <w:br w:type="textWrapping"/>
            </w:r>
            <w:r>
              <w:rPr>
                <w:rFonts w:ascii="黑体" w:hAnsi="黑体" w:eastAsia="黑体"/>
                <w:color w:val="auto"/>
                <w:szCs w:val="21"/>
              </w:rPr>
              <w:fldChar w:fldCharType="begin"/>
            </w:r>
            <w:r>
              <w:rPr>
                <w:rFonts w:ascii="黑体" w:hAnsi="黑体" w:eastAsia="黑体"/>
                <w:color w:val="auto"/>
                <w:szCs w:val="21"/>
              </w:rPr>
              <w:instrText xml:space="preserve"> = 6 \* GB3 \* MERGEFORMAT </w:instrText>
            </w:r>
            <w:r>
              <w:rPr>
                <w:rFonts w:ascii="黑体" w:hAnsi="黑体" w:eastAsia="黑体"/>
                <w:color w:val="auto"/>
                <w:szCs w:val="21"/>
              </w:rPr>
              <w:fldChar w:fldCharType="separate"/>
            </w:r>
            <w:r>
              <w:rPr>
                <w:rFonts w:ascii="黑体" w:hAnsi="黑体" w:eastAsia="黑体"/>
                <w:color w:val="auto"/>
                <w:szCs w:val="21"/>
              </w:rPr>
              <w:t>⑥</w:t>
            </w:r>
            <w:r>
              <w:rPr>
                <w:rFonts w:ascii="黑体" w:hAnsi="黑体" w:eastAsia="黑体"/>
                <w:color w:val="auto"/>
                <w:szCs w:val="21"/>
              </w:rPr>
              <w:fldChar w:fldCharType="end"/>
            </w:r>
            <w:r>
              <w:rPr>
                <w:rFonts w:ascii="黑体" w:hAnsi="黑体" w:eastAsia="黑体"/>
                <w:color w:val="auto"/>
                <w:szCs w:val="21"/>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2</w:t>
            </w:r>
          </w:p>
        </w:tc>
        <w:tc>
          <w:tcPr>
            <w:tcW w:w="730" w:type="pct"/>
            <w:vAlign w:val="center"/>
          </w:tcPr>
          <w:p>
            <w:pPr>
              <w:spacing w:before="31" w:beforeLines="10" w:after="30" w:line="440" w:lineRule="exact"/>
              <w:jc w:val="center"/>
              <w:rPr>
                <w:rFonts w:ascii="黑体" w:hAnsi="黑体" w:eastAsia="黑体"/>
                <w:color w:val="auto"/>
                <w:szCs w:val="21"/>
              </w:rPr>
            </w:pPr>
            <w:r>
              <w:rPr>
                <w:rFonts w:ascii="黑体" w:hAnsi="黑体" w:eastAsia="黑体"/>
                <w:color w:val="auto"/>
                <w:szCs w:val="21"/>
              </w:rPr>
              <w:t>项目配送</w:t>
            </w:r>
            <w:r>
              <w:rPr>
                <w:rFonts w:hint="eastAsia" w:ascii="黑体" w:hAnsi="黑体" w:eastAsia="黑体"/>
                <w:color w:val="auto"/>
                <w:szCs w:val="21"/>
              </w:rPr>
              <w:t>方案</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15分</w:t>
            </w:r>
          </w:p>
        </w:tc>
        <w:tc>
          <w:tcPr>
            <w:tcW w:w="3102" w:type="pct"/>
            <w:vAlign w:val="center"/>
          </w:tcPr>
          <w:p>
            <w:pPr>
              <w:spacing w:before="31" w:beforeLines="10" w:after="30" w:line="440" w:lineRule="exact"/>
              <w:rPr>
                <w:rFonts w:ascii="黑体" w:hAnsi="黑体" w:eastAsia="黑体"/>
                <w:color w:val="auto"/>
                <w:szCs w:val="21"/>
              </w:rPr>
            </w:pPr>
            <w:r>
              <w:rPr>
                <w:rFonts w:ascii="黑体" w:hAnsi="黑体" w:eastAsia="黑体"/>
                <w:color w:val="auto"/>
                <w:szCs w:val="21"/>
              </w:rPr>
              <w:t xml:space="preserve">根据投标人拟为本项目制定配送服务各方面内容方案（包括但不限于食材来源、采购渠道、物流配送方案及各种规章制度等）进行评审： </w:t>
            </w:r>
            <w:r>
              <w:rPr>
                <w:rFonts w:ascii="黑体" w:hAnsi="黑体" w:eastAsia="黑体"/>
                <w:color w:val="auto"/>
                <w:szCs w:val="21"/>
              </w:rPr>
              <w:br w:type="textWrapping"/>
            </w:r>
            <w:r>
              <w:rPr>
                <w:rFonts w:ascii="黑体" w:hAnsi="黑体" w:eastAsia="黑体"/>
                <w:color w:val="auto"/>
                <w:szCs w:val="21"/>
              </w:rPr>
              <w:t xml:space="preserve">①配送服务的各方面实施方案完整齐全、科学合理、可行性强，得15分； </w:t>
            </w:r>
            <w:r>
              <w:rPr>
                <w:rFonts w:ascii="黑体" w:hAnsi="黑体" w:eastAsia="黑体"/>
                <w:color w:val="auto"/>
                <w:szCs w:val="21"/>
              </w:rPr>
              <w:br w:type="textWrapping"/>
            </w:r>
            <w:r>
              <w:rPr>
                <w:rFonts w:ascii="黑体" w:hAnsi="黑体" w:eastAsia="黑体"/>
                <w:color w:val="auto"/>
                <w:szCs w:val="21"/>
              </w:rPr>
              <w:t>②配送服务的各方面实施方案基本齐全、可行</w:t>
            </w:r>
            <w:r>
              <w:rPr>
                <w:rFonts w:hint="eastAsia" w:ascii="黑体" w:hAnsi="黑体" w:eastAsia="黑体"/>
                <w:color w:val="auto"/>
                <w:szCs w:val="21"/>
              </w:rPr>
              <w:t>性较强</w:t>
            </w:r>
            <w:r>
              <w:rPr>
                <w:rFonts w:ascii="黑体" w:hAnsi="黑体" w:eastAsia="黑体"/>
                <w:color w:val="auto"/>
                <w:szCs w:val="21"/>
              </w:rPr>
              <w:t xml:space="preserve">，得10分； </w:t>
            </w:r>
            <w:r>
              <w:rPr>
                <w:rFonts w:ascii="黑体" w:hAnsi="黑体" w:eastAsia="黑体"/>
                <w:color w:val="auto"/>
                <w:szCs w:val="21"/>
              </w:rPr>
              <w:br w:type="textWrapping"/>
            </w:r>
            <w:r>
              <w:rPr>
                <w:rFonts w:ascii="黑体" w:hAnsi="黑体" w:eastAsia="黑体"/>
                <w:color w:val="auto"/>
                <w:szCs w:val="21"/>
              </w:rPr>
              <w:t>③配送服务的各方面实施方案片面、可行</w:t>
            </w:r>
            <w:r>
              <w:rPr>
                <w:rFonts w:hint="eastAsia" w:ascii="黑体" w:hAnsi="黑体" w:eastAsia="黑体"/>
                <w:color w:val="auto"/>
                <w:szCs w:val="21"/>
              </w:rPr>
              <w:t>性较差</w:t>
            </w:r>
            <w:r>
              <w:rPr>
                <w:rFonts w:ascii="黑体" w:hAnsi="黑体" w:eastAsia="黑体"/>
                <w:color w:val="auto"/>
                <w:szCs w:val="21"/>
              </w:rPr>
              <w:t xml:space="preserve">，得5分； </w:t>
            </w:r>
            <w:r>
              <w:rPr>
                <w:rFonts w:ascii="黑体" w:hAnsi="黑体" w:eastAsia="黑体"/>
                <w:color w:val="auto"/>
                <w:szCs w:val="21"/>
              </w:rPr>
              <w:br w:type="textWrapping"/>
            </w:r>
            <w:r>
              <w:rPr>
                <w:rFonts w:ascii="黑体" w:hAnsi="黑体" w:eastAsia="黑体"/>
                <w:color w:val="auto"/>
                <w:szCs w:val="21"/>
              </w:rPr>
              <w:t xml:space="preserve">④配送服务的各方面实施方案欠缺可行性，得1分； </w:t>
            </w:r>
            <w:r>
              <w:rPr>
                <w:rFonts w:ascii="黑体" w:hAnsi="黑体" w:eastAsia="黑体"/>
                <w:color w:val="auto"/>
                <w:szCs w:val="21"/>
              </w:rPr>
              <w:br w:type="textWrapping"/>
            </w:r>
            <w:r>
              <w:rPr>
                <w:rFonts w:ascii="黑体" w:hAnsi="黑体" w:eastAsia="黑体"/>
                <w:color w:val="auto"/>
                <w:szCs w:val="21"/>
              </w:rPr>
              <w:t>⑤未提供对应方案</w:t>
            </w:r>
            <w:r>
              <w:rPr>
                <w:rFonts w:hint="eastAsia" w:ascii="黑体" w:hAnsi="黑体" w:eastAsia="黑体"/>
                <w:color w:val="auto"/>
                <w:szCs w:val="21"/>
              </w:rPr>
              <w:t>不得分</w:t>
            </w:r>
            <w:r>
              <w:rPr>
                <w:rFonts w:ascii="黑体" w:hAnsi="黑体" w:eastAsia="黑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3</w:t>
            </w:r>
          </w:p>
        </w:tc>
        <w:tc>
          <w:tcPr>
            <w:tcW w:w="730" w:type="pct"/>
            <w:vAlign w:val="center"/>
          </w:tcPr>
          <w:p>
            <w:pPr>
              <w:spacing w:before="31" w:beforeLines="10" w:after="30" w:line="440" w:lineRule="exact"/>
              <w:jc w:val="center"/>
              <w:rPr>
                <w:rFonts w:ascii="黑体" w:hAnsi="黑体" w:eastAsia="黑体"/>
                <w:bCs/>
                <w:color w:val="auto"/>
                <w:szCs w:val="21"/>
              </w:rPr>
            </w:pPr>
            <w:r>
              <w:rPr>
                <w:rFonts w:hint="eastAsia" w:ascii="黑体" w:hAnsi="黑体" w:eastAsia="黑体"/>
                <w:bCs/>
                <w:color w:val="auto"/>
                <w:szCs w:val="21"/>
              </w:rPr>
              <w:t>饭堂运营</w:t>
            </w:r>
            <w:r>
              <w:rPr>
                <w:rFonts w:ascii="黑体" w:hAnsi="黑体" w:eastAsia="黑体"/>
                <w:bCs/>
                <w:color w:val="auto"/>
                <w:szCs w:val="21"/>
              </w:rPr>
              <w:t>及质量保障方案</w:t>
            </w:r>
          </w:p>
        </w:tc>
        <w:tc>
          <w:tcPr>
            <w:tcW w:w="686" w:type="pct"/>
            <w:vAlign w:val="center"/>
          </w:tcPr>
          <w:p>
            <w:pPr>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15分</w:t>
            </w:r>
          </w:p>
        </w:tc>
        <w:tc>
          <w:tcPr>
            <w:tcW w:w="3102" w:type="pct"/>
            <w:vAlign w:val="center"/>
          </w:tcPr>
          <w:p>
            <w:pPr>
              <w:spacing w:before="31" w:beforeLines="10" w:after="30" w:line="440" w:lineRule="exact"/>
              <w:rPr>
                <w:rFonts w:ascii="黑体" w:hAnsi="黑体" w:eastAsia="黑体"/>
                <w:color w:val="auto"/>
                <w:szCs w:val="21"/>
              </w:rPr>
            </w:pPr>
            <w:r>
              <w:rPr>
                <w:rFonts w:hint="eastAsia" w:ascii="黑体" w:hAnsi="黑体" w:eastAsia="黑体"/>
                <w:color w:val="auto"/>
                <w:szCs w:val="21"/>
              </w:rPr>
              <w:t xml:space="preserve">根据投标人饭堂的运营、加工、储存、检验、理货、运输、善后处理等环节的管理和保障机制进行评审： </w:t>
            </w:r>
            <w:r>
              <w:rPr>
                <w:rFonts w:hint="eastAsia" w:ascii="黑体" w:hAnsi="黑体" w:eastAsia="黑体"/>
                <w:color w:val="auto"/>
                <w:szCs w:val="21"/>
              </w:rPr>
              <w:br w:type="textWrapping"/>
            </w:r>
            <w:r>
              <w:rPr>
                <w:rFonts w:hint="eastAsia" w:ascii="黑体" w:hAnsi="黑体" w:eastAsia="黑体"/>
                <w:color w:val="auto"/>
                <w:szCs w:val="21"/>
              </w:rPr>
              <w:t>①切合本项目实际需要、合理、可行，得15分；</w:t>
            </w:r>
            <w:r>
              <w:rPr>
                <w:rFonts w:hint="eastAsia" w:ascii="黑体" w:hAnsi="黑体" w:eastAsia="黑体"/>
                <w:color w:val="auto"/>
                <w:szCs w:val="21"/>
              </w:rPr>
              <w:br w:type="textWrapping"/>
            </w:r>
            <w:r>
              <w:rPr>
                <w:rFonts w:hint="eastAsia" w:ascii="黑体" w:hAnsi="黑体" w:eastAsia="黑体"/>
                <w:color w:val="auto"/>
                <w:szCs w:val="21"/>
              </w:rPr>
              <w:t xml:space="preserve">②较切合本项目实际需要、较合理、较可行，得10分； ③基本符合本项目需求、一般合理、可行，得5分； </w:t>
            </w:r>
            <w:r>
              <w:rPr>
                <w:rFonts w:hint="eastAsia" w:ascii="黑体" w:hAnsi="黑体" w:eastAsia="黑体"/>
                <w:color w:val="auto"/>
                <w:szCs w:val="21"/>
              </w:rPr>
              <w:br w:type="textWrapping"/>
            </w:r>
            <w:r>
              <w:rPr>
                <w:rFonts w:hint="eastAsia" w:ascii="黑体" w:hAnsi="黑体" w:eastAsia="黑体"/>
                <w:color w:val="auto"/>
                <w:szCs w:val="21"/>
              </w:rPr>
              <w:t>④偏离本项目需求较大、缺乏可行性，得3分。</w:t>
            </w:r>
            <w:r>
              <w:rPr>
                <w:rFonts w:hint="eastAsia" w:ascii="黑体" w:hAnsi="黑体" w:eastAsia="黑体"/>
                <w:color w:val="auto"/>
                <w:szCs w:val="21"/>
              </w:rPr>
              <w:br w:type="textWrapping"/>
            </w:r>
            <w:r>
              <w:rPr>
                <w:rFonts w:hint="eastAsia" w:ascii="黑体" w:hAnsi="黑体" w:eastAsia="黑体"/>
                <w:color w:val="auto"/>
                <w:szCs w:val="21"/>
              </w:rPr>
              <w:t>⑤未提供对应方案及保障承诺函的不得分。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4</w:t>
            </w:r>
          </w:p>
        </w:tc>
        <w:tc>
          <w:tcPr>
            <w:tcW w:w="730" w:type="pct"/>
            <w:vAlign w:val="center"/>
          </w:tcPr>
          <w:p>
            <w:pPr>
              <w:spacing w:before="31" w:beforeLines="10" w:after="30" w:line="440" w:lineRule="exact"/>
              <w:jc w:val="center"/>
              <w:rPr>
                <w:rFonts w:ascii="黑体" w:hAnsi="黑体" w:eastAsia="黑体"/>
                <w:bCs/>
                <w:color w:val="auto"/>
                <w:szCs w:val="21"/>
              </w:rPr>
            </w:pPr>
            <w:r>
              <w:rPr>
                <w:rFonts w:ascii="黑体" w:hAnsi="黑体" w:eastAsia="黑体"/>
                <w:bCs/>
                <w:color w:val="auto"/>
                <w:szCs w:val="21"/>
              </w:rPr>
              <w:t>应急预案</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10分</w:t>
            </w:r>
          </w:p>
        </w:tc>
        <w:tc>
          <w:tcPr>
            <w:tcW w:w="3102" w:type="pct"/>
            <w:vAlign w:val="center"/>
          </w:tcPr>
          <w:p>
            <w:pPr>
              <w:spacing w:before="31" w:beforeLines="10" w:after="30" w:line="440" w:lineRule="exact"/>
              <w:rPr>
                <w:rFonts w:ascii="黑体" w:hAnsi="黑体" w:eastAsia="黑体"/>
                <w:color w:val="auto"/>
                <w:szCs w:val="21"/>
              </w:rPr>
            </w:pPr>
            <w:r>
              <w:rPr>
                <w:rFonts w:ascii="黑体" w:hAnsi="黑体" w:eastAsia="黑体"/>
                <w:color w:val="auto"/>
                <w:szCs w:val="21"/>
              </w:rPr>
              <w:t xml:space="preserve">根据各投标人提供的应急预案（包括食材食品紧急采购、配送过程应急预案、食材食品安全应急预案等）进行评审： </w:t>
            </w:r>
            <w:r>
              <w:rPr>
                <w:rFonts w:ascii="黑体" w:hAnsi="黑体" w:eastAsia="黑体"/>
                <w:color w:val="auto"/>
                <w:szCs w:val="21"/>
              </w:rPr>
              <w:br w:type="textWrapping"/>
            </w:r>
            <w:r>
              <w:rPr>
                <w:rFonts w:ascii="黑体" w:hAnsi="黑体" w:eastAsia="黑体"/>
                <w:color w:val="auto"/>
                <w:szCs w:val="21"/>
              </w:rPr>
              <w:t>①方案完整合理，可行性高，应急保障要求高，得</w:t>
            </w:r>
            <w:r>
              <w:rPr>
                <w:rFonts w:hint="eastAsia" w:ascii="黑体" w:hAnsi="黑体" w:eastAsia="黑体"/>
                <w:color w:val="auto"/>
                <w:szCs w:val="21"/>
              </w:rPr>
              <w:t>10</w:t>
            </w:r>
            <w:r>
              <w:rPr>
                <w:rFonts w:ascii="黑体" w:hAnsi="黑体" w:eastAsia="黑体"/>
                <w:color w:val="auto"/>
                <w:szCs w:val="21"/>
              </w:rPr>
              <w:t xml:space="preserve">分； </w:t>
            </w:r>
            <w:r>
              <w:rPr>
                <w:rFonts w:ascii="黑体" w:hAnsi="黑体" w:eastAsia="黑体"/>
                <w:color w:val="auto"/>
                <w:szCs w:val="21"/>
              </w:rPr>
              <w:br w:type="textWrapping"/>
            </w:r>
            <w:r>
              <w:rPr>
                <w:rFonts w:ascii="黑体" w:hAnsi="黑体" w:eastAsia="黑体"/>
                <w:color w:val="auto"/>
                <w:szCs w:val="21"/>
              </w:rPr>
              <w:t>②方案基本完整，合理性、可行性较高，应急保障要求较高，得</w:t>
            </w:r>
            <w:r>
              <w:rPr>
                <w:rFonts w:hint="eastAsia" w:ascii="黑体" w:hAnsi="黑体" w:eastAsia="黑体"/>
                <w:color w:val="auto"/>
                <w:szCs w:val="21"/>
              </w:rPr>
              <w:t>7</w:t>
            </w:r>
            <w:r>
              <w:rPr>
                <w:rFonts w:ascii="黑体" w:hAnsi="黑体" w:eastAsia="黑体"/>
                <w:color w:val="auto"/>
                <w:szCs w:val="21"/>
              </w:rPr>
              <w:t xml:space="preserve">分； </w:t>
            </w:r>
            <w:r>
              <w:rPr>
                <w:rFonts w:ascii="黑体" w:hAnsi="黑体" w:eastAsia="黑体"/>
                <w:color w:val="auto"/>
                <w:szCs w:val="21"/>
              </w:rPr>
              <w:br w:type="textWrapping"/>
            </w:r>
            <w:r>
              <w:rPr>
                <w:rFonts w:ascii="黑体" w:hAnsi="黑体" w:eastAsia="黑体"/>
                <w:color w:val="auto"/>
                <w:szCs w:val="21"/>
              </w:rPr>
              <w:t>③方案基本完整，合理性、可行性一般，应急保障要求较低，得</w:t>
            </w:r>
            <w:r>
              <w:rPr>
                <w:rFonts w:hint="eastAsia" w:ascii="黑体" w:hAnsi="黑体" w:eastAsia="黑体"/>
                <w:color w:val="auto"/>
                <w:szCs w:val="21"/>
              </w:rPr>
              <w:t>4</w:t>
            </w:r>
            <w:r>
              <w:rPr>
                <w:rFonts w:ascii="黑体" w:hAnsi="黑体" w:eastAsia="黑体"/>
                <w:color w:val="auto"/>
                <w:szCs w:val="21"/>
              </w:rPr>
              <w:t>分；</w:t>
            </w:r>
            <w:r>
              <w:rPr>
                <w:rFonts w:ascii="黑体" w:hAnsi="黑体" w:eastAsia="黑体"/>
                <w:color w:val="auto"/>
                <w:szCs w:val="21"/>
              </w:rPr>
              <w:br w:type="textWrapping"/>
            </w:r>
            <w:r>
              <w:rPr>
                <w:rFonts w:ascii="黑体" w:hAnsi="黑体" w:eastAsia="黑体"/>
                <w:color w:val="auto"/>
                <w:szCs w:val="21"/>
              </w:rPr>
              <w:t>④方案基本完整，合理性、可行性</w:t>
            </w:r>
            <w:r>
              <w:rPr>
                <w:rFonts w:hint="eastAsia" w:ascii="黑体" w:hAnsi="黑体" w:eastAsia="黑体"/>
                <w:color w:val="auto"/>
                <w:szCs w:val="21"/>
              </w:rPr>
              <w:t>差</w:t>
            </w:r>
            <w:r>
              <w:rPr>
                <w:rFonts w:ascii="黑体" w:hAnsi="黑体" w:eastAsia="黑体"/>
                <w:color w:val="auto"/>
                <w:szCs w:val="21"/>
              </w:rPr>
              <w:t>，应急保障要求低，得</w:t>
            </w:r>
            <w:r>
              <w:rPr>
                <w:rFonts w:hint="eastAsia" w:ascii="黑体" w:hAnsi="黑体" w:eastAsia="黑体"/>
                <w:color w:val="auto"/>
                <w:szCs w:val="21"/>
              </w:rPr>
              <w:t>1</w:t>
            </w:r>
            <w:r>
              <w:rPr>
                <w:rFonts w:ascii="黑体" w:hAnsi="黑体" w:eastAsia="黑体"/>
                <w:color w:val="auto"/>
                <w:szCs w:val="21"/>
              </w:rPr>
              <w:t>分</w:t>
            </w:r>
            <w:r>
              <w:rPr>
                <w:rFonts w:hint="eastAsia" w:ascii="黑体" w:hAnsi="黑体" w:eastAsia="黑体"/>
                <w:color w:val="auto"/>
                <w:szCs w:val="21"/>
              </w:rPr>
              <w:t>；</w:t>
            </w:r>
            <w:r>
              <w:rPr>
                <w:rFonts w:ascii="黑体" w:hAnsi="黑体" w:eastAsia="黑体"/>
                <w:color w:val="auto"/>
                <w:szCs w:val="21"/>
              </w:rPr>
              <w:br w:type="textWrapping"/>
            </w:r>
            <w:r>
              <w:rPr>
                <w:rFonts w:ascii="黑体" w:hAnsi="黑体" w:eastAsia="黑体"/>
                <w:color w:val="auto"/>
                <w:szCs w:val="21"/>
              </w:rPr>
              <w:fldChar w:fldCharType="begin"/>
            </w:r>
            <w:r>
              <w:rPr>
                <w:rFonts w:ascii="黑体" w:hAnsi="黑体" w:eastAsia="黑体"/>
                <w:color w:val="auto"/>
                <w:szCs w:val="21"/>
              </w:rPr>
              <w:instrText xml:space="preserve"> = 5 \* GB3 \* MERGEFORMAT </w:instrText>
            </w:r>
            <w:r>
              <w:rPr>
                <w:rFonts w:ascii="黑体" w:hAnsi="黑体" w:eastAsia="黑体"/>
                <w:color w:val="auto"/>
                <w:szCs w:val="21"/>
              </w:rPr>
              <w:fldChar w:fldCharType="separate"/>
            </w:r>
            <w:r>
              <w:rPr>
                <w:rFonts w:ascii="黑体" w:hAnsi="黑体" w:eastAsia="黑体"/>
                <w:color w:val="auto"/>
                <w:szCs w:val="21"/>
              </w:rPr>
              <w:t>⑤</w:t>
            </w:r>
            <w:r>
              <w:rPr>
                <w:rFonts w:ascii="黑体" w:hAnsi="黑体" w:eastAsia="黑体"/>
                <w:color w:val="auto"/>
                <w:szCs w:val="21"/>
              </w:rPr>
              <w:fldChar w:fldCharType="end"/>
            </w:r>
            <w:r>
              <w:rPr>
                <w:rFonts w:ascii="黑体" w:hAnsi="黑体" w:eastAsia="黑体"/>
                <w:color w:val="auto"/>
                <w:szCs w:val="21"/>
              </w:rPr>
              <w:t>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480" w:type="pct"/>
            <w:vAlign w:val="center"/>
          </w:tcPr>
          <w:p>
            <w:pPr>
              <w:spacing w:before="31" w:beforeLines="10" w:after="93" w:afterLines="30" w:line="440" w:lineRule="exact"/>
              <w:jc w:val="center"/>
              <w:rPr>
                <w:rFonts w:ascii="黑体" w:hAnsi="黑体" w:eastAsia="黑体"/>
                <w:color w:val="auto"/>
                <w:szCs w:val="21"/>
              </w:rPr>
            </w:pPr>
            <w:r>
              <w:rPr>
                <w:rFonts w:hint="eastAsia" w:ascii="黑体" w:hAnsi="黑体" w:eastAsia="黑体"/>
                <w:color w:val="auto"/>
                <w:szCs w:val="21"/>
              </w:rPr>
              <w:t>5</w:t>
            </w:r>
          </w:p>
        </w:tc>
        <w:tc>
          <w:tcPr>
            <w:tcW w:w="730" w:type="pct"/>
            <w:vAlign w:val="center"/>
          </w:tcPr>
          <w:p>
            <w:pPr>
              <w:spacing w:before="31" w:beforeLines="10" w:after="30" w:line="440" w:lineRule="exact"/>
              <w:jc w:val="center"/>
              <w:rPr>
                <w:rFonts w:ascii="黑体" w:hAnsi="黑体" w:eastAsia="黑体"/>
                <w:bCs/>
                <w:color w:val="auto"/>
                <w:szCs w:val="21"/>
              </w:rPr>
            </w:pPr>
            <w:r>
              <w:rPr>
                <w:rFonts w:ascii="黑体" w:hAnsi="黑体" w:eastAsia="黑体"/>
                <w:bCs/>
                <w:color w:val="auto"/>
                <w:szCs w:val="21"/>
              </w:rPr>
              <w:t>售后服务承诺</w:t>
            </w:r>
          </w:p>
        </w:tc>
        <w:tc>
          <w:tcPr>
            <w:tcW w:w="686" w:type="pct"/>
            <w:vAlign w:val="center"/>
          </w:tcPr>
          <w:p>
            <w:pPr>
              <w:widowControl/>
              <w:spacing w:before="31" w:beforeLines="10" w:after="30" w:line="440" w:lineRule="exact"/>
              <w:jc w:val="center"/>
              <w:rPr>
                <w:rFonts w:ascii="黑体" w:hAnsi="黑体" w:eastAsia="黑体"/>
                <w:color w:val="auto"/>
                <w:szCs w:val="21"/>
              </w:rPr>
            </w:pPr>
            <w:r>
              <w:rPr>
                <w:rFonts w:hint="eastAsia" w:ascii="黑体" w:hAnsi="黑体" w:eastAsia="黑体"/>
                <w:color w:val="auto"/>
                <w:szCs w:val="21"/>
              </w:rPr>
              <w:t>10分</w:t>
            </w:r>
          </w:p>
        </w:tc>
        <w:tc>
          <w:tcPr>
            <w:tcW w:w="3102" w:type="pct"/>
            <w:vAlign w:val="center"/>
          </w:tcPr>
          <w:p>
            <w:pPr>
              <w:spacing w:before="31" w:beforeLines="10" w:after="30" w:line="440" w:lineRule="exact"/>
              <w:rPr>
                <w:rFonts w:ascii="黑体" w:hAnsi="黑体" w:eastAsia="黑体"/>
                <w:color w:val="auto"/>
                <w:szCs w:val="21"/>
              </w:rPr>
            </w:pPr>
            <w:r>
              <w:rPr>
                <w:rFonts w:ascii="黑体" w:hAnsi="黑体" w:eastAsia="黑体"/>
                <w:color w:val="auto"/>
                <w:szCs w:val="21"/>
              </w:rPr>
              <w:t>根据各</w:t>
            </w:r>
            <w:r>
              <w:rPr>
                <w:rFonts w:hint="eastAsia" w:ascii="黑体" w:hAnsi="黑体" w:eastAsia="黑体"/>
                <w:color w:val="auto"/>
                <w:szCs w:val="21"/>
              </w:rPr>
              <w:t>投标人</w:t>
            </w:r>
            <w:r>
              <w:rPr>
                <w:rFonts w:ascii="黑体" w:hAnsi="黑体" w:eastAsia="黑体"/>
                <w:color w:val="auto"/>
                <w:szCs w:val="21"/>
              </w:rPr>
              <w:t xml:space="preserve">提供的售后服务承诺（包括但不限于以下内容：专线售后服务管理方案，专人服务，专人跟踪、售后服务时间安排、其它服务承诺）进行评审： </w:t>
            </w:r>
            <w:r>
              <w:rPr>
                <w:rFonts w:ascii="黑体" w:hAnsi="黑体" w:eastAsia="黑体"/>
                <w:color w:val="auto"/>
                <w:szCs w:val="21"/>
              </w:rPr>
              <w:br w:type="textWrapping"/>
            </w:r>
            <w:r>
              <w:rPr>
                <w:rFonts w:ascii="黑体" w:hAnsi="黑体" w:eastAsia="黑体"/>
                <w:color w:val="auto"/>
                <w:szCs w:val="21"/>
              </w:rPr>
              <w:t>①售后服务方案科学完整，服务承诺完全文件要求，响应时间非常迅速，售后服务点技术力量十分雄厚的，得</w:t>
            </w:r>
            <w:r>
              <w:rPr>
                <w:rFonts w:hint="eastAsia" w:ascii="黑体" w:hAnsi="黑体" w:eastAsia="黑体"/>
                <w:color w:val="auto"/>
                <w:szCs w:val="21"/>
              </w:rPr>
              <w:t>10</w:t>
            </w:r>
            <w:r>
              <w:rPr>
                <w:rFonts w:ascii="黑体" w:hAnsi="黑体" w:eastAsia="黑体"/>
                <w:color w:val="auto"/>
                <w:szCs w:val="21"/>
              </w:rPr>
              <w:t>分；</w:t>
            </w:r>
            <w:r>
              <w:rPr>
                <w:rFonts w:ascii="黑体" w:hAnsi="黑体" w:eastAsia="黑体"/>
                <w:color w:val="auto"/>
                <w:szCs w:val="21"/>
              </w:rPr>
              <w:br w:type="textWrapping"/>
            </w:r>
            <w:r>
              <w:rPr>
                <w:rFonts w:ascii="黑体" w:hAnsi="黑体" w:eastAsia="黑体"/>
                <w:color w:val="auto"/>
                <w:szCs w:val="21"/>
              </w:rPr>
              <w:t>②售后服务方案基本完整，服务承诺基本满足文件要求的，响应时间迅速一般，售后服务点技术力量一般的，得</w:t>
            </w:r>
            <w:r>
              <w:rPr>
                <w:rFonts w:hint="eastAsia" w:ascii="黑体" w:hAnsi="黑体" w:eastAsia="黑体"/>
                <w:color w:val="auto"/>
                <w:szCs w:val="21"/>
              </w:rPr>
              <w:t>7</w:t>
            </w:r>
            <w:r>
              <w:rPr>
                <w:rFonts w:ascii="黑体" w:hAnsi="黑体" w:eastAsia="黑体"/>
                <w:color w:val="auto"/>
                <w:szCs w:val="21"/>
              </w:rPr>
              <w:t xml:space="preserve">分； </w:t>
            </w:r>
            <w:r>
              <w:rPr>
                <w:rFonts w:ascii="黑体" w:hAnsi="黑体" w:eastAsia="黑体"/>
                <w:color w:val="auto"/>
                <w:szCs w:val="21"/>
              </w:rPr>
              <w:br w:type="textWrapping"/>
            </w:r>
            <w:r>
              <w:rPr>
                <w:rFonts w:ascii="黑体" w:hAnsi="黑体" w:eastAsia="黑体"/>
                <w:color w:val="auto"/>
                <w:szCs w:val="21"/>
              </w:rPr>
              <w:t>③售后服务方案不够完整，服务承诺不能满足文件要求的，响应时间迅速较慢，售后服务点技术力量较弱的，得</w:t>
            </w:r>
            <w:r>
              <w:rPr>
                <w:rFonts w:hint="eastAsia" w:ascii="黑体" w:hAnsi="黑体" w:eastAsia="黑体"/>
                <w:color w:val="auto"/>
                <w:szCs w:val="21"/>
              </w:rPr>
              <w:t>4</w:t>
            </w:r>
            <w:r>
              <w:rPr>
                <w:rFonts w:ascii="黑体" w:hAnsi="黑体" w:eastAsia="黑体"/>
                <w:color w:val="auto"/>
                <w:szCs w:val="21"/>
              </w:rPr>
              <w:t xml:space="preserve">分； </w:t>
            </w:r>
            <w:r>
              <w:rPr>
                <w:rFonts w:ascii="黑体" w:hAnsi="黑体" w:eastAsia="黑体"/>
                <w:color w:val="auto"/>
                <w:szCs w:val="21"/>
              </w:rPr>
              <w:br w:type="textWrapping"/>
            </w:r>
            <w:r>
              <w:rPr>
                <w:rFonts w:ascii="黑体" w:hAnsi="黑体" w:eastAsia="黑体"/>
                <w:color w:val="auto"/>
                <w:szCs w:val="21"/>
              </w:rPr>
              <w:t>④售后服务方案不够完整，服务承诺不能满足文件要求的，响应时间迅速</w:t>
            </w:r>
            <w:r>
              <w:rPr>
                <w:rFonts w:hint="eastAsia" w:ascii="黑体" w:hAnsi="黑体" w:eastAsia="黑体"/>
                <w:color w:val="auto"/>
                <w:szCs w:val="21"/>
              </w:rPr>
              <w:t>慢</w:t>
            </w:r>
            <w:r>
              <w:rPr>
                <w:rFonts w:ascii="黑体" w:hAnsi="黑体" w:eastAsia="黑体"/>
                <w:color w:val="auto"/>
                <w:szCs w:val="21"/>
              </w:rPr>
              <w:t>，售后服务点技术力量</w:t>
            </w:r>
            <w:r>
              <w:rPr>
                <w:rFonts w:hint="eastAsia" w:ascii="黑体" w:hAnsi="黑体" w:eastAsia="黑体"/>
                <w:color w:val="auto"/>
                <w:szCs w:val="21"/>
              </w:rPr>
              <w:t>差</w:t>
            </w:r>
            <w:r>
              <w:rPr>
                <w:rFonts w:ascii="黑体" w:hAnsi="黑体" w:eastAsia="黑体"/>
                <w:color w:val="auto"/>
                <w:szCs w:val="21"/>
              </w:rPr>
              <w:t>，得</w:t>
            </w:r>
            <w:r>
              <w:rPr>
                <w:rFonts w:hint="eastAsia" w:ascii="黑体" w:hAnsi="黑体" w:eastAsia="黑体"/>
                <w:color w:val="auto"/>
                <w:szCs w:val="21"/>
              </w:rPr>
              <w:t>1</w:t>
            </w:r>
            <w:r>
              <w:rPr>
                <w:rFonts w:ascii="黑体" w:hAnsi="黑体" w:eastAsia="黑体"/>
                <w:color w:val="auto"/>
                <w:szCs w:val="21"/>
              </w:rPr>
              <w:t>分</w:t>
            </w:r>
            <w:r>
              <w:rPr>
                <w:rFonts w:hint="eastAsia" w:ascii="黑体" w:hAnsi="黑体" w:eastAsia="黑体"/>
                <w:color w:val="auto"/>
                <w:szCs w:val="21"/>
              </w:rPr>
              <w:t>；</w:t>
            </w:r>
            <w:r>
              <w:rPr>
                <w:rFonts w:ascii="黑体" w:hAnsi="黑体" w:eastAsia="黑体"/>
                <w:color w:val="auto"/>
                <w:szCs w:val="21"/>
              </w:rPr>
              <w:br w:type="textWrapping"/>
            </w:r>
            <w:r>
              <w:rPr>
                <w:rFonts w:ascii="黑体" w:hAnsi="黑体" w:eastAsia="黑体"/>
                <w:color w:val="auto"/>
                <w:szCs w:val="21"/>
              </w:rPr>
              <w:fldChar w:fldCharType="begin"/>
            </w:r>
            <w:r>
              <w:rPr>
                <w:rFonts w:ascii="黑体" w:hAnsi="黑体" w:eastAsia="黑体"/>
                <w:color w:val="auto"/>
                <w:szCs w:val="21"/>
              </w:rPr>
              <w:instrText xml:space="preserve"> = 5 \* GB3 \* MERGEFORMAT </w:instrText>
            </w:r>
            <w:r>
              <w:rPr>
                <w:rFonts w:ascii="黑体" w:hAnsi="黑体" w:eastAsia="黑体"/>
                <w:color w:val="auto"/>
                <w:szCs w:val="21"/>
              </w:rPr>
              <w:fldChar w:fldCharType="separate"/>
            </w:r>
            <w:r>
              <w:rPr>
                <w:rFonts w:ascii="黑体" w:hAnsi="黑体" w:eastAsia="黑体"/>
                <w:color w:val="auto"/>
                <w:szCs w:val="21"/>
              </w:rPr>
              <w:t>⑤</w:t>
            </w:r>
            <w:r>
              <w:rPr>
                <w:rFonts w:ascii="黑体" w:hAnsi="黑体" w:eastAsia="黑体"/>
                <w:color w:val="auto"/>
                <w:szCs w:val="21"/>
              </w:rPr>
              <w:fldChar w:fldCharType="end"/>
            </w:r>
            <w:r>
              <w:rPr>
                <w:rFonts w:ascii="黑体" w:hAnsi="黑体" w:eastAsia="黑体"/>
                <w:color w:val="auto"/>
                <w:szCs w:val="21"/>
              </w:rPr>
              <w:t>未提供对应方案不得分。</w:t>
            </w:r>
          </w:p>
        </w:tc>
      </w:tr>
    </w:tbl>
    <w:p>
      <w:pPr>
        <w:rPr>
          <w:color w:val="auto"/>
        </w:rPr>
      </w:pPr>
    </w:p>
    <w:p>
      <w:pPr>
        <w:pStyle w:val="2"/>
        <w:keepNext w:val="0"/>
        <w:keepLines w:val="0"/>
        <w:pageBreakBefore/>
        <w:spacing w:line="360" w:lineRule="auto"/>
        <w:jc w:val="center"/>
        <w:rPr>
          <w:rFonts w:ascii="黑体" w:hAnsi="黑体" w:eastAsia="黑体"/>
          <w:color w:val="auto"/>
          <w:spacing w:val="20"/>
          <w:sz w:val="32"/>
          <w:szCs w:val="32"/>
        </w:rPr>
      </w:pPr>
      <w:bookmarkStart w:id="57" w:name="_Toc391627752"/>
      <w:bookmarkStart w:id="58" w:name="_Toc405313956"/>
      <w:bookmarkStart w:id="59" w:name="_Toc90980553"/>
      <w:r>
        <w:rPr>
          <w:rFonts w:hint="eastAsia" w:ascii="黑体" w:hAnsi="黑体" w:eastAsia="黑体"/>
          <w:color w:val="auto"/>
          <w:spacing w:val="20"/>
          <w:sz w:val="32"/>
          <w:szCs w:val="32"/>
        </w:rPr>
        <w:t>第六部分</w:t>
      </w:r>
      <w:r>
        <w:rPr>
          <w:rFonts w:ascii="黑体" w:hAnsi="黑体" w:eastAsia="黑体"/>
          <w:color w:val="auto"/>
          <w:spacing w:val="20"/>
          <w:sz w:val="32"/>
          <w:szCs w:val="32"/>
        </w:rPr>
        <w:t xml:space="preserve"> </w:t>
      </w:r>
      <w:r>
        <w:rPr>
          <w:rFonts w:hint="eastAsia" w:ascii="黑体" w:hAnsi="黑体" w:eastAsia="黑体"/>
          <w:color w:val="auto"/>
          <w:spacing w:val="20"/>
          <w:sz w:val="32"/>
          <w:szCs w:val="32"/>
        </w:rPr>
        <w:t>合同书格式</w:t>
      </w:r>
      <w:bookmarkEnd w:id="57"/>
      <w:bookmarkEnd w:id="58"/>
      <w:bookmarkEnd w:id="59"/>
    </w:p>
    <w:p>
      <w:pPr>
        <w:spacing w:line="360" w:lineRule="auto"/>
        <w:jc w:val="center"/>
        <w:rPr>
          <w:rFonts w:ascii="黑体" w:hAnsi="黑体" w:eastAsia="黑体"/>
          <w:color w:val="auto"/>
        </w:rPr>
      </w:pPr>
      <w:r>
        <w:rPr>
          <w:rFonts w:hint="eastAsia" w:ascii="黑体" w:hAnsi="黑体" w:eastAsia="黑体"/>
          <w:color w:val="auto"/>
        </w:rPr>
        <w:t>（本格式编排在招标文件中，供投标人参考，投标时不需填写）</w:t>
      </w:r>
    </w:p>
    <w:p>
      <w:pPr>
        <w:spacing w:line="360" w:lineRule="auto"/>
        <w:jc w:val="center"/>
        <w:rPr>
          <w:rFonts w:ascii="黑体" w:hAnsi="黑体" w:eastAsia="黑体"/>
          <w:bCs/>
          <w:color w:val="auto"/>
          <w:szCs w:val="21"/>
        </w:rPr>
      </w:pPr>
    </w:p>
    <w:p>
      <w:pPr>
        <w:spacing w:before="468" w:beforeLines="150" w:after="780" w:afterLines="250" w:line="360" w:lineRule="auto"/>
        <w:jc w:val="center"/>
        <w:rPr>
          <w:rFonts w:ascii="黑体" w:hAnsi="黑体" w:eastAsia="黑体"/>
          <w:bCs/>
          <w:color w:val="auto"/>
          <w:sz w:val="50"/>
          <w:szCs w:val="50"/>
        </w:rPr>
      </w:pPr>
      <w:r>
        <w:rPr>
          <w:rFonts w:hint="eastAsia" w:ascii="黑体" w:hAnsi="黑体" w:eastAsia="黑体"/>
          <w:bCs/>
          <w:color w:val="auto"/>
          <w:sz w:val="50"/>
          <w:szCs w:val="50"/>
        </w:rPr>
        <w:t>东莞市大岭山森林公园2023年食堂承包服务项目</w:t>
      </w:r>
    </w:p>
    <w:p>
      <w:pPr>
        <w:spacing w:line="360" w:lineRule="auto"/>
        <w:jc w:val="center"/>
        <w:rPr>
          <w:rFonts w:ascii="黑体" w:hAnsi="黑体" w:eastAsia="黑体"/>
          <w:bCs/>
          <w:color w:val="auto"/>
          <w:sz w:val="50"/>
          <w:szCs w:val="50"/>
        </w:rPr>
      </w:pPr>
    </w:p>
    <w:p>
      <w:pPr>
        <w:spacing w:before="1092" w:beforeLines="350" w:after="468" w:afterLines="150" w:line="360" w:lineRule="auto"/>
        <w:jc w:val="center"/>
        <w:rPr>
          <w:rFonts w:ascii="黑体" w:hAnsi="黑体" w:eastAsia="黑体"/>
          <w:b/>
          <w:bCs/>
          <w:color w:val="auto"/>
          <w:spacing w:val="60"/>
          <w:sz w:val="52"/>
          <w:szCs w:val="52"/>
        </w:rPr>
      </w:pPr>
      <w:r>
        <w:rPr>
          <w:rFonts w:hint="eastAsia" w:ascii="黑体" w:hAnsi="黑体" w:eastAsia="黑体"/>
          <w:b/>
          <w:bCs/>
          <w:color w:val="auto"/>
          <w:spacing w:val="60"/>
          <w:sz w:val="52"/>
          <w:szCs w:val="52"/>
        </w:rPr>
        <w:t>合同文件</w:t>
      </w:r>
    </w:p>
    <w:p>
      <w:pPr>
        <w:spacing w:line="360" w:lineRule="auto"/>
        <w:jc w:val="center"/>
        <w:rPr>
          <w:rFonts w:ascii="黑体" w:hAnsi="黑体" w:eastAsia="黑体"/>
          <w:b/>
          <w:bCs/>
          <w:color w:val="auto"/>
          <w:szCs w:val="21"/>
        </w:rPr>
      </w:pPr>
      <w:r>
        <w:rPr>
          <w:rFonts w:hint="eastAsia" w:ascii="黑体" w:hAnsi="黑体" w:eastAsia="黑体"/>
          <w:b/>
          <w:bCs/>
          <w:color w:val="auto"/>
          <w:szCs w:val="21"/>
        </w:rPr>
        <w:t>（合同编号：</w:t>
      </w:r>
      <w:r>
        <w:rPr>
          <w:rFonts w:ascii="黑体" w:hAnsi="黑体" w:eastAsia="黑体"/>
          <w:b/>
          <w:bCs/>
          <w:color w:val="auto"/>
          <w:szCs w:val="21"/>
          <w:u w:val="single"/>
        </w:rPr>
        <w:t xml:space="preserve">         </w:t>
      </w:r>
      <w:r>
        <w:rPr>
          <w:rFonts w:hint="eastAsia" w:ascii="黑体" w:hAnsi="黑体" w:eastAsia="黑体"/>
          <w:b/>
          <w:bCs/>
          <w:color w:val="auto"/>
          <w:szCs w:val="21"/>
        </w:rPr>
        <w:t>）</w:t>
      </w:r>
    </w:p>
    <w:p>
      <w:pPr>
        <w:spacing w:line="360" w:lineRule="auto"/>
        <w:rPr>
          <w:rFonts w:ascii="黑体" w:hAnsi="黑体" w:eastAsia="黑体"/>
          <w:b/>
          <w:bCs/>
          <w:color w:val="auto"/>
          <w:szCs w:val="21"/>
        </w:rPr>
      </w:pPr>
    </w:p>
    <w:p>
      <w:pPr>
        <w:spacing w:line="360" w:lineRule="auto"/>
        <w:rPr>
          <w:rFonts w:ascii="黑体" w:hAnsi="黑体" w:eastAsia="黑体"/>
          <w:b/>
          <w:bCs/>
          <w:color w:val="auto"/>
          <w:szCs w:val="21"/>
        </w:rPr>
      </w:pPr>
    </w:p>
    <w:p>
      <w:pPr>
        <w:spacing w:line="360" w:lineRule="auto"/>
        <w:rPr>
          <w:rFonts w:ascii="黑体" w:hAnsi="黑体" w:eastAsia="黑体"/>
          <w:b/>
          <w:bCs/>
          <w:color w:val="auto"/>
          <w:szCs w:val="21"/>
        </w:rPr>
      </w:pP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9"/>
        <w:gridCol w:w="4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2349" w:type="dxa"/>
          </w:tcPr>
          <w:p>
            <w:pPr>
              <w:spacing w:line="360" w:lineRule="auto"/>
              <w:rPr>
                <w:rFonts w:ascii="黑体" w:hAnsi="黑体" w:eastAsia="黑体"/>
                <w:b/>
                <w:bCs/>
                <w:color w:val="auto"/>
                <w:sz w:val="28"/>
                <w:szCs w:val="28"/>
              </w:rPr>
            </w:pPr>
            <w:r>
              <w:rPr>
                <w:rFonts w:hint="eastAsia" w:ascii="黑体" w:hAnsi="黑体" w:eastAsia="黑体"/>
                <w:b/>
                <w:bCs/>
                <w:color w:val="auto"/>
                <w:sz w:val="28"/>
                <w:szCs w:val="28"/>
              </w:rPr>
              <w:t>甲方（采购人）：</w:t>
            </w:r>
          </w:p>
        </w:tc>
        <w:tc>
          <w:tcPr>
            <w:tcW w:w="4961" w:type="dxa"/>
          </w:tcPr>
          <w:p>
            <w:pPr>
              <w:spacing w:line="360" w:lineRule="auto"/>
              <w:rPr>
                <w:rFonts w:ascii="黑体" w:hAnsi="黑体" w:eastAsia="黑体"/>
                <w:b/>
                <w:bCs/>
                <w:color w:val="auto"/>
                <w:sz w:val="28"/>
                <w:szCs w:val="28"/>
                <w:u w:val="single"/>
              </w:rPr>
            </w:pPr>
            <w:r>
              <w:rPr>
                <w:rFonts w:ascii="黑体" w:hAnsi="黑体" w:eastAsia="黑体"/>
                <w:b/>
                <w:bCs/>
                <w:color w:val="auto"/>
                <w:sz w:val="28"/>
                <w:szCs w:val="28"/>
                <w:u w:val="single"/>
              </w:rPr>
              <w:t xml:space="preserve"> </w:t>
            </w:r>
            <w:r>
              <w:rPr>
                <w:rFonts w:hint="eastAsia" w:ascii="黑体" w:hAnsi="黑体" w:eastAsia="黑体"/>
                <w:b/>
                <w:bCs/>
                <w:color w:val="auto"/>
                <w:sz w:val="28"/>
                <w:szCs w:val="28"/>
                <w:u w:val="single"/>
              </w:rPr>
              <w:t xml:space="preserve">     东莞市大岭山森林公园</w:t>
            </w:r>
            <w:r>
              <w:rPr>
                <w:rFonts w:ascii="黑体" w:hAnsi="黑体" w:eastAsia="黑体"/>
                <w:b/>
                <w:bCs/>
                <w:color w:val="auto"/>
                <w:sz w:val="28"/>
                <w:szCs w:val="28"/>
                <w:u w:val="single"/>
              </w:rPr>
              <w:t xml:space="preserve">     </w:t>
            </w:r>
            <w:r>
              <w:rPr>
                <w:rFonts w:hint="eastAsia" w:ascii="黑体" w:hAnsi="黑体" w:eastAsia="黑体"/>
                <w:b/>
                <w:bCs/>
                <w:color w:val="auto"/>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349" w:type="dxa"/>
          </w:tcPr>
          <w:p>
            <w:pPr>
              <w:spacing w:line="360" w:lineRule="auto"/>
              <w:rPr>
                <w:rFonts w:ascii="黑体" w:hAnsi="黑体" w:eastAsia="黑体"/>
                <w:b/>
                <w:bCs/>
                <w:color w:val="auto"/>
                <w:sz w:val="28"/>
                <w:szCs w:val="28"/>
              </w:rPr>
            </w:pPr>
            <w:r>
              <w:rPr>
                <w:rFonts w:hint="eastAsia" w:ascii="黑体" w:hAnsi="黑体" w:eastAsia="黑体"/>
                <w:b/>
                <w:bCs/>
                <w:color w:val="auto"/>
                <w:sz w:val="28"/>
                <w:szCs w:val="28"/>
              </w:rPr>
              <w:t>乙方（中标人）：</w:t>
            </w:r>
          </w:p>
        </w:tc>
        <w:tc>
          <w:tcPr>
            <w:tcW w:w="4961" w:type="dxa"/>
          </w:tcPr>
          <w:p>
            <w:pPr>
              <w:spacing w:line="360" w:lineRule="auto"/>
              <w:rPr>
                <w:rFonts w:ascii="黑体" w:hAnsi="黑体" w:eastAsia="黑体"/>
                <w:b/>
                <w:bCs/>
                <w:color w:val="auto"/>
                <w:sz w:val="28"/>
                <w:szCs w:val="28"/>
                <w:u w:val="single"/>
              </w:rPr>
            </w:pPr>
            <w:r>
              <w:rPr>
                <w:rFonts w:ascii="黑体" w:hAnsi="黑体" w:eastAsia="黑体"/>
                <w:b/>
                <w:bCs/>
                <w:color w:val="auto"/>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2349" w:type="dxa"/>
          </w:tcPr>
          <w:p>
            <w:pPr>
              <w:spacing w:line="360" w:lineRule="auto"/>
              <w:rPr>
                <w:rFonts w:ascii="黑体" w:hAnsi="黑体" w:eastAsia="黑体"/>
                <w:b/>
                <w:bCs/>
                <w:color w:val="auto"/>
                <w:spacing w:val="9"/>
                <w:sz w:val="28"/>
                <w:szCs w:val="28"/>
              </w:rPr>
            </w:pPr>
            <w:r>
              <w:rPr>
                <w:rFonts w:hint="eastAsia" w:ascii="黑体" w:hAnsi="黑体" w:eastAsia="黑体"/>
                <w:b/>
                <w:bCs/>
                <w:color w:val="auto"/>
                <w:spacing w:val="9"/>
                <w:sz w:val="28"/>
                <w:szCs w:val="28"/>
              </w:rPr>
              <w:t>协议签订时间：</w:t>
            </w:r>
          </w:p>
        </w:tc>
        <w:tc>
          <w:tcPr>
            <w:tcW w:w="4961" w:type="dxa"/>
          </w:tcPr>
          <w:p>
            <w:pPr>
              <w:spacing w:line="360" w:lineRule="auto"/>
              <w:rPr>
                <w:rFonts w:ascii="黑体" w:hAnsi="黑体" w:eastAsia="黑体"/>
                <w:b/>
                <w:bCs/>
                <w:color w:val="auto"/>
                <w:sz w:val="28"/>
                <w:szCs w:val="28"/>
                <w:u w:val="single"/>
              </w:rPr>
            </w:pPr>
            <w:r>
              <w:rPr>
                <w:rFonts w:ascii="黑体" w:hAnsi="黑体" w:eastAsia="黑体"/>
                <w:b/>
                <w:bCs/>
                <w:color w:val="auto"/>
                <w:sz w:val="28"/>
                <w:szCs w:val="28"/>
                <w:u w:val="single"/>
              </w:rPr>
              <w:t xml:space="preserve">                                            </w:t>
            </w:r>
          </w:p>
        </w:tc>
      </w:tr>
    </w:tbl>
    <w:p>
      <w:pPr>
        <w:spacing w:line="360" w:lineRule="auto"/>
        <w:rPr>
          <w:rFonts w:ascii="黑体" w:hAnsi="黑体" w:eastAsia="黑体"/>
          <w:b/>
          <w:bCs/>
          <w:color w:val="auto"/>
          <w:szCs w:val="21"/>
        </w:rPr>
      </w:pPr>
    </w:p>
    <w:p>
      <w:pPr>
        <w:spacing w:line="360" w:lineRule="auto"/>
        <w:rPr>
          <w:rFonts w:ascii="黑体" w:hAnsi="黑体" w:eastAsia="黑体"/>
          <w:b/>
          <w:bCs/>
          <w:color w:val="auto"/>
          <w:szCs w:val="21"/>
        </w:rPr>
      </w:pPr>
    </w:p>
    <w:p>
      <w:pPr>
        <w:tabs>
          <w:tab w:val="left" w:pos="720"/>
        </w:tabs>
        <w:spacing w:line="360" w:lineRule="auto"/>
        <w:jc w:val="center"/>
        <w:rPr>
          <w:rFonts w:ascii="黑体" w:hAnsi="黑体" w:eastAsia="黑体"/>
          <w:color w:val="auto"/>
          <w:spacing w:val="20"/>
          <w:sz w:val="28"/>
          <w:szCs w:val="28"/>
        </w:rPr>
      </w:pPr>
      <w:r>
        <w:rPr>
          <w:rFonts w:hint="eastAsia" w:ascii="黑体" w:hAnsi="黑体" w:eastAsia="黑体"/>
          <w:color w:val="auto"/>
          <w:spacing w:val="20"/>
          <w:sz w:val="28"/>
          <w:szCs w:val="28"/>
        </w:rPr>
        <w:t>二〇二二年</w:t>
      </w:r>
      <w:r>
        <w:rPr>
          <w:rFonts w:ascii="黑体" w:hAnsi="黑体" w:eastAsia="黑体"/>
          <w:color w:val="auto"/>
          <w:spacing w:val="20"/>
          <w:sz w:val="28"/>
          <w:szCs w:val="28"/>
          <w:u w:val="single"/>
        </w:rPr>
        <w:t xml:space="preserve">   </w:t>
      </w:r>
      <w:r>
        <w:rPr>
          <w:rFonts w:hint="eastAsia" w:ascii="黑体" w:hAnsi="黑体" w:eastAsia="黑体"/>
          <w:color w:val="auto"/>
          <w:spacing w:val="20"/>
          <w:sz w:val="28"/>
          <w:szCs w:val="28"/>
        </w:rPr>
        <w:t>月于东莞</w:t>
      </w:r>
    </w:p>
    <w:p>
      <w:pPr>
        <w:pageBreakBefore/>
        <w:spacing w:line="360" w:lineRule="auto"/>
        <w:rPr>
          <w:rFonts w:ascii="黑体" w:hAnsi="黑体" w:eastAsia="黑体"/>
          <w:color w:val="auto"/>
          <w:szCs w:val="21"/>
        </w:rPr>
      </w:pPr>
      <w:r>
        <w:rPr>
          <w:rFonts w:hint="eastAsia" w:ascii="黑体" w:hAnsi="黑体" w:eastAsia="黑体"/>
          <w:color w:val="auto"/>
          <w:szCs w:val="21"/>
        </w:rPr>
        <w:t>甲方（采购人）：</w:t>
      </w:r>
      <w:r>
        <w:rPr>
          <w:rFonts w:hint="eastAsia" w:ascii="黑体" w:hAnsi="黑体" w:eastAsia="黑体"/>
          <w:color w:val="auto"/>
          <w:szCs w:val="21"/>
          <w:u w:val="single"/>
        </w:rPr>
        <w:t>东莞市大岭山森林公园</w:t>
      </w:r>
    </w:p>
    <w:p>
      <w:pPr>
        <w:spacing w:line="360" w:lineRule="auto"/>
        <w:rPr>
          <w:rFonts w:ascii="黑体" w:hAnsi="黑体" w:eastAsia="黑体"/>
          <w:color w:val="auto"/>
          <w:szCs w:val="21"/>
        </w:rPr>
      </w:pPr>
      <w:r>
        <w:rPr>
          <w:rFonts w:hint="eastAsia" w:ascii="黑体" w:hAnsi="黑体" w:eastAsia="黑体"/>
          <w:color w:val="auto"/>
          <w:szCs w:val="21"/>
        </w:rPr>
        <w:t>乙方（中标人）：</w:t>
      </w:r>
      <w:r>
        <w:rPr>
          <w:rFonts w:hint="eastAsia" w:ascii="黑体" w:hAnsi="黑体" w:eastAsia="黑体"/>
          <w:color w:val="auto"/>
          <w:szCs w:val="21"/>
          <w:u w:val="single"/>
        </w:rPr>
        <w:t xml:space="preserve">                    </w:t>
      </w:r>
    </w:p>
    <w:p>
      <w:pPr>
        <w:spacing w:before="312" w:beforeLines="100" w:line="360" w:lineRule="auto"/>
        <w:ind w:firstLine="420" w:firstLineChars="200"/>
        <w:rPr>
          <w:rFonts w:ascii="黑体" w:hAnsi="黑体" w:eastAsia="黑体"/>
          <w:color w:val="auto"/>
          <w:szCs w:val="21"/>
        </w:rPr>
      </w:pPr>
      <w:r>
        <w:rPr>
          <w:rFonts w:hint="eastAsia" w:ascii="黑体" w:hAnsi="黑体" w:eastAsia="黑体" w:cs="Times New Roman"/>
          <w:color w:val="auto"/>
          <w:szCs w:val="21"/>
        </w:rPr>
        <w:t>根据《中华人民共和国民法典》及招标文件、中标通知书等相关资料的要求，经双方协商一致，签订本合同，共同遵守如下条款</w:t>
      </w:r>
      <w:r>
        <w:rPr>
          <w:rFonts w:hint="eastAsia" w:ascii="黑体" w:hAnsi="黑体" w:eastAsia="黑体"/>
          <w:color w:val="auto"/>
          <w:szCs w:val="21"/>
        </w:rPr>
        <w:t>。</w:t>
      </w:r>
    </w:p>
    <w:p>
      <w:pPr>
        <w:pStyle w:val="30"/>
        <w:numPr>
          <w:ilvl w:val="0"/>
          <w:numId w:val="77"/>
        </w:numPr>
        <w:spacing w:before="312" w:beforeLines="100" w:line="360" w:lineRule="auto"/>
        <w:ind w:firstLineChars="0"/>
        <w:rPr>
          <w:rFonts w:ascii="黑体" w:hAnsi="黑体" w:eastAsia="黑体"/>
          <w:b/>
          <w:bCs/>
          <w:color w:val="auto"/>
          <w:spacing w:val="20"/>
          <w:szCs w:val="21"/>
        </w:rPr>
      </w:pPr>
      <w:r>
        <w:rPr>
          <w:rFonts w:hint="eastAsia" w:ascii="黑体" w:hAnsi="黑体" w:eastAsia="黑体"/>
          <w:b/>
          <w:color w:val="auto"/>
          <w:spacing w:val="20"/>
          <w:szCs w:val="21"/>
        </w:rPr>
        <w:t>合同项目</w:t>
      </w:r>
    </w:p>
    <w:p>
      <w:pPr>
        <w:pStyle w:val="30"/>
        <w:numPr>
          <w:ilvl w:val="0"/>
          <w:numId w:val="78"/>
        </w:numPr>
        <w:spacing w:line="360" w:lineRule="auto"/>
        <w:ind w:firstLineChars="0"/>
        <w:rPr>
          <w:rFonts w:ascii="黑体" w:hAnsi="黑体" w:eastAsia="黑体"/>
          <w:color w:val="auto"/>
          <w:szCs w:val="21"/>
        </w:rPr>
      </w:pPr>
      <w:r>
        <w:rPr>
          <w:rFonts w:hint="eastAsia" w:ascii="黑体" w:hAnsi="黑体" w:eastAsia="黑体"/>
          <w:color w:val="auto"/>
          <w:szCs w:val="21"/>
        </w:rPr>
        <w:t>项目名称：</w:t>
      </w:r>
      <w:r>
        <w:rPr>
          <w:rFonts w:hint="eastAsia" w:ascii="黑体" w:hAnsi="黑体" w:eastAsia="黑体"/>
          <w:color w:val="auto"/>
          <w:szCs w:val="21"/>
          <w:u w:val="single"/>
        </w:rPr>
        <w:t xml:space="preserve">      （详见投标邀请函）         </w:t>
      </w:r>
    </w:p>
    <w:p>
      <w:pPr>
        <w:pStyle w:val="30"/>
        <w:numPr>
          <w:ilvl w:val="0"/>
          <w:numId w:val="78"/>
        </w:numPr>
        <w:spacing w:line="360" w:lineRule="auto"/>
        <w:ind w:firstLineChars="0"/>
        <w:rPr>
          <w:rFonts w:ascii="黑体" w:hAnsi="黑体" w:eastAsia="黑体"/>
          <w:color w:val="auto"/>
          <w:szCs w:val="21"/>
        </w:rPr>
      </w:pPr>
      <w:r>
        <w:rPr>
          <w:rFonts w:hint="eastAsia" w:ascii="黑体" w:hAnsi="黑体" w:eastAsia="黑体"/>
          <w:color w:val="auto"/>
          <w:szCs w:val="21"/>
        </w:rPr>
        <w:t>项目编号：</w:t>
      </w:r>
      <w:r>
        <w:rPr>
          <w:rFonts w:hint="eastAsia" w:ascii="黑体" w:hAnsi="黑体" w:eastAsia="黑体"/>
          <w:color w:val="auto"/>
          <w:szCs w:val="21"/>
          <w:u w:val="single"/>
        </w:rPr>
        <w:t xml:space="preserve">      （详见投标邀请函）        </w:t>
      </w:r>
    </w:p>
    <w:p>
      <w:pPr>
        <w:pStyle w:val="30"/>
        <w:numPr>
          <w:ilvl w:val="0"/>
          <w:numId w:val="77"/>
        </w:numPr>
        <w:spacing w:before="312" w:beforeLines="100" w:line="360" w:lineRule="auto"/>
        <w:ind w:firstLineChars="0"/>
        <w:rPr>
          <w:rFonts w:ascii="黑体" w:hAnsi="黑体" w:eastAsia="黑体"/>
          <w:b/>
          <w:color w:val="auto"/>
          <w:spacing w:val="20"/>
          <w:szCs w:val="21"/>
        </w:rPr>
      </w:pPr>
      <w:r>
        <w:rPr>
          <w:rFonts w:hint="eastAsia" w:ascii="黑体" w:hAnsi="黑体" w:eastAsia="黑体"/>
          <w:b/>
          <w:color w:val="auto"/>
          <w:spacing w:val="20"/>
          <w:szCs w:val="21"/>
        </w:rPr>
        <w:t>项目概况</w:t>
      </w:r>
    </w:p>
    <w:p>
      <w:pPr>
        <w:pStyle w:val="30"/>
        <w:numPr>
          <w:ilvl w:val="0"/>
          <w:numId w:val="79"/>
        </w:numPr>
        <w:spacing w:line="360" w:lineRule="auto"/>
        <w:ind w:firstLineChars="0"/>
        <w:rPr>
          <w:rFonts w:ascii="黑体" w:hAnsi="黑体" w:eastAsia="黑体"/>
          <w:color w:val="auto"/>
          <w:szCs w:val="21"/>
        </w:rPr>
      </w:pPr>
      <w:r>
        <w:rPr>
          <w:rFonts w:hint="eastAsia" w:ascii="黑体" w:hAnsi="黑体" w:eastAsia="黑体"/>
          <w:color w:val="auto"/>
          <w:szCs w:val="21"/>
        </w:rPr>
        <w:t>项目概况：</w:t>
      </w:r>
      <w:r>
        <w:rPr>
          <w:rFonts w:hint="eastAsia" w:ascii="黑体" w:hAnsi="黑体" w:eastAsia="黑体"/>
          <w:color w:val="auto"/>
          <w:szCs w:val="21"/>
          <w:u w:val="single"/>
        </w:rPr>
        <w:t>东莞市大岭山森林公园2023年食堂承包服务项目；</w:t>
      </w:r>
    </w:p>
    <w:p>
      <w:pPr>
        <w:pStyle w:val="30"/>
        <w:numPr>
          <w:ilvl w:val="0"/>
          <w:numId w:val="79"/>
        </w:numPr>
        <w:spacing w:line="360" w:lineRule="auto"/>
        <w:ind w:firstLineChars="0"/>
        <w:rPr>
          <w:rFonts w:ascii="黑体" w:hAnsi="黑体" w:eastAsia="黑体"/>
          <w:color w:val="auto"/>
          <w:szCs w:val="21"/>
          <w:u w:val="single"/>
        </w:rPr>
      </w:pPr>
      <w:r>
        <w:rPr>
          <w:rFonts w:hint="eastAsia" w:ascii="黑体" w:hAnsi="黑体" w:eastAsia="黑体"/>
          <w:color w:val="auto"/>
          <w:szCs w:val="21"/>
        </w:rPr>
        <w:t>服务范围及内容：甲方将其员工食堂服务整体发包，乙方须按照甲方要求保证食堂正常运作，以及完成甲方临时委托的后勤接待服务，保质保量确保膳食供应及时、安全卫生，保证食堂环境整洁干净。</w:t>
      </w:r>
    </w:p>
    <w:p>
      <w:pPr>
        <w:pStyle w:val="30"/>
        <w:numPr>
          <w:ilvl w:val="0"/>
          <w:numId w:val="77"/>
        </w:numPr>
        <w:spacing w:before="312" w:beforeLines="100" w:line="360" w:lineRule="auto"/>
        <w:ind w:firstLineChars="0"/>
        <w:rPr>
          <w:rFonts w:ascii="黑体" w:hAnsi="黑体" w:eastAsia="黑体"/>
          <w:b/>
          <w:color w:val="auto"/>
          <w:spacing w:val="20"/>
          <w:szCs w:val="21"/>
        </w:rPr>
      </w:pPr>
      <w:r>
        <w:rPr>
          <w:rFonts w:hint="eastAsia" w:ascii="黑体" w:hAnsi="黑体" w:eastAsia="黑体"/>
          <w:b/>
          <w:color w:val="auto"/>
          <w:spacing w:val="20"/>
          <w:szCs w:val="21"/>
        </w:rPr>
        <w:t>总体要求</w:t>
      </w:r>
    </w:p>
    <w:p>
      <w:pPr>
        <w:pStyle w:val="30"/>
        <w:numPr>
          <w:ilvl w:val="0"/>
          <w:numId w:val="80"/>
        </w:numPr>
        <w:autoSpaceDE w:val="0"/>
        <w:autoSpaceDN w:val="0"/>
        <w:adjustRightInd w:val="0"/>
        <w:spacing w:line="360" w:lineRule="auto"/>
        <w:ind w:firstLineChars="0"/>
        <w:jc w:val="left"/>
        <w:rPr>
          <w:rFonts w:ascii="黑体" w:hAnsi="黑体" w:eastAsia="黑体"/>
          <w:color w:val="auto"/>
          <w:szCs w:val="21"/>
        </w:rPr>
      </w:pPr>
      <w:r>
        <w:rPr>
          <w:rFonts w:hint="eastAsia" w:ascii="黑体" w:hAnsi="黑体" w:eastAsia="黑体"/>
          <w:color w:val="auto"/>
          <w:szCs w:val="21"/>
        </w:rPr>
        <w:t>甲方权利和义务</w:t>
      </w:r>
    </w:p>
    <w:p>
      <w:pPr>
        <w:pStyle w:val="30"/>
        <w:numPr>
          <w:ilvl w:val="0"/>
          <w:numId w:val="81"/>
        </w:numPr>
        <w:tabs>
          <w:tab w:val="left" w:pos="1080"/>
        </w:tabs>
        <w:spacing w:line="360" w:lineRule="auto"/>
        <w:ind w:firstLineChars="0"/>
        <w:rPr>
          <w:rFonts w:ascii="黑体" w:hAnsi="黑体" w:eastAsia="黑体"/>
          <w:color w:val="auto"/>
          <w:szCs w:val="21"/>
        </w:rPr>
      </w:pPr>
      <w:r>
        <w:rPr>
          <w:rFonts w:hint="eastAsia" w:ascii="黑体" w:hAnsi="黑体" w:eastAsia="黑体"/>
          <w:color w:val="auto"/>
          <w:szCs w:val="21"/>
        </w:rPr>
        <w:t>甲方有权随时检查乙方的服务履行情况，并向乙方提出修改。</w:t>
      </w:r>
    </w:p>
    <w:p>
      <w:pPr>
        <w:pStyle w:val="30"/>
        <w:numPr>
          <w:ilvl w:val="0"/>
          <w:numId w:val="81"/>
        </w:numPr>
        <w:tabs>
          <w:tab w:val="left" w:pos="1080"/>
        </w:tabs>
        <w:spacing w:line="360" w:lineRule="auto"/>
        <w:ind w:firstLineChars="0"/>
        <w:rPr>
          <w:rFonts w:ascii="黑体" w:hAnsi="黑体" w:eastAsia="黑体"/>
          <w:color w:val="auto"/>
          <w:szCs w:val="21"/>
        </w:rPr>
      </w:pPr>
      <w:r>
        <w:rPr>
          <w:rFonts w:hint="eastAsia" w:ascii="黑体" w:hAnsi="黑体" w:eastAsia="黑体"/>
          <w:color w:val="auto"/>
          <w:szCs w:val="21"/>
        </w:rPr>
        <w:t>当发生服务违约时，则甲方有权按约定在支付乙方合同款项中进行扣款 。</w:t>
      </w:r>
    </w:p>
    <w:p>
      <w:pPr>
        <w:pStyle w:val="30"/>
        <w:numPr>
          <w:ilvl w:val="0"/>
          <w:numId w:val="81"/>
        </w:numPr>
        <w:tabs>
          <w:tab w:val="left" w:pos="1080"/>
        </w:tabs>
        <w:spacing w:line="360" w:lineRule="auto"/>
        <w:ind w:firstLineChars="0"/>
        <w:rPr>
          <w:rFonts w:ascii="黑体" w:hAnsi="黑体" w:eastAsia="黑体"/>
          <w:color w:val="auto"/>
          <w:szCs w:val="21"/>
        </w:rPr>
      </w:pPr>
      <w:r>
        <w:rPr>
          <w:rFonts w:hint="eastAsia" w:ascii="黑体" w:hAnsi="黑体" w:eastAsia="黑体"/>
          <w:color w:val="auto"/>
          <w:szCs w:val="21"/>
        </w:rPr>
        <w:t>在乙方提供服务时，如对甲方的设备造成了损坏，甲方有权要求乙方赔偿。</w:t>
      </w:r>
    </w:p>
    <w:p>
      <w:pPr>
        <w:pStyle w:val="30"/>
        <w:numPr>
          <w:ilvl w:val="0"/>
          <w:numId w:val="81"/>
        </w:numPr>
        <w:tabs>
          <w:tab w:val="left" w:pos="1080"/>
        </w:tabs>
        <w:spacing w:line="360" w:lineRule="auto"/>
        <w:ind w:firstLineChars="0"/>
        <w:rPr>
          <w:rFonts w:ascii="黑体" w:hAnsi="黑体" w:eastAsia="黑体"/>
          <w:color w:val="auto"/>
          <w:szCs w:val="21"/>
        </w:rPr>
      </w:pPr>
      <w:r>
        <w:rPr>
          <w:rFonts w:hint="eastAsia" w:ascii="黑体" w:hAnsi="黑体" w:eastAsia="黑体"/>
          <w:color w:val="auto"/>
          <w:szCs w:val="21"/>
        </w:rPr>
        <w:t>甲方应按合同规定向乙方支付服务费用。</w:t>
      </w:r>
    </w:p>
    <w:p>
      <w:pPr>
        <w:pStyle w:val="30"/>
        <w:numPr>
          <w:ilvl w:val="0"/>
          <w:numId w:val="80"/>
        </w:numPr>
        <w:autoSpaceDE w:val="0"/>
        <w:autoSpaceDN w:val="0"/>
        <w:adjustRightInd w:val="0"/>
        <w:spacing w:line="360" w:lineRule="auto"/>
        <w:ind w:firstLineChars="0"/>
        <w:jc w:val="left"/>
        <w:rPr>
          <w:rFonts w:ascii="黑体" w:hAnsi="黑体" w:eastAsia="黑体"/>
          <w:color w:val="auto"/>
          <w:szCs w:val="21"/>
        </w:rPr>
      </w:pPr>
      <w:r>
        <w:rPr>
          <w:rFonts w:hint="eastAsia" w:ascii="黑体" w:hAnsi="黑体" w:eastAsia="黑体"/>
          <w:color w:val="auto"/>
          <w:szCs w:val="21"/>
        </w:rPr>
        <w:t>乙方权利和义务</w:t>
      </w:r>
    </w:p>
    <w:p>
      <w:pPr>
        <w:pStyle w:val="30"/>
        <w:numPr>
          <w:ilvl w:val="0"/>
          <w:numId w:val="82"/>
        </w:numPr>
        <w:tabs>
          <w:tab w:val="left" w:pos="1080"/>
        </w:tabs>
        <w:spacing w:line="360" w:lineRule="auto"/>
        <w:ind w:firstLineChars="0"/>
        <w:rPr>
          <w:rFonts w:ascii="黑体" w:hAnsi="黑体" w:eastAsia="黑体"/>
          <w:color w:val="auto"/>
          <w:szCs w:val="21"/>
        </w:rPr>
      </w:pPr>
      <w:r>
        <w:rPr>
          <w:rFonts w:hint="eastAsia" w:ascii="黑体" w:hAnsi="黑体" w:eastAsia="黑体"/>
          <w:color w:val="auto"/>
          <w:szCs w:val="21"/>
        </w:rPr>
        <w:t>乙方应按招标文件的要求和投标文件的承诺进行服务，发生任何服务的变更均须向甲方提出交书面报审报告。</w:t>
      </w:r>
    </w:p>
    <w:p>
      <w:pPr>
        <w:pStyle w:val="30"/>
        <w:numPr>
          <w:ilvl w:val="0"/>
          <w:numId w:val="82"/>
        </w:numPr>
        <w:tabs>
          <w:tab w:val="left" w:pos="1080"/>
        </w:tabs>
        <w:spacing w:line="360" w:lineRule="auto"/>
        <w:ind w:firstLineChars="0"/>
        <w:rPr>
          <w:rFonts w:ascii="黑体" w:hAnsi="黑体" w:eastAsia="黑体"/>
          <w:color w:val="auto"/>
          <w:szCs w:val="21"/>
        </w:rPr>
      </w:pPr>
      <w:r>
        <w:rPr>
          <w:rFonts w:hint="eastAsia" w:ascii="黑体" w:hAnsi="黑体" w:eastAsia="黑体"/>
          <w:color w:val="auto"/>
          <w:szCs w:val="21"/>
        </w:rPr>
        <w:t>乙方有权要求甲方按时支付服务费用。如甲方不按时支付乙方有权要求甲方支付滞纳金。但服务费得支付应以符合东莞市财政局的相关规定为前提。</w:t>
      </w:r>
    </w:p>
    <w:p>
      <w:pPr>
        <w:pStyle w:val="30"/>
        <w:numPr>
          <w:ilvl w:val="0"/>
          <w:numId w:val="77"/>
        </w:numPr>
        <w:spacing w:before="312" w:beforeLines="100" w:line="360" w:lineRule="auto"/>
        <w:ind w:firstLineChars="0"/>
        <w:rPr>
          <w:rFonts w:ascii="黑体" w:hAnsi="黑体" w:eastAsia="黑体"/>
          <w:b/>
          <w:color w:val="auto"/>
          <w:spacing w:val="20"/>
          <w:szCs w:val="21"/>
        </w:rPr>
      </w:pPr>
      <w:r>
        <w:rPr>
          <w:rFonts w:hint="eastAsia" w:ascii="黑体" w:hAnsi="黑体" w:eastAsia="黑体"/>
          <w:b/>
          <w:color w:val="auto"/>
          <w:spacing w:val="20"/>
          <w:szCs w:val="21"/>
        </w:rPr>
        <w:t>价格</w:t>
      </w:r>
    </w:p>
    <w:p>
      <w:pPr>
        <w:pStyle w:val="30"/>
        <w:numPr>
          <w:ilvl w:val="0"/>
          <w:numId w:val="83"/>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服务外包部分合同总价：大写：人民币</w:t>
      </w:r>
      <w:r>
        <w:rPr>
          <w:rFonts w:hint="eastAsia" w:ascii="黑体" w:hAnsi="黑体" w:eastAsia="黑体"/>
          <w:color w:val="auto"/>
          <w:szCs w:val="21"/>
          <w:highlight w:val="none"/>
          <w:u w:val="single"/>
        </w:rPr>
        <w:t xml:space="preserve">                </w:t>
      </w:r>
      <w:r>
        <w:rPr>
          <w:rFonts w:hint="eastAsia" w:ascii="黑体" w:hAnsi="黑体" w:eastAsia="黑体"/>
          <w:color w:val="auto"/>
          <w:szCs w:val="21"/>
          <w:highlight w:val="none"/>
        </w:rPr>
        <w:t>元（小写：￥</w:t>
      </w:r>
      <w:r>
        <w:rPr>
          <w:rFonts w:hint="eastAsia" w:ascii="黑体" w:hAnsi="黑体" w:eastAsia="黑体"/>
          <w:color w:val="auto"/>
          <w:szCs w:val="21"/>
          <w:highlight w:val="none"/>
          <w:u w:val="single"/>
        </w:rPr>
        <w:t xml:space="preserve">            </w:t>
      </w:r>
      <w:r>
        <w:rPr>
          <w:rFonts w:hint="eastAsia" w:ascii="黑体" w:hAnsi="黑体" w:eastAsia="黑体"/>
          <w:color w:val="auto"/>
          <w:szCs w:val="21"/>
          <w:highlight w:val="none"/>
        </w:rPr>
        <w:t>元）；</w:t>
      </w:r>
    </w:p>
    <w:p>
      <w:pPr>
        <w:pStyle w:val="30"/>
        <w:numPr>
          <w:ilvl w:val="0"/>
          <w:numId w:val="83"/>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膳食配送部分合同：大写：人民币</w:t>
      </w:r>
      <w:r>
        <w:rPr>
          <w:rFonts w:hint="eastAsia" w:ascii="黑体" w:hAnsi="黑体" w:eastAsia="黑体"/>
          <w:color w:val="auto"/>
          <w:szCs w:val="21"/>
          <w:highlight w:val="none"/>
          <w:u w:val="single"/>
        </w:rPr>
        <w:t xml:space="preserve">          </w:t>
      </w:r>
      <w:r>
        <w:rPr>
          <w:rFonts w:hint="eastAsia" w:ascii="黑体" w:hAnsi="黑体" w:eastAsia="黑体"/>
          <w:color w:val="auto"/>
          <w:szCs w:val="21"/>
          <w:highlight w:val="none"/>
        </w:rPr>
        <w:t>元（小写：￥</w:t>
      </w:r>
      <w:r>
        <w:rPr>
          <w:rFonts w:hint="eastAsia" w:ascii="黑体" w:hAnsi="黑体" w:eastAsia="黑体"/>
          <w:color w:val="auto"/>
          <w:szCs w:val="21"/>
          <w:highlight w:val="none"/>
          <w:u w:val="single"/>
        </w:rPr>
        <w:t xml:space="preserve">     </w:t>
      </w:r>
      <w:r>
        <w:rPr>
          <w:rFonts w:hint="eastAsia" w:ascii="黑体" w:hAnsi="黑体" w:eastAsia="黑体"/>
          <w:color w:val="auto"/>
          <w:szCs w:val="21"/>
          <w:highlight w:val="none"/>
        </w:rPr>
        <w:t>元）；</w:t>
      </w:r>
    </w:p>
    <w:p>
      <w:pPr>
        <w:pStyle w:val="30"/>
        <w:numPr>
          <w:ilvl w:val="0"/>
          <w:numId w:val="83"/>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本价格部门包括但不限于：各种税务费及合同实施过程中的人工（包括但不限于派驻人员工资、福利、社保，须包含五险一金）、食材采购及加工、场地清洁维护、送餐服务的费用等全部运营业务应预见和不可预见费用等完成合同规定责任和义务、达到合同目的的一切费用。</w:t>
      </w:r>
    </w:p>
    <w:p>
      <w:pPr>
        <w:pStyle w:val="30"/>
        <w:numPr>
          <w:ilvl w:val="0"/>
          <w:numId w:val="83"/>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定价方式：</w:t>
      </w:r>
      <w:r>
        <w:rPr>
          <w:rFonts w:hint="eastAsia" w:ascii="黑体" w:hAnsi="黑体" w:eastAsia="黑体"/>
          <w:color w:val="auto"/>
          <w:szCs w:val="21"/>
          <w:highlight w:val="none"/>
        </w:rPr>
        <w:br w:type="textWrapping"/>
      </w:r>
      <w:r>
        <w:rPr>
          <w:rFonts w:hint="eastAsia" w:ascii="黑体" w:hAnsi="黑体" w:eastAsia="黑体"/>
          <w:color w:val="auto"/>
          <w:szCs w:val="21"/>
          <w:highlight w:val="none"/>
        </w:rPr>
        <w:t>（1）服务外包部分：投入服务团队人员不少于8人，服务期为一年，按月结算；</w:t>
      </w:r>
    </w:p>
    <w:p>
      <w:pPr>
        <w:pStyle w:val="30"/>
        <w:spacing w:line="360" w:lineRule="auto"/>
        <w:ind w:left="420" w:leftChars="200" w:firstLine="0" w:firstLineChars="0"/>
        <w:rPr>
          <w:rFonts w:ascii="黑体" w:hAnsi="黑体" w:eastAsia="黑体"/>
          <w:color w:val="auto"/>
          <w:szCs w:val="21"/>
          <w:highlight w:val="none"/>
        </w:rPr>
      </w:pPr>
      <w:r>
        <w:rPr>
          <w:rFonts w:hint="eastAsia" w:ascii="黑体" w:hAnsi="黑体" w:eastAsia="黑体"/>
          <w:color w:val="auto"/>
          <w:szCs w:val="21"/>
          <w:highlight w:val="none"/>
        </w:rPr>
        <w:t>（2）膳食配送供应服务部分：(早餐/午餐/晚餐）×实际就餐人数。每月按本公式实际结算。注：早餐标准为5元、午餐标准为12元、晚餐标准为12元。</w:t>
      </w:r>
    </w:p>
    <w:p>
      <w:pPr>
        <w:pStyle w:val="30"/>
        <w:numPr>
          <w:ilvl w:val="0"/>
          <w:numId w:val="77"/>
        </w:numPr>
        <w:spacing w:before="312" w:beforeLines="100" w:line="360" w:lineRule="auto"/>
        <w:ind w:firstLineChars="0"/>
        <w:rPr>
          <w:rFonts w:ascii="黑体" w:hAnsi="黑体" w:eastAsia="黑体"/>
          <w:b/>
          <w:color w:val="auto"/>
          <w:spacing w:val="20"/>
          <w:szCs w:val="21"/>
          <w:highlight w:val="none"/>
        </w:rPr>
      </w:pPr>
      <w:r>
        <w:rPr>
          <w:rFonts w:hint="eastAsia" w:ascii="黑体" w:hAnsi="黑体" w:eastAsia="黑体"/>
          <w:b/>
          <w:color w:val="auto"/>
          <w:spacing w:val="20"/>
          <w:szCs w:val="21"/>
          <w:highlight w:val="none"/>
        </w:rPr>
        <w:t>付款</w:t>
      </w:r>
    </w:p>
    <w:p>
      <w:pPr>
        <w:pStyle w:val="30"/>
        <w:numPr>
          <w:ilvl w:val="0"/>
          <w:numId w:val="84"/>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服务期：</w:t>
      </w:r>
      <w:r>
        <w:rPr>
          <w:rFonts w:hint="eastAsia" w:ascii="黑体" w:hAnsi="黑体" w:eastAsia="黑体"/>
          <w:color w:val="auto"/>
          <w:szCs w:val="21"/>
          <w:highlight w:val="none"/>
          <w:u w:val="single"/>
        </w:rPr>
        <w:t xml:space="preserve">     年   月   日至    年   月    日</w:t>
      </w:r>
      <w:r>
        <w:rPr>
          <w:rFonts w:hint="eastAsia" w:ascii="黑体" w:hAnsi="黑体" w:eastAsia="黑体"/>
          <w:color w:val="auto"/>
          <w:szCs w:val="21"/>
          <w:highlight w:val="none"/>
        </w:rPr>
        <w:t>(共</w:t>
      </w:r>
      <w:r>
        <w:rPr>
          <w:rFonts w:hint="eastAsia" w:ascii="黑体" w:hAnsi="黑体" w:eastAsia="黑体"/>
          <w:color w:val="auto"/>
          <w:szCs w:val="21"/>
          <w:highlight w:val="none"/>
          <w:u w:val="single"/>
        </w:rPr>
        <w:t xml:space="preserve">     </w:t>
      </w:r>
      <w:r>
        <w:rPr>
          <w:rFonts w:hint="eastAsia" w:ascii="黑体" w:hAnsi="黑体" w:eastAsia="黑体"/>
          <w:color w:val="auto"/>
          <w:szCs w:val="21"/>
          <w:highlight w:val="none"/>
        </w:rPr>
        <w:t>年)</w:t>
      </w:r>
    </w:p>
    <w:p>
      <w:pPr>
        <w:pStyle w:val="30"/>
        <w:numPr>
          <w:ilvl w:val="0"/>
          <w:numId w:val="84"/>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结算方式</w:t>
      </w:r>
    </w:p>
    <w:p>
      <w:pPr>
        <w:pStyle w:val="30"/>
        <w:spacing w:line="360" w:lineRule="auto"/>
        <w:rPr>
          <w:rFonts w:ascii="黑体" w:hAnsi="黑体" w:eastAsia="黑体"/>
          <w:color w:val="auto"/>
          <w:szCs w:val="21"/>
          <w:highlight w:val="none"/>
        </w:rPr>
      </w:pPr>
      <w:r>
        <w:rPr>
          <w:rFonts w:hint="eastAsia" w:ascii="黑体" w:hAnsi="黑体" w:eastAsia="黑体"/>
          <w:color w:val="auto"/>
          <w:szCs w:val="21"/>
          <w:highlight w:val="none"/>
        </w:rPr>
        <w:t>（1）服务外包部分</w:t>
      </w:r>
    </w:p>
    <w:p>
      <w:pPr>
        <w:pStyle w:val="30"/>
        <w:spacing w:line="360" w:lineRule="auto"/>
        <w:ind w:left="420" w:leftChars="200" w:firstLine="0" w:firstLineChars="0"/>
        <w:rPr>
          <w:rFonts w:ascii="黑体" w:hAnsi="黑体" w:eastAsia="黑体"/>
          <w:color w:val="auto"/>
          <w:szCs w:val="21"/>
          <w:highlight w:val="none"/>
        </w:rPr>
      </w:pPr>
      <w:r>
        <w:rPr>
          <w:rFonts w:hint="eastAsia" w:ascii="黑体" w:hAnsi="黑体" w:eastAsia="黑体"/>
          <w:color w:val="auto"/>
          <w:szCs w:val="21"/>
          <w:highlight w:val="none"/>
        </w:rPr>
        <w:t>1）结算方式：月结，每月10号为结算日；乙方须按照甲方要求完成服务外包内容，甲方向乙方支付相应服务外包费用；甲乙双方就服务内容验收，确认一致后双方签名盖章确定；乙方随后提供相应的发票给甲方，甲方向乙方支付上月的服务外包费用；如遇法定节假日，结算日可顺延至假期结束后的第一个工作日。</w:t>
      </w:r>
    </w:p>
    <w:p>
      <w:pPr>
        <w:pStyle w:val="30"/>
        <w:spacing w:line="360" w:lineRule="auto"/>
        <w:ind w:left="420" w:leftChars="200" w:firstLine="0" w:firstLineChars="0"/>
        <w:rPr>
          <w:rFonts w:ascii="黑体" w:hAnsi="黑体" w:eastAsia="黑体"/>
          <w:color w:val="auto"/>
          <w:szCs w:val="21"/>
          <w:highlight w:val="none"/>
        </w:rPr>
      </w:pPr>
      <w:r>
        <w:rPr>
          <w:rFonts w:hint="eastAsia" w:ascii="黑体" w:hAnsi="黑体" w:eastAsia="黑体"/>
          <w:color w:val="auto"/>
          <w:szCs w:val="21"/>
          <w:highlight w:val="none"/>
        </w:rPr>
        <w:t>（2）膳食配送供应服务部分</w:t>
      </w:r>
    </w:p>
    <w:p>
      <w:pPr>
        <w:pStyle w:val="30"/>
        <w:spacing w:line="360" w:lineRule="auto"/>
        <w:ind w:left="420" w:leftChars="200" w:firstLine="0" w:firstLineChars="0"/>
        <w:rPr>
          <w:rFonts w:ascii="黑体" w:hAnsi="黑体" w:eastAsia="黑体"/>
          <w:color w:val="auto"/>
          <w:szCs w:val="21"/>
          <w:highlight w:val="none"/>
        </w:rPr>
      </w:pPr>
      <w:r>
        <w:rPr>
          <w:rFonts w:hint="eastAsia" w:ascii="黑体" w:hAnsi="黑体" w:eastAsia="黑体"/>
          <w:color w:val="auto"/>
          <w:szCs w:val="21"/>
          <w:highlight w:val="none"/>
        </w:rPr>
        <w:t>1）根据东莞市政府采购政策规定，甲方每年必须向对口扶贫地区采购农产品￥5,000元用于食堂膳食，甲方已支付的农产品采购款在乙方结算款中扣减，若该政策规定发生变化的情况除外；</w:t>
      </w:r>
    </w:p>
    <w:p>
      <w:pPr>
        <w:pStyle w:val="30"/>
        <w:spacing w:line="360" w:lineRule="auto"/>
        <w:ind w:left="420" w:leftChars="200" w:firstLine="0" w:firstLineChars="0"/>
        <w:rPr>
          <w:rFonts w:ascii="黑体" w:hAnsi="黑体" w:eastAsia="黑体"/>
          <w:color w:val="auto"/>
          <w:szCs w:val="21"/>
          <w:highlight w:val="none"/>
        </w:rPr>
      </w:pPr>
      <w:r>
        <w:rPr>
          <w:rFonts w:hint="eastAsia" w:ascii="黑体" w:hAnsi="黑体" w:eastAsia="黑体"/>
          <w:color w:val="auto"/>
          <w:szCs w:val="21"/>
          <w:highlight w:val="none"/>
        </w:rPr>
        <w:t>2）结算方式：月结，每月10号为结算日；每月5号前双方就上月的就餐人数或配餐清单及单价金额进行据实结算，确认一致后双方签名盖章确定；乙方随后提供相应的发票给甲方；甲方应向乙方支付上月的膳食配送供应服务费用；如遇法定节假日，结算日可顺延至假期结束后的第一个工作日，结算形式：当月就餐总人数×（早餐/午餐/晚餐）</w:t>
      </w:r>
    </w:p>
    <w:p>
      <w:pPr>
        <w:pStyle w:val="30"/>
        <w:spacing w:line="360" w:lineRule="auto"/>
        <w:ind w:left="420" w:leftChars="200" w:firstLine="0" w:firstLineChars="0"/>
        <w:rPr>
          <w:rFonts w:ascii="黑体" w:hAnsi="黑体" w:eastAsia="黑体"/>
          <w:color w:val="auto"/>
          <w:szCs w:val="21"/>
          <w:highlight w:val="none"/>
        </w:rPr>
      </w:pPr>
      <w:r>
        <w:rPr>
          <w:rFonts w:hint="eastAsia" w:ascii="黑体" w:hAnsi="黑体" w:eastAsia="黑体"/>
          <w:color w:val="auto"/>
          <w:szCs w:val="21"/>
          <w:highlight w:val="none"/>
        </w:rPr>
        <w:t>（3）临时委托的后勤接待服务部分</w:t>
      </w:r>
    </w:p>
    <w:p>
      <w:pPr>
        <w:pStyle w:val="30"/>
        <w:spacing w:line="360" w:lineRule="auto"/>
        <w:ind w:left="420" w:leftChars="200" w:firstLine="0" w:firstLineChars="0"/>
        <w:rPr>
          <w:rFonts w:ascii="黑体" w:hAnsi="黑体" w:eastAsia="黑体"/>
          <w:color w:val="auto"/>
          <w:szCs w:val="21"/>
          <w:highlight w:val="none"/>
        </w:rPr>
      </w:pPr>
      <w:r>
        <w:rPr>
          <w:rFonts w:hint="eastAsia" w:ascii="黑体" w:hAnsi="黑体" w:eastAsia="黑体"/>
          <w:color w:val="auto"/>
          <w:szCs w:val="21"/>
          <w:highlight w:val="none"/>
        </w:rPr>
        <w:t>甲方如需乙方提供公务接待餐，费用由双方另行协商，接待餐餐费包含所有食材及乙方员工接待加班费，经两份对账后签字确认，于次月汇总结算。</w:t>
      </w:r>
    </w:p>
    <w:p>
      <w:pPr>
        <w:pStyle w:val="30"/>
        <w:numPr>
          <w:ilvl w:val="0"/>
          <w:numId w:val="84"/>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根据现行税法规定对甲方征收的与本合同有关的一切税费均应由甲方负担；</w:t>
      </w:r>
    </w:p>
    <w:p>
      <w:pPr>
        <w:pStyle w:val="30"/>
        <w:numPr>
          <w:ilvl w:val="0"/>
          <w:numId w:val="84"/>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根据现行税法规定对乙方或其雇员征收的与本合同有关的一切税费均应由乙方负担。</w:t>
      </w:r>
    </w:p>
    <w:p>
      <w:pPr>
        <w:pStyle w:val="30"/>
        <w:numPr>
          <w:ilvl w:val="0"/>
          <w:numId w:val="77"/>
        </w:numPr>
        <w:spacing w:before="312" w:beforeLines="100" w:line="360" w:lineRule="auto"/>
        <w:ind w:firstLineChars="0"/>
        <w:rPr>
          <w:rFonts w:ascii="黑体" w:hAnsi="黑体" w:eastAsia="黑体"/>
          <w:b/>
          <w:color w:val="auto"/>
          <w:spacing w:val="20"/>
          <w:szCs w:val="21"/>
          <w:highlight w:val="none"/>
        </w:rPr>
      </w:pPr>
      <w:r>
        <w:rPr>
          <w:rFonts w:hint="eastAsia" w:ascii="黑体" w:hAnsi="黑体" w:eastAsia="黑体"/>
          <w:b/>
          <w:color w:val="auto"/>
          <w:spacing w:val="20"/>
          <w:szCs w:val="21"/>
          <w:highlight w:val="none"/>
        </w:rPr>
        <w:t xml:space="preserve">分包与转包 </w:t>
      </w:r>
    </w:p>
    <w:p>
      <w:pPr>
        <w:pStyle w:val="30"/>
        <w:numPr>
          <w:ilvl w:val="0"/>
          <w:numId w:val="85"/>
        </w:numPr>
        <w:spacing w:line="360" w:lineRule="auto"/>
        <w:ind w:firstLineChars="0"/>
        <w:rPr>
          <w:rFonts w:ascii="黑体" w:hAnsi="黑体" w:eastAsia="黑体"/>
          <w:color w:val="auto"/>
          <w:szCs w:val="21"/>
          <w:highlight w:val="none"/>
        </w:rPr>
      </w:pPr>
      <w:r>
        <w:rPr>
          <w:rFonts w:hint="eastAsia" w:ascii="黑体" w:hAnsi="黑体" w:eastAsia="黑体"/>
          <w:color w:val="auto"/>
          <w:szCs w:val="21"/>
          <w:highlight w:val="none"/>
        </w:rPr>
        <w:t>严禁转包，未经甲方书面同意不得分包</w:t>
      </w:r>
    </w:p>
    <w:p>
      <w:pPr>
        <w:pStyle w:val="30"/>
        <w:numPr>
          <w:ilvl w:val="0"/>
          <w:numId w:val="77"/>
        </w:numPr>
        <w:spacing w:before="312" w:beforeLines="100" w:line="360" w:lineRule="auto"/>
        <w:ind w:firstLineChars="0"/>
        <w:rPr>
          <w:rFonts w:ascii="黑体" w:hAnsi="黑体" w:eastAsia="黑体"/>
          <w:b/>
          <w:color w:val="auto"/>
          <w:spacing w:val="20"/>
          <w:szCs w:val="21"/>
          <w:highlight w:val="none"/>
        </w:rPr>
      </w:pPr>
      <w:r>
        <w:rPr>
          <w:rFonts w:hint="eastAsia" w:ascii="黑体" w:hAnsi="黑体" w:eastAsia="黑体"/>
          <w:b/>
          <w:color w:val="auto"/>
          <w:spacing w:val="20"/>
          <w:szCs w:val="21"/>
          <w:highlight w:val="none"/>
        </w:rPr>
        <w:t>违约责任</w:t>
      </w:r>
    </w:p>
    <w:p>
      <w:pPr>
        <w:pStyle w:val="51"/>
        <w:numPr>
          <w:ilvl w:val="0"/>
          <w:numId w:val="86"/>
        </w:numPr>
        <w:tabs>
          <w:tab w:val="left" w:pos="840"/>
        </w:tabs>
        <w:spacing w:line="420" w:lineRule="exact"/>
        <w:ind w:firstLineChars="0"/>
        <w:rPr>
          <w:rFonts w:ascii="黑体" w:hAnsi="黑体" w:eastAsia="黑体"/>
          <w:color w:val="auto"/>
          <w:szCs w:val="21"/>
          <w:highlight w:val="none"/>
        </w:rPr>
      </w:pPr>
      <w:r>
        <w:rPr>
          <w:rFonts w:hint="eastAsia" w:ascii="黑体" w:hAnsi="黑体" w:eastAsia="黑体"/>
          <w:color w:val="auto"/>
          <w:szCs w:val="21"/>
          <w:highlight w:val="none"/>
        </w:rPr>
        <w:t>乙方违反合同及招标文件约定的有关义务，对甲方造成经济损失的，应给予甲方经济赔偿；如造成重大损失的，甲方有权终止合同。</w:t>
      </w:r>
    </w:p>
    <w:p>
      <w:pPr>
        <w:pStyle w:val="51"/>
        <w:numPr>
          <w:ilvl w:val="0"/>
          <w:numId w:val="86"/>
        </w:numPr>
        <w:tabs>
          <w:tab w:val="left" w:pos="840"/>
        </w:tabs>
        <w:spacing w:line="420" w:lineRule="exact"/>
        <w:ind w:firstLineChars="0"/>
        <w:rPr>
          <w:rFonts w:ascii="黑体" w:hAnsi="黑体" w:eastAsia="黑体"/>
          <w:color w:val="auto"/>
          <w:szCs w:val="21"/>
          <w:highlight w:val="none"/>
        </w:rPr>
      </w:pPr>
      <w:r>
        <w:rPr>
          <w:rFonts w:hint="eastAsia" w:ascii="黑体" w:hAnsi="黑体" w:eastAsia="黑体"/>
          <w:color w:val="auto"/>
          <w:szCs w:val="21"/>
          <w:highlight w:val="none"/>
        </w:rPr>
        <w:t>除合同规定外，如果乙方没有按照合同规定的时间交付或完成，甲方可要求乙方支付违约金。从逾期之日起每日按本合同总价</w:t>
      </w:r>
      <w:r>
        <w:rPr>
          <w:rFonts w:hint="eastAsia" w:ascii="黑体" w:hAnsi="黑体" w:eastAsia="黑体" w:cs="Times New Roman"/>
          <w:color w:val="auto"/>
          <w:szCs w:val="21"/>
          <w:highlight w:val="none"/>
          <w:u w:val="single"/>
        </w:rPr>
        <w:t xml:space="preserve"> 3 </w:t>
      </w:r>
      <w:r>
        <w:rPr>
          <w:rFonts w:hint="eastAsia" w:ascii="黑体" w:hAnsi="黑体" w:eastAsia="黑体" w:cs="Times New Roman"/>
          <w:color w:val="auto"/>
          <w:szCs w:val="21"/>
          <w:highlight w:val="none"/>
        </w:rPr>
        <w:t>‰</w:t>
      </w:r>
      <w:r>
        <w:rPr>
          <w:rFonts w:hint="eastAsia" w:ascii="黑体" w:hAnsi="黑体" w:eastAsia="黑体"/>
          <w:color w:val="auto"/>
          <w:szCs w:val="21"/>
          <w:highlight w:val="none"/>
        </w:rPr>
        <w:t>的数额向甲方支付违约金；逾期15天或以上的，甲方有权终止合同，要求乙方一次性支付合同总金额</w:t>
      </w:r>
      <w:r>
        <w:rPr>
          <w:rFonts w:hint="eastAsia" w:ascii="黑体" w:hAnsi="黑体" w:eastAsia="黑体"/>
          <w:color w:val="auto"/>
          <w:szCs w:val="21"/>
          <w:highlight w:val="none"/>
          <w:u w:val="single"/>
        </w:rPr>
        <w:t xml:space="preserve"> 20 %</w:t>
      </w:r>
      <w:r>
        <w:rPr>
          <w:rFonts w:hint="eastAsia" w:ascii="黑体" w:hAnsi="黑体" w:eastAsia="黑体"/>
          <w:color w:val="auto"/>
          <w:szCs w:val="21"/>
          <w:highlight w:val="none"/>
        </w:rPr>
        <w:t>违约金，并且给甲方造成的经济损失由乙方承担赔偿责任。</w:t>
      </w:r>
    </w:p>
    <w:p>
      <w:pPr>
        <w:pStyle w:val="51"/>
        <w:numPr>
          <w:ilvl w:val="0"/>
          <w:numId w:val="86"/>
        </w:numPr>
        <w:tabs>
          <w:tab w:val="left" w:pos="840"/>
        </w:tabs>
        <w:spacing w:line="420" w:lineRule="exact"/>
        <w:ind w:firstLineChars="0"/>
        <w:rPr>
          <w:rFonts w:ascii="黑体" w:hAnsi="黑体" w:eastAsia="黑体" w:cstheme="minorBidi"/>
          <w:color w:val="auto"/>
          <w:szCs w:val="21"/>
          <w:highlight w:val="none"/>
        </w:rPr>
      </w:pPr>
      <w:r>
        <w:rPr>
          <w:rFonts w:hint="eastAsia" w:ascii="黑体" w:hAnsi="黑体" w:eastAsia="黑体" w:cstheme="minorBidi"/>
          <w:color w:val="auto"/>
          <w:szCs w:val="21"/>
          <w:highlight w:val="none"/>
        </w:rPr>
        <w:t>因乙方原因导致本合同解除或是无法履行的，乙方应向甲方支付合同总价</w:t>
      </w:r>
      <w:r>
        <w:rPr>
          <w:rFonts w:hint="eastAsia" w:ascii="黑体" w:hAnsi="黑体" w:eastAsia="黑体" w:cstheme="minorBidi"/>
          <w:color w:val="auto"/>
          <w:szCs w:val="21"/>
          <w:highlight w:val="none"/>
          <w:u w:val="single"/>
        </w:rPr>
        <w:t xml:space="preserve"> 20 %</w:t>
      </w:r>
      <w:r>
        <w:rPr>
          <w:rFonts w:hint="eastAsia" w:ascii="黑体" w:hAnsi="黑体" w:eastAsia="黑体" w:cstheme="minorBidi"/>
          <w:color w:val="auto"/>
          <w:szCs w:val="21"/>
          <w:highlight w:val="none"/>
        </w:rPr>
        <w:t>的违约金，并且给甲方造成的经济损失由乙方承担赔偿责任。</w:t>
      </w:r>
    </w:p>
    <w:p>
      <w:pPr>
        <w:pStyle w:val="51"/>
        <w:numPr>
          <w:ilvl w:val="0"/>
          <w:numId w:val="86"/>
        </w:numPr>
        <w:tabs>
          <w:tab w:val="left" w:pos="840"/>
        </w:tabs>
        <w:spacing w:line="420" w:lineRule="exact"/>
        <w:ind w:firstLineChars="0"/>
        <w:rPr>
          <w:rFonts w:ascii="黑体" w:hAnsi="黑体" w:eastAsia="黑体"/>
          <w:color w:val="auto"/>
          <w:szCs w:val="21"/>
          <w:highlight w:val="none"/>
        </w:rPr>
      </w:pPr>
      <w:r>
        <w:rPr>
          <w:rFonts w:hint="eastAsia" w:ascii="黑体" w:hAnsi="黑体" w:eastAsia="黑体"/>
          <w:color w:val="auto"/>
          <w:szCs w:val="21"/>
          <w:highlight w:val="none"/>
        </w:rPr>
        <w:t>甲方有权从未支付的款项或是履约保证金中直接扣除乙方的违约金，不足的部分由乙方另行补足。</w:t>
      </w:r>
    </w:p>
    <w:p>
      <w:pPr>
        <w:pStyle w:val="30"/>
        <w:numPr>
          <w:ilvl w:val="0"/>
          <w:numId w:val="77"/>
        </w:numPr>
        <w:spacing w:before="312" w:beforeLines="100" w:line="360" w:lineRule="auto"/>
        <w:ind w:firstLineChars="0"/>
        <w:rPr>
          <w:rFonts w:ascii="黑体" w:hAnsi="黑体" w:eastAsia="黑体"/>
          <w:b/>
          <w:color w:val="auto"/>
          <w:spacing w:val="20"/>
          <w:szCs w:val="21"/>
          <w:highlight w:val="none"/>
        </w:rPr>
      </w:pPr>
      <w:r>
        <w:rPr>
          <w:rFonts w:hint="eastAsia" w:ascii="黑体" w:hAnsi="黑体" w:eastAsia="黑体"/>
          <w:b/>
          <w:color w:val="auto"/>
          <w:spacing w:val="20"/>
          <w:szCs w:val="21"/>
          <w:highlight w:val="none"/>
        </w:rPr>
        <w:t>争议的解决办法</w:t>
      </w:r>
    </w:p>
    <w:p>
      <w:pPr>
        <w:numPr>
          <w:ilvl w:val="0"/>
          <w:numId w:val="87"/>
        </w:numPr>
        <w:spacing w:line="360" w:lineRule="auto"/>
        <w:rPr>
          <w:rFonts w:ascii="黑体" w:hAnsi="黑体" w:eastAsia="黑体" w:cs="Times New Roman"/>
          <w:color w:val="auto"/>
          <w:szCs w:val="21"/>
        </w:rPr>
      </w:pPr>
      <w:r>
        <w:rPr>
          <w:rFonts w:hint="eastAsia" w:ascii="黑体" w:hAnsi="黑体" w:eastAsia="黑体" w:cs="Times New Roman"/>
          <w:color w:val="auto"/>
          <w:szCs w:val="21"/>
          <w:highlight w:val="none"/>
        </w:rPr>
        <w:t>凡与本合同有关而引起的一切争议，甲乙双方应首先通过友好协商解决，如经协商后仍不能达成协议时，任何一方可以向法院提出诉讼。</w:t>
      </w:r>
    </w:p>
    <w:p>
      <w:pPr>
        <w:numPr>
          <w:ilvl w:val="0"/>
          <w:numId w:val="87"/>
        </w:numPr>
        <w:spacing w:line="360" w:lineRule="auto"/>
        <w:rPr>
          <w:rFonts w:ascii="黑体" w:hAnsi="黑体" w:eastAsia="黑体" w:cs="Times New Roman"/>
          <w:color w:val="auto"/>
          <w:szCs w:val="21"/>
        </w:rPr>
      </w:pPr>
      <w:r>
        <w:rPr>
          <w:rFonts w:hint="eastAsia" w:ascii="黑体" w:hAnsi="黑体" w:eastAsia="黑体" w:cs="Times New Roman"/>
          <w:color w:val="auto"/>
          <w:szCs w:val="21"/>
        </w:rPr>
        <w:t>本合同发生的诉讼管辖地为东莞市有管辖权的法院。</w:t>
      </w:r>
    </w:p>
    <w:p>
      <w:pPr>
        <w:numPr>
          <w:ilvl w:val="0"/>
          <w:numId w:val="87"/>
        </w:numPr>
        <w:spacing w:line="360" w:lineRule="auto"/>
        <w:rPr>
          <w:rFonts w:ascii="黑体" w:hAnsi="黑体" w:eastAsia="黑体" w:cs="Times New Roman"/>
          <w:color w:val="auto"/>
          <w:szCs w:val="21"/>
        </w:rPr>
      </w:pPr>
      <w:r>
        <w:rPr>
          <w:rFonts w:hint="eastAsia" w:ascii="黑体" w:hAnsi="黑体" w:eastAsia="黑体" w:cs="Times New Roman"/>
          <w:color w:val="auto"/>
          <w:szCs w:val="21"/>
        </w:rPr>
        <w:t>在进行法院审理期间，除提交法院审理的事项外，合同其他部分仍继续履行。</w:t>
      </w:r>
    </w:p>
    <w:p>
      <w:pPr>
        <w:numPr>
          <w:ilvl w:val="0"/>
          <w:numId w:val="87"/>
        </w:numPr>
        <w:spacing w:line="360" w:lineRule="auto"/>
        <w:rPr>
          <w:rFonts w:ascii="黑体" w:hAnsi="黑体" w:eastAsia="黑体" w:cs="Times New Roman"/>
          <w:color w:val="auto"/>
          <w:szCs w:val="21"/>
        </w:rPr>
      </w:pPr>
      <w:r>
        <w:rPr>
          <w:rFonts w:hint="eastAsia" w:ascii="黑体" w:hAnsi="黑体" w:eastAsia="黑体" w:cs="Times New Roman"/>
          <w:color w:val="auto"/>
          <w:szCs w:val="21"/>
        </w:rPr>
        <w:t>本合同按照中华人民共和国的法律进行解释</w:t>
      </w:r>
    </w:p>
    <w:p>
      <w:pPr>
        <w:pStyle w:val="30"/>
        <w:numPr>
          <w:ilvl w:val="0"/>
          <w:numId w:val="77"/>
        </w:numPr>
        <w:spacing w:before="312" w:beforeLines="100" w:line="360" w:lineRule="auto"/>
        <w:ind w:firstLineChars="0"/>
        <w:rPr>
          <w:rFonts w:ascii="黑体" w:hAnsi="黑体" w:eastAsia="黑体"/>
          <w:b/>
          <w:color w:val="auto"/>
          <w:spacing w:val="20"/>
          <w:szCs w:val="21"/>
        </w:rPr>
      </w:pPr>
      <w:r>
        <w:rPr>
          <w:rFonts w:hint="eastAsia" w:ascii="黑体" w:hAnsi="黑体" w:eastAsia="黑体"/>
          <w:b/>
          <w:color w:val="auto"/>
          <w:spacing w:val="20"/>
          <w:szCs w:val="21"/>
        </w:rPr>
        <w:t>不可抗力</w:t>
      </w:r>
    </w:p>
    <w:p>
      <w:pPr>
        <w:numPr>
          <w:ilvl w:val="0"/>
          <w:numId w:val="88"/>
        </w:numPr>
        <w:spacing w:line="360" w:lineRule="auto"/>
        <w:rPr>
          <w:rFonts w:ascii="黑体" w:hAnsi="黑体" w:eastAsia="黑体" w:cs="Times New Roman"/>
          <w:color w:val="auto"/>
          <w:szCs w:val="21"/>
        </w:rPr>
      </w:pPr>
      <w:r>
        <w:rPr>
          <w:rFonts w:hint="eastAsia" w:ascii="黑体" w:hAnsi="黑体" w:eastAsia="黑体" w:cs="Times New Roman"/>
          <w:color w:val="auto"/>
          <w:szCs w:val="21"/>
        </w:rPr>
        <w:t>甲乙双方如果任何一方因不可抗拒力的力量如地震、风暴、洪水、火灾或其他自然灾害、瘟疫、战争、暴乱、敌对行动、公共骚乱、公共敌人的行为、政府 或公共机关的禁止、劳资纠纷或其他双方无法控制、不可预见的事件，而无法履行本合同规定的义务时，应及时向对方通报不能履行或不能完全履行的理由，以减轻可能给对方造成的损失，在取得有关机构证明后，允许延期履行、部分履行或不履行合同，并根据情况可部分或全部免予承担违约责任。</w:t>
      </w:r>
    </w:p>
    <w:p>
      <w:pPr>
        <w:numPr>
          <w:ilvl w:val="0"/>
          <w:numId w:val="88"/>
        </w:numPr>
        <w:spacing w:line="360" w:lineRule="auto"/>
        <w:rPr>
          <w:rFonts w:ascii="黑体" w:hAnsi="黑体" w:eastAsia="黑体" w:cs="Times New Roman"/>
          <w:color w:val="auto"/>
          <w:szCs w:val="21"/>
        </w:rPr>
      </w:pPr>
      <w:r>
        <w:rPr>
          <w:rFonts w:hint="eastAsia" w:ascii="黑体" w:hAnsi="黑体" w:eastAsia="黑体" w:cs="Times New Roman"/>
          <w:color w:val="auto"/>
          <w:szCs w:val="21"/>
        </w:rPr>
        <w:t>如果发生了不可抗力的事件，任何一方均不对另一方因不能履约或延误履约而遭受的任何损害，成本增加或损失负责。遇到不可抗力事件的一方应采取适当的措施以减少或消除不可抗力事件的影响，并在最短时间内努力重新履行因不可抗力事件而受影响的义务。通过协商，双方应根据不可抗力对合同履行的影响程度，决定是否修改或终止本合同。</w:t>
      </w:r>
    </w:p>
    <w:p>
      <w:pPr>
        <w:pStyle w:val="30"/>
        <w:numPr>
          <w:ilvl w:val="0"/>
          <w:numId w:val="77"/>
        </w:numPr>
        <w:tabs>
          <w:tab w:val="left" w:pos="567"/>
        </w:tabs>
        <w:spacing w:before="312" w:beforeLines="100" w:line="360" w:lineRule="auto"/>
        <w:ind w:firstLineChars="0"/>
        <w:rPr>
          <w:rFonts w:ascii="黑体" w:hAnsi="黑体" w:eastAsia="黑体"/>
          <w:b/>
          <w:color w:val="auto"/>
          <w:spacing w:val="20"/>
          <w:szCs w:val="21"/>
        </w:rPr>
      </w:pPr>
      <w:r>
        <w:rPr>
          <w:rFonts w:hint="eastAsia" w:ascii="黑体" w:hAnsi="黑体" w:eastAsia="黑体"/>
          <w:b/>
          <w:color w:val="auto"/>
          <w:spacing w:val="20"/>
          <w:szCs w:val="21"/>
        </w:rPr>
        <w:t>合同生效</w:t>
      </w:r>
    </w:p>
    <w:p>
      <w:pPr>
        <w:pStyle w:val="30"/>
        <w:numPr>
          <w:ilvl w:val="0"/>
          <w:numId w:val="89"/>
        </w:numPr>
        <w:spacing w:line="360" w:lineRule="auto"/>
        <w:ind w:firstLineChars="0"/>
        <w:rPr>
          <w:rFonts w:ascii="黑体" w:hAnsi="黑体" w:eastAsia="黑体"/>
          <w:color w:val="auto"/>
          <w:szCs w:val="21"/>
        </w:rPr>
      </w:pPr>
      <w:r>
        <w:rPr>
          <w:rFonts w:hint="eastAsia" w:ascii="黑体" w:hAnsi="黑体" w:eastAsia="黑体"/>
          <w:color w:val="auto"/>
          <w:szCs w:val="21"/>
        </w:rPr>
        <w:t>本合同由双方法定代表人或委托代理人签字盖章后立即生效，具有同等法律效力，服务期为合同签订日至</w:t>
      </w:r>
      <w:r>
        <w:rPr>
          <w:rFonts w:hint="eastAsia" w:ascii="黑体" w:hAnsi="黑体" w:eastAsia="黑体"/>
          <w:color w:val="auto"/>
          <w:szCs w:val="21"/>
          <w:u w:val="single"/>
        </w:rPr>
        <w:t xml:space="preserve">      年    月    日</w:t>
      </w:r>
      <w:r>
        <w:rPr>
          <w:rFonts w:hint="eastAsia" w:ascii="黑体" w:hAnsi="黑体" w:eastAsia="黑体"/>
          <w:color w:val="auto"/>
          <w:szCs w:val="21"/>
        </w:rPr>
        <w:t>，合同有效期随服务期结束而自然终止；</w:t>
      </w:r>
    </w:p>
    <w:p>
      <w:pPr>
        <w:pStyle w:val="30"/>
        <w:numPr>
          <w:ilvl w:val="0"/>
          <w:numId w:val="89"/>
        </w:numPr>
        <w:spacing w:line="360" w:lineRule="auto"/>
        <w:ind w:firstLineChars="0"/>
        <w:rPr>
          <w:rFonts w:ascii="黑体" w:hAnsi="黑体" w:eastAsia="黑体"/>
          <w:color w:val="auto"/>
          <w:szCs w:val="21"/>
        </w:rPr>
      </w:pPr>
      <w:r>
        <w:rPr>
          <w:rFonts w:hint="eastAsia" w:ascii="黑体" w:hAnsi="黑体" w:eastAsia="黑体"/>
          <w:color w:val="auto"/>
          <w:szCs w:val="21"/>
        </w:rPr>
        <w:t>本合同一式</w:t>
      </w:r>
      <w:r>
        <w:rPr>
          <w:rFonts w:hint="eastAsia" w:ascii="黑体" w:hAnsi="黑体" w:eastAsia="黑体"/>
          <w:color w:val="auto"/>
          <w:szCs w:val="21"/>
          <w:u w:val="single"/>
        </w:rPr>
        <w:t xml:space="preserve">     </w:t>
      </w:r>
      <w:r>
        <w:rPr>
          <w:rFonts w:hint="eastAsia" w:ascii="黑体" w:hAnsi="黑体" w:eastAsia="黑体"/>
          <w:color w:val="auto"/>
          <w:szCs w:val="21"/>
        </w:rPr>
        <w:t>份，其中甲方</w:t>
      </w:r>
      <w:r>
        <w:rPr>
          <w:rFonts w:hint="eastAsia" w:ascii="黑体" w:hAnsi="黑体" w:eastAsia="黑体"/>
          <w:color w:val="auto"/>
          <w:szCs w:val="21"/>
          <w:u w:val="single"/>
        </w:rPr>
        <w:t xml:space="preserve">     </w:t>
      </w:r>
      <w:r>
        <w:rPr>
          <w:rFonts w:hint="eastAsia" w:ascii="黑体" w:hAnsi="黑体" w:eastAsia="黑体"/>
          <w:color w:val="auto"/>
          <w:szCs w:val="21"/>
        </w:rPr>
        <w:t>份、乙方</w:t>
      </w:r>
      <w:r>
        <w:rPr>
          <w:rFonts w:hint="eastAsia" w:ascii="黑体" w:hAnsi="黑体" w:eastAsia="黑体"/>
          <w:color w:val="auto"/>
          <w:szCs w:val="21"/>
          <w:u w:val="single"/>
        </w:rPr>
        <w:t xml:space="preserve">     </w:t>
      </w:r>
      <w:r>
        <w:rPr>
          <w:rFonts w:hint="eastAsia" w:ascii="黑体" w:hAnsi="黑体" w:eastAsia="黑体"/>
          <w:color w:val="auto"/>
          <w:szCs w:val="21"/>
        </w:rPr>
        <w:t>份，采购代理机构</w:t>
      </w:r>
      <w:r>
        <w:rPr>
          <w:rFonts w:hint="eastAsia" w:ascii="黑体" w:hAnsi="黑体" w:eastAsia="黑体"/>
          <w:color w:val="auto"/>
          <w:szCs w:val="21"/>
          <w:u w:val="single"/>
        </w:rPr>
        <w:t xml:space="preserve">  壹  </w:t>
      </w:r>
      <w:r>
        <w:rPr>
          <w:rFonts w:hint="eastAsia" w:ascii="黑体" w:hAnsi="黑体" w:eastAsia="黑体"/>
          <w:color w:val="auto"/>
          <w:szCs w:val="21"/>
        </w:rPr>
        <w:t>份（须在合同签订之日起5个工作日内递交）</w:t>
      </w:r>
    </w:p>
    <w:p>
      <w:pPr>
        <w:pStyle w:val="30"/>
        <w:numPr>
          <w:ilvl w:val="0"/>
          <w:numId w:val="77"/>
        </w:numPr>
        <w:tabs>
          <w:tab w:val="left" w:pos="567"/>
        </w:tabs>
        <w:spacing w:before="312" w:beforeLines="100" w:line="360" w:lineRule="auto"/>
        <w:ind w:firstLineChars="0"/>
        <w:rPr>
          <w:rFonts w:ascii="黑体" w:hAnsi="黑体" w:eastAsia="黑体"/>
          <w:b/>
          <w:color w:val="auto"/>
          <w:spacing w:val="20"/>
          <w:szCs w:val="21"/>
        </w:rPr>
      </w:pPr>
      <w:r>
        <w:rPr>
          <w:rFonts w:hint="eastAsia" w:ascii="黑体" w:hAnsi="黑体" w:eastAsia="黑体"/>
          <w:b/>
          <w:color w:val="auto"/>
          <w:spacing w:val="20"/>
          <w:szCs w:val="21"/>
        </w:rPr>
        <w:t>其它</w:t>
      </w:r>
    </w:p>
    <w:p>
      <w:pPr>
        <w:pStyle w:val="30"/>
        <w:numPr>
          <w:ilvl w:val="0"/>
          <w:numId w:val="90"/>
        </w:numPr>
        <w:spacing w:line="360" w:lineRule="auto"/>
        <w:ind w:firstLineChars="0"/>
        <w:rPr>
          <w:rFonts w:ascii="黑体" w:hAnsi="黑体" w:eastAsia="黑体"/>
          <w:color w:val="auto"/>
          <w:szCs w:val="21"/>
        </w:rPr>
      </w:pPr>
      <w:r>
        <w:rPr>
          <w:rFonts w:hint="eastAsia" w:ascii="黑体" w:hAnsi="黑体" w:eastAsia="黑体"/>
          <w:color w:val="auto"/>
          <w:szCs w:val="21"/>
        </w:rPr>
        <w:t>本合同未尽事宜，双方可签订补充合同，补充合同与所有附件均为合同的有效组成部分，与本合同具有同等法律效力；</w:t>
      </w:r>
    </w:p>
    <w:p>
      <w:pPr>
        <w:pStyle w:val="30"/>
        <w:numPr>
          <w:ilvl w:val="0"/>
          <w:numId w:val="90"/>
        </w:numPr>
        <w:spacing w:line="360" w:lineRule="auto"/>
        <w:ind w:firstLineChars="0"/>
        <w:rPr>
          <w:rFonts w:ascii="黑体" w:hAnsi="黑体" w:eastAsia="黑体"/>
          <w:color w:val="auto"/>
          <w:szCs w:val="21"/>
        </w:rPr>
      </w:pPr>
      <w:r>
        <w:rPr>
          <w:rFonts w:hint="eastAsia" w:ascii="黑体" w:hAnsi="黑体" w:eastAsia="黑体"/>
          <w:color w:val="auto"/>
          <w:szCs w:val="21"/>
        </w:rPr>
        <w:t>在执行本合同的过程中，所有经甲乙双方签署确认的文件（包括会议纪要、补充协议、往来信函、合同附件等）即成为本合同的有效组成部分，其生效日期为双方签字盖章或确认之日期；</w:t>
      </w:r>
    </w:p>
    <w:p>
      <w:pPr>
        <w:pStyle w:val="30"/>
        <w:numPr>
          <w:ilvl w:val="0"/>
          <w:numId w:val="90"/>
        </w:numPr>
        <w:spacing w:line="360" w:lineRule="auto"/>
        <w:ind w:firstLineChars="0"/>
        <w:rPr>
          <w:rFonts w:ascii="黑体" w:hAnsi="黑体" w:eastAsia="黑体"/>
          <w:color w:val="auto"/>
          <w:szCs w:val="21"/>
        </w:rPr>
      </w:pPr>
      <w:r>
        <w:rPr>
          <w:rFonts w:hint="eastAsia" w:ascii="黑体" w:hAnsi="黑体" w:eastAsia="黑体"/>
          <w:color w:val="auto"/>
          <w:szCs w:val="21"/>
        </w:rPr>
        <w:t>本合同合计</w:t>
      </w:r>
      <w:r>
        <w:rPr>
          <w:rFonts w:hint="eastAsia" w:ascii="黑体" w:hAnsi="黑体" w:eastAsia="黑体"/>
          <w:color w:val="auto"/>
          <w:szCs w:val="21"/>
          <w:u w:val="single"/>
        </w:rPr>
        <w:t xml:space="preserve">      </w:t>
      </w:r>
      <w:r>
        <w:rPr>
          <w:rFonts w:hint="eastAsia" w:ascii="黑体" w:hAnsi="黑体" w:eastAsia="黑体"/>
          <w:color w:val="auto"/>
          <w:szCs w:val="21"/>
        </w:rPr>
        <w:t>页A4纸张，缺页之合同为无效合同。</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3"/>
        <w:gridCol w:w="4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甲方（盖章）：</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甲方代表人(签字)：</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乙方代表人(签字)：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签字日期：</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签字日期：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地址：</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电话：</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传真：</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开户银行：</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银行账户：</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银行账户：</w:t>
            </w:r>
          </w:p>
        </w:tc>
      </w:tr>
    </w:tbl>
    <w:p>
      <w:pPr>
        <w:spacing w:after="156" w:afterLines="50" w:line="360" w:lineRule="auto"/>
        <w:rPr>
          <w:rFonts w:ascii="黑体" w:hAnsi="黑体" w:eastAsia="黑体"/>
          <w:b/>
          <w:color w:val="auto"/>
          <w:spacing w:val="20"/>
          <w:szCs w:val="21"/>
        </w:rPr>
      </w:pPr>
    </w:p>
    <w:p>
      <w:pPr>
        <w:pageBreakBefore/>
        <w:spacing w:before="156" w:beforeLines="50" w:after="156" w:afterLines="50" w:line="360" w:lineRule="auto"/>
        <w:jc w:val="left"/>
        <w:rPr>
          <w:rFonts w:ascii="黑体" w:hAnsi="黑体" w:eastAsia="黑体"/>
          <w:b/>
          <w:color w:val="auto"/>
          <w:spacing w:val="20"/>
          <w:szCs w:val="21"/>
        </w:rPr>
      </w:pPr>
      <w:r>
        <w:rPr>
          <w:rFonts w:hint="eastAsia" w:ascii="黑体" w:hAnsi="黑体" w:eastAsia="黑体"/>
          <w:b/>
          <w:color w:val="auto"/>
          <w:spacing w:val="20"/>
          <w:szCs w:val="21"/>
        </w:rPr>
        <w:t>合同附件</w:t>
      </w:r>
      <w:r>
        <w:rPr>
          <w:rFonts w:ascii="黑体" w:hAnsi="黑体" w:eastAsia="黑体"/>
          <w:b/>
          <w:color w:val="auto"/>
          <w:spacing w:val="20"/>
          <w:szCs w:val="21"/>
        </w:rPr>
        <w:t>(合同编号</w:t>
      </w:r>
      <w:r>
        <w:rPr>
          <w:rFonts w:ascii="黑体" w:hAnsi="黑体" w:eastAsia="黑体"/>
          <w:b/>
          <w:color w:val="auto"/>
          <w:spacing w:val="20"/>
          <w:szCs w:val="21"/>
          <w:u w:val="single"/>
        </w:rPr>
        <w:t xml:space="preserve">       </w:t>
      </w:r>
      <w:r>
        <w:rPr>
          <w:rFonts w:ascii="黑体" w:hAnsi="黑体" w:eastAsia="黑体"/>
          <w:b/>
          <w:color w:val="auto"/>
          <w:spacing w:val="20"/>
          <w:szCs w:val="21"/>
        </w:rPr>
        <w:t>)</w:t>
      </w:r>
    </w:p>
    <w:p>
      <w:pPr>
        <w:pStyle w:val="30"/>
        <w:numPr>
          <w:ilvl w:val="0"/>
          <w:numId w:val="91"/>
        </w:numPr>
        <w:spacing w:line="360" w:lineRule="auto"/>
        <w:ind w:firstLineChars="0"/>
        <w:rPr>
          <w:rFonts w:ascii="黑体" w:hAnsi="黑体" w:eastAsia="黑体"/>
          <w:color w:val="auto"/>
          <w:szCs w:val="21"/>
        </w:rPr>
      </w:pPr>
      <w:r>
        <w:rPr>
          <w:rFonts w:hint="eastAsia" w:ascii="黑体" w:hAnsi="黑体" w:eastAsia="黑体"/>
          <w:color w:val="auto"/>
          <w:szCs w:val="21"/>
        </w:rPr>
        <w:t>附件</w:t>
      </w:r>
      <w:r>
        <w:rPr>
          <w:rFonts w:ascii="黑体" w:hAnsi="黑体" w:eastAsia="黑体"/>
          <w:color w:val="auto"/>
          <w:szCs w:val="21"/>
        </w:rPr>
        <w:t>1 .中标通知书</w:t>
      </w:r>
    </w:p>
    <w:p>
      <w:pPr>
        <w:pStyle w:val="30"/>
        <w:numPr>
          <w:ilvl w:val="0"/>
          <w:numId w:val="91"/>
        </w:numPr>
        <w:spacing w:line="360" w:lineRule="auto"/>
        <w:ind w:firstLineChars="0"/>
        <w:rPr>
          <w:rFonts w:ascii="黑体" w:hAnsi="黑体" w:eastAsia="黑体"/>
          <w:color w:val="auto"/>
          <w:szCs w:val="21"/>
        </w:rPr>
      </w:pPr>
      <w:r>
        <w:rPr>
          <w:rFonts w:hint="eastAsia" w:ascii="黑体" w:hAnsi="黑体" w:eastAsia="黑体"/>
          <w:color w:val="auto"/>
          <w:szCs w:val="21"/>
        </w:rPr>
        <w:t>附件</w:t>
      </w:r>
      <w:r>
        <w:rPr>
          <w:rFonts w:ascii="黑体" w:hAnsi="黑体" w:eastAsia="黑体"/>
          <w:color w:val="auto"/>
          <w:szCs w:val="21"/>
        </w:rPr>
        <w:t xml:space="preserve">2 .招标文件 </w:t>
      </w:r>
    </w:p>
    <w:p>
      <w:pPr>
        <w:pStyle w:val="30"/>
        <w:numPr>
          <w:ilvl w:val="0"/>
          <w:numId w:val="91"/>
        </w:numPr>
        <w:spacing w:line="360" w:lineRule="auto"/>
        <w:ind w:firstLineChars="0"/>
        <w:rPr>
          <w:rFonts w:ascii="黑体" w:hAnsi="黑体" w:eastAsia="黑体"/>
          <w:color w:val="auto"/>
          <w:szCs w:val="21"/>
        </w:rPr>
      </w:pPr>
      <w:r>
        <w:rPr>
          <w:rFonts w:hint="eastAsia" w:ascii="黑体" w:hAnsi="黑体" w:eastAsia="黑体"/>
          <w:color w:val="auto"/>
          <w:szCs w:val="21"/>
        </w:rPr>
        <w:t>附件</w:t>
      </w:r>
      <w:r>
        <w:rPr>
          <w:rFonts w:ascii="黑体" w:hAnsi="黑体" w:eastAsia="黑体"/>
          <w:color w:val="auto"/>
          <w:szCs w:val="21"/>
        </w:rPr>
        <w:t>3 .投标文件</w:t>
      </w:r>
    </w:p>
    <w:p>
      <w:pPr>
        <w:pStyle w:val="30"/>
        <w:spacing w:line="360" w:lineRule="auto"/>
        <w:ind w:left="420" w:firstLine="0" w:firstLineChars="0"/>
        <w:rPr>
          <w:rFonts w:ascii="黑体" w:hAnsi="黑体" w:eastAsia="黑体"/>
          <w:color w:val="auto"/>
          <w:szCs w:val="21"/>
        </w:rPr>
      </w:pPr>
      <w:r>
        <w:rPr>
          <w:rFonts w:hint="eastAsia" w:ascii="黑体" w:hAnsi="黑体" w:eastAsia="黑体"/>
          <w:color w:val="auto"/>
          <w:szCs w:val="21"/>
        </w:rPr>
        <w:t>．．．．．．</w:t>
      </w:r>
    </w:p>
    <w:p>
      <w:pPr>
        <w:pStyle w:val="30"/>
        <w:numPr>
          <w:ilvl w:val="0"/>
          <w:numId w:val="91"/>
        </w:numPr>
        <w:spacing w:before="312" w:beforeLines="100" w:line="360" w:lineRule="auto"/>
        <w:ind w:firstLineChars="0"/>
        <w:rPr>
          <w:rFonts w:ascii="黑体" w:hAnsi="黑体" w:eastAsia="黑体"/>
          <w:b/>
          <w:color w:val="auto"/>
          <w:spacing w:val="20"/>
          <w:szCs w:val="21"/>
        </w:rPr>
      </w:pPr>
      <w:r>
        <w:rPr>
          <w:rFonts w:hint="eastAsia" w:ascii="黑体" w:hAnsi="黑体" w:eastAsia="黑体"/>
          <w:b/>
          <w:color w:val="auto"/>
          <w:spacing w:val="20"/>
          <w:szCs w:val="21"/>
        </w:rPr>
        <w:t>备注：</w:t>
      </w:r>
    </w:p>
    <w:p>
      <w:pPr>
        <w:pStyle w:val="30"/>
        <w:numPr>
          <w:ilvl w:val="0"/>
          <w:numId w:val="92"/>
        </w:numPr>
        <w:spacing w:line="360" w:lineRule="auto"/>
        <w:ind w:firstLineChars="0"/>
        <w:rPr>
          <w:rFonts w:ascii="黑体" w:hAnsi="黑体" w:eastAsia="黑体"/>
          <w:color w:val="auto"/>
          <w:szCs w:val="21"/>
        </w:rPr>
      </w:pPr>
      <w:r>
        <w:rPr>
          <w:rFonts w:hint="eastAsia" w:ascii="黑体" w:hAnsi="黑体" w:eastAsia="黑体"/>
          <w:color w:val="auto"/>
          <w:szCs w:val="21"/>
        </w:rPr>
        <w:t>本合同所有附件均在签订合同时编制，其编制依据是招标文件“采购需求”中的要求和中标人的投标文件中的相应内容。</w:t>
      </w:r>
    </w:p>
    <w:p>
      <w:pPr>
        <w:pStyle w:val="30"/>
        <w:numPr>
          <w:ilvl w:val="0"/>
          <w:numId w:val="92"/>
        </w:numPr>
        <w:spacing w:line="360" w:lineRule="auto"/>
        <w:ind w:firstLineChars="0"/>
        <w:rPr>
          <w:rFonts w:ascii="黑体" w:hAnsi="黑体" w:eastAsia="黑体"/>
          <w:color w:val="auto"/>
          <w:szCs w:val="21"/>
        </w:rPr>
      </w:pPr>
      <w:r>
        <w:rPr>
          <w:rFonts w:hint="eastAsia" w:ascii="黑体" w:hAnsi="黑体" w:eastAsia="黑体"/>
          <w:color w:val="auto"/>
          <w:szCs w:val="21"/>
        </w:rPr>
        <w:t>合同附件的具体内容由双方在签订合同时确定。</w:t>
      </w:r>
    </w:p>
    <w:p>
      <w:pPr>
        <w:tabs>
          <w:tab w:val="left" w:pos="720"/>
        </w:tabs>
        <w:spacing w:line="360" w:lineRule="auto"/>
        <w:jc w:val="center"/>
        <w:rPr>
          <w:rFonts w:ascii="黑体" w:hAnsi="黑体" w:eastAsia="黑体"/>
          <w:color w:val="auto"/>
          <w:spacing w:val="20"/>
          <w:sz w:val="28"/>
          <w:szCs w:val="28"/>
        </w:rPr>
      </w:pPr>
    </w:p>
    <w:p>
      <w:pPr>
        <w:spacing w:after="156" w:afterLines="50" w:line="360" w:lineRule="auto"/>
        <w:rPr>
          <w:rFonts w:ascii="黑体" w:hAnsi="黑体" w:eastAsia="黑体"/>
          <w:b/>
          <w:color w:val="auto"/>
          <w:spacing w:val="20"/>
          <w:szCs w:val="21"/>
        </w:rPr>
      </w:pPr>
    </w:p>
    <w:p>
      <w:pPr>
        <w:pStyle w:val="2"/>
        <w:keepNext w:val="0"/>
        <w:keepLines w:val="0"/>
        <w:pageBreakBefore/>
        <w:spacing w:line="360" w:lineRule="auto"/>
        <w:jc w:val="center"/>
        <w:rPr>
          <w:rFonts w:ascii="黑体" w:hAnsi="黑体" w:eastAsia="黑体"/>
          <w:color w:val="auto"/>
          <w:spacing w:val="20"/>
          <w:sz w:val="32"/>
          <w:szCs w:val="32"/>
        </w:rPr>
      </w:pPr>
      <w:bookmarkStart w:id="60" w:name="_Toc405313957"/>
      <w:bookmarkStart w:id="61" w:name="_Toc391627753"/>
      <w:bookmarkStart w:id="62" w:name="_Toc90980554"/>
      <w:r>
        <w:rPr>
          <w:rFonts w:hint="eastAsia" w:ascii="黑体" w:hAnsi="黑体" w:eastAsia="黑体"/>
          <w:color w:val="auto"/>
          <w:spacing w:val="20"/>
          <w:sz w:val="32"/>
          <w:szCs w:val="32"/>
        </w:rPr>
        <w:t>第七部分</w:t>
      </w:r>
      <w:r>
        <w:rPr>
          <w:rFonts w:ascii="黑体" w:hAnsi="黑体" w:eastAsia="黑体"/>
          <w:color w:val="auto"/>
          <w:spacing w:val="20"/>
          <w:sz w:val="32"/>
          <w:szCs w:val="32"/>
        </w:rPr>
        <w:t xml:space="preserve"> </w:t>
      </w:r>
      <w:r>
        <w:rPr>
          <w:rFonts w:hint="eastAsia" w:ascii="黑体" w:hAnsi="黑体" w:eastAsia="黑体"/>
          <w:color w:val="auto"/>
          <w:spacing w:val="20"/>
          <w:sz w:val="32"/>
          <w:szCs w:val="32"/>
        </w:rPr>
        <w:t>投标文件格式</w:t>
      </w:r>
      <w:bookmarkEnd w:id="60"/>
      <w:bookmarkEnd w:id="61"/>
      <w:bookmarkEnd w:id="62"/>
    </w:p>
    <w:p>
      <w:pPr>
        <w:pStyle w:val="30"/>
        <w:spacing w:after="312" w:afterLines="100" w:line="360" w:lineRule="auto"/>
        <w:ind w:left="420" w:right="108" w:firstLine="0" w:firstLineChars="0"/>
        <w:jc w:val="right"/>
        <w:rPr>
          <w:rFonts w:ascii="黑体" w:hAnsi="黑体" w:eastAsia="黑体"/>
          <w:b/>
          <w:color w:val="auto"/>
          <w:sz w:val="36"/>
          <w:szCs w:val="36"/>
        </w:rPr>
      </w:pPr>
      <w:r>
        <w:rPr>
          <w:rFonts w:hint="eastAsia" w:ascii="黑体" w:hAnsi="黑体" w:eastAsia="黑体"/>
          <w:b/>
          <w:color w:val="auto"/>
          <w:sz w:val="36"/>
          <w:szCs w:val="36"/>
        </w:rPr>
        <w:t>正本</w:t>
      </w:r>
      <w:r>
        <w:rPr>
          <w:rFonts w:ascii="黑体" w:hAnsi="黑体" w:eastAsia="黑体"/>
          <w:b/>
          <w:color w:val="auto"/>
          <w:sz w:val="36"/>
          <w:szCs w:val="36"/>
        </w:rPr>
        <w:t>/副本</w:t>
      </w:r>
    </w:p>
    <w:p>
      <w:pPr>
        <w:spacing w:before="468" w:beforeLines="150" w:after="780" w:afterLines="250" w:line="360" w:lineRule="auto"/>
        <w:jc w:val="center"/>
        <w:rPr>
          <w:rFonts w:ascii="黑体" w:hAnsi="黑体" w:eastAsia="黑体"/>
          <w:bCs/>
          <w:color w:val="auto"/>
          <w:sz w:val="50"/>
          <w:szCs w:val="50"/>
        </w:rPr>
      </w:pPr>
      <w:r>
        <w:rPr>
          <w:rFonts w:hint="eastAsia" w:ascii="黑体" w:hAnsi="黑体" w:eastAsia="黑体"/>
          <w:bCs/>
          <w:color w:val="auto"/>
          <w:sz w:val="50"/>
          <w:szCs w:val="50"/>
        </w:rPr>
        <w:t>东莞市大岭山森林公园2023年食堂承包服务项目</w:t>
      </w:r>
    </w:p>
    <w:p>
      <w:pPr>
        <w:spacing w:line="360" w:lineRule="auto"/>
        <w:jc w:val="center"/>
        <w:rPr>
          <w:rFonts w:ascii="黑体" w:hAnsi="黑体" w:eastAsia="黑体"/>
          <w:b/>
          <w:color w:val="auto"/>
          <w:szCs w:val="21"/>
        </w:rPr>
      </w:pPr>
      <w:r>
        <w:rPr>
          <w:rFonts w:hint="eastAsia" w:ascii="黑体" w:hAnsi="黑体" w:eastAsia="黑体"/>
          <w:b/>
          <w:color w:val="auto"/>
          <w:szCs w:val="21"/>
        </w:rPr>
        <w:t>（项目编号：</w:t>
      </w:r>
      <w:r>
        <w:rPr>
          <w:rFonts w:ascii="黑体" w:hAnsi="黑体" w:eastAsia="黑体"/>
          <w:b/>
          <w:color w:val="auto"/>
          <w:szCs w:val="21"/>
          <w:u w:val="single"/>
        </w:rPr>
        <w:t xml:space="preserve">             </w:t>
      </w:r>
      <w:r>
        <w:rPr>
          <w:rFonts w:hint="eastAsia" w:ascii="黑体" w:hAnsi="黑体" w:eastAsia="黑体"/>
          <w:b/>
          <w:color w:val="auto"/>
          <w:szCs w:val="21"/>
        </w:rPr>
        <w:t>）</w:t>
      </w:r>
    </w:p>
    <w:p>
      <w:pPr>
        <w:spacing w:before="1248" w:beforeLines="400" w:line="360" w:lineRule="auto"/>
        <w:jc w:val="center"/>
        <w:rPr>
          <w:rFonts w:ascii="黑体" w:hAnsi="黑体" w:eastAsia="黑体"/>
          <w:b/>
          <w:color w:val="auto"/>
          <w:spacing w:val="60"/>
          <w:sz w:val="72"/>
          <w:szCs w:val="72"/>
        </w:rPr>
      </w:pPr>
      <w:r>
        <w:rPr>
          <w:rFonts w:hint="eastAsia" w:ascii="黑体" w:hAnsi="黑体" w:eastAsia="黑体"/>
          <w:b/>
          <w:color w:val="auto"/>
          <w:spacing w:val="60"/>
          <w:sz w:val="72"/>
          <w:szCs w:val="72"/>
        </w:rPr>
        <w:t>投标文件</w:t>
      </w:r>
    </w:p>
    <w:p>
      <w:pPr>
        <w:spacing w:after="1560" w:afterLines="500" w:line="360" w:lineRule="auto"/>
        <w:jc w:val="center"/>
        <w:rPr>
          <w:rFonts w:ascii="黑体" w:hAnsi="黑体" w:eastAsia="黑体"/>
          <w:b/>
          <w:color w:val="auto"/>
          <w:szCs w:val="21"/>
        </w:rPr>
      </w:pPr>
      <w:r>
        <w:rPr>
          <w:rFonts w:hint="eastAsia" w:ascii="黑体" w:hAnsi="黑体" w:eastAsia="黑体"/>
          <w:b/>
          <w:color w:val="auto"/>
          <w:szCs w:val="21"/>
        </w:rPr>
        <w:t>（封面格式仅供参考）</w:t>
      </w:r>
    </w:p>
    <w:tbl>
      <w:tblPr>
        <w:tblStyle w:val="21"/>
        <w:tblW w:w="418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5"/>
        <w:gridCol w:w="5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1421" w:type="pct"/>
            <w:vAlign w:val="center"/>
          </w:tcPr>
          <w:p>
            <w:pPr>
              <w:spacing w:line="360" w:lineRule="auto"/>
              <w:jc w:val="right"/>
              <w:rPr>
                <w:rFonts w:ascii="黑体" w:hAnsi="黑体" w:eastAsia="黑体"/>
                <w:color w:val="auto"/>
                <w:sz w:val="24"/>
                <w:szCs w:val="24"/>
              </w:rPr>
            </w:pPr>
            <w:r>
              <w:rPr>
                <w:rFonts w:hint="eastAsia" w:ascii="黑体" w:hAnsi="黑体" w:eastAsia="黑体"/>
                <w:color w:val="auto"/>
                <w:sz w:val="24"/>
                <w:szCs w:val="24"/>
              </w:rPr>
              <w:t>投标人名称：</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421" w:type="pct"/>
            <w:vAlign w:val="center"/>
          </w:tcPr>
          <w:p>
            <w:pPr>
              <w:spacing w:line="360" w:lineRule="auto"/>
              <w:jc w:val="right"/>
              <w:rPr>
                <w:rFonts w:ascii="黑体" w:hAnsi="黑体" w:eastAsia="黑体"/>
                <w:color w:val="auto"/>
                <w:sz w:val="24"/>
                <w:szCs w:val="24"/>
              </w:rPr>
            </w:pPr>
            <w:r>
              <w:rPr>
                <w:rFonts w:hint="eastAsia" w:ascii="黑体" w:hAnsi="黑体" w:eastAsia="黑体"/>
                <w:color w:val="auto"/>
                <w:sz w:val="24"/>
                <w:szCs w:val="24"/>
              </w:rPr>
              <w:t>投标人地址：</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421" w:type="pct"/>
            <w:vAlign w:val="center"/>
          </w:tcPr>
          <w:p>
            <w:pPr>
              <w:spacing w:line="360" w:lineRule="auto"/>
              <w:jc w:val="right"/>
              <w:rPr>
                <w:rFonts w:ascii="黑体" w:hAnsi="黑体" w:eastAsia="黑体"/>
                <w:color w:val="auto"/>
                <w:spacing w:val="-10"/>
                <w:sz w:val="24"/>
                <w:szCs w:val="24"/>
              </w:rPr>
            </w:pPr>
            <w:r>
              <w:rPr>
                <w:rFonts w:hint="eastAsia" w:ascii="黑体" w:hAnsi="黑体" w:eastAsia="黑体"/>
                <w:color w:val="auto"/>
                <w:sz w:val="24"/>
                <w:szCs w:val="24"/>
              </w:rPr>
              <w:t>投标联系人</w:t>
            </w:r>
            <w:r>
              <w:rPr>
                <w:rFonts w:hint="eastAsia" w:ascii="黑体" w:hAnsi="黑体" w:eastAsia="黑体"/>
                <w:color w:val="auto"/>
                <w:spacing w:val="-10"/>
                <w:sz w:val="24"/>
                <w:szCs w:val="24"/>
              </w:rPr>
              <w:t>：</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421" w:type="pct"/>
            <w:vAlign w:val="center"/>
          </w:tcPr>
          <w:p>
            <w:pPr>
              <w:tabs>
                <w:tab w:val="left" w:pos="170"/>
              </w:tabs>
              <w:spacing w:line="360" w:lineRule="auto"/>
              <w:jc w:val="right"/>
              <w:rPr>
                <w:rFonts w:ascii="黑体" w:hAnsi="黑体" w:eastAsia="黑体"/>
                <w:color w:val="auto"/>
                <w:sz w:val="24"/>
                <w:szCs w:val="24"/>
              </w:rPr>
            </w:pPr>
            <w:r>
              <w:rPr>
                <w:rFonts w:hint="eastAsia" w:ascii="黑体" w:hAnsi="黑体" w:eastAsia="黑体"/>
                <w:color w:val="auto"/>
                <w:spacing w:val="24"/>
                <w:sz w:val="24"/>
                <w:szCs w:val="24"/>
              </w:rPr>
              <w:t>联系电话</w:t>
            </w:r>
            <w:r>
              <w:rPr>
                <w:rFonts w:hint="eastAsia" w:ascii="黑体" w:hAnsi="黑体" w:eastAsia="黑体"/>
                <w:color w:val="auto"/>
                <w:sz w:val="24"/>
                <w:szCs w:val="24"/>
              </w:rPr>
              <w:t>：</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bl>
    <w:p>
      <w:pPr>
        <w:spacing w:before="936" w:beforeLines="300" w:line="600" w:lineRule="exact"/>
        <w:jc w:val="center"/>
        <w:rPr>
          <w:rFonts w:ascii="黑体" w:hAnsi="黑体" w:eastAsia="黑体"/>
          <w:b/>
          <w:color w:val="auto"/>
          <w:spacing w:val="40"/>
          <w:sz w:val="24"/>
          <w:szCs w:val="24"/>
        </w:rPr>
      </w:pPr>
      <w:r>
        <w:rPr>
          <w:rFonts w:hint="eastAsia" w:ascii="黑体" w:hAnsi="黑体" w:eastAsia="黑体"/>
          <w:b/>
          <w:color w:val="auto"/>
          <w:spacing w:val="40"/>
          <w:sz w:val="24"/>
          <w:szCs w:val="24"/>
        </w:rPr>
        <w:t>日期：</w:t>
      </w:r>
      <w:r>
        <w:rPr>
          <w:rFonts w:hint="eastAsia" w:ascii="黑体" w:hAnsi="黑体" w:eastAsia="黑体"/>
          <w:b/>
          <w:color w:val="auto"/>
          <w:spacing w:val="20"/>
          <w:szCs w:val="21"/>
        </w:rPr>
        <w:t xml:space="preserve">    </w:t>
      </w:r>
      <w:r>
        <w:rPr>
          <w:rFonts w:hint="eastAsia" w:ascii="黑体" w:hAnsi="黑体" w:eastAsia="黑体"/>
          <w:b/>
          <w:color w:val="auto"/>
          <w:spacing w:val="40"/>
          <w:sz w:val="24"/>
          <w:szCs w:val="24"/>
        </w:rPr>
        <w:t>年</w:t>
      </w:r>
      <w:r>
        <w:rPr>
          <w:rFonts w:ascii="黑体" w:hAnsi="黑体" w:eastAsia="黑体"/>
          <w:b/>
          <w:color w:val="auto"/>
          <w:spacing w:val="40"/>
          <w:sz w:val="24"/>
          <w:szCs w:val="24"/>
        </w:rPr>
        <w:t xml:space="preserve">  </w:t>
      </w:r>
      <w:r>
        <w:rPr>
          <w:rFonts w:hint="eastAsia" w:ascii="黑体" w:hAnsi="黑体" w:eastAsia="黑体"/>
          <w:b/>
          <w:color w:val="auto"/>
          <w:spacing w:val="40"/>
          <w:sz w:val="24"/>
          <w:szCs w:val="24"/>
        </w:rPr>
        <w:t>月</w:t>
      </w:r>
      <w:r>
        <w:rPr>
          <w:rFonts w:ascii="黑体" w:hAnsi="黑体" w:eastAsia="黑体"/>
          <w:b/>
          <w:color w:val="auto"/>
          <w:spacing w:val="40"/>
          <w:sz w:val="24"/>
          <w:szCs w:val="24"/>
        </w:rPr>
        <w:t xml:space="preserve">  </w:t>
      </w:r>
      <w:r>
        <w:rPr>
          <w:rFonts w:hint="eastAsia" w:ascii="黑体" w:hAnsi="黑体" w:eastAsia="黑体"/>
          <w:b/>
          <w:color w:val="auto"/>
          <w:spacing w:val="40"/>
          <w:sz w:val="24"/>
          <w:szCs w:val="24"/>
        </w:rPr>
        <w:t>日</w:t>
      </w:r>
    </w:p>
    <w:p>
      <w:pPr>
        <w:spacing w:before="936" w:beforeLines="300" w:line="600" w:lineRule="exact"/>
        <w:jc w:val="center"/>
        <w:rPr>
          <w:rFonts w:ascii="黑体" w:hAnsi="黑体" w:eastAsia="黑体"/>
          <w:b/>
          <w:color w:val="auto"/>
          <w:spacing w:val="40"/>
          <w:sz w:val="24"/>
          <w:szCs w:val="24"/>
        </w:rPr>
      </w:pPr>
    </w:p>
    <w:p>
      <w:pPr>
        <w:spacing w:line="360" w:lineRule="auto"/>
        <w:jc w:val="left"/>
        <w:rPr>
          <w:rFonts w:ascii="黑体" w:hAnsi="黑体" w:eastAsia="黑体"/>
          <w:b/>
          <w:bCs/>
          <w:color w:val="auto"/>
        </w:rPr>
      </w:pPr>
      <w:bookmarkStart w:id="63" w:name="_Toc391627754"/>
      <w:bookmarkStart w:id="64" w:name="_Toc405313958"/>
      <w:bookmarkStart w:id="65" w:name="_Hlk81205692"/>
      <w:r>
        <w:rPr>
          <w:rFonts w:hint="eastAsia" w:ascii="黑体" w:hAnsi="黑体" w:eastAsia="黑体"/>
          <w:b/>
          <w:bCs/>
          <w:color w:val="auto"/>
        </w:rPr>
        <w:t>投标文件目录（投标文件包括但不限于以下组成内容，请按顺序制作。）</w:t>
      </w:r>
      <w:r>
        <w:rPr>
          <w:rFonts w:ascii="黑体" w:hAnsi="黑体" w:eastAsia="黑体"/>
          <w:b/>
          <w:bCs/>
          <w:color w:val="auto"/>
        </w:rPr>
        <w:cr/>
      </w:r>
      <w:r>
        <w:rPr>
          <w:rFonts w:ascii="黑体" w:hAnsi="黑体" w:eastAsia="黑体"/>
          <w:color w:val="auto"/>
        </w:rPr>
        <w:t>1.</w:t>
      </w:r>
      <w:r>
        <w:rPr>
          <w:rFonts w:ascii="黑体" w:hAnsi="黑体" w:eastAsia="黑体"/>
          <w:color w:val="auto"/>
        </w:rPr>
        <w:tab/>
      </w:r>
      <w:r>
        <w:rPr>
          <w:rFonts w:ascii="黑体" w:hAnsi="黑体" w:eastAsia="黑体"/>
          <w:color w:val="auto"/>
        </w:rPr>
        <w:t>资格性自查索引表</w:t>
      </w:r>
    </w:p>
    <w:p>
      <w:pPr>
        <w:spacing w:line="360" w:lineRule="auto"/>
        <w:jc w:val="left"/>
        <w:rPr>
          <w:rFonts w:ascii="黑体" w:hAnsi="黑体" w:eastAsia="黑体"/>
          <w:color w:val="auto"/>
        </w:rPr>
      </w:pPr>
      <w:r>
        <w:rPr>
          <w:rFonts w:ascii="黑体" w:hAnsi="黑体" w:eastAsia="黑体"/>
          <w:color w:val="auto"/>
        </w:rPr>
        <w:t>2.</w:t>
      </w:r>
      <w:r>
        <w:rPr>
          <w:rFonts w:ascii="黑体" w:hAnsi="黑体" w:eastAsia="黑体"/>
          <w:color w:val="auto"/>
        </w:rPr>
        <w:tab/>
      </w:r>
      <w:r>
        <w:rPr>
          <w:rFonts w:ascii="黑体" w:hAnsi="黑体" w:eastAsia="黑体"/>
          <w:color w:val="auto"/>
        </w:rPr>
        <w:t>符合性自查索引表</w:t>
      </w:r>
    </w:p>
    <w:p>
      <w:pPr>
        <w:spacing w:line="360" w:lineRule="auto"/>
        <w:jc w:val="left"/>
        <w:rPr>
          <w:rFonts w:ascii="黑体" w:hAnsi="黑体" w:eastAsia="黑体"/>
          <w:color w:val="auto"/>
        </w:rPr>
      </w:pPr>
      <w:r>
        <w:rPr>
          <w:rFonts w:ascii="黑体" w:hAnsi="黑体" w:eastAsia="黑体"/>
          <w:color w:val="auto"/>
        </w:rPr>
        <w:t>3.</w:t>
      </w:r>
      <w:r>
        <w:rPr>
          <w:rFonts w:ascii="黑体" w:hAnsi="黑体" w:eastAsia="黑体"/>
          <w:color w:val="auto"/>
        </w:rPr>
        <w:tab/>
      </w:r>
      <w:r>
        <w:rPr>
          <w:rFonts w:ascii="黑体" w:hAnsi="黑体" w:eastAsia="黑体"/>
          <w:color w:val="auto"/>
        </w:rPr>
        <w:t>详细评审索引表</w:t>
      </w:r>
    </w:p>
    <w:p>
      <w:pPr>
        <w:spacing w:line="360" w:lineRule="auto"/>
        <w:jc w:val="left"/>
        <w:rPr>
          <w:rFonts w:ascii="黑体" w:hAnsi="黑体" w:eastAsia="黑体"/>
          <w:color w:val="auto"/>
        </w:rPr>
      </w:pPr>
      <w:r>
        <w:rPr>
          <w:rFonts w:ascii="黑体" w:hAnsi="黑体" w:eastAsia="黑体"/>
          <w:color w:val="auto"/>
        </w:rPr>
        <w:t>4.</w:t>
      </w:r>
      <w:r>
        <w:rPr>
          <w:rFonts w:ascii="黑体" w:hAnsi="黑体" w:eastAsia="黑体"/>
          <w:color w:val="auto"/>
        </w:rPr>
        <w:tab/>
      </w:r>
      <w:r>
        <w:rPr>
          <w:rFonts w:ascii="黑体" w:hAnsi="黑体" w:eastAsia="黑体"/>
          <w:color w:val="auto"/>
        </w:rPr>
        <w:t>开标一览表</w:t>
      </w:r>
    </w:p>
    <w:p>
      <w:pPr>
        <w:spacing w:line="360" w:lineRule="auto"/>
        <w:jc w:val="left"/>
        <w:rPr>
          <w:rFonts w:ascii="黑体" w:hAnsi="黑体" w:eastAsia="黑体"/>
          <w:color w:val="auto"/>
        </w:rPr>
      </w:pPr>
      <w:r>
        <w:rPr>
          <w:rFonts w:ascii="黑体" w:hAnsi="黑体" w:eastAsia="黑体"/>
          <w:color w:val="auto"/>
        </w:rPr>
        <w:t>5.</w:t>
      </w:r>
      <w:r>
        <w:rPr>
          <w:rFonts w:ascii="黑体" w:hAnsi="黑体" w:eastAsia="黑体"/>
          <w:color w:val="auto"/>
        </w:rPr>
        <w:tab/>
      </w:r>
      <w:r>
        <w:rPr>
          <w:rFonts w:ascii="黑体" w:hAnsi="黑体" w:eastAsia="黑体"/>
          <w:color w:val="auto"/>
        </w:rPr>
        <w:t>投标明细报价表</w:t>
      </w:r>
    </w:p>
    <w:p>
      <w:pPr>
        <w:spacing w:line="360" w:lineRule="auto"/>
        <w:jc w:val="left"/>
        <w:rPr>
          <w:rFonts w:ascii="黑体" w:hAnsi="黑体" w:eastAsia="黑体"/>
          <w:color w:val="auto"/>
        </w:rPr>
      </w:pPr>
      <w:r>
        <w:rPr>
          <w:rFonts w:ascii="黑体" w:hAnsi="黑体" w:eastAsia="黑体"/>
          <w:color w:val="auto"/>
        </w:rPr>
        <w:t>6.</w:t>
      </w:r>
      <w:r>
        <w:rPr>
          <w:rFonts w:ascii="黑体" w:hAnsi="黑体" w:eastAsia="黑体"/>
          <w:color w:val="auto"/>
        </w:rPr>
        <w:tab/>
      </w:r>
      <w:r>
        <w:rPr>
          <w:rFonts w:ascii="黑体" w:hAnsi="黑体" w:eastAsia="黑体"/>
          <w:color w:val="auto"/>
        </w:rPr>
        <w:t>中小企业声明函（如需）</w:t>
      </w:r>
    </w:p>
    <w:p>
      <w:pPr>
        <w:spacing w:line="360" w:lineRule="auto"/>
        <w:jc w:val="left"/>
        <w:rPr>
          <w:rFonts w:ascii="黑体" w:hAnsi="黑体" w:eastAsia="黑体"/>
          <w:color w:val="auto"/>
        </w:rPr>
      </w:pPr>
      <w:r>
        <w:rPr>
          <w:rFonts w:ascii="黑体" w:hAnsi="黑体" w:eastAsia="黑体"/>
          <w:color w:val="auto"/>
        </w:rPr>
        <w:t>7.</w:t>
      </w:r>
      <w:r>
        <w:rPr>
          <w:rFonts w:ascii="黑体" w:hAnsi="黑体" w:eastAsia="黑体"/>
          <w:color w:val="auto"/>
        </w:rPr>
        <w:tab/>
      </w:r>
      <w:r>
        <w:rPr>
          <w:rFonts w:ascii="黑体" w:hAnsi="黑体" w:eastAsia="黑体"/>
          <w:color w:val="auto"/>
        </w:rPr>
        <w:t>残疾人福利性单位声明函（如需）</w:t>
      </w:r>
    </w:p>
    <w:p>
      <w:pPr>
        <w:spacing w:line="360" w:lineRule="auto"/>
        <w:jc w:val="left"/>
        <w:rPr>
          <w:rFonts w:ascii="黑体" w:hAnsi="黑体" w:eastAsia="黑体"/>
          <w:color w:val="auto"/>
        </w:rPr>
      </w:pPr>
      <w:r>
        <w:rPr>
          <w:rFonts w:ascii="黑体" w:hAnsi="黑体" w:eastAsia="黑体"/>
          <w:color w:val="auto"/>
        </w:rPr>
        <w:t>8.</w:t>
      </w:r>
      <w:r>
        <w:rPr>
          <w:rFonts w:ascii="黑体" w:hAnsi="黑体" w:eastAsia="黑体"/>
          <w:color w:val="auto"/>
        </w:rPr>
        <w:tab/>
      </w:r>
      <w:r>
        <w:rPr>
          <w:rFonts w:ascii="黑体" w:hAnsi="黑体" w:eastAsia="黑体"/>
          <w:color w:val="auto"/>
        </w:rPr>
        <w:t>监狱企业的证明文件（如需）</w:t>
      </w:r>
    </w:p>
    <w:p>
      <w:pPr>
        <w:spacing w:line="360" w:lineRule="auto"/>
        <w:jc w:val="left"/>
        <w:rPr>
          <w:rFonts w:ascii="黑体" w:hAnsi="黑体" w:eastAsia="黑体"/>
          <w:color w:val="auto"/>
        </w:rPr>
      </w:pPr>
      <w:r>
        <w:rPr>
          <w:rFonts w:ascii="黑体" w:hAnsi="黑体" w:eastAsia="黑体"/>
          <w:color w:val="auto"/>
        </w:rPr>
        <w:t>9.</w:t>
      </w:r>
      <w:r>
        <w:rPr>
          <w:rFonts w:ascii="黑体" w:hAnsi="黑体" w:eastAsia="黑体"/>
          <w:color w:val="auto"/>
        </w:rPr>
        <w:tab/>
      </w:r>
      <w:r>
        <w:rPr>
          <w:rFonts w:ascii="黑体" w:hAnsi="黑体" w:eastAsia="黑体"/>
          <w:color w:val="auto"/>
        </w:rPr>
        <w:t>政策适用性说明（如需）</w:t>
      </w:r>
    </w:p>
    <w:p>
      <w:pPr>
        <w:spacing w:line="360" w:lineRule="auto"/>
        <w:jc w:val="left"/>
        <w:rPr>
          <w:rFonts w:ascii="黑体" w:hAnsi="黑体" w:eastAsia="黑体"/>
          <w:color w:val="auto"/>
        </w:rPr>
      </w:pPr>
      <w:r>
        <w:rPr>
          <w:rFonts w:ascii="黑体" w:hAnsi="黑体" w:eastAsia="黑体"/>
          <w:color w:val="auto"/>
        </w:rPr>
        <w:t>10.</w:t>
      </w:r>
      <w:r>
        <w:rPr>
          <w:rFonts w:ascii="黑体" w:hAnsi="黑体" w:eastAsia="黑体"/>
          <w:color w:val="auto"/>
        </w:rPr>
        <w:tab/>
      </w:r>
      <w:r>
        <w:rPr>
          <w:rFonts w:ascii="黑体" w:hAnsi="黑体" w:eastAsia="黑体"/>
          <w:color w:val="auto"/>
        </w:rPr>
        <w:t>投标函</w:t>
      </w:r>
    </w:p>
    <w:p>
      <w:pPr>
        <w:spacing w:line="360" w:lineRule="auto"/>
        <w:jc w:val="left"/>
        <w:rPr>
          <w:rFonts w:ascii="黑体" w:hAnsi="黑体" w:eastAsia="黑体"/>
          <w:color w:val="auto"/>
        </w:rPr>
      </w:pPr>
      <w:r>
        <w:rPr>
          <w:rFonts w:ascii="黑体" w:hAnsi="黑体" w:eastAsia="黑体"/>
          <w:color w:val="auto"/>
        </w:rPr>
        <w:t>11.</w:t>
      </w:r>
      <w:r>
        <w:rPr>
          <w:rFonts w:ascii="黑体" w:hAnsi="黑体" w:eastAsia="黑体"/>
          <w:color w:val="auto"/>
        </w:rPr>
        <w:tab/>
      </w:r>
      <w:r>
        <w:rPr>
          <w:rFonts w:ascii="黑体" w:hAnsi="黑体" w:eastAsia="黑体"/>
          <w:color w:val="auto"/>
        </w:rPr>
        <w:t>资格声明函</w:t>
      </w:r>
    </w:p>
    <w:p>
      <w:pPr>
        <w:spacing w:line="360" w:lineRule="auto"/>
        <w:jc w:val="left"/>
        <w:rPr>
          <w:rFonts w:ascii="黑体" w:hAnsi="黑体" w:eastAsia="黑体"/>
          <w:color w:val="auto"/>
        </w:rPr>
      </w:pPr>
      <w:r>
        <w:rPr>
          <w:rFonts w:ascii="黑体" w:hAnsi="黑体" w:eastAsia="黑体"/>
          <w:color w:val="auto"/>
        </w:rPr>
        <w:t>12.</w:t>
      </w:r>
      <w:r>
        <w:rPr>
          <w:rFonts w:ascii="黑体" w:hAnsi="黑体" w:eastAsia="黑体"/>
          <w:color w:val="auto"/>
        </w:rPr>
        <w:tab/>
      </w:r>
      <w:r>
        <w:rPr>
          <w:rFonts w:ascii="黑体" w:hAnsi="黑体" w:eastAsia="黑体"/>
          <w:color w:val="auto"/>
        </w:rPr>
        <w:t>法定代表人身份证明书</w:t>
      </w:r>
    </w:p>
    <w:p>
      <w:pPr>
        <w:spacing w:line="360" w:lineRule="auto"/>
        <w:jc w:val="left"/>
        <w:rPr>
          <w:rFonts w:ascii="黑体" w:hAnsi="黑体" w:eastAsia="黑体"/>
          <w:color w:val="auto"/>
        </w:rPr>
      </w:pPr>
      <w:r>
        <w:rPr>
          <w:rFonts w:ascii="黑体" w:hAnsi="黑体" w:eastAsia="黑体"/>
          <w:color w:val="auto"/>
        </w:rPr>
        <w:t>13.</w:t>
      </w:r>
      <w:r>
        <w:rPr>
          <w:rFonts w:ascii="黑体" w:hAnsi="黑体" w:eastAsia="黑体"/>
          <w:color w:val="auto"/>
        </w:rPr>
        <w:tab/>
      </w:r>
      <w:r>
        <w:rPr>
          <w:rFonts w:ascii="黑体" w:hAnsi="黑体" w:eastAsia="黑体"/>
          <w:color w:val="auto"/>
        </w:rPr>
        <w:t>法定代表人授权委托书</w:t>
      </w:r>
    </w:p>
    <w:p>
      <w:pPr>
        <w:spacing w:line="360" w:lineRule="auto"/>
        <w:jc w:val="left"/>
        <w:rPr>
          <w:rFonts w:ascii="黑体" w:hAnsi="黑体" w:eastAsia="黑体"/>
          <w:color w:val="auto"/>
        </w:rPr>
      </w:pPr>
      <w:r>
        <w:rPr>
          <w:rFonts w:ascii="黑体" w:hAnsi="黑体" w:eastAsia="黑体"/>
          <w:color w:val="auto"/>
        </w:rPr>
        <w:t>14.</w:t>
      </w:r>
      <w:r>
        <w:rPr>
          <w:rFonts w:ascii="黑体" w:hAnsi="黑体" w:eastAsia="黑体"/>
          <w:color w:val="auto"/>
        </w:rPr>
        <w:tab/>
      </w:r>
      <w:r>
        <w:rPr>
          <w:rFonts w:ascii="黑体" w:hAnsi="黑体" w:eastAsia="黑体"/>
          <w:color w:val="auto"/>
        </w:rPr>
        <w:t>投标人基本情况说明</w:t>
      </w:r>
    </w:p>
    <w:p>
      <w:pPr>
        <w:spacing w:line="360" w:lineRule="auto"/>
        <w:jc w:val="left"/>
        <w:rPr>
          <w:rFonts w:ascii="黑体" w:hAnsi="黑体" w:eastAsia="黑体"/>
          <w:color w:val="auto"/>
        </w:rPr>
      </w:pPr>
      <w:r>
        <w:rPr>
          <w:rFonts w:hint="eastAsia" w:ascii="黑体" w:hAnsi="黑体" w:eastAsia="黑体"/>
          <w:color w:val="auto"/>
        </w:rPr>
        <w:t>1</w:t>
      </w:r>
      <w:r>
        <w:rPr>
          <w:rFonts w:ascii="黑体" w:hAnsi="黑体" w:eastAsia="黑体"/>
          <w:color w:val="auto"/>
        </w:rPr>
        <w:t>4.1</w:t>
      </w:r>
      <w:bookmarkStart w:id="66" w:name="_Hlk81207453"/>
      <w:r>
        <w:rPr>
          <w:rFonts w:hint="eastAsia" w:ascii="黑体" w:hAnsi="黑体" w:eastAsia="黑体"/>
          <w:color w:val="auto"/>
        </w:rPr>
        <w:t>投标人资格证明文件</w:t>
      </w:r>
      <w:bookmarkEnd w:id="66"/>
    </w:p>
    <w:p>
      <w:pPr>
        <w:spacing w:line="360" w:lineRule="auto"/>
        <w:jc w:val="left"/>
        <w:rPr>
          <w:rFonts w:ascii="黑体" w:hAnsi="黑体" w:eastAsia="黑体"/>
          <w:color w:val="auto"/>
        </w:rPr>
      </w:pPr>
      <w:r>
        <w:rPr>
          <w:rFonts w:ascii="黑体" w:hAnsi="黑体" w:eastAsia="黑体"/>
          <w:color w:val="auto"/>
        </w:rPr>
        <w:t>15.</w:t>
      </w:r>
      <w:r>
        <w:rPr>
          <w:rFonts w:ascii="黑体" w:hAnsi="黑体" w:eastAsia="黑体"/>
          <w:color w:val="auto"/>
        </w:rPr>
        <w:tab/>
      </w:r>
      <w:r>
        <w:rPr>
          <w:rFonts w:ascii="黑体" w:hAnsi="黑体" w:eastAsia="黑体"/>
          <w:color w:val="auto"/>
        </w:rPr>
        <w:t>承诺书</w:t>
      </w:r>
    </w:p>
    <w:p>
      <w:pPr>
        <w:spacing w:line="360" w:lineRule="auto"/>
        <w:jc w:val="left"/>
        <w:rPr>
          <w:rFonts w:ascii="黑体" w:hAnsi="黑体" w:eastAsia="黑体"/>
          <w:color w:val="auto"/>
        </w:rPr>
      </w:pPr>
      <w:r>
        <w:rPr>
          <w:rFonts w:ascii="黑体" w:hAnsi="黑体" w:eastAsia="黑体"/>
          <w:color w:val="auto"/>
        </w:rPr>
        <w:t>16.</w:t>
      </w:r>
      <w:r>
        <w:rPr>
          <w:rFonts w:ascii="黑体" w:hAnsi="黑体" w:eastAsia="黑体"/>
          <w:color w:val="auto"/>
        </w:rPr>
        <w:tab/>
      </w:r>
      <w:r>
        <w:rPr>
          <w:rFonts w:ascii="黑体" w:hAnsi="黑体" w:eastAsia="黑体"/>
          <w:color w:val="auto"/>
        </w:rPr>
        <w:t>业绩表</w:t>
      </w:r>
      <w:r>
        <w:rPr>
          <w:rFonts w:ascii="黑体" w:hAnsi="黑体" w:eastAsia="黑体"/>
          <w:color w:val="auto"/>
        </w:rPr>
        <w:tab/>
      </w:r>
    </w:p>
    <w:p>
      <w:pPr>
        <w:spacing w:line="360" w:lineRule="auto"/>
        <w:jc w:val="left"/>
        <w:rPr>
          <w:rFonts w:ascii="黑体" w:hAnsi="黑体" w:eastAsia="黑体"/>
          <w:color w:val="auto"/>
        </w:rPr>
      </w:pPr>
      <w:r>
        <w:rPr>
          <w:rFonts w:ascii="黑体" w:hAnsi="黑体" w:eastAsia="黑体"/>
          <w:color w:val="auto"/>
        </w:rPr>
        <w:t>17.</w:t>
      </w:r>
      <w:r>
        <w:rPr>
          <w:rFonts w:ascii="黑体" w:hAnsi="黑体" w:eastAsia="黑体"/>
          <w:color w:val="auto"/>
        </w:rPr>
        <w:tab/>
      </w:r>
      <w:r>
        <w:rPr>
          <w:rFonts w:ascii="黑体" w:hAnsi="黑体" w:eastAsia="黑体"/>
          <w:color w:val="auto"/>
        </w:rPr>
        <w:t>商务要求偏离表</w:t>
      </w:r>
      <w:r>
        <w:rPr>
          <w:rFonts w:ascii="黑体" w:hAnsi="黑体" w:eastAsia="黑体"/>
          <w:color w:val="auto"/>
        </w:rPr>
        <w:tab/>
      </w:r>
    </w:p>
    <w:p>
      <w:pPr>
        <w:spacing w:line="360" w:lineRule="auto"/>
        <w:jc w:val="left"/>
        <w:rPr>
          <w:rFonts w:ascii="黑体" w:hAnsi="黑体" w:eastAsia="黑体"/>
          <w:color w:val="auto"/>
        </w:rPr>
      </w:pPr>
      <w:r>
        <w:rPr>
          <w:rFonts w:ascii="黑体" w:hAnsi="黑体" w:eastAsia="黑体"/>
          <w:color w:val="auto"/>
        </w:rPr>
        <w:t>18.</w:t>
      </w:r>
      <w:r>
        <w:rPr>
          <w:rFonts w:ascii="黑体" w:hAnsi="黑体" w:eastAsia="黑体"/>
          <w:color w:val="auto"/>
        </w:rPr>
        <w:tab/>
      </w:r>
      <w:r>
        <w:rPr>
          <w:rFonts w:ascii="黑体" w:hAnsi="黑体" w:eastAsia="黑体"/>
          <w:color w:val="auto"/>
        </w:rPr>
        <w:t>拟投入本项目设备情况表</w:t>
      </w:r>
    </w:p>
    <w:p>
      <w:pPr>
        <w:spacing w:line="360" w:lineRule="auto"/>
        <w:jc w:val="left"/>
        <w:rPr>
          <w:rFonts w:ascii="黑体" w:hAnsi="黑体" w:eastAsia="黑体"/>
          <w:color w:val="auto"/>
        </w:rPr>
      </w:pPr>
      <w:r>
        <w:rPr>
          <w:rFonts w:ascii="黑体" w:hAnsi="黑体" w:eastAsia="黑体"/>
          <w:color w:val="auto"/>
        </w:rPr>
        <w:t>19.</w:t>
      </w:r>
      <w:r>
        <w:rPr>
          <w:rFonts w:ascii="黑体" w:hAnsi="黑体" w:eastAsia="黑体"/>
          <w:color w:val="auto"/>
        </w:rPr>
        <w:tab/>
      </w:r>
      <w:r>
        <w:rPr>
          <w:rFonts w:ascii="黑体" w:hAnsi="黑体" w:eastAsia="黑体"/>
          <w:color w:val="auto"/>
        </w:rPr>
        <w:t>项目技术服务人员情况表</w:t>
      </w:r>
    </w:p>
    <w:p>
      <w:pPr>
        <w:spacing w:line="360" w:lineRule="auto"/>
        <w:jc w:val="left"/>
        <w:rPr>
          <w:rFonts w:ascii="黑体" w:hAnsi="黑体" w:eastAsia="黑体"/>
          <w:color w:val="auto"/>
        </w:rPr>
      </w:pPr>
      <w:r>
        <w:rPr>
          <w:rFonts w:ascii="黑体" w:hAnsi="黑体" w:eastAsia="黑体"/>
          <w:color w:val="auto"/>
        </w:rPr>
        <w:t>20.</w:t>
      </w:r>
      <w:r>
        <w:rPr>
          <w:rFonts w:ascii="黑体" w:hAnsi="黑体" w:eastAsia="黑体"/>
          <w:color w:val="auto"/>
        </w:rPr>
        <w:tab/>
      </w:r>
      <w:r>
        <w:rPr>
          <w:rFonts w:ascii="黑体" w:hAnsi="黑体" w:eastAsia="黑体"/>
          <w:color w:val="auto"/>
        </w:rPr>
        <w:t>项目负责人简历表</w:t>
      </w:r>
    </w:p>
    <w:p>
      <w:pPr>
        <w:spacing w:line="360" w:lineRule="auto"/>
        <w:jc w:val="left"/>
        <w:rPr>
          <w:rFonts w:ascii="黑体" w:hAnsi="黑体" w:eastAsia="黑体"/>
          <w:color w:val="auto"/>
        </w:rPr>
      </w:pPr>
      <w:r>
        <w:rPr>
          <w:rFonts w:ascii="黑体" w:hAnsi="黑体" w:eastAsia="黑体"/>
          <w:color w:val="auto"/>
        </w:rPr>
        <w:t>21.</w:t>
      </w:r>
      <w:r>
        <w:rPr>
          <w:rFonts w:ascii="黑体" w:hAnsi="黑体" w:eastAsia="黑体"/>
          <w:color w:val="auto"/>
        </w:rPr>
        <w:tab/>
      </w:r>
      <w:r>
        <w:rPr>
          <w:rFonts w:ascii="黑体" w:hAnsi="黑体" w:eastAsia="黑体"/>
          <w:color w:val="auto"/>
        </w:rPr>
        <w:t>技术要求偏离表</w:t>
      </w:r>
    </w:p>
    <w:p>
      <w:pPr>
        <w:spacing w:line="360" w:lineRule="auto"/>
        <w:jc w:val="left"/>
        <w:rPr>
          <w:rFonts w:ascii="黑体" w:hAnsi="黑体" w:eastAsia="黑体"/>
          <w:color w:val="auto"/>
        </w:rPr>
      </w:pPr>
      <w:r>
        <w:rPr>
          <w:rFonts w:ascii="黑体" w:hAnsi="黑体" w:eastAsia="黑体"/>
          <w:color w:val="auto"/>
        </w:rPr>
        <w:t>22.</w:t>
      </w:r>
      <w:r>
        <w:rPr>
          <w:rFonts w:ascii="黑体" w:hAnsi="黑体" w:eastAsia="黑体"/>
          <w:color w:val="auto"/>
        </w:rPr>
        <w:tab/>
      </w:r>
      <w:r>
        <w:rPr>
          <w:rFonts w:hint="eastAsia" w:ascii="黑体" w:hAnsi="黑体" w:eastAsia="黑体"/>
          <w:color w:val="auto"/>
        </w:rPr>
        <w:t>★号条款响应一览表（可选）</w:t>
      </w:r>
    </w:p>
    <w:p>
      <w:pPr>
        <w:spacing w:line="360" w:lineRule="auto"/>
        <w:jc w:val="left"/>
        <w:rPr>
          <w:rFonts w:ascii="黑体" w:hAnsi="黑体" w:eastAsia="黑体"/>
          <w:color w:val="auto"/>
        </w:rPr>
      </w:pPr>
      <w:r>
        <w:rPr>
          <w:rFonts w:ascii="黑体" w:hAnsi="黑体" w:eastAsia="黑体"/>
          <w:color w:val="auto"/>
        </w:rPr>
        <w:t>23.</w:t>
      </w:r>
      <w:r>
        <w:rPr>
          <w:rFonts w:ascii="黑体" w:hAnsi="黑体" w:eastAsia="黑体"/>
          <w:color w:val="auto"/>
        </w:rPr>
        <w:tab/>
      </w:r>
      <w:r>
        <w:rPr>
          <w:rFonts w:hint="eastAsia" w:ascii="黑体" w:hAnsi="黑体" w:eastAsia="黑体"/>
          <w:color w:val="auto"/>
        </w:rPr>
        <w:t>▲号条款要求扣分明细响应表（可选）</w:t>
      </w:r>
    </w:p>
    <w:p>
      <w:pPr>
        <w:spacing w:line="360" w:lineRule="auto"/>
        <w:jc w:val="left"/>
        <w:rPr>
          <w:rFonts w:ascii="黑体" w:hAnsi="黑体" w:eastAsia="黑体"/>
          <w:color w:val="auto"/>
        </w:rPr>
      </w:pPr>
      <w:r>
        <w:rPr>
          <w:rFonts w:ascii="黑体" w:hAnsi="黑体" w:eastAsia="黑体"/>
          <w:color w:val="auto"/>
        </w:rPr>
        <w:t>24.</w:t>
      </w:r>
      <w:r>
        <w:rPr>
          <w:rFonts w:ascii="黑体" w:hAnsi="黑体" w:eastAsia="黑体"/>
          <w:color w:val="auto"/>
        </w:rPr>
        <w:tab/>
      </w:r>
      <w:r>
        <w:rPr>
          <w:rFonts w:ascii="黑体" w:hAnsi="黑体" w:eastAsia="黑体"/>
          <w:color w:val="auto"/>
        </w:rPr>
        <w:t>投标保证金汇入情况说明（</w:t>
      </w:r>
      <w:r>
        <w:rPr>
          <w:rFonts w:hint="eastAsia" w:ascii="黑体" w:hAnsi="黑体" w:eastAsia="黑体"/>
          <w:color w:val="auto"/>
        </w:rPr>
        <w:t>或</w:t>
      </w:r>
      <w:r>
        <w:rPr>
          <w:rFonts w:ascii="黑体" w:hAnsi="黑体" w:eastAsia="黑体"/>
          <w:color w:val="auto"/>
        </w:rPr>
        <w:t>政府采购投标担保函递交情况说明）</w:t>
      </w:r>
    </w:p>
    <w:p>
      <w:pPr>
        <w:spacing w:line="360" w:lineRule="auto"/>
        <w:jc w:val="left"/>
        <w:rPr>
          <w:rFonts w:ascii="黑体" w:hAnsi="黑体" w:eastAsia="黑体"/>
          <w:color w:val="auto"/>
        </w:rPr>
      </w:pPr>
      <w:r>
        <w:rPr>
          <w:rFonts w:ascii="黑体" w:hAnsi="黑体" w:eastAsia="黑体"/>
          <w:color w:val="auto"/>
        </w:rPr>
        <w:t>25. 项目实施方案（投标人自行编写）</w:t>
      </w:r>
    </w:p>
    <w:p>
      <w:pPr>
        <w:spacing w:line="360" w:lineRule="auto"/>
        <w:jc w:val="left"/>
        <w:rPr>
          <w:rFonts w:ascii="黑体" w:hAnsi="黑体" w:eastAsia="黑体"/>
          <w:color w:val="auto"/>
        </w:rPr>
      </w:pPr>
    </w:p>
    <w:p>
      <w:pPr>
        <w:rPr>
          <w:color w:val="auto"/>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67" w:name="_Toc90980555"/>
      <w:r>
        <w:rPr>
          <w:rStyle w:val="23"/>
          <w:rFonts w:hint="eastAsia" w:ascii="黑体" w:hAnsi="黑体" w:eastAsia="黑体"/>
          <w:b/>
          <w:bCs/>
          <w:color w:val="auto"/>
          <w:spacing w:val="12"/>
          <w:sz w:val="21"/>
          <w:szCs w:val="21"/>
        </w:rPr>
        <w:t>资格性自查索引表</w:t>
      </w:r>
      <w:bookmarkEnd w:id="67"/>
    </w:p>
    <w:p>
      <w:pPr>
        <w:spacing w:before="312" w:beforeLines="100" w:after="312" w:afterLines="100"/>
        <w:jc w:val="center"/>
        <w:rPr>
          <w:rFonts w:ascii="黑体" w:hAnsi="黑体" w:eastAsia="黑体" w:cs="Times New Roman"/>
          <w:b/>
          <w:color w:val="auto"/>
          <w:spacing w:val="20"/>
          <w:sz w:val="30"/>
          <w:szCs w:val="30"/>
        </w:rPr>
      </w:pPr>
      <w:r>
        <w:rPr>
          <w:rFonts w:hint="eastAsia" w:ascii="黑体" w:hAnsi="黑体" w:eastAsia="黑体" w:cs="Times New Roman"/>
          <w:b/>
          <w:color w:val="auto"/>
          <w:spacing w:val="20"/>
          <w:sz w:val="30"/>
          <w:szCs w:val="30"/>
        </w:rPr>
        <w:t>资格性自查索引表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4936"/>
        <w:gridCol w:w="131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07"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序号</w:t>
            </w:r>
          </w:p>
        </w:tc>
        <w:tc>
          <w:tcPr>
            <w:tcW w:w="2815" w:type="pct"/>
            <w:tcBorders>
              <w:bottom w:val="single" w:color="auto" w:sz="4" w:space="0"/>
              <w:tl2br w:val="nil"/>
            </w:tcBorders>
            <w:vAlign w:val="center"/>
          </w:tcPr>
          <w:p>
            <w:pPr>
              <w:spacing w:line="360" w:lineRule="auto"/>
              <w:ind w:left="211" w:hanging="211" w:hangingChars="100"/>
              <w:jc w:val="center"/>
              <w:rPr>
                <w:rFonts w:ascii="黑体" w:hAnsi="黑体" w:eastAsia="黑体"/>
                <w:b/>
                <w:bCs/>
                <w:color w:val="auto"/>
                <w:szCs w:val="21"/>
              </w:rPr>
            </w:pPr>
            <w:r>
              <w:rPr>
                <w:rFonts w:hint="eastAsia" w:ascii="黑体" w:hAnsi="黑体" w:eastAsia="黑体"/>
                <w:b/>
                <w:bCs/>
                <w:color w:val="auto"/>
                <w:szCs w:val="21"/>
              </w:rPr>
              <w:t>审查内容</w:t>
            </w:r>
          </w:p>
        </w:tc>
        <w:tc>
          <w:tcPr>
            <w:tcW w:w="748"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自查</w:t>
            </w:r>
          </w:p>
          <w:p>
            <w:pPr>
              <w:spacing w:line="360" w:lineRule="auto"/>
              <w:jc w:val="center"/>
              <w:rPr>
                <w:rFonts w:ascii="黑体" w:hAnsi="黑体" w:eastAsia="黑体"/>
                <w:b/>
                <w:bCs/>
                <w:color w:val="auto"/>
                <w:szCs w:val="21"/>
              </w:rPr>
            </w:pPr>
            <w:r>
              <w:rPr>
                <w:rFonts w:hint="eastAsia" w:ascii="黑体" w:hAnsi="黑体" w:eastAsia="黑体"/>
                <w:b/>
                <w:bCs/>
                <w:color w:val="auto"/>
                <w:szCs w:val="21"/>
              </w:rPr>
              <w:t>结论</w:t>
            </w:r>
          </w:p>
        </w:tc>
        <w:tc>
          <w:tcPr>
            <w:tcW w:w="1030" w:type="pct"/>
            <w:vAlign w:val="center"/>
          </w:tcPr>
          <w:p>
            <w:pPr>
              <w:spacing w:line="360" w:lineRule="auto"/>
              <w:jc w:val="center"/>
              <w:rPr>
                <w:rFonts w:ascii="黑体" w:hAnsi="黑体" w:eastAsia="黑体"/>
                <w:b/>
                <w:bCs/>
                <w:color w:val="auto"/>
                <w:spacing w:val="-10"/>
                <w:szCs w:val="21"/>
              </w:rPr>
            </w:pPr>
            <w:r>
              <w:rPr>
                <w:rFonts w:ascii="黑体" w:hAnsi="黑体" w:eastAsia="黑体"/>
                <w:b/>
                <w:bCs/>
                <w:color w:val="auto"/>
                <w:spacing w:val="-10"/>
                <w:szCs w:val="21"/>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1</w:t>
            </w:r>
          </w:p>
        </w:tc>
        <w:tc>
          <w:tcPr>
            <w:tcW w:w="2815" w:type="pct"/>
            <w:tcBorders>
              <w:tl2br w:val="nil"/>
            </w:tcBorders>
            <w:vAlign w:val="center"/>
          </w:tcPr>
          <w:p>
            <w:pPr>
              <w:jc w:val="left"/>
              <w:rPr>
                <w:rFonts w:ascii="黑体" w:hAnsi="黑体" w:eastAsia="黑体"/>
                <w:color w:val="auto"/>
              </w:rPr>
            </w:pPr>
          </w:p>
        </w:tc>
        <w:tc>
          <w:tcPr>
            <w:tcW w:w="748" w:type="pct"/>
            <w:vAlign w:val="center"/>
          </w:tcPr>
          <w:p>
            <w:pPr>
              <w:spacing w:line="360" w:lineRule="auto"/>
              <w:jc w:val="center"/>
              <w:rPr>
                <w:rFonts w:ascii="黑体" w:hAnsi="黑体" w:eastAsia="黑体"/>
                <w:bCs/>
                <w:color w:val="auto"/>
                <w:szCs w:val="21"/>
              </w:rPr>
            </w:pPr>
          </w:p>
        </w:tc>
        <w:tc>
          <w:tcPr>
            <w:tcW w:w="1030" w:type="pct"/>
            <w:vAlign w:val="center"/>
          </w:tcPr>
          <w:p>
            <w:pPr>
              <w:spacing w:line="360" w:lineRule="auto"/>
              <w:jc w:val="center"/>
              <w:rPr>
                <w:rFonts w:ascii="黑体" w:hAnsi="黑体" w:eastAsia="黑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2</w:t>
            </w:r>
          </w:p>
        </w:tc>
        <w:tc>
          <w:tcPr>
            <w:tcW w:w="2815" w:type="pct"/>
            <w:vAlign w:val="center"/>
          </w:tcPr>
          <w:p>
            <w:pPr>
              <w:spacing w:line="360" w:lineRule="auto"/>
              <w:jc w:val="left"/>
              <w:rPr>
                <w:rFonts w:ascii="黑体" w:hAnsi="黑体" w:eastAsia="黑体"/>
                <w:b/>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3</w:t>
            </w:r>
          </w:p>
        </w:tc>
        <w:tc>
          <w:tcPr>
            <w:tcW w:w="2815" w:type="pct"/>
            <w:vAlign w:val="center"/>
          </w:tcPr>
          <w:p>
            <w:pPr>
              <w:spacing w:line="360" w:lineRule="auto"/>
              <w:jc w:val="left"/>
              <w:rPr>
                <w:rFonts w:ascii="黑体" w:hAnsi="黑体" w:eastAsia="黑体"/>
                <w:b/>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4</w:t>
            </w:r>
          </w:p>
        </w:tc>
        <w:tc>
          <w:tcPr>
            <w:tcW w:w="2815" w:type="pct"/>
            <w:vAlign w:val="center"/>
          </w:tcPr>
          <w:p>
            <w:pPr>
              <w:spacing w:line="360" w:lineRule="auto"/>
              <w:jc w:val="left"/>
              <w:rPr>
                <w:rFonts w:ascii="黑体" w:hAnsi="黑体" w:eastAsia="黑体"/>
                <w:b/>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bl>
    <w:p>
      <w:pPr>
        <w:spacing w:before="156" w:beforeLines="50" w:line="360" w:lineRule="auto"/>
        <w:rPr>
          <w:rFonts w:ascii="黑体" w:hAnsi="黑体" w:eastAsia="黑体"/>
          <w:color w:val="auto"/>
        </w:rPr>
      </w:pPr>
      <w:r>
        <w:rPr>
          <w:rFonts w:hint="eastAsia" w:ascii="黑体" w:hAnsi="黑体" w:eastAsia="黑体"/>
          <w:color w:val="auto"/>
        </w:rPr>
        <w:t>注明：</w:t>
      </w:r>
    </w:p>
    <w:p>
      <w:pPr>
        <w:pStyle w:val="30"/>
        <w:numPr>
          <w:ilvl w:val="0"/>
          <w:numId w:val="94"/>
        </w:numPr>
        <w:spacing w:line="360" w:lineRule="auto"/>
        <w:ind w:firstLineChars="0"/>
        <w:rPr>
          <w:rFonts w:ascii="黑体" w:hAnsi="黑体" w:eastAsia="黑体"/>
          <w:color w:val="auto"/>
        </w:rPr>
      </w:pPr>
      <w:r>
        <w:rPr>
          <w:rFonts w:hint="eastAsia" w:ascii="黑体" w:hAnsi="黑体" w:eastAsia="黑体"/>
          <w:color w:val="auto"/>
        </w:rPr>
        <w:t>自查结论处请填写：通过</w:t>
      </w:r>
      <w:r>
        <w:rPr>
          <w:rFonts w:ascii="黑体" w:hAnsi="黑体" w:eastAsia="黑体"/>
          <w:color w:val="auto"/>
        </w:rPr>
        <w:t>/不通过；</w:t>
      </w:r>
    </w:p>
    <w:p>
      <w:pPr>
        <w:pStyle w:val="30"/>
        <w:numPr>
          <w:ilvl w:val="0"/>
          <w:numId w:val="94"/>
        </w:numPr>
        <w:spacing w:line="360" w:lineRule="auto"/>
        <w:ind w:firstLineChars="0"/>
        <w:rPr>
          <w:rFonts w:ascii="黑体" w:hAnsi="黑体" w:eastAsia="黑体"/>
          <w:color w:val="auto"/>
        </w:rPr>
      </w:pPr>
      <w:r>
        <w:rPr>
          <w:rFonts w:hint="eastAsia" w:ascii="黑体" w:hAnsi="黑体" w:eastAsia="黑体"/>
          <w:color w:val="auto"/>
          <w:szCs w:val="21"/>
        </w:rPr>
        <w:t>按招标文件第五部分</w:t>
      </w:r>
      <w:r>
        <w:rPr>
          <w:rFonts w:ascii="黑体" w:hAnsi="黑体" w:eastAsia="黑体"/>
          <w:color w:val="auto"/>
          <w:szCs w:val="21"/>
        </w:rPr>
        <w:t xml:space="preserve"> </w:t>
      </w:r>
      <w:r>
        <w:rPr>
          <w:rFonts w:hint="eastAsia" w:ascii="黑体" w:hAnsi="黑体" w:eastAsia="黑体"/>
          <w:color w:val="auto"/>
          <w:szCs w:val="21"/>
        </w:rPr>
        <w:t>评标方法、步骤、标准之附表资格性审查表（</w:t>
      </w:r>
      <w:r>
        <w:rPr>
          <w:rFonts w:hint="eastAsia" w:ascii="黑体" w:hAnsi="黑体" w:eastAsia="黑体"/>
          <w:color w:val="auto"/>
          <w:kern w:val="0"/>
          <w:szCs w:val="21"/>
        </w:rPr>
        <w:t>附表一）</w:t>
      </w:r>
      <w:r>
        <w:rPr>
          <w:rFonts w:hint="eastAsia" w:ascii="黑体" w:hAnsi="黑体" w:eastAsia="黑体"/>
          <w:color w:val="auto"/>
          <w:szCs w:val="21"/>
        </w:rPr>
        <w:t>相对应条款填写</w:t>
      </w:r>
      <w:r>
        <w:rPr>
          <w:rFonts w:hint="eastAsia" w:ascii="黑体" w:hAnsi="黑体" w:eastAsia="黑体"/>
          <w:color w:val="auto"/>
        </w:rPr>
        <w:t>。</w:t>
      </w:r>
    </w:p>
    <w:p>
      <w:pPr>
        <w:spacing w:line="360" w:lineRule="auto"/>
        <w:rPr>
          <w:rFonts w:ascii="黑体" w:hAnsi="黑体" w:eastAsia="黑体"/>
          <w:color w:val="auto"/>
        </w:rPr>
      </w:pPr>
    </w:p>
    <w:p>
      <w:pPr>
        <w:spacing w:line="360" w:lineRule="auto"/>
        <w:rPr>
          <w:rFonts w:ascii="黑体" w:hAnsi="黑体" w:eastAsia="黑体"/>
          <w:color w:val="auto"/>
        </w:rPr>
      </w:pPr>
    </w:p>
    <w:p>
      <w:pPr>
        <w:spacing w:line="360" w:lineRule="auto"/>
        <w:rPr>
          <w:rFonts w:ascii="黑体" w:hAnsi="黑体" w:eastAsia="黑体"/>
          <w:color w:val="auto"/>
        </w:rPr>
      </w:pPr>
    </w:p>
    <w:tbl>
      <w:tblPr>
        <w:tblStyle w:val="20"/>
        <w:tblW w:w="0" w:type="auto"/>
        <w:tblInd w:w="0" w:type="dxa"/>
        <w:tblLayout w:type="autofit"/>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68" w:name="_Toc90980556"/>
      <w:r>
        <w:rPr>
          <w:rStyle w:val="23"/>
          <w:rFonts w:hint="eastAsia" w:ascii="黑体" w:hAnsi="黑体" w:eastAsia="黑体"/>
          <w:b/>
          <w:bCs/>
          <w:color w:val="auto"/>
          <w:spacing w:val="12"/>
          <w:sz w:val="21"/>
          <w:szCs w:val="21"/>
        </w:rPr>
        <w:t>符合性自查索引表</w:t>
      </w:r>
      <w:bookmarkEnd w:id="68"/>
    </w:p>
    <w:p>
      <w:pPr>
        <w:spacing w:before="312" w:beforeLines="100" w:after="312" w:afterLines="100"/>
        <w:jc w:val="center"/>
        <w:rPr>
          <w:rFonts w:ascii="黑体" w:hAnsi="黑体" w:eastAsia="黑体" w:cs="Times New Roman"/>
          <w:b/>
          <w:color w:val="auto"/>
          <w:spacing w:val="20"/>
          <w:sz w:val="30"/>
          <w:szCs w:val="30"/>
        </w:rPr>
      </w:pPr>
      <w:r>
        <w:rPr>
          <w:rFonts w:hint="eastAsia" w:ascii="黑体" w:hAnsi="黑体" w:eastAsia="黑体" w:cs="Times New Roman"/>
          <w:b/>
          <w:color w:val="auto"/>
          <w:spacing w:val="20"/>
          <w:sz w:val="30"/>
          <w:szCs w:val="30"/>
        </w:rPr>
        <w:t>符合性自查索引表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4936"/>
        <w:gridCol w:w="131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07"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序号</w:t>
            </w:r>
          </w:p>
        </w:tc>
        <w:tc>
          <w:tcPr>
            <w:tcW w:w="2815" w:type="pct"/>
            <w:tcBorders>
              <w:bottom w:val="single" w:color="auto" w:sz="4" w:space="0"/>
              <w:tl2br w:val="nil"/>
            </w:tcBorders>
            <w:vAlign w:val="center"/>
          </w:tcPr>
          <w:p>
            <w:pPr>
              <w:spacing w:line="360" w:lineRule="auto"/>
              <w:ind w:left="211" w:hanging="211" w:hangingChars="100"/>
              <w:jc w:val="center"/>
              <w:rPr>
                <w:rFonts w:ascii="黑体" w:hAnsi="黑体" w:eastAsia="黑体"/>
                <w:b/>
                <w:bCs/>
                <w:color w:val="auto"/>
                <w:szCs w:val="21"/>
              </w:rPr>
            </w:pPr>
            <w:r>
              <w:rPr>
                <w:rFonts w:hint="eastAsia" w:ascii="黑体" w:hAnsi="黑体" w:eastAsia="黑体"/>
                <w:b/>
                <w:bCs/>
                <w:color w:val="auto"/>
                <w:szCs w:val="21"/>
              </w:rPr>
              <w:t>审查内容</w:t>
            </w:r>
          </w:p>
        </w:tc>
        <w:tc>
          <w:tcPr>
            <w:tcW w:w="748"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自查</w:t>
            </w:r>
          </w:p>
          <w:p>
            <w:pPr>
              <w:spacing w:line="360" w:lineRule="auto"/>
              <w:jc w:val="center"/>
              <w:rPr>
                <w:rFonts w:ascii="黑体" w:hAnsi="黑体" w:eastAsia="黑体"/>
                <w:b/>
                <w:bCs/>
                <w:color w:val="auto"/>
                <w:szCs w:val="21"/>
              </w:rPr>
            </w:pPr>
            <w:r>
              <w:rPr>
                <w:rFonts w:hint="eastAsia" w:ascii="黑体" w:hAnsi="黑体" w:eastAsia="黑体"/>
                <w:b/>
                <w:bCs/>
                <w:color w:val="auto"/>
                <w:szCs w:val="21"/>
              </w:rPr>
              <w:t>结论</w:t>
            </w:r>
          </w:p>
        </w:tc>
        <w:tc>
          <w:tcPr>
            <w:tcW w:w="1030" w:type="pct"/>
            <w:vAlign w:val="center"/>
          </w:tcPr>
          <w:p>
            <w:pPr>
              <w:spacing w:line="360" w:lineRule="auto"/>
              <w:jc w:val="center"/>
              <w:rPr>
                <w:rFonts w:ascii="黑体" w:hAnsi="黑体" w:eastAsia="黑体"/>
                <w:b/>
                <w:bCs/>
                <w:color w:val="auto"/>
                <w:spacing w:val="-10"/>
                <w:szCs w:val="21"/>
              </w:rPr>
            </w:pPr>
            <w:r>
              <w:rPr>
                <w:rFonts w:ascii="黑体" w:hAnsi="黑体" w:eastAsia="黑体"/>
                <w:b/>
                <w:bCs/>
                <w:color w:val="auto"/>
                <w:spacing w:val="-10"/>
                <w:szCs w:val="21"/>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1</w:t>
            </w:r>
          </w:p>
        </w:tc>
        <w:tc>
          <w:tcPr>
            <w:tcW w:w="2815" w:type="pct"/>
            <w:tcBorders>
              <w:tl2br w:val="nil"/>
            </w:tcBorders>
            <w:vAlign w:val="center"/>
          </w:tcPr>
          <w:p>
            <w:pPr>
              <w:jc w:val="left"/>
              <w:rPr>
                <w:rFonts w:ascii="黑体" w:hAnsi="黑体" w:eastAsia="黑体"/>
                <w:color w:val="auto"/>
              </w:rPr>
            </w:pPr>
          </w:p>
        </w:tc>
        <w:tc>
          <w:tcPr>
            <w:tcW w:w="748" w:type="pct"/>
            <w:vAlign w:val="center"/>
          </w:tcPr>
          <w:p>
            <w:pPr>
              <w:spacing w:line="360" w:lineRule="auto"/>
              <w:jc w:val="center"/>
              <w:rPr>
                <w:rFonts w:ascii="黑体" w:hAnsi="黑体" w:eastAsia="黑体"/>
                <w:bCs/>
                <w:color w:val="auto"/>
                <w:szCs w:val="21"/>
              </w:rPr>
            </w:pPr>
          </w:p>
        </w:tc>
        <w:tc>
          <w:tcPr>
            <w:tcW w:w="1030" w:type="pct"/>
            <w:vAlign w:val="center"/>
          </w:tcPr>
          <w:p>
            <w:pPr>
              <w:spacing w:line="360" w:lineRule="auto"/>
              <w:jc w:val="center"/>
              <w:rPr>
                <w:rFonts w:ascii="黑体" w:hAnsi="黑体" w:eastAsia="黑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2</w:t>
            </w:r>
          </w:p>
        </w:tc>
        <w:tc>
          <w:tcPr>
            <w:tcW w:w="2815" w:type="pct"/>
            <w:vAlign w:val="center"/>
          </w:tcPr>
          <w:p>
            <w:pPr>
              <w:spacing w:line="360" w:lineRule="auto"/>
              <w:jc w:val="left"/>
              <w:rPr>
                <w:rFonts w:ascii="黑体" w:hAnsi="黑体" w:eastAsia="黑体"/>
                <w:b/>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3</w:t>
            </w:r>
          </w:p>
        </w:tc>
        <w:tc>
          <w:tcPr>
            <w:tcW w:w="2815" w:type="pct"/>
            <w:vAlign w:val="center"/>
          </w:tcPr>
          <w:p>
            <w:pPr>
              <w:spacing w:line="360" w:lineRule="auto"/>
              <w:jc w:val="left"/>
              <w:rPr>
                <w:rFonts w:ascii="黑体" w:hAnsi="黑体" w:eastAsia="黑体"/>
                <w:b/>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4</w:t>
            </w:r>
          </w:p>
        </w:tc>
        <w:tc>
          <w:tcPr>
            <w:tcW w:w="2815" w:type="pct"/>
            <w:vAlign w:val="center"/>
          </w:tcPr>
          <w:p>
            <w:pPr>
              <w:spacing w:line="360" w:lineRule="auto"/>
              <w:jc w:val="left"/>
              <w:rPr>
                <w:rFonts w:ascii="黑体" w:hAnsi="黑体" w:eastAsia="黑体"/>
                <w:b/>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5</w:t>
            </w:r>
          </w:p>
        </w:tc>
        <w:tc>
          <w:tcPr>
            <w:tcW w:w="2815" w:type="pct"/>
            <w:vAlign w:val="center"/>
          </w:tcPr>
          <w:p>
            <w:pPr>
              <w:spacing w:line="360" w:lineRule="auto"/>
              <w:jc w:val="left"/>
              <w:rPr>
                <w:rFonts w:ascii="黑体" w:hAnsi="黑体" w:eastAsia="黑体"/>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6</w:t>
            </w:r>
          </w:p>
        </w:tc>
        <w:tc>
          <w:tcPr>
            <w:tcW w:w="2815" w:type="pct"/>
            <w:vAlign w:val="center"/>
          </w:tcPr>
          <w:p>
            <w:pPr>
              <w:spacing w:line="360" w:lineRule="auto"/>
              <w:jc w:val="left"/>
              <w:rPr>
                <w:rFonts w:ascii="黑体" w:hAnsi="黑体" w:eastAsia="黑体"/>
                <w:b/>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7</w:t>
            </w:r>
          </w:p>
        </w:tc>
        <w:tc>
          <w:tcPr>
            <w:tcW w:w="2815" w:type="pct"/>
            <w:vAlign w:val="center"/>
          </w:tcPr>
          <w:p>
            <w:pPr>
              <w:spacing w:line="360" w:lineRule="auto"/>
              <w:jc w:val="left"/>
              <w:rPr>
                <w:rFonts w:ascii="黑体" w:hAnsi="黑体" w:eastAsia="黑体"/>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8</w:t>
            </w:r>
          </w:p>
        </w:tc>
        <w:tc>
          <w:tcPr>
            <w:tcW w:w="2815" w:type="pct"/>
            <w:vAlign w:val="center"/>
          </w:tcPr>
          <w:p>
            <w:pPr>
              <w:spacing w:line="360" w:lineRule="auto"/>
              <w:jc w:val="left"/>
              <w:rPr>
                <w:rFonts w:ascii="黑体" w:hAnsi="黑体" w:eastAsia="黑体"/>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07" w:type="pct"/>
            <w:vAlign w:val="center"/>
          </w:tcPr>
          <w:p>
            <w:pPr>
              <w:spacing w:line="360" w:lineRule="auto"/>
              <w:jc w:val="center"/>
              <w:rPr>
                <w:rFonts w:ascii="黑体" w:hAnsi="黑体" w:eastAsia="黑体"/>
                <w:bCs/>
                <w:color w:val="auto"/>
                <w:szCs w:val="21"/>
              </w:rPr>
            </w:pPr>
            <w:r>
              <w:rPr>
                <w:rFonts w:ascii="黑体" w:hAnsi="黑体" w:eastAsia="黑体"/>
                <w:bCs/>
                <w:color w:val="auto"/>
                <w:szCs w:val="21"/>
              </w:rPr>
              <w:t>9</w:t>
            </w:r>
          </w:p>
        </w:tc>
        <w:tc>
          <w:tcPr>
            <w:tcW w:w="2815" w:type="pct"/>
            <w:vAlign w:val="center"/>
          </w:tcPr>
          <w:p>
            <w:pPr>
              <w:spacing w:line="360" w:lineRule="auto"/>
              <w:jc w:val="left"/>
              <w:rPr>
                <w:rFonts w:ascii="黑体" w:hAnsi="黑体" w:eastAsia="黑体"/>
                <w:bCs/>
                <w:color w:val="auto"/>
                <w:szCs w:val="21"/>
              </w:rPr>
            </w:pPr>
          </w:p>
        </w:tc>
        <w:tc>
          <w:tcPr>
            <w:tcW w:w="748" w:type="pct"/>
            <w:vAlign w:val="center"/>
          </w:tcPr>
          <w:p>
            <w:pPr>
              <w:spacing w:line="360" w:lineRule="auto"/>
              <w:jc w:val="center"/>
              <w:rPr>
                <w:rFonts w:ascii="黑体" w:hAnsi="黑体" w:eastAsia="黑体"/>
                <w:b/>
                <w:bCs/>
                <w:color w:val="auto"/>
                <w:szCs w:val="21"/>
              </w:rPr>
            </w:pPr>
          </w:p>
        </w:tc>
        <w:tc>
          <w:tcPr>
            <w:tcW w:w="1030" w:type="pct"/>
            <w:vAlign w:val="center"/>
          </w:tcPr>
          <w:p>
            <w:pPr>
              <w:spacing w:line="360" w:lineRule="auto"/>
              <w:jc w:val="center"/>
              <w:rPr>
                <w:rFonts w:ascii="黑体" w:hAnsi="黑体" w:eastAsia="黑体"/>
                <w:b/>
                <w:bCs/>
                <w:color w:val="auto"/>
                <w:szCs w:val="21"/>
              </w:rPr>
            </w:pPr>
          </w:p>
        </w:tc>
      </w:tr>
    </w:tbl>
    <w:p>
      <w:pPr>
        <w:spacing w:before="156" w:beforeLines="50" w:line="360" w:lineRule="auto"/>
        <w:rPr>
          <w:rFonts w:ascii="黑体" w:hAnsi="黑体" w:eastAsia="黑体"/>
          <w:color w:val="auto"/>
        </w:rPr>
      </w:pPr>
      <w:r>
        <w:rPr>
          <w:rFonts w:hint="eastAsia" w:ascii="黑体" w:hAnsi="黑体" w:eastAsia="黑体"/>
          <w:color w:val="auto"/>
        </w:rPr>
        <w:t>注明：</w:t>
      </w:r>
    </w:p>
    <w:p>
      <w:pPr>
        <w:pStyle w:val="30"/>
        <w:numPr>
          <w:ilvl w:val="0"/>
          <w:numId w:val="95"/>
        </w:numPr>
        <w:spacing w:line="360" w:lineRule="auto"/>
        <w:ind w:firstLineChars="0"/>
        <w:rPr>
          <w:rFonts w:ascii="黑体" w:hAnsi="黑体" w:eastAsia="黑体"/>
          <w:color w:val="auto"/>
        </w:rPr>
      </w:pPr>
      <w:r>
        <w:rPr>
          <w:rFonts w:hint="eastAsia" w:ascii="黑体" w:hAnsi="黑体" w:eastAsia="黑体"/>
          <w:color w:val="auto"/>
        </w:rPr>
        <w:t>自查结论处请填写：通过</w:t>
      </w:r>
      <w:r>
        <w:rPr>
          <w:rFonts w:ascii="黑体" w:hAnsi="黑体" w:eastAsia="黑体"/>
          <w:color w:val="auto"/>
        </w:rPr>
        <w:t>/不通过</w:t>
      </w:r>
      <w:r>
        <w:rPr>
          <w:rFonts w:hint="eastAsia" w:ascii="黑体" w:hAnsi="黑体" w:eastAsia="黑体"/>
          <w:color w:val="auto"/>
        </w:rPr>
        <w:t>；</w:t>
      </w:r>
    </w:p>
    <w:p>
      <w:pPr>
        <w:pStyle w:val="30"/>
        <w:numPr>
          <w:ilvl w:val="0"/>
          <w:numId w:val="95"/>
        </w:numPr>
        <w:spacing w:line="360" w:lineRule="auto"/>
        <w:ind w:firstLineChars="0"/>
        <w:rPr>
          <w:rFonts w:ascii="黑体" w:hAnsi="黑体" w:eastAsia="黑体"/>
          <w:color w:val="auto"/>
        </w:rPr>
      </w:pPr>
      <w:r>
        <w:rPr>
          <w:rFonts w:hint="eastAsia" w:ascii="黑体" w:hAnsi="黑体" w:eastAsia="黑体"/>
          <w:color w:val="auto"/>
          <w:szCs w:val="21"/>
        </w:rPr>
        <w:t>按招标文件第五部分</w:t>
      </w:r>
      <w:r>
        <w:rPr>
          <w:rFonts w:ascii="黑体" w:hAnsi="黑体" w:eastAsia="黑体"/>
          <w:color w:val="auto"/>
          <w:szCs w:val="21"/>
        </w:rPr>
        <w:t xml:space="preserve"> </w:t>
      </w:r>
      <w:r>
        <w:rPr>
          <w:rFonts w:hint="eastAsia" w:ascii="黑体" w:hAnsi="黑体" w:eastAsia="黑体"/>
          <w:color w:val="auto"/>
          <w:szCs w:val="21"/>
        </w:rPr>
        <w:t>评标方法、步骤、标准之符合性审查表（</w:t>
      </w:r>
      <w:r>
        <w:rPr>
          <w:rFonts w:hint="eastAsia" w:ascii="黑体" w:hAnsi="黑体" w:eastAsia="黑体"/>
          <w:color w:val="auto"/>
          <w:kern w:val="0"/>
          <w:szCs w:val="21"/>
        </w:rPr>
        <w:t>附表二）</w:t>
      </w:r>
      <w:r>
        <w:rPr>
          <w:rFonts w:hint="eastAsia" w:ascii="黑体" w:hAnsi="黑体" w:eastAsia="黑体"/>
          <w:color w:val="auto"/>
          <w:szCs w:val="21"/>
        </w:rPr>
        <w:t>相对应条款填写</w:t>
      </w:r>
      <w:r>
        <w:rPr>
          <w:rFonts w:hint="eastAsia" w:ascii="黑体" w:hAnsi="黑体" w:eastAsia="黑体"/>
          <w:color w:val="auto"/>
        </w:rPr>
        <w:t>。</w:t>
      </w:r>
    </w:p>
    <w:p>
      <w:pPr>
        <w:spacing w:line="360" w:lineRule="auto"/>
        <w:rPr>
          <w:rFonts w:ascii="黑体" w:hAnsi="黑体" w:eastAsia="黑体"/>
          <w:color w:val="auto"/>
        </w:rPr>
      </w:pPr>
    </w:p>
    <w:p>
      <w:pPr>
        <w:spacing w:line="360" w:lineRule="auto"/>
        <w:rPr>
          <w:rFonts w:ascii="黑体" w:hAnsi="黑体" w:eastAsia="黑体"/>
          <w:color w:val="auto"/>
        </w:rPr>
      </w:pPr>
    </w:p>
    <w:tbl>
      <w:tblPr>
        <w:tblStyle w:val="20"/>
        <w:tblW w:w="0" w:type="auto"/>
        <w:tblInd w:w="0" w:type="dxa"/>
        <w:tblLayout w:type="autofit"/>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69" w:name="_Toc90980557"/>
      <w:r>
        <w:rPr>
          <w:rStyle w:val="23"/>
          <w:rFonts w:hint="eastAsia" w:ascii="黑体" w:hAnsi="黑体" w:eastAsia="黑体"/>
          <w:b/>
          <w:bCs/>
          <w:color w:val="auto"/>
          <w:spacing w:val="12"/>
          <w:sz w:val="21"/>
          <w:szCs w:val="21"/>
        </w:rPr>
        <w:t>详细评审索引表</w:t>
      </w:r>
      <w:bookmarkEnd w:id="69"/>
    </w:p>
    <w:p>
      <w:pPr>
        <w:spacing w:before="312" w:beforeLines="100" w:after="312" w:afterLines="100"/>
        <w:jc w:val="center"/>
        <w:rPr>
          <w:rFonts w:ascii="黑体" w:hAnsi="黑体" w:eastAsia="黑体"/>
          <w:b/>
          <w:color w:val="auto"/>
          <w:spacing w:val="20"/>
          <w:sz w:val="30"/>
          <w:szCs w:val="30"/>
        </w:rPr>
      </w:pPr>
      <w:r>
        <w:rPr>
          <w:rFonts w:hint="eastAsia" w:ascii="黑体" w:hAnsi="黑体" w:eastAsia="黑体"/>
          <w:b/>
          <w:color w:val="auto"/>
          <w:spacing w:val="20"/>
          <w:sz w:val="30"/>
          <w:szCs w:val="30"/>
        </w:rPr>
        <w:t>详细评审索引表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551"/>
        <w:gridCol w:w="338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2" w:type="dxa"/>
            <w:gridSpan w:val="4"/>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商务评审细则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序号</w:t>
            </w:r>
          </w:p>
        </w:tc>
        <w:tc>
          <w:tcPr>
            <w:tcW w:w="1551"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评分内容</w:t>
            </w:r>
          </w:p>
        </w:tc>
        <w:tc>
          <w:tcPr>
            <w:tcW w:w="3382"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评分标准</w:t>
            </w:r>
          </w:p>
        </w:tc>
        <w:tc>
          <w:tcPr>
            <w:tcW w:w="2452"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2" w:type="dxa"/>
            <w:gridSpan w:val="4"/>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技术评审细则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序号</w:t>
            </w:r>
          </w:p>
        </w:tc>
        <w:tc>
          <w:tcPr>
            <w:tcW w:w="1551"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评分内容</w:t>
            </w:r>
          </w:p>
        </w:tc>
        <w:tc>
          <w:tcPr>
            <w:tcW w:w="3382"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评分标准</w:t>
            </w:r>
          </w:p>
        </w:tc>
        <w:tc>
          <w:tcPr>
            <w:tcW w:w="2452" w:type="dxa"/>
            <w:vAlign w:val="center"/>
          </w:tcPr>
          <w:p>
            <w:pPr>
              <w:spacing w:line="360" w:lineRule="auto"/>
              <w:jc w:val="center"/>
              <w:rPr>
                <w:rFonts w:ascii="黑体" w:hAnsi="黑体" w:eastAsia="黑体"/>
                <w:b/>
                <w:color w:val="auto"/>
                <w:szCs w:val="21"/>
              </w:rPr>
            </w:pPr>
            <w:r>
              <w:rPr>
                <w:rFonts w:hint="eastAsia" w:ascii="黑体" w:hAnsi="黑体" w:eastAsia="黑体"/>
                <w:b/>
                <w:color w:val="auto"/>
                <w:szCs w:val="21"/>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spacing w:line="360" w:lineRule="auto"/>
              <w:jc w:val="center"/>
              <w:rPr>
                <w:rFonts w:ascii="黑体" w:hAnsi="黑体" w:eastAsia="黑体"/>
                <w:b/>
                <w:color w:val="auto"/>
                <w:szCs w:val="21"/>
              </w:rPr>
            </w:pPr>
          </w:p>
        </w:tc>
        <w:tc>
          <w:tcPr>
            <w:tcW w:w="1551" w:type="dxa"/>
            <w:vAlign w:val="center"/>
          </w:tcPr>
          <w:p>
            <w:pPr>
              <w:spacing w:line="360" w:lineRule="auto"/>
              <w:jc w:val="center"/>
              <w:rPr>
                <w:rFonts w:ascii="黑体" w:hAnsi="黑体" w:eastAsia="黑体"/>
                <w:b/>
                <w:color w:val="auto"/>
                <w:szCs w:val="21"/>
              </w:rPr>
            </w:pPr>
          </w:p>
        </w:tc>
        <w:tc>
          <w:tcPr>
            <w:tcW w:w="3382" w:type="dxa"/>
            <w:vAlign w:val="center"/>
          </w:tcPr>
          <w:p>
            <w:pPr>
              <w:spacing w:line="360" w:lineRule="auto"/>
              <w:jc w:val="center"/>
              <w:rPr>
                <w:rFonts w:ascii="黑体" w:hAnsi="黑体" w:eastAsia="黑体"/>
                <w:b/>
                <w:color w:val="auto"/>
                <w:szCs w:val="21"/>
              </w:rPr>
            </w:pPr>
          </w:p>
        </w:tc>
        <w:tc>
          <w:tcPr>
            <w:tcW w:w="2452" w:type="dxa"/>
            <w:vAlign w:val="center"/>
          </w:tcPr>
          <w:p>
            <w:pPr>
              <w:spacing w:line="360" w:lineRule="auto"/>
              <w:jc w:val="center"/>
              <w:rPr>
                <w:rFonts w:ascii="黑体" w:hAnsi="黑体" w:eastAsia="黑体"/>
                <w:b/>
                <w:color w:val="auto"/>
                <w:szCs w:val="21"/>
              </w:rPr>
            </w:pPr>
          </w:p>
        </w:tc>
      </w:tr>
    </w:tbl>
    <w:p>
      <w:pPr>
        <w:spacing w:before="156" w:beforeLines="50" w:line="360" w:lineRule="auto"/>
        <w:rPr>
          <w:rFonts w:ascii="黑体" w:hAnsi="黑体" w:eastAsia="黑体"/>
          <w:color w:val="auto"/>
        </w:rPr>
      </w:pPr>
      <w:r>
        <w:rPr>
          <w:rFonts w:hint="eastAsia" w:ascii="黑体" w:hAnsi="黑体" w:eastAsia="黑体"/>
          <w:color w:val="auto"/>
          <w:szCs w:val="21"/>
        </w:rPr>
        <w:t>注明：按招标文件第五部分</w:t>
      </w:r>
      <w:r>
        <w:rPr>
          <w:rFonts w:ascii="黑体" w:hAnsi="黑体" w:eastAsia="黑体"/>
          <w:color w:val="auto"/>
          <w:szCs w:val="21"/>
        </w:rPr>
        <w:t xml:space="preserve"> </w:t>
      </w:r>
      <w:r>
        <w:rPr>
          <w:rFonts w:hint="eastAsia" w:ascii="黑体" w:hAnsi="黑体" w:eastAsia="黑体"/>
          <w:color w:val="auto"/>
          <w:szCs w:val="21"/>
        </w:rPr>
        <w:t>评标方法、步骤、标准之附表三详细评审表相对应条款填写。</w:t>
      </w:r>
    </w:p>
    <w:p>
      <w:pPr>
        <w:spacing w:line="360" w:lineRule="auto"/>
        <w:rPr>
          <w:rFonts w:ascii="黑体" w:hAnsi="黑体" w:eastAsia="黑体"/>
          <w:color w:val="auto"/>
        </w:rPr>
      </w:pPr>
    </w:p>
    <w:p>
      <w:pPr>
        <w:spacing w:line="360" w:lineRule="auto"/>
        <w:rPr>
          <w:rFonts w:ascii="黑体" w:hAnsi="黑体" w:eastAsia="黑体"/>
          <w:color w:val="auto"/>
        </w:rPr>
      </w:pPr>
    </w:p>
    <w:p>
      <w:pPr>
        <w:spacing w:line="360" w:lineRule="auto"/>
        <w:rPr>
          <w:rFonts w:ascii="黑体" w:hAnsi="黑体" w:eastAsia="黑体"/>
          <w:color w:val="auto"/>
        </w:rPr>
      </w:pPr>
    </w:p>
    <w:tbl>
      <w:tblPr>
        <w:tblStyle w:val="20"/>
        <w:tblW w:w="0" w:type="auto"/>
        <w:tblInd w:w="0" w:type="dxa"/>
        <w:tblLayout w:type="autofit"/>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val="0"/>
          <w:color w:val="auto"/>
          <w:spacing w:val="12"/>
          <w:sz w:val="21"/>
          <w:szCs w:val="21"/>
        </w:rPr>
      </w:pPr>
      <w:bookmarkStart w:id="70" w:name="_Toc90980558"/>
      <w:r>
        <w:rPr>
          <w:rStyle w:val="23"/>
          <w:rFonts w:hint="eastAsia" w:ascii="黑体" w:hAnsi="黑体" w:eastAsia="黑体"/>
          <w:b/>
          <w:bCs w:val="0"/>
          <w:color w:val="auto"/>
          <w:spacing w:val="12"/>
          <w:sz w:val="21"/>
          <w:szCs w:val="21"/>
        </w:rPr>
        <w:t>开标一览表</w:t>
      </w:r>
      <w:bookmarkEnd w:id="63"/>
      <w:bookmarkEnd w:id="64"/>
      <w:bookmarkEnd w:id="70"/>
    </w:p>
    <w:p>
      <w:pPr>
        <w:spacing w:before="624" w:beforeLines="200" w:after="312" w:afterLines="100" w:line="360" w:lineRule="auto"/>
        <w:jc w:val="center"/>
        <w:rPr>
          <w:rFonts w:ascii="黑体" w:hAnsi="黑体" w:eastAsia="黑体"/>
          <w:b/>
          <w:color w:val="auto"/>
          <w:spacing w:val="20"/>
          <w:sz w:val="28"/>
          <w:szCs w:val="28"/>
        </w:rPr>
      </w:pPr>
      <w:r>
        <w:rPr>
          <w:rFonts w:hint="eastAsia" w:ascii="黑体" w:hAnsi="黑体" w:eastAsia="黑体"/>
          <w:b/>
          <w:color w:val="auto"/>
          <w:spacing w:val="20"/>
          <w:sz w:val="28"/>
          <w:szCs w:val="28"/>
        </w:rPr>
        <w:t>开标一览表</w:t>
      </w:r>
    </w:p>
    <w:tbl>
      <w:tblPr>
        <w:tblStyle w:val="20"/>
        <w:tblW w:w="495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95"/>
        <w:gridCol w:w="1995"/>
        <w:gridCol w:w="3487"/>
        <w:gridCol w:w="26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342" w:type="pct"/>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黑体" w:hAnsi="黑体" w:eastAsia="黑体"/>
                <w:b/>
                <w:color w:val="auto"/>
                <w:szCs w:val="21"/>
              </w:rPr>
            </w:pPr>
            <w:r>
              <w:rPr>
                <w:rFonts w:hint="eastAsia" w:ascii="黑体" w:hAnsi="黑体" w:eastAsia="黑体"/>
                <w:b/>
                <w:color w:val="auto"/>
                <w:szCs w:val="21"/>
              </w:rPr>
              <w:t>序号</w:t>
            </w:r>
          </w:p>
        </w:tc>
        <w:tc>
          <w:tcPr>
            <w:tcW w:w="1147" w:type="pct"/>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黑体" w:hAnsi="黑体" w:eastAsia="黑体"/>
                <w:b/>
                <w:color w:val="auto"/>
                <w:szCs w:val="21"/>
              </w:rPr>
            </w:pPr>
            <w:r>
              <w:rPr>
                <w:rFonts w:hint="eastAsia" w:ascii="黑体" w:hAnsi="黑体" w:eastAsia="黑体"/>
                <w:b/>
                <w:color w:val="auto"/>
                <w:szCs w:val="21"/>
              </w:rPr>
              <w:t>服务名称</w:t>
            </w:r>
          </w:p>
        </w:tc>
        <w:tc>
          <w:tcPr>
            <w:tcW w:w="2005" w:type="pct"/>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黑体" w:hAnsi="黑体" w:eastAsia="黑体"/>
                <w:b/>
                <w:color w:val="auto"/>
                <w:szCs w:val="21"/>
              </w:rPr>
            </w:pPr>
            <w:r>
              <w:rPr>
                <w:rFonts w:hint="eastAsia" w:ascii="黑体" w:hAnsi="黑体" w:eastAsia="黑体"/>
                <w:b/>
                <w:color w:val="auto"/>
                <w:szCs w:val="21"/>
              </w:rPr>
              <w:t>含税固定总总价</w:t>
            </w:r>
            <w:r>
              <w:rPr>
                <w:rFonts w:hint="eastAsia" w:ascii="黑体" w:hAnsi="黑体" w:eastAsia="黑体"/>
                <w:b/>
                <w:color w:val="auto"/>
                <w:szCs w:val="21"/>
              </w:rPr>
              <w:br w:type="textWrapping"/>
            </w:r>
            <w:r>
              <w:rPr>
                <w:rFonts w:hint="eastAsia" w:ascii="黑体" w:hAnsi="黑体" w:eastAsia="黑体"/>
                <w:b/>
                <w:color w:val="auto"/>
                <w:szCs w:val="21"/>
              </w:rPr>
              <w:t>（单位：元）</w:t>
            </w:r>
          </w:p>
        </w:tc>
        <w:tc>
          <w:tcPr>
            <w:tcW w:w="1504" w:type="pct"/>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黑体" w:hAnsi="黑体" w:eastAsia="黑体"/>
                <w:b/>
                <w:color w:val="auto"/>
                <w:szCs w:val="21"/>
              </w:rPr>
            </w:pPr>
            <w:r>
              <w:rPr>
                <w:rFonts w:hint="eastAsia" w:ascii="黑体" w:hAnsi="黑体" w:eastAsia="黑体"/>
                <w:b/>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342" w:type="pct"/>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ascii="黑体" w:hAnsi="黑体" w:eastAsia="黑体"/>
                <w:color w:val="auto"/>
                <w:szCs w:val="21"/>
              </w:rPr>
              <w:t>1</w:t>
            </w:r>
          </w:p>
        </w:tc>
        <w:tc>
          <w:tcPr>
            <w:tcW w:w="1147" w:type="pct"/>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服务外包</w:t>
            </w:r>
          </w:p>
        </w:tc>
        <w:tc>
          <w:tcPr>
            <w:tcW w:w="2005" w:type="pct"/>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小写：￥</w:t>
            </w:r>
            <w:r>
              <w:rPr>
                <w:rFonts w:hint="eastAsia" w:ascii="黑体" w:hAnsi="黑体" w:eastAsia="黑体"/>
                <w:color w:val="auto"/>
                <w:szCs w:val="21"/>
                <w:u w:val="single"/>
              </w:rPr>
              <w:t>416,000.00</w:t>
            </w:r>
            <w:r>
              <w:rPr>
                <w:rFonts w:hint="eastAsia" w:ascii="黑体" w:hAnsi="黑体" w:eastAsia="黑体"/>
                <w:color w:val="auto"/>
                <w:szCs w:val="21"/>
              </w:rPr>
              <w:br w:type="textWrapping"/>
            </w:r>
            <w:r>
              <w:rPr>
                <w:rFonts w:hint="eastAsia" w:ascii="黑体" w:hAnsi="黑体" w:eastAsia="黑体"/>
                <w:color w:val="auto"/>
                <w:szCs w:val="21"/>
              </w:rPr>
              <w:t>大写：人民币</w:t>
            </w:r>
            <w:r>
              <w:rPr>
                <w:rFonts w:hint="eastAsia" w:ascii="黑体" w:hAnsi="黑体" w:eastAsia="黑体"/>
                <w:color w:val="auto"/>
                <w:szCs w:val="21"/>
                <w:u w:val="single"/>
              </w:rPr>
              <w:t>肆拾壹万陆仟元整</w:t>
            </w:r>
          </w:p>
        </w:tc>
        <w:tc>
          <w:tcPr>
            <w:tcW w:w="1504" w:type="pct"/>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每人每年：</w:t>
            </w:r>
            <w:r>
              <w:rPr>
                <w:rFonts w:hint="eastAsia" w:ascii="黑体" w:hAnsi="黑体" w:eastAsia="黑体"/>
                <w:color w:val="auto"/>
                <w:szCs w:val="21"/>
                <w:u w:val="single"/>
              </w:rPr>
              <w:t>5,2000.00</w:t>
            </w:r>
            <w:r>
              <w:rPr>
                <w:rFonts w:hint="eastAsia" w:ascii="黑体" w:hAnsi="黑体" w:eastAsia="黑体"/>
                <w:color w:val="auto"/>
                <w:szCs w:val="21"/>
              </w:rPr>
              <w:t>元</w:t>
            </w:r>
            <w:r>
              <w:rPr>
                <w:rFonts w:hint="eastAsia" w:ascii="黑体" w:hAnsi="黑体" w:eastAsia="黑体"/>
                <w:color w:val="auto"/>
                <w:szCs w:val="21"/>
              </w:rPr>
              <w:br w:type="textWrapping"/>
            </w:r>
            <w:r>
              <w:rPr>
                <w:rFonts w:hint="eastAsia" w:ascii="黑体" w:hAnsi="黑体" w:eastAsia="黑体"/>
                <w:color w:val="auto"/>
                <w:szCs w:val="21"/>
              </w:rPr>
              <w:t>（不少于8人）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jc w:val="center"/>
        </w:trPr>
        <w:tc>
          <w:tcPr>
            <w:tcW w:w="342" w:type="pct"/>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2</w:t>
            </w:r>
          </w:p>
        </w:tc>
        <w:tc>
          <w:tcPr>
            <w:tcW w:w="1147" w:type="pct"/>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膳食配送供应服务</w:t>
            </w:r>
          </w:p>
        </w:tc>
        <w:tc>
          <w:tcPr>
            <w:tcW w:w="2005" w:type="pct"/>
            <w:tcBorders>
              <w:top w:val="single" w:color="auto" w:sz="4" w:space="0"/>
              <w:left w:val="single" w:color="auto" w:sz="4" w:space="0"/>
              <w:bottom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rPr>
              <w:t>小写：￥</w:t>
            </w:r>
            <w:r>
              <w:rPr>
                <w:rFonts w:ascii="黑体" w:hAnsi="黑体" w:eastAsia="黑体"/>
                <w:color w:val="auto"/>
                <w:u w:val="single"/>
              </w:rPr>
              <w:t>456</w:t>
            </w:r>
            <w:r>
              <w:rPr>
                <w:rFonts w:hint="eastAsia" w:ascii="黑体" w:hAnsi="黑体" w:eastAsia="黑体"/>
                <w:color w:val="auto"/>
                <w:u w:val="single"/>
              </w:rPr>
              <w:t>,</w:t>
            </w:r>
            <w:r>
              <w:rPr>
                <w:rFonts w:ascii="黑体" w:hAnsi="黑体" w:eastAsia="黑体"/>
                <w:color w:val="auto"/>
                <w:u w:val="single"/>
              </w:rPr>
              <w:t>0</w:t>
            </w:r>
            <w:r>
              <w:rPr>
                <w:rFonts w:hint="eastAsia" w:ascii="黑体" w:hAnsi="黑体" w:eastAsia="黑体"/>
                <w:color w:val="auto"/>
                <w:u w:val="single"/>
              </w:rPr>
              <w:t>00.00</w:t>
            </w:r>
            <w:r>
              <w:rPr>
                <w:rFonts w:hint="eastAsia" w:ascii="黑体" w:hAnsi="黑体" w:eastAsia="黑体"/>
                <w:color w:val="auto"/>
                <w:u w:val="single"/>
              </w:rPr>
              <w:br w:type="textWrapping"/>
            </w:r>
            <w:r>
              <w:rPr>
                <w:rFonts w:hint="eastAsia" w:ascii="黑体" w:hAnsi="黑体" w:eastAsia="黑体"/>
                <w:color w:val="auto"/>
              </w:rPr>
              <w:t>大写：人民币</w:t>
            </w:r>
            <w:r>
              <w:rPr>
                <w:rFonts w:hint="eastAsia" w:ascii="黑体" w:hAnsi="黑体" w:eastAsia="黑体"/>
                <w:color w:val="auto"/>
                <w:u w:val="single"/>
              </w:rPr>
              <w:t>肆拾伍万陆仟元整</w:t>
            </w:r>
          </w:p>
        </w:tc>
        <w:tc>
          <w:tcPr>
            <w:tcW w:w="1504" w:type="pct"/>
            <w:tcBorders>
              <w:top w:val="single" w:color="auto" w:sz="4" w:space="0"/>
              <w:left w:val="single" w:color="auto" w:sz="4" w:space="0"/>
              <w:right w:val="single" w:color="auto" w:sz="4" w:space="0"/>
            </w:tcBorders>
            <w:vAlign w:val="center"/>
          </w:tcPr>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 xml:space="preserve">  用餐费用标准：</w:t>
            </w:r>
          </w:p>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（1）早餐：5元/人</w:t>
            </w:r>
          </w:p>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（2）午餐：12元/人</w:t>
            </w:r>
          </w:p>
          <w:p>
            <w:pPr>
              <w:overflowPunct w:val="0"/>
              <w:adjustRightInd w:val="0"/>
              <w:spacing w:line="460" w:lineRule="exact"/>
              <w:jc w:val="center"/>
              <w:rPr>
                <w:rFonts w:ascii="黑体" w:hAnsi="黑体" w:eastAsia="黑体"/>
                <w:color w:val="auto"/>
                <w:szCs w:val="21"/>
              </w:rPr>
            </w:pPr>
            <w:r>
              <w:rPr>
                <w:rFonts w:hint="eastAsia" w:ascii="黑体" w:hAnsi="黑体" w:eastAsia="黑体"/>
                <w:color w:val="auto"/>
                <w:szCs w:val="21"/>
              </w:rPr>
              <w:t>（3）晚餐：12元/人</w:t>
            </w:r>
          </w:p>
        </w:tc>
      </w:tr>
    </w:tbl>
    <w:p>
      <w:pPr>
        <w:spacing w:before="312" w:beforeLines="100" w:line="360" w:lineRule="auto"/>
        <w:rPr>
          <w:rFonts w:ascii="黑体" w:hAnsi="黑体" w:eastAsia="黑体"/>
          <w:color w:val="auto"/>
          <w:szCs w:val="21"/>
        </w:rPr>
      </w:pPr>
      <w:r>
        <w:rPr>
          <w:rFonts w:hint="eastAsia" w:ascii="黑体" w:hAnsi="黑体" w:eastAsia="黑体"/>
          <w:color w:val="auto"/>
          <w:szCs w:val="21"/>
        </w:rPr>
        <w:t>注明：</w:t>
      </w:r>
    </w:p>
    <w:p>
      <w:pPr>
        <w:pStyle w:val="30"/>
        <w:numPr>
          <w:ilvl w:val="0"/>
          <w:numId w:val="96"/>
        </w:numPr>
        <w:spacing w:line="360" w:lineRule="auto"/>
        <w:ind w:firstLineChars="0"/>
        <w:rPr>
          <w:rFonts w:ascii="黑体" w:hAnsi="黑体" w:eastAsia="黑体"/>
          <w:color w:val="auto"/>
          <w:szCs w:val="21"/>
        </w:rPr>
      </w:pPr>
      <w:r>
        <w:rPr>
          <w:rFonts w:hint="eastAsia" w:ascii="黑体" w:hAnsi="黑体" w:eastAsia="黑体"/>
          <w:color w:val="auto"/>
          <w:szCs w:val="21"/>
        </w:rPr>
        <w:t>投标总价栏须用文字和数字两种方式表示的投标总价。</w:t>
      </w:r>
    </w:p>
    <w:p>
      <w:pPr>
        <w:pStyle w:val="30"/>
        <w:numPr>
          <w:ilvl w:val="0"/>
          <w:numId w:val="96"/>
        </w:numPr>
        <w:spacing w:line="360" w:lineRule="auto"/>
        <w:ind w:firstLineChars="0"/>
        <w:rPr>
          <w:rFonts w:ascii="黑体" w:hAnsi="黑体" w:eastAsia="黑体"/>
          <w:color w:val="auto"/>
          <w:szCs w:val="21"/>
        </w:rPr>
      </w:pPr>
      <w:r>
        <w:rPr>
          <w:rFonts w:hint="eastAsia" w:ascii="黑体" w:hAnsi="黑体" w:eastAsia="黑体"/>
          <w:color w:val="auto"/>
          <w:szCs w:val="21"/>
        </w:rPr>
        <w:t>开标一览表内容与投标文件中相应内容不一致的，以开标一览表为准。</w:t>
      </w:r>
    </w:p>
    <w:p>
      <w:pPr>
        <w:pStyle w:val="30"/>
        <w:numPr>
          <w:ilvl w:val="0"/>
          <w:numId w:val="96"/>
        </w:numPr>
        <w:spacing w:line="360" w:lineRule="auto"/>
        <w:ind w:firstLineChars="0"/>
        <w:rPr>
          <w:rFonts w:ascii="黑体" w:hAnsi="黑体" w:eastAsia="黑体"/>
          <w:color w:val="auto"/>
          <w:szCs w:val="21"/>
        </w:rPr>
      </w:pPr>
      <w:r>
        <w:rPr>
          <w:rFonts w:hint="eastAsia" w:ascii="黑体" w:hAnsi="黑体" w:eastAsia="黑体"/>
          <w:color w:val="auto"/>
          <w:szCs w:val="21"/>
        </w:rPr>
        <w:t>大写金额和小写金额不一致的，以大写金额为准。</w:t>
      </w:r>
    </w:p>
    <w:p>
      <w:pPr>
        <w:pStyle w:val="30"/>
        <w:numPr>
          <w:ilvl w:val="0"/>
          <w:numId w:val="96"/>
        </w:numPr>
        <w:spacing w:line="360" w:lineRule="auto"/>
        <w:ind w:firstLineChars="0"/>
        <w:rPr>
          <w:rFonts w:ascii="黑体" w:hAnsi="黑体" w:eastAsia="黑体"/>
          <w:color w:val="auto"/>
          <w:szCs w:val="21"/>
          <w:highlight w:val="yellow"/>
        </w:rPr>
      </w:pPr>
      <w:r>
        <w:rPr>
          <w:rFonts w:hint="eastAsia" w:ascii="黑体" w:hAnsi="黑体" w:eastAsia="黑体"/>
          <w:color w:val="auto"/>
          <w:szCs w:val="21"/>
          <w:highlight w:val="yellow"/>
        </w:rPr>
        <w:t>本报价为固定总报价，投标人不可修改报价，如超上限价将被视为无效报价。</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2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29" w:type="dxa"/>
          </w:tcPr>
          <w:p>
            <w:pPr>
              <w:overflowPunct w:val="0"/>
              <w:adjustRightInd w:val="0"/>
              <w:spacing w:line="48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r>
              <w:rPr>
                <w:rFonts w:hint="eastAsia" w:ascii="黑体" w:hAnsi="黑体" w:eastAsia="黑体"/>
                <w:color w:val="auto"/>
                <w:szCs w:val="21"/>
                <w:u w:val="single"/>
              </w:rPr>
              <w:t xml:space="preserve">                    </w:t>
            </w:r>
          </w:p>
        </w:tc>
        <w:tc>
          <w:tcPr>
            <w:tcW w:w="1899" w:type="dxa"/>
          </w:tcPr>
          <w:p>
            <w:pPr>
              <w:spacing w:line="48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29" w:type="dxa"/>
          </w:tcPr>
          <w:p>
            <w:pPr>
              <w:spacing w:line="480" w:lineRule="auto"/>
              <w:rPr>
                <w:rFonts w:ascii="黑体" w:hAnsi="黑体" w:eastAsia="黑体"/>
                <w:color w:val="auto"/>
                <w:szCs w:val="21"/>
              </w:rPr>
            </w:pPr>
            <w:r>
              <w:rPr>
                <w:rFonts w:hint="eastAsia" w:ascii="黑体" w:hAnsi="黑体" w:eastAsia="黑体"/>
                <w:color w:val="auto"/>
                <w:szCs w:val="21"/>
              </w:rPr>
              <w:t>投标人法定代表人或被授权人（签名或盖私章）：</w:t>
            </w:r>
            <w:r>
              <w:rPr>
                <w:rFonts w:ascii="黑体" w:hAnsi="黑体" w:eastAsia="黑体"/>
                <w:color w:val="auto"/>
                <w:szCs w:val="21"/>
                <w:u w:val="single"/>
              </w:rPr>
              <w:t xml:space="preserve">     </w:t>
            </w:r>
            <w:r>
              <w:rPr>
                <w:rFonts w:hint="eastAsia" w:ascii="黑体" w:hAnsi="黑体" w:eastAsia="黑体"/>
                <w:color w:val="auto"/>
                <w:szCs w:val="21"/>
                <w:u w:val="single"/>
              </w:rPr>
              <w:t xml:space="preserve">             </w:t>
            </w:r>
          </w:p>
        </w:tc>
        <w:tc>
          <w:tcPr>
            <w:tcW w:w="1899" w:type="dxa"/>
          </w:tcPr>
          <w:p>
            <w:pPr>
              <w:spacing w:line="48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29" w:type="dxa"/>
          </w:tcPr>
          <w:p>
            <w:pPr>
              <w:spacing w:line="48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1899" w:type="dxa"/>
          </w:tcPr>
          <w:p>
            <w:pPr>
              <w:spacing w:line="480" w:lineRule="auto"/>
              <w:rPr>
                <w:rFonts w:ascii="黑体" w:hAnsi="黑体" w:eastAsia="黑体"/>
                <w:color w:val="auto"/>
                <w:szCs w:val="21"/>
              </w:rPr>
            </w:pPr>
          </w:p>
        </w:tc>
      </w:tr>
    </w:tbl>
    <w:p>
      <w:pPr>
        <w:spacing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71" w:name="_Toc405313959"/>
      <w:bookmarkStart w:id="72" w:name="_Toc90980559"/>
      <w:bookmarkStart w:id="73" w:name="_Toc391627755"/>
      <w:r>
        <w:rPr>
          <w:rStyle w:val="23"/>
          <w:rFonts w:hint="eastAsia" w:ascii="黑体" w:hAnsi="黑体" w:eastAsia="黑体"/>
          <w:b/>
          <w:bCs/>
          <w:color w:val="auto"/>
          <w:spacing w:val="12"/>
          <w:sz w:val="21"/>
          <w:szCs w:val="21"/>
        </w:rPr>
        <w:t>投标</w:t>
      </w:r>
      <w:r>
        <w:rPr>
          <w:rStyle w:val="23"/>
          <w:rFonts w:hint="eastAsia" w:ascii="黑体" w:hAnsi="黑体" w:eastAsia="黑体"/>
          <w:b/>
          <w:bCs w:val="0"/>
          <w:color w:val="auto"/>
          <w:spacing w:val="12"/>
          <w:sz w:val="21"/>
          <w:szCs w:val="21"/>
        </w:rPr>
        <w:t>明细</w:t>
      </w:r>
      <w:r>
        <w:rPr>
          <w:rStyle w:val="23"/>
          <w:rFonts w:hint="eastAsia" w:ascii="黑体" w:hAnsi="黑体" w:eastAsia="黑体"/>
          <w:b/>
          <w:bCs/>
          <w:color w:val="auto"/>
          <w:spacing w:val="12"/>
          <w:sz w:val="21"/>
          <w:szCs w:val="21"/>
        </w:rPr>
        <w:t>报价表</w:t>
      </w:r>
      <w:bookmarkEnd w:id="71"/>
      <w:bookmarkEnd w:id="72"/>
      <w:bookmarkEnd w:id="73"/>
    </w:p>
    <w:p>
      <w:pPr>
        <w:spacing w:before="624" w:beforeLines="200" w:after="312" w:afterLines="100" w:line="360" w:lineRule="auto"/>
        <w:jc w:val="center"/>
        <w:rPr>
          <w:rFonts w:ascii="黑体" w:hAnsi="黑体" w:eastAsia="黑体"/>
          <w:b/>
          <w:color w:val="auto"/>
          <w:spacing w:val="20"/>
          <w:sz w:val="28"/>
          <w:szCs w:val="28"/>
        </w:rPr>
      </w:pPr>
      <w:r>
        <w:rPr>
          <w:rFonts w:hint="eastAsia" w:ascii="黑体" w:hAnsi="黑体" w:eastAsia="黑体"/>
          <w:b/>
          <w:color w:val="auto"/>
          <w:spacing w:val="20"/>
          <w:sz w:val="28"/>
          <w:szCs w:val="28"/>
        </w:rPr>
        <w:t>投标明细报价表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2637"/>
        <w:gridCol w:w="873"/>
        <w:gridCol w:w="1420"/>
        <w:gridCol w:w="1112"/>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b/>
                <w:color w:val="auto"/>
                <w:szCs w:val="21"/>
              </w:rPr>
            </w:pPr>
            <w:r>
              <w:rPr>
                <w:rFonts w:hint="eastAsia" w:ascii="黑体" w:hAnsi="黑体" w:eastAsia="黑体"/>
                <w:b/>
                <w:color w:val="auto"/>
                <w:szCs w:val="21"/>
              </w:rPr>
              <w:t>序号</w:t>
            </w:r>
          </w:p>
        </w:tc>
        <w:tc>
          <w:tcPr>
            <w:tcW w:w="1504" w:type="pct"/>
            <w:vAlign w:val="center"/>
          </w:tcPr>
          <w:p>
            <w:pPr>
              <w:jc w:val="center"/>
              <w:rPr>
                <w:rFonts w:ascii="黑体" w:hAnsi="黑体" w:eastAsia="黑体"/>
                <w:b/>
                <w:color w:val="auto"/>
                <w:szCs w:val="21"/>
              </w:rPr>
            </w:pPr>
            <w:r>
              <w:rPr>
                <w:rFonts w:hint="eastAsia" w:ascii="黑体" w:hAnsi="黑体" w:eastAsia="黑体"/>
                <w:b/>
                <w:color w:val="auto"/>
                <w:szCs w:val="21"/>
              </w:rPr>
              <w:t>费用名称</w:t>
            </w:r>
          </w:p>
        </w:tc>
        <w:tc>
          <w:tcPr>
            <w:tcW w:w="498" w:type="pct"/>
            <w:vAlign w:val="center"/>
          </w:tcPr>
          <w:p>
            <w:pPr>
              <w:jc w:val="center"/>
              <w:rPr>
                <w:rFonts w:ascii="黑体" w:hAnsi="黑体" w:eastAsia="黑体"/>
                <w:b/>
                <w:color w:val="auto"/>
                <w:szCs w:val="21"/>
              </w:rPr>
            </w:pPr>
            <w:r>
              <w:rPr>
                <w:rFonts w:hint="eastAsia" w:ascii="黑体" w:hAnsi="黑体" w:eastAsia="黑体"/>
                <w:b/>
                <w:color w:val="auto"/>
                <w:szCs w:val="21"/>
              </w:rPr>
              <w:t>单位</w:t>
            </w:r>
          </w:p>
        </w:tc>
        <w:tc>
          <w:tcPr>
            <w:tcW w:w="810" w:type="pct"/>
            <w:vAlign w:val="center"/>
          </w:tcPr>
          <w:p>
            <w:pPr>
              <w:jc w:val="center"/>
              <w:rPr>
                <w:rFonts w:ascii="黑体" w:hAnsi="黑体" w:eastAsia="黑体"/>
                <w:b/>
                <w:color w:val="auto"/>
                <w:szCs w:val="21"/>
              </w:rPr>
            </w:pPr>
            <w:r>
              <w:rPr>
                <w:rFonts w:hint="eastAsia" w:ascii="黑体" w:hAnsi="黑体" w:eastAsia="黑体"/>
                <w:b/>
                <w:color w:val="auto"/>
                <w:szCs w:val="21"/>
              </w:rPr>
              <w:t>单价（元）</w:t>
            </w:r>
          </w:p>
        </w:tc>
        <w:tc>
          <w:tcPr>
            <w:tcW w:w="634" w:type="pct"/>
            <w:vAlign w:val="center"/>
          </w:tcPr>
          <w:p>
            <w:pPr>
              <w:jc w:val="center"/>
              <w:rPr>
                <w:rFonts w:ascii="黑体" w:hAnsi="黑体" w:eastAsia="黑体"/>
                <w:b/>
                <w:color w:val="auto"/>
                <w:szCs w:val="21"/>
              </w:rPr>
            </w:pPr>
            <w:r>
              <w:rPr>
                <w:rFonts w:hint="eastAsia" w:ascii="黑体" w:hAnsi="黑体" w:eastAsia="黑体"/>
                <w:b/>
                <w:color w:val="auto"/>
                <w:szCs w:val="21"/>
              </w:rPr>
              <w:t>数量</w:t>
            </w:r>
          </w:p>
        </w:tc>
        <w:tc>
          <w:tcPr>
            <w:tcW w:w="1152" w:type="pct"/>
            <w:vAlign w:val="center"/>
          </w:tcPr>
          <w:p>
            <w:pPr>
              <w:jc w:val="center"/>
              <w:rPr>
                <w:rFonts w:ascii="黑体" w:hAnsi="黑体" w:eastAsia="黑体"/>
                <w:b/>
                <w:color w:val="auto"/>
                <w:szCs w:val="21"/>
              </w:rPr>
            </w:pPr>
            <w:r>
              <w:rPr>
                <w:rFonts w:hint="eastAsia" w:ascii="黑体" w:hAnsi="黑体" w:eastAsia="黑体"/>
                <w:b/>
                <w:color w:val="auto"/>
                <w:szCs w:val="21"/>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color w:val="auto"/>
                <w:szCs w:val="21"/>
              </w:rPr>
            </w:pPr>
          </w:p>
        </w:tc>
        <w:tc>
          <w:tcPr>
            <w:tcW w:w="1504" w:type="pct"/>
            <w:vAlign w:val="center"/>
          </w:tcPr>
          <w:p>
            <w:pPr>
              <w:rPr>
                <w:rFonts w:ascii="黑体" w:hAnsi="黑体" w:eastAsia="黑体"/>
                <w:color w:val="auto"/>
                <w:szCs w:val="21"/>
              </w:rPr>
            </w:pPr>
          </w:p>
        </w:tc>
        <w:tc>
          <w:tcPr>
            <w:tcW w:w="498" w:type="pct"/>
            <w:vAlign w:val="center"/>
          </w:tcPr>
          <w:p>
            <w:pPr>
              <w:jc w:val="center"/>
              <w:rPr>
                <w:rFonts w:ascii="黑体" w:hAnsi="黑体" w:eastAsia="黑体"/>
                <w:color w:val="auto"/>
                <w:szCs w:val="21"/>
              </w:rPr>
            </w:pPr>
          </w:p>
        </w:tc>
        <w:tc>
          <w:tcPr>
            <w:tcW w:w="810" w:type="pct"/>
            <w:vAlign w:val="center"/>
          </w:tcPr>
          <w:p>
            <w:pPr>
              <w:jc w:val="center"/>
              <w:rPr>
                <w:rFonts w:ascii="黑体" w:hAnsi="黑体" w:eastAsia="黑体"/>
                <w:color w:val="auto"/>
                <w:szCs w:val="21"/>
              </w:rPr>
            </w:pPr>
          </w:p>
        </w:tc>
        <w:tc>
          <w:tcPr>
            <w:tcW w:w="634" w:type="pct"/>
            <w:vAlign w:val="center"/>
          </w:tcPr>
          <w:p>
            <w:pPr>
              <w:jc w:val="center"/>
              <w:rPr>
                <w:rFonts w:ascii="黑体" w:hAnsi="黑体" w:eastAsia="黑体"/>
                <w:color w:val="auto"/>
                <w:szCs w:val="21"/>
              </w:rPr>
            </w:pPr>
          </w:p>
        </w:tc>
        <w:tc>
          <w:tcPr>
            <w:tcW w:w="1152"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color w:val="auto"/>
                <w:szCs w:val="21"/>
              </w:rPr>
            </w:pPr>
          </w:p>
        </w:tc>
        <w:tc>
          <w:tcPr>
            <w:tcW w:w="1504" w:type="pct"/>
            <w:vAlign w:val="center"/>
          </w:tcPr>
          <w:p>
            <w:pPr>
              <w:rPr>
                <w:rFonts w:ascii="黑体" w:hAnsi="黑体" w:eastAsia="黑体"/>
                <w:color w:val="auto"/>
                <w:szCs w:val="21"/>
              </w:rPr>
            </w:pPr>
          </w:p>
        </w:tc>
        <w:tc>
          <w:tcPr>
            <w:tcW w:w="498" w:type="pct"/>
            <w:vAlign w:val="center"/>
          </w:tcPr>
          <w:p>
            <w:pPr>
              <w:jc w:val="center"/>
              <w:rPr>
                <w:rFonts w:ascii="黑体" w:hAnsi="黑体" w:eastAsia="黑体"/>
                <w:color w:val="auto"/>
                <w:szCs w:val="21"/>
              </w:rPr>
            </w:pPr>
          </w:p>
        </w:tc>
        <w:tc>
          <w:tcPr>
            <w:tcW w:w="810" w:type="pct"/>
            <w:vAlign w:val="center"/>
          </w:tcPr>
          <w:p>
            <w:pPr>
              <w:jc w:val="center"/>
              <w:rPr>
                <w:rFonts w:ascii="黑体" w:hAnsi="黑体" w:eastAsia="黑体"/>
                <w:color w:val="auto"/>
                <w:szCs w:val="21"/>
              </w:rPr>
            </w:pPr>
          </w:p>
        </w:tc>
        <w:tc>
          <w:tcPr>
            <w:tcW w:w="634" w:type="pct"/>
            <w:vAlign w:val="center"/>
          </w:tcPr>
          <w:p>
            <w:pPr>
              <w:jc w:val="center"/>
              <w:rPr>
                <w:rFonts w:ascii="黑体" w:hAnsi="黑体" w:eastAsia="黑体"/>
                <w:color w:val="auto"/>
                <w:szCs w:val="21"/>
              </w:rPr>
            </w:pPr>
          </w:p>
        </w:tc>
        <w:tc>
          <w:tcPr>
            <w:tcW w:w="1152"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color w:val="auto"/>
                <w:szCs w:val="21"/>
              </w:rPr>
            </w:pPr>
          </w:p>
        </w:tc>
        <w:tc>
          <w:tcPr>
            <w:tcW w:w="1504" w:type="pct"/>
            <w:vAlign w:val="center"/>
          </w:tcPr>
          <w:p>
            <w:pPr>
              <w:rPr>
                <w:rFonts w:ascii="黑体" w:hAnsi="黑体" w:eastAsia="黑体"/>
                <w:color w:val="auto"/>
                <w:szCs w:val="21"/>
              </w:rPr>
            </w:pPr>
          </w:p>
        </w:tc>
        <w:tc>
          <w:tcPr>
            <w:tcW w:w="498" w:type="pct"/>
            <w:vAlign w:val="center"/>
          </w:tcPr>
          <w:p>
            <w:pPr>
              <w:jc w:val="center"/>
              <w:rPr>
                <w:rFonts w:ascii="黑体" w:hAnsi="黑体" w:eastAsia="黑体"/>
                <w:color w:val="auto"/>
                <w:szCs w:val="21"/>
              </w:rPr>
            </w:pPr>
          </w:p>
        </w:tc>
        <w:tc>
          <w:tcPr>
            <w:tcW w:w="810" w:type="pct"/>
            <w:vAlign w:val="center"/>
          </w:tcPr>
          <w:p>
            <w:pPr>
              <w:jc w:val="center"/>
              <w:rPr>
                <w:rFonts w:ascii="黑体" w:hAnsi="黑体" w:eastAsia="黑体"/>
                <w:color w:val="auto"/>
                <w:szCs w:val="21"/>
              </w:rPr>
            </w:pPr>
          </w:p>
        </w:tc>
        <w:tc>
          <w:tcPr>
            <w:tcW w:w="634" w:type="pct"/>
            <w:vAlign w:val="center"/>
          </w:tcPr>
          <w:p>
            <w:pPr>
              <w:jc w:val="center"/>
              <w:rPr>
                <w:rFonts w:ascii="黑体" w:hAnsi="黑体" w:eastAsia="黑体"/>
                <w:color w:val="auto"/>
                <w:szCs w:val="21"/>
              </w:rPr>
            </w:pPr>
          </w:p>
        </w:tc>
        <w:tc>
          <w:tcPr>
            <w:tcW w:w="1152"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color w:val="auto"/>
                <w:szCs w:val="21"/>
              </w:rPr>
            </w:pPr>
          </w:p>
        </w:tc>
        <w:tc>
          <w:tcPr>
            <w:tcW w:w="1504" w:type="pct"/>
            <w:vAlign w:val="center"/>
          </w:tcPr>
          <w:p>
            <w:pPr>
              <w:rPr>
                <w:rFonts w:ascii="黑体" w:hAnsi="黑体" w:eastAsia="黑体"/>
                <w:color w:val="auto"/>
                <w:szCs w:val="21"/>
              </w:rPr>
            </w:pPr>
          </w:p>
        </w:tc>
        <w:tc>
          <w:tcPr>
            <w:tcW w:w="498" w:type="pct"/>
            <w:vAlign w:val="center"/>
          </w:tcPr>
          <w:p>
            <w:pPr>
              <w:jc w:val="center"/>
              <w:rPr>
                <w:rFonts w:ascii="黑体" w:hAnsi="黑体" w:eastAsia="黑体"/>
                <w:color w:val="auto"/>
                <w:szCs w:val="21"/>
              </w:rPr>
            </w:pPr>
          </w:p>
        </w:tc>
        <w:tc>
          <w:tcPr>
            <w:tcW w:w="810" w:type="pct"/>
            <w:vAlign w:val="center"/>
          </w:tcPr>
          <w:p>
            <w:pPr>
              <w:jc w:val="center"/>
              <w:rPr>
                <w:rFonts w:ascii="黑体" w:hAnsi="黑体" w:eastAsia="黑体"/>
                <w:color w:val="auto"/>
                <w:szCs w:val="21"/>
              </w:rPr>
            </w:pPr>
          </w:p>
        </w:tc>
        <w:tc>
          <w:tcPr>
            <w:tcW w:w="634" w:type="pct"/>
            <w:vAlign w:val="center"/>
          </w:tcPr>
          <w:p>
            <w:pPr>
              <w:jc w:val="center"/>
              <w:rPr>
                <w:rFonts w:ascii="黑体" w:hAnsi="黑体" w:eastAsia="黑体"/>
                <w:color w:val="auto"/>
                <w:szCs w:val="21"/>
              </w:rPr>
            </w:pPr>
          </w:p>
        </w:tc>
        <w:tc>
          <w:tcPr>
            <w:tcW w:w="1152"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color w:val="auto"/>
                <w:szCs w:val="21"/>
              </w:rPr>
            </w:pPr>
          </w:p>
        </w:tc>
        <w:tc>
          <w:tcPr>
            <w:tcW w:w="1504" w:type="pct"/>
            <w:vAlign w:val="center"/>
          </w:tcPr>
          <w:p>
            <w:pPr>
              <w:rPr>
                <w:rFonts w:ascii="黑体" w:hAnsi="黑体" w:eastAsia="黑体"/>
                <w:color w:val="auto"/>
                <w:szCs w:val="21"/>
              </w:rPr>
            </w:pPr>
          </w:p>
        </w:tc>
        <w:tc>
          <w:tcPr>
            <w:tcW w:w="498" w:type="pct"/>
            <w:vAlign w:val="center"/>
          </w:tcPr>
          <w:p>
            <w:pPr>
              <w:jc w:val="center"/>
              <w:rPr>
                <w:rFonts w:ascii="黑体" w:hAnsi="黑体" w:eastAsia="黑体"/>
                <w:color w:val="auto"/>
                <w:szCs w:val="21"/>
              </w:rPr>
            </w:pPr>
          </w:p>
        </w:tc>
        <w:tc>
          <w:tcPr>
            <w:tcW w:w="810" w:type="pct"/>
            <w:vAlign w:val="center"/>
          </w:tcPr>
          <w:p>
            <w:pPr>
              <w:jc w:val="center"/>
              <w:rPr>
                <w:rFonts w:ascii="黑体" w:hAnsi="黑体" w:eastAsia="黑体"/>
                <w:color w:val="auto"/>
                <w:szCs w:val="21"/>
              </w:rPr>
            </w:pPr>
          </w:p>
        </w:tc>
        <w:tc>
          <w:tcPr>
            <w:tcW w:w="634" w:type="pct"/>
            <w:vAlign w:val="center"/>
          </w:tcPr>
          <w:p>
            <w:pPr>
              <w:jc w:val="center"/>
              <w:rPr>
                <w:rFonts w:ascii="黑体" w:hAnsi="黑体" w:eastAsia="黑体"/>
                <w:color w:val="auto"/>
                <w:szCs w:val="21"/>
              </w:rPr>
            </w:pPr>
          </w:p>
        </w:tc>
        <w:tc>
          <w:tcPr>
            <w:tcW w:w="1152"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color w:val="auto"/>
                <w:szCs w:val="21"/>
              </w:rPr>
            </w:pPr>
          </w:p>
        </w:tc>
        <w:tc>
          <w:tcPr>
            <w:tcW w:w="1504" w:type="pct"/>
            <w:vAlign w:val="center"/>
          </w:tcPr>
          <w:p>
            <w:pPr>
              <w:rPr>
                <w:rFonts w:ascii="黑体" w:hAnsi="黑体" w:eastAsia="黑体"/>
                <w:color w:val="auto"/>
                <w:szCs w:val="21"/>
              </w:rPr>
            </w:pPr>
          </w:p>
        </w:tc>
        <w:tc>
          <w:tcPr>
            <w:tcW w:w="498" w:type="pct"/>
            <w:vAlign w:val="center"/>
          </w:tcPr>
          <w:p>
            <w:pPr>
              <w:jc w:val="center"/>
              <w:rPr>
                <w:rFonts w:ascii="黑体" w:hAnsi="黑体" w:eastAsia="黑体"/>
                <w:color w:val="auto"/>
                <w:szCs w:val="21"/>
              </w:rPr>
            </w:pPr>
          </w:p>
        </w:tc>
        <w:tc>
          <w:tcPr>
            <w:tcW w:w="810" w:type="pct"/>
            <w:vAlign w:val="center"/>
          </w:tcPr>
          <w:p>
            <w:pPr>
              <w:jc w:val="center"/>
              <w:rPr>
                <w:rFonts w:ascii="黑体" w:hAnsi="黑体" w:eastAsia="黑体"/>
                <w:color w:val="auto"/>
                <w:szCs w:val="21"/>
              </w:rPr>
            </w:pPr>
          </w:p>
        </w:tc>
        <w:tc>
          <w:tcPr>
            <w:tcW w:w="634" w:type="pct"/>
            <w:vAlign w:val="center"/>
          </w:tcPr>
          <w:p>
            <w:pPr>
              <w:jc w:val="center"/>
              <w:rPr>
                <w:rFonts w:ascii="黑体" w:hAnsi="黑体" w:eastAsia="黑体"/>
                <w:color w:val="auto"/>
                <w:szCs w:val="21"/>
              </w:rPr>
            </w:pPr>
          </w:p>
        </w:tc>
        <w:tc>
          <w:tcPr>
            <w:tcW w:w="1152"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2" w:type="pct"/>
            <w:vAlign w:val="center"/>
          </w:tcPr>
          <w:p>
            <w:pPr>
              <w:jc w:val="center"/>
              <w:rPr>
                <w:rFonts w:ascii="黑体" w:hAnsi="黑体" w:eastAsia="黑体"/>
                <w:color w:val="auto"/>
                <w:szCs w:val="21"/>
              </w:rPr>
            </w:pPr>
          </w:p>
        </w:tc>
        <w:tc>
          <w:tcPr>
            <w:tcW w:w="1504" w:type="pct"/>
            <w:vAlign w:val="center"/>
          </w:tcPr>
          <w:p>
            <w:pPr>
              <w:rPr>
                <w:rFonts w:ascii="黑体" w:hAnsi="黑体" w:eastAsia="黑体"/>
                <w:color w:val="auto"/>
                <w:szCs w:val="21"/>
              </w:rPr>
            </w:pPr>
          </w:p>
        </w:tc>
        <w:tc>
          <w:tcPr>
            <w:tcW w:w="498" w:type="pct"/>
            <w:vAlign w:val="center"/>
          </w:tcPr>
          <w:p>
            <w:pPr>
              <w:jc w:val="center"/>
              <w:rPr>
                <w:rFonts w:ascii="黑体" w:hAnsi="黑体" w:eastAsia="黑体"/>
                <w:color w:val="auto"/>
                <w:szCs w:val="21"/>
              </w:rPr>
            </w:pPr>
          </w:p>
        </w:tc>
        <w:tc>
          <w:tcPr>
            <w:tcW w:w="810" w:type="pct"/>
            <w:vAlign w:val="center"/>
          </w:tcPr>
          <w:p>
            <w:pPr>
              <w:jc w:val="center"/>
              <w:rPr>
                <w:rFonts w:ascii="黑体" w:hAnsi="黑体" w:eastAsia="黑体"/>
                <w:color w:val="auto"/>
                <w:szCs w:val="21"/>
              </w:rPr>
            </w:pPr>
          </w:p>
        </w:tc>
        <w:tc>
          <w:tcPr>
            <w:tcW w:w="634" w:type="pct"/>
            <w:vAlign w:val="center"/>
          </w:tcPr>
          <w:p>
            <w:pPr>
              <w:jc w:val="center"/>
              <w:rPr>
                <w:rFonts w:ascii="黑体" w:hAnsi="黑体" w:eastAsia="黑体"/>
                <w:color w:val="auto"/>
                <w:szCs w:val="21"/>
              </w:rPr>
            </w:pPr>
          </w:p>
        </w:tc>
        <w:tc>
          <w:tcPr>
            <w:tcW w:w="1152"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404" w:type="pct"/>
            <w:gridSpan w:val="3"/>
            <w:vAlign w:val="center"/>
          </w:tcPr>
          <w:p>
            <w:pPr>
              <w:jc w:val="center"/>
              <w:rPr>
                <w:rFonts w:ascii="黑体" w:hAnsi="黑体" w:eastAsia="黑体"/>
                <w:b/>
                <w:color w:val="auto"/>
                <w:szCs w:val="21"/>
              </w:rPr>
            </w:pPr>
            <w:r>
              <w:rPr>
                <w:rFonts w:hint="eastAsia" w:ascii="黑体" w:hAnsi="黑体" w:eastAsia="黑体"/>
                <w:b/>
                <w:color w:val="auto"/>
                <w:szCs w:val="21"/>
              </w:rPr>
              <w:t>合计</w:t>
            </w:r>
          </w:p>
        </w:tc>
        <w:tc>
          <w:tcPr>
            <w:tcW w:w="2596" w:type="pct"/>
            <w:gridSpan w:val="3"/>
            <w:vAlign w:val="center"/>
          </w:tcPr>
          <w:p>
            <w:pPr>
              <w:rPr>
                <w:rFonts w:ascii="黑体" w:hAnsi="黑体" w:eastAsia="黑体"/>
                <w:color w:val="auto"/>
                <w:szCs w:val="21"/>
              </w:rPr>
            </w:pPr>
            <w:r>
              <w:rPr>
                <w:rFonts w:hint="eastAsia" w:ascii="黑体" w:hAnsi="黑体" w:eastAsia="黑体"/>
                <w:color w:val="auto"/>
                <w:szCs w:val="21"/>
              </w:rPr>
              <w:t xml:space="preserve">  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000" w:type="pct"/>
            <w:gridSpan w:val="6"/>
            <w:vAlign w:val="center"/>
          </w:tcPr>
          <w:p>
            <w:pPr>
              <w:rPr>
                <w:rFonts w:ascii="黑体" w:hAnsi="黑体" w:eastAsia="黑体"/>
                <w:color w:val="auto"/>
                <w:szCs w:val="21"/>
              </w:rPr>
            </w:pPr>
            <w:r>
              <w:rPr>
                <w:rFonts w:hint="eastAsia" w:ascii="黑体" w:hAnsi="黑体" w:eastAsia="黑体"/>
                <w:color w:val="auto"/>
                <w:szCs w:val="21"/>
              </w:rPr>
              <w:t>报价依据和说明（可另附页）：</w:t>
            </w:r>
          </w:p>
        </w:tc>
      </w:tr>
    </w:tbl>
    <w:p>
      <w:pPr>
        <w:spacing w:before="312" w:beforeLines="100" w:line="360" w:lineRule="auto"/>
        <w:rPr>
          <w:rFonts w:ascii="黑体" w:hAnsi="黑体" w:eastAsia="黑体"/>
          <w:color w:val="auto"/>
          <w:szCs w:val="21"/>
        </w:rPr>
      </w:pPr>
      <w:r>
        <w:rPr>
          <w:rFonts w:hint="eastAsia" w:ascii="黑体" w:hAnsi="黑体" w:eastAsia="黑体"/>
          <w:color w:val="auto"/>
          <w:szCs w:val="21"/>
        </w:rPr>
        <w:t>注明：</w:t>
      </w:r>
    </w:p>
    <w:p>
      <w:pPr>
        <w:pStyle w:val="30"/>
        <w:numPr>
          <w:ilvl w:val="0"/>
          <w:numId w:val="97"/>
        </w:numPr>
        <w:spacing w:line="360" w:lineRule="auto"/>
        <w:ind w:firstLineChars="0"/>
        <w:rPr>
          <w:rFonts w:ascii="黑体" w:hAnsi="黑体" w:eastAsia="黑体"/>
          <w:color w:val="auto"/>
          <w:szCs w:val="21"/>
        </w:rPr>
      </w:pPr>
      <w:r>
        <w:rPr>
          <w:rFonts w:hint="eastAsia" w:ascii="黑体" w:hAnsi="黑体" w:eastAsia="黑体"/>
          <w:color w:val="auto"/>
          <w:szCs w:val="21"/>
        </w:rPr>
        <w:t>此表为报价总表的明细表。</w:t>
      </w:r>
    </w:p>
    <w:p>
      <w:pPr>
        <w:pStyle w:val="30"/>
        <w:numPr>
          <w:ilvl w:val="0"/>
          <w:numId w:val="97"/>
        </w:numPr>
        <w:spacing w:line="360" w:lineRule="auto"/>
        <w:ind w:firstLineChars="0"/>
        <w:rPr>
          <w:rFonts w:ascii="黑体" w:hAnsi="黑体" w:eastAsia="黑体"/>
          <w:color w:val="auto"/>
          <w:szCs w:val="21"/>
        </w:rPr>
      </w:pPr>
      <w:r>
        <w:rPr>
          <w:rFonts w:hint="eastAsia" w:ascii="黑体" w:hAnsi="黑体" w:eastAsia="黑体"/>
          <w:color w:val="auto"/>
          <w:szCs w:val="21"/>
        </w:rPr>
        <w:t>如果单价和总价不符时，以单价为准，修正总价。</w:t>
      </w:r>
    </w:p>
    <w:p>
      <w:pPr>
        <w:pStyle w:val="30"/>
        <w:numPr>
          <w:ilvl w:val="0"/>
          <w:numId w:val="97"/>
        </w:numPr>
        <w:spacing w:line="360" w:lineRule="auto"/>
        <w:ind w:firstLineChars="0"/>
        <w:rPr>
          <w:rFonts w:ascii="黑体" w:hAnsi="黑体" w:eastAsia="黑体"/>
          <w:color w:val="auto"/>
          <w:szCs w:val="21"/>
        </w:rPr>
      </w:pPr>
      <w:r>
        <w:rPr>
          <w:rFonts w:hint="eastAsia" w:ascii="黑体" w:hAnsi="黑体" w:eastAsia="黑体"/>
          <w:color w:val="auto"/>
          <w:szCs w:val="21"/>
        </w:rPr>
        <w:t>投标人应列明按“采购需求”所要求提供的所有报价项的价格明细。</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hint="eastAsia"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hint="eastAsia"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tabs>
          <w:tab w:val="left" w:pos="1180"/>
        </w:tabs>
        <w:rPr>
          <w:rFonts w:ascii="黑体" w:hAnsi="黑体" w:eastAsia="黑体"/>
          <w:color w:val="auto"/>
          <w:sz w:val="28"/>
          <w:szCs w:val="28"/>
        </w:rPr>
      </w:pPr>
    </w:p>
    <w:p>
      <w:pPr>
        <w:tabs>
          <w:tab w:val="left" w:pos="1180"/>
        </w:tabs>
        <w:rPr>
          <w:rFonts w:ascii="黑体" w:hAnsi="黑体" w:eastAsia="黑体"/>
          <w:color w:val="auto"/>
          <w:sz w:val="28"/>
          <w:szCs w:val="28"/>
        </w:rPr>
      </w:pPr>
    </w:p>
    <w:p>
      <w:pPr>
        <w:tabs>
          <w:tab w:val="left" w:pos="1180"/>
        </w:tabs>
        <w:rPr>
          <w:rFonts w:ascii="黑体" w:hAnsi="黑体" w:eastAsia="黑体"/>
          <w:color w:val="auto"/>
          <w:sz w:val="28"/>
          <w:szCs w:val="28"/>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74" w:name="_Toc90980560"/>
      <w:r>
        <w:rPr>
          <w:rStyle w:val="23"/>
          <w:rFonts w:hint="eastAsia" w:ascii="黑体" w:hAnsi="黑体" w:eastAsia="黑体"/>
          <w:b/>
          <w:bCs/>
          <w:color w:val="auto"/>
          <w:spacing w:val="12"/>
          <w:sz w:val="21"/>
          <w:szCs w:val="21"/>
        </w:rPr>
        <w:t>中小企业声明函（如需）</w:t>
      </w:r>
      <w:bookmarkEnd w:id="74"/>
    </w:p>
    <w:p>
      <w:pPr>
        <w:spacing w:before="312" w:beforeLines="1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中小企业声明函（工程、服务）</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本公司（联合体）郑重声明，根据《政府采购促进中小企业发展管理办法》（财库﹝2020﹞46 号）的规定，本公司（联合体）参加</w:t>
      </w:r>
      <w:r>
        <w:rPr>
          <w:rFonts w:hint="eastAsia" w:ascii="黑体" w:hAnsi="黑体" w:eastAsia="黑体"/>
          <w:color w:val="auto"/>
          <w:szCs w:val="21"/>
          <w:u w:val="single"/>
        </w:rPr>
        <w:t>（单位名称）</w:t>
      </w:r>
      <w:r>
        <w:rPr>
          <w:rFonts w:hint="eastAsia" w:ascii="黑体" w:hAnsi="黑体" w:eastAsia="黑体"/>
          <w:color w:val="auto"/>
          <w:szCs w:val="21"/>
        </w:rPr>
        <w:t>的</w:t>
      </w:r>
      <w:r>
        <w:rPr>
          <w:rFonts w:hint="eastAsia" w:ascii="黑体" w:hAnsi="黑体" w:eastAsia="黑体"/>
          <w:color w:val="auto"/>
          <w:szCs w:val="21"/>
          <w:u w:val="single"/>
        </w:rPr>
        <w:t>（项目名称）</w:t>
      </w:r>
      <w:r>
        <w:rPr>
          <w:rFonts w:hint="eastAsia" w:ascii="黑体" w:hAnsi="黑体" w:eastAsia="黑体"/>
          <w:color w:val="auto"/>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1.</w:t>
      </w:r>
      <w:r>
        <w:rPr>
          <w:rFonts w:hint="eastAsia" w:ascii="黑体" w:hAnsi="黑体" w:eastAsia="黑体"/>
          <w:color w:val="auto"/>
          <w:szCs w:val="21"/>
          <w:u w:val="single"/>
        </w:rPr>
        <w:t>（标的名称）</w:t>
      </w:r>
      <w:r>
        <w:rPr>
          <w:rFonts w:hint="eastAsia" w:ascii="黑体" w:hAnsi="黑体" w:eastAsia="黑体"/>
          <w:color w:val="auto"/>
          <w:szCs w:val="21"/>
        </w:rPr>
        <w:t>，属于</w:t>
      </w:r>
      <w:r>
        <w:rPr>
          <w:rFonts w:hint="eastAsia" w:ascii="黑体" w:hAnsi="黑体" w:eastAsia="黑体"/>
          <w:color w:val="auto"/>
          <w:szCs w:val="21"/>
          <w:u w:val="single"/>
        </w:rPr>
        <w:t>（采购文件中明确的所属行业）</w:t>
      </w:r>
      <w:r>
        <w:rPr>
          <w:rFonts w:hint="eastAsia" w:ascii="黑体" w:hAnsi="黑体" w:eastAsia="黑体"/>
          <w:color w:val="auto"/>
          <w:szCs w:val="21"/>
        </w:rPr>
        <w:t>；承建（承接）企业为</w:t>
      </w:r>
      <w:r>
        <w:rPr>
          <w:rFonts w:hint="eastAsia" w:ascii="黑体" w:hAnsi="黑体" w:eastAsia="黑体"/>
          <w:color w:val="auto"/>
          <w:szCs w:val="21"/>
          <w:u w:val="single"/>
        </w:rPr>
        <w:t>（企业名称）</w:t>
      </w:r>
      <w:r>
        <w:rPr>
          <w:rFonts w:hint="eastAsia" w:ascii="黑体" w:hAnsi="黑体" w:eastAsia="黑体"/>
          <w:color w:val="auto"/>
          <w:szCs w:val="21"/>
        </w:rPr>
        <w:t>，从业人员</w:t>
      </w:r>
      <w:r>
        <w:rPr>
          <w:rFonts w:hint="eastAsia" w:ascii="黑体" w:hAnsi="黑体" w:eastAsia="黑体"/>
          <w:color w:val="auto"/>
          <w:szCs w:val="21"/>
          <w:u w:val="single"/>
        </w:rPr>
        <w:t xml:space="preserve">      </w:t>
      </w:r>
      <w:r>
        <w:rPr>
          <w:rFonts w:hint="eastAsia" w:ascii="黑体" w:hAnsi="黑体" w:eastAsia="黑体"/>
          <w:color w:val="auto"/>
          <w:szCs w:val="21"/>
        </w:rPr>
        <w:t>人，营业收入为</w:t>
      </w:r>
      <w:r>
        <w:rPr>
          <w:rFonts w:hint="eastAsia" w:ascii="黑体" w:hAnsi="黑体" w:eastAsia="黑体"/>
          <w:color w:val="auto"/>
          <w:szCs w:val="21"/>
          <w:u w:val="single"/>
        </w:rPr>
        <w:t xml:space="preserve">       </w:t>
      </w:r>
      <w:r>
        <w:rPr>
          <w:rFonts w:hint="eastAsia" w:ascii="黑体" w:hAnsi="黑体" w:eastAsia="黑体"/>
          <w:color w:val="auto"/>
          <w:szCs w:val="21"/>
        </w:rPr>
        <w:t>万元，资产总额为</w:t>
      </w:r>
      <w:r>
        <w:rPr>
          <w:rFonts w:hint="eastAsia" w:ascii="黑体" w:hAnsi="黑体" w:eastAsia="黑体"/>
          <w:color w:val="auto"/>
          <w:szCs w:val="21"/>
          <w:u w:val="single"/>
        </w:rPr>
        <w:t xml:space="preserve">      </w:t>
      </w:r>
      <w:r>
        <w:rPr>
          <w:rFonts w:hint="eastAsia" w:ascii="黑体" w:hAnsi="黑体" w:eastAsia="黑体"/>
          <w:color w:val="auto"/>
          <w:szCs w:val="21"/>
        </w:rPr>
        <w:t>万元</w:t>
      </w:r>
      <w:r>
        <w:rPr>
          <w:rFonts w:hint="eastAsia" w:ascii="黑体" w:hAnsi="黑体" w:eastAsia="黑体"/>
          <w:color w:val="auto"/>
          <w:szCs w:val="21"/>
          <w:vertAlign w:val="superscript"/>
        </w:rPr>
        <w:t>1</w:t>
      </w:r>
      <w:r>
        <w:rPr>
          <w:rFonts w:hint="eastAsia" w:ascii="黑体" w:hAnsi="黑体" w:eastAsia="黑体"/>
          <w:color w:val="auto"/>
          <w:szCs w:val="21"/>
        </w:rPr>
        <w:t>，属于（中型企业、小型企业、微型企业）；</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2.</w:t>
      </w:r>
      <w:r>
        <w:rPr>
          <w:rFonts w:hint="eastAsia" w:ascii="黑体" w:hAnsi="黑体" w:eastAsia="黑体"/>
          <w:color w:val="auto"/>
          <w:szCs w:val="21"/>
          <w:u w:val="single"/>
        </w:rPr>
        <w:t>（标的名称）</w:t>
      </w:r>
      <w:r>
        <w:rPr>
          <w:rFonts w:hint="eastAsia" w:ascii="黑体" w:hAnsi="黑体" w:eastAsia="黑体"/>
          <w:color w:val="auto"/>
          <w:szCs w:val="21"/>
        </w:rPr>
        <w:t>，属于</w:t>
      </w:r>
      <w:r>
        <w:rPr>
          <w:rFonts w:hint="eastAsia" w:ascii="黑体" w:hAnsi="黑体" w:eastAsia="黑体"/>
          <w:color w:val="auto"/>
          <w:szCs w:val="21"/>
          <w:u w:val="single"/>
        </w:rPr>
        <w:t>（采购文件中明确的所属行业）</w:t>
      </w:r>
      <w:r>
        <w:rPr>
          <w:rFonts w:hint="eastAsia" w:ascii="黑体" w:hAnsi="黑体" w:eastAsia="黑体"/>
          <w:color w:val="auto"/>
          <w:szCs w:val="21"/>
        </w:rPr>
        <w:t>；承建（承接）企业为</w:t>
      </w:r>
      <w:r>
        <w:rPr>
          <w:rFonts w:hint="eastAsia" w:ascii="黑体" w:hAnsi="黑体" w:eastAsia="黑体"/>
          <w:color w:val="auto"/>
          <w:szCs w:val="21"/>
          <w:u w:val="single"/>
        </w:rPr>
        <w:t>（企业名称）</w:t>
      </w:r>
      <w:r>
        <w:rPr>
          <w:rFonts w:hint="eastAsia" w:ascii="黑体" w:hAnsi="黑体" w:eastAsia="黑体"/>
          <w:color w:val="auto"/>
          <w:szCs w:val="21"/>
        </w:rPr>
        <w:t>，从业人员</w:t>
      </w:r>
      <w:r>
        <w:rPr>
          <w:rFonts w:hint="eastAsia" w:ascii="黑体" w:hAnsi="黑体" w:eastAsia="黑体"/>
          <w:color w:val="auto"/>
          <w:szCs w:val="21"/>
          <w:u w:val="single"/>
        </w:rPr>
        <w:t xml:space="preserve">      </w:t>
      </w:r>
      <w:r>
        <w:rPr>
          <w:rFonts w:hint="eastAsia" w:ascii="黑体" w:hAnsi="黑体" w:eastAsia="黑体"/>
          <w:color w:val="auto"/>
          <w:szCs w:val="21"/>
        </w:rPr>
        <w:t>人，营业收入为</w:t>
      </w:r>
      <w:r>
        <w:rPr>
          <w:rFonts w:hint="eastAsia" w:ascii="黑体" w:hAnsi="黑体" w:eastAsia="黑体"/>
          <w:color w:val="auto"/>
          <w:szCs w:val="21"/>
          <w:u w:val="single"/>
        </w:rPr>
        <w:t xml:space="preserve">      </w:t>
      </w:r>
      <w:r>
        <w:rPr>
          <w:rFonts w:hint="eastAsia" w:ascii="黑体" w:hAnsi="黑体" w:eastAsia="黑体"/>
          <w:color w:val="auto"/>
          <w:szCs w:val="21"/>
        </w:rPr>
        <w:t>万元，资产总额为</w:t>
      </w:r>
      <w:r>
        <w:rPr>
          <w:rFonts w:hint="eastAsia" w:ascii="黑体" w:hAnsi="黑体" w:eastAsia="黑体"/>
          <w:color w:val="auto"/>
          <w:szCs w:val="21"/>
          <w:u w:val="single"/>
        </w:rPr>
        <w:t xml:space="preserve">      </w:t>
      </w:r>
      <w:r>
        <w:rPr>
          <w:rFonts w:hint="eastAsia" w:ascii="黑体" w:hAnsi="黑体" w:eastAsia="黑体"/>
          <w:color w:val="auto"/>
          <w:szCs w:val="21"/>
        </w:rPr>
        <w:t>万元，属于</w:t>
      </w:r>
      <w:r>
        <w:rPr>
          <w:rFonts w:hint="eastAsia" w:ascii="黑体" w:hAnsi="黑体" w:eastAsia="黑体"/>
          <w:color w:val="auto"/>
          <w:szCs w:val="21"/>
          <w:u w:val="single"/>
        </w:rPr>
        <w:t>（中型企业、小型企业、微型企业）</w:t>
      </w:r>
      <w:r>
        <w:rPr>
          <w:rFonts w:hint="eastAsia" w:ascii="黑体" w:hAnsi="黑体" w:eastAsia="黑体"/>
          <w:color w:val="auto"/>
          <w:szCs w:val="21"/>
        </w:rPr>
        <w:t>；</w:t>
      </w:r>
    </w:p>
    <w:p>
      <w:pPr>
        <w:spacing w:line="360" w:lineRule="auto"/>
        <w:rPr>
          <w:rFonts w:ascii="黑体" w:hAnsi="黑体" w:eastAsia="黑体"/>
          <w:color w:val="auto"/>
          <w:szCs w:val="21"/>
        </w:rPr>
      </w:pPr>
      <w:r>
        <w:rPr>
          <w:rFonts w:hint="eastAsia" w:ascii="黑体" w:hAnsi="黑体" w:eastAsia="黑体"/>
          <w:color w:val="auto"/>
          <w:szCs w:val="21"/>
        </w:rPr>
        <w:t>……</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以上企业，不属于大企业的分支机构，不存在控股股东为大企业的情形，也不存在与大企业的负责人为同一人的情形。</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本企业对上述声明内容的真实性负责。如有虚假，将依法承担相应责任。</w:t>
      </w:r>
    </w:p>
    <w:p>
      <w:pPr>
        <w:spacing w:line="360" w:lineRule="auto"/>
        <w:rPr>
          <w:rFonts w:ascii="黑体" w:hAnsi="黑体" w:eastAsia="黑体"/>
          <w:color w:val="auto"/>
          <w:szCs w:val="21"/>
        </w:rPr>
      </w:pPr>
    </w:p>
    <w:p>
      <w:pPr>
        <w:spacing w:line="360" w:lineRule="auto"/>
        <w:ind w:right="420"/>
        <w:jc w:val="center"/>
        <w:rPr>
          <w:rFonts w:ascii="黑体" w:hAnsi="黑体" w:eastAsia="黑体"/>
          <w:color w:val="auto"/>
          <w:szCs w:val="21"/>
        </w:rPr>
      </w:pPr>
    </w:p>
    <w:p>
      <w:pPr>
        <w:spacing w:before="312" w:beforeLines="100" w:line="360" w:lineRule="auto"/>
        <w:ind w:right="420"/>
        <w:jc w:val="center"/>
        <w:rPr>
          <w:rFonts w:ascii="黑体" w:hAnsi="黑体" w:eastAsia="黑体"/>
          <w:color w:val="auto"/>
          <w:szCs w:val="21"/>
        </w:rPr>
      </w:pPr>
      <w:r>
        <w:rPr>
          <w:rFonts w:hint="eastAsia" w:ascii="黑体" w:hAnsi="黑体" w:eastAsia="黑体"/>
          <w:color w:val="auto"/>
          <w:szCs w:val="21"/>
        </w:rPr>
        <w:t xml:space="preserve">         企业名称（盖章）：</w:t>
      </w:r>
    </w:p>
    <w:p>
      <w:pPr>
        <w:spacing w:line="360" w:lineRule="auto"/>
        <w:ind w:right="420" w:firstLine="4725" w:firstLineChars="2250"/>
        <w:rPr>
          <w:rFonts w:ascii="黑体" w:hAnsi="黑体" w:eastAsia="黑体"/>
          <w:color w:val="auto"/>
          <w:szCs w:val="21"/>
        </w:rPr>
      </w:pPr>
      <w:r>
        <w:rPr>
          <w:rFonts w:hint="eastAsia" w:ascii="黑体" w:hAnsi="黑体" w:eastAsia="黑体"/>
          <w:color w:val="auto"/>
          <w:szCs w:val="21"/>
        </w:rPr>
        <w:t>日期：</w:t>
      </w:r>
    </w:p>
    <w:p>
      <w:pPr>
        <w:spacing w:line="360" w:lineRule="auto"/>
        <w:ind w:right="420" w:firstLine="4725" w:firstLineChars="2250"/>
        <w:rPr>
          <w:rFonts w:ascii="黑体" w:hAnsi="黑体" w:eastAsia="黑体"/>
          <w:color w:val="auto"/>
          <w:szCs w:val="21"/>
        </w:rPr>
      </w:pPr>
    </w:p>
    <w:p>
      <w:pPr>
        <w:spacing w:before="936" w:beforeLines="300" w:line="360" w:lineRule="auto"/>
        <w:ind w:right="-51"/>
        <w:jc w:val="left"/>
        <w:rPr>
          <w:rFonts w:ascii="黑体" w:hAnsi="黑体" w:eastAsia="黑体"/>
          <w:color w:val="auto"/>
          <w:spacing w:val="-4"/>
          <w:szCs w:val="21"/>
        </w:rPr>
      </w:pPr>
      <w:r>
        <w:rPr>
          <w:rFonts w:hint="eastAsia" w:ascii="黑体" w:hAnsi="黑体" w:eastAsia="黑体"/>
          <w:color w:val="auto"/>
          <w:spacing w:val="-4"/>
          <w:szCs w:val="21"/>
        </w:rPr>
        <w:t>1.从业人员、营业收入、资产总额填报上一年度数据，无上一年度数据的新成立企业可不填报。</w:t>
      </w: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75" w:name="_Toc90980561"/>
      <w:r>
        <w:rPr>
          <w:rStyle w:val="23"/>
          <w:rFonts w:hint="eastAsia" w:ascii="黑体" w:hAnsi="黑体" w:eastAsia="黑体"/>
          <w:b/>
          <w:bCs/>
          <w:color w:val="auto"/>
          <w:spacing w:val="12"/>
          <w:sz w:val="21"/>
          <w:szCs w:val="21"/>
        </w:rPr>
        <w:t>残疾人福利性单位声明函（如需）</w:t>
      </w:r>
      <w:bookmarkEnd w:id="75"/>
    </w:p>
    <w:p>
      <w:pPr>
        <w:spacing w:before="312" w:beforeLines="1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残疾人福利性单位声明函</w:t>
      </w:r>
    </w:p>
    <w:p>
      <w:pPr>
        <w:spacing w:line="480" w:lineRule="auto"/>
        <w:ind w:firstLine="630" w:firstLineChars="300"/>
        <w:rPr>
          <w:rFonts w:ascii="黑体" w:hAnsi="黑体" w:eastAsia="黑体"/>
          <w:color w:val="auto"/>
        </w:rPr>
      </w:pPr>
      <w:r>
        <w:rPr>
          <w:rFonts w:hint="eastAsia" w:ascii="黑体" w:hAnsi="黑体" w:eastAsia="黑体"/>
          <w:bCs/>
          <w:color w:val="auto"/>
        </w:rPr>
        <w:t>本单位郑重声明，根据《财政部</w:t>
      </w:r>
      <w:r>
        <w:rPr>
          <w:rFonts w:ascii="黑体" w:hAnsi="黑体" w:eastAsia="黑体"/>
          <w:bCs/>
          <w:color w:val="auto"/>
        </w:rPr>
        <w:t xml:space="preserve"> </w:t>
      </w:r>
      <w:r>
        <w:rPr>
          <w:rFonts w:hint="eastAsia" w:ascii="黑体" w:hAnsi="黑体" w:eastAsia="黑体"/>
          <w:bCs/>
          <w:color w:val="auto"/>
        </w:rPr>
        <w:t>民政部</w:t>
      </w:r>
      <w:r>
        <w:rPr>
          <w:rFonts w:ascii="黑体" w:hAnsi="黑体" w:eastAsia="黑体"/>
          <w:bCs/>
          <w:color w:val="auto"/>
        </w:rPr>
        <w:t xml:space="preserve"> </w:t>
      </w:r>
      <w:r>
        <w:rPr>
          <w:rFonts w:hint="eastAsia" w:ascii="黑体" w:hAnsi="黑体" w:eastAsia="黑体"/>
          <w:bCs/>
          <w:color w:val="auto"/>
        </w:rPr>
        <w:t>中国残疾人联合会关于促进残疾人就业政府采购政策的通知》（财库〔</w:t>
      </w:r>
      <w:r>
        <w:rPr>
          <w:rFonts w:ascii="黑体" w:hAnsi="黑体" w:eastAsia="黑体"/>
          <w:bCs/>
          <w:color w:val="auto"/>
        </w:rPr>
        <w:t>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rPr>
          <w:rFonts w:ascii="黑体" w:hAnsi="黑体" w:eastAsia="黑体"/>
          <w:color w:val="auto"/>
        </w:rPr>
      </w:pPr>
      <w:r>
        <w:rPr>
          <w:rFonts w:hint="eastAsia" w:ascii="黑体" w:hAnsi="黑体" w:eastAsia="黑体"/>
          <w:color w:val="auto"/>
        </w:rPr>
        <w:t>本单位对上述声明的真实性负责。如有虚假，将依法承担相应责任。</w:t>
      </w:r>
    </w:p>
    <w:p>
      <w:pPr>
        <w:spacing w:line="360" w:lineRule="auto"/>
        <w:rPr>
          <w:rFonts w:ascii="黑体" w:hAnsi="黑体" w:eastAsia="黑体"/>
          <w:color w:val="auto"/>
        </w:rPr>
      </w:pPr>
    </w:p>
    <w:p>
      <w:pPr>
        <w:spacing w:line="360" w:lineRule="auto"/>
        <w:rPr>
          <w:rFonts w:ascii="黑体" w:hAnsi="黑体" w:eastAsia="黑体"/>
          <w:color w:val="auto"/>
        </w:rPr>
      </w:pPr>
    </w:p>
    <w:p>
      <w:pPr>
        <w:spacing w:line="360" w:lineRule="auto"/>
        <w:rPr>
          <w:rFonts w:ascii="黑体" w:hAnsi="黑体" w:eastAsia="黑体"/>
          <w:color w:val="auto"/>
        </w:rPr>
      </w:pPr>
    </w:p>
    <w:tbl>
      <w:tblPr>
        <w:tblStyle w:val="20"/>
        <w:tblW w:w="0" w:type="auto"/>
        <w:tblInd w:w="0" w:type="dxa"/>
        <w:tblLayout w:type="autofit"/>
        <w:tblCellMar>
          <w:top w:w="0" w:type="dxa"/>
          <w:left w:w="108" w:type="dxa"/>
          <w:bottom w:w="0" w:type="dxa"/>
          <w:right w:w="108" w:type="dxa"/>
        </w:tblCellMar>
      </w:tblPr>
      <w:tblGrid>
        <w:gridCol w:w="5353"/>
        <w:gridCol w:w="3175"/>
      </w:tblGrid>
      <w:tr>
        <w:tblPrEx>
          <w:tblCellMar>
            <w:top w:w="0" w:type="dxa"/>
            <w:left w:w="108" w:type="dxa"/>
            <w:bottom w:w="0" w:type="dxa"/>
            <w:right w:w="108" w:type="dxa"/>
          </w:tblCellMar>
        </w:tblPrEx>
        <w:tc>
          <w:tcPr>
            <w:tcW w:w="5353" w:type="dxa"/>
            <w:shd w:val="clear" w:color="auto" w:fill="auto"/>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shd w:val="clear" w:color="auto" w:fill="auto"/>
          </w:tcPr>
          <w:p>
            <w:pPr>
              <w:spacing w:line="360" w:lineRule="auto"/>
              <w:rPr>
                <w:rFonts w:ascii="黑体" w:hAnsi="黑体" w:eastAsia="黑体"/>
                <w:color w:val="auto"/>
                <w:szCs w:val="21"/>
              </w:rPr>
            </w:pPr>
          </w:p>
        </w:tc>
      </w:tr>
      <w:tr>
        <w:tblPrEx>
          <w:tblCellMar>
            <w:top w:w="0" w:type="dxa"/>
            <w:left w:w="108" w:type="dxa"/>
            <w:bottom w:w="0" w:type="dxa"/>
            <w:right w:w="108" w:type="dxa"/>
          </w:tblCellMar>
        </w:tblPrEx>
        <w:tc>
          <w:tcPr>
            <w:tcW w:w="5353" w:type="dxa"/>
            <w:shd w:val="clear" w:color="auto" w:fill="auto"/>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shd w:val="clear" w:color="auto" w:fill="auto"/>
          </w:tcPr>
          <w:p>
            <w:pPr>
              <w:spacing w:line="360" w:lineRule="auto"/>
              <w:rPr>
                <w:rFonts w:ascii="黑体" w:hAnsi="黑体" w:eastAsia="黑体"/>
                <w:color w:val="auto"/>
                <w:szCs w:val="21"/>
              </w:rPr>
            </w:pPr>
          </w:p>
        </w:tc>
      </w:tr>
    </w:tbl>
    <w:p>
      <w:pPr>
        <w:rPr>
          <w:rFonts w:ascii="黑体" w:hAnsi="黑体" w:eastAsia="黑体"/>
          <w:color w:val="auto"/>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76" w:name="_Toc90980562"/>
      <w:r>
        <w:rPr>
          <w:rStyle w:val="23"/>
          <w:rFonts w:hint="eastAsia" w:ascii="黑体" w:hAnsi="黑体" w:eastAsia="黑体"/>
          <w:b/>
          <w:bCs/>
          <w:color w:val="auto"/>
          <w:spacing w:val="12"/>
          <w:sz w:val="21"/>
          <w:szCs w:val="21"/>
        </w:rPr>
        <w:t>监狱企业的证明文件（如需）</w:t>
      </w:r>
      <w:bookmarkEnd w:id="76"/>
    </w:p>
    <w:p>
      <w:pPr>
        <w:rPr>
          <w:color w:val="auto"/>
        </w:rPr>
      </w:pPr>
    </w:p>
    <w:p>
      <w:pPr>
        <w:spacing w:before="312" w:beforeLines="1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监狱企业的证明文件</w:t>
      </w:r>
    </w:p>
    <w:p>
      <w:pPr>
        <w:spacing w:line="440" w:lineRule="exact"/>
        <w:rPr>
          <w:rFonts w:ascii="黑体" w:hAnsi="黑体" w:eastAsia="黑体"/>
          <w:color w:val="auto"/>
        </w:rPr>
      </w:pPr>
      <w:r>
        <w:rPr>
          <w:rFonts w:hint="eastAsia" w:ascii="黑体" w:hAnsi="黑体" w:eastAsia="黑体"/>
          <w:color w:val="auto"/>
        </w:rPr>
        <w:t>说明：监狱企业参加政府采购活动时，应当提供由省级以上监狱管理局、戒毒管理局（含新疆生产建设兵团）出具的属于监狱企业的证明文件并加盖投标单位公章。</w:t>
      </w:r>
    </w:p>
    <w:p>
      <w:pPr>
        <w:rPr>
          <w:color w:val="auto"/>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77" w:name="_Toc90980563"/>
      <w:r>
        <w:rPr>
          <w:rStyle w:val="23"/>
          <w:rFonts w:hint="eastAsia" w:ascii="黑体" w:hAnsi="黑体" w:eastAsia="黑体"/>
          <w:b/>
          <w:bCs/>
          <w:color w:val="auto"/>
          <w:spacing w:val="12"/>
          <w:sz w:val="21"/>
          <w:szCs w:val="21"/>
        </w:rPr>
        <w:t>政策适用性说明（如需）</w:t>
      </w:r>
      <w:bookmarkEnd w:id="77"/>
    </w:p>
    <w:p>
      <w:pPr>
        <w:spacing w:before="312" w:beforeLines="1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政策适用性说明</w:t>
      </w:r>
    </w:p>
    <w:p>
      <w:pPr>
        <w:spacing w:after="156" w:afterLines="50" w:line="360" w:lineRule="auto"/>
        <w:rPr>
          <w:rFonts w:ascii="黑体" w:hAnsi="黑体" w:eastAsia="黑体"/>
          <w:bCs/>
          <w:color w:val="auto"/>
          <w:szCs w:val="21"/>
          <w:lang w:val="zh-CN"/>
        </w:rPr>
      </w:pPr>
      <w:r>
        <w:rPr>
          <w:rFonts w:hint="eastAsia" w:ascii="黑体" w:hAnsi="黑体" w:eastAsia="黑体"/>
          <w:bCs/>
          <w:color w:val="auto"/>
          <w:szCs w:val="21"/>
          <w:lang w:val="zh-CN"/>
        </w:rPr>
        <w:t>按照政府采购有关政策的要求，在本次的技术方案中，采用符合政策的小型或微型企业产品、节能产品、环保标志产品，主要产品与核心技术介绍说明如下：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
        <w:gridCol w:w="2185"/>
        <w:gridCol w:w="1020"/>
        <w:gridCol w:w="1022"/>
        <w:gridCol w:w="733"/>
        <w:gridCol w:w="877"/>
        <w:gridCol w:w="86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30"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序号</w:t>
            </w:r>
          </w:p>
        </w:tc>
        <w:tc>
          <w:tcPr>
            <w:tcW w:w="1246"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主要产品</w:t>
            </w:r>
            <w:r>
              <w:rPr>
                <w:rFonts w:ascii="黑体" w:hAnsi="黑体" w:eastAsia="黑体"/>
                <w:color w:val="auto"/>
                <w:szCs w:val="21"/>
                <w:lang w:val="en-GB"/>
              </w:rPr>
              <w:t>/技术名称</w:t>
            </w:r>
          </w:p>
          <w:p>
            <w:pPr>
              <w:tabs>
                <w:tab w:val="left" w:pos="1260"/>
              </w:tabs>
              <w:ind w:left="-53" w:leftChars="-25" w:right="-53" w:rightChars="-25"/>
              <w:jc w:val="center"/>
              <w:rPr>
                <w:rFonts w:ascii="黑体" w:hAnsi="黑体" w:eastAsia="黑体"/>
                <w:color w:val="auto"/>
                <w:szCs w:val="21"/>
                <w:lang w:val="en-GB"/>
              </w:rPr>
            </w:pPr>
            <w:r>
              <w:rPr>
                <w:rFonts w:ascii="黑体" w:hAnsi="黑体" w:eastAsia="黑体"/>
                <w:color w:val="auto"/>
                <w:spacing w:val="-6"/>
                <w:szCs w:val="21"/>
                <w:lang w:val="en-GB"/>
              </w:rPr>
              <w:t>(规格型号、注册商标)</w:t>
            </w:r>
          </w:p>
        </w:tc>
        <w:tc>
          <w:tcPr>
            <w:tcW w:w="582"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制造商</w:t>
            </w:r>
            <w:r>
              <w:rPr>
                <w:rFonts w:ascii="黑体" w:hAnsi="黑体" w:eastAsia="黑体"/>
                <w:color w:val="auto"/>
                <w:szCs w:val="21"/>
                <w:lang w:val="en-GB"/>
              </w:rPr>
              <w:br w:type="textWrapping"/>
            </w:r>
            <w:r>
              <w:rPr>
                <w:rFonts w:ascii="黑体" w:hAnsi="黑体" w:eastAsia="黑体"/>
                <w:color w:val="auto"/>
                <w:spacing w:val="-6"/>
                <w:szCs w:val="21"/>
                <w:lang w:val="en-GB"/>
              </w:rPr>
              <w:t>(开发商)</w:t>
            </w:r>
          </w:p>
        </w:tc>
        <w:tc>
          <w:tcPr>
            <w:tcW w:w="583"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制造商</w:t>
            </w:r>
            <w:r>
              <w:rPr>
                <w:rFonts w:ascii="黑体" w:hAnsi="黑体" w:eastAsia="黑体"/>
                <w:color w:val="auto"/>
                <w:szCs w:val="21"/>
                <w:lang w:val="en-GB"/>
              </w:rPr>
              <w:br w:type="textWrapping"/>
            </w:r>
            <w:r>
              <w:rPr>
                <w:rFonts w:hint="eastAsia" w:ascii="黑体" w:hAnsi="黑体" w:eastAsia="黑体"/>
                <w:color w:val="auto"/>
                <w:spacing w:val="-8"/>
                <w:szCs w:val="21"/>
                <w:lang w:val="en-GB"/>
              </w:rPr>
              <w:t>企业类型</w:t>
            </w:r>
          </w:p>
        </w:tc>
        <w:tc>
          <w:tcPr>
            <w:tcW w:w="418"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节能</w:t>
            </w:r>
            <w:r>
              <w:rPr>
                <w:rFonts w:ascii="黑体" w:hAnsi="黑体" w:eastAsia="黑体"/>
                <w:color w:val="auto"/>
                <w:szCs w:val="21"/>
                <w:lang w:val="en-GB"/>
              </w:rPr>
              <w:br w:type="textWrapping"/>
            </w:r>
            <w:r>
              <w:rPr>
                <w:rFonts w:hint="eastAsia" w:ascii="黑体" w:hAnsi="黑体" w:eastAsia="黑体"/>
                <w:color w:val="auto"/>
                <w:szCs w:val="21"/>
                <w:lang w:val="en-GB"/>
              </w:rPr>
              <w:t>产品</w:t>
            </w:r>
          </w:p>
        </w:tc>
        <w:tc>
          <w:tcPr>
            <w:tcW w:w="500"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环保标</w:t>
            </w:r>
          </w:p>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志产品</w:t>
            </w:r>
          </w:p>
        </w:tc>
        <w:tc>
          <w:tcPr>
            <w:tcW w:w="495"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认证证</w:t>
            </w:r>
          </w:p>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书编号</w:t>
            </w:r>
          </w:p>
        </w:tc>
        <w:tc>
          <w:tcPr>
            <w:tcW w:w="946" w:type="pct"/>
            <w:vAlign w:val="center"/>
          </w:tcPr>
          <w:p>
            <w:pPr>
              <w:tabs>
                <w:tab w:val="left" w:pos="1260"/>
              </w:tabs>
              <w:ind w:left="-53" w:leftChars="-25" w:right="-53" w:rightChars="-25"/>
              <w:jc w:val="center"/>
              <w:rPr>
                <w:rFonts w:ascii="黑体" w:hAnsi="黑体" w:eastAsia="黑体"/>
                <w:color w:val="auto"/>
                <w:szCs w:val="21"/>
                <w:lang w:val="en-GB"/>
              </w:rPr>
            </w:pPr>
            <w:r>
              <w:rPr>
                <w:rFonts w:hint="eastAsia" w:ascii="黑体" w:hAnsi="黑体" w:eastAsia="黑体"/>
                <w:color w:val="auto"/>
                <w:szCs w:val="21"/>
                <w:lang w:val="en-GB"/>
              </w:rPr>
              <w:t>该产品报价在总报价中占比</w:t>
            </w:r>
            <w:r>
              <w:rPr>
                <w:rFonts w:ascii="黑体" w:hAnsi="黑体" w:eastAsia="黑体"/>
                <w:color w:val="auto"/>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0" w:type="pct"/>
            <w:vAlign w:val="center"/>
          </w:tcPr>
          <w:p>
            <w:pPr>
              <w:tabs>
                <w:tab w:val="left" w:pos="1260"/>
              </w:tabs>
              <w:ind w:left="-53" w:leftChars="-25" w:right="-53" w:rightChars="-25"/>
              <w:jc w:val="center"/>
              <w:rPr>
                <w:rFonts w:ascii="黑体" w:hAnsi="黑体" w:eastAsia="黑体"/>
                <w:color w:val="auto"/>
                <w:szCs w:val="21"/>
                <w:lang w:val="en-GB"/>
              </w:rPr>
            </w:pPr>
            <w:r>
              <w:rPr>
                <w:rFonts w:ascii="黑体" w:hAnsi="黑体" w:eastAsia="黑体"/>
                <w:color w:val="auto"/>
                <w:szCs w:val="21"/>
                <w:lang w:val="en-GB"/>
              </w:rPr>
              <w:t>1</w:t>
            </w:r>
          </w:p>
        </w:tc>
        <w:tc>
          <w:tcPr>
            <w:tcW w:w="1246" w:type="pct"/>
            <w:vAlign w:val="center"/>
          </w:tcPr>
          <w:p>
            <w:pPr>
              <w:tabs>
                <w:tab w:val="left" w:pos="1260"/>
              </w:tabs>
              <w:ind w:left="-53" w:leftChars="-25" w:right="-53" w:rightChars="-25"/>
              <w:jc w:val="center"/>
              <w:rPr>
                <w:rFonts w:ascii="黑体" w:hAnsi="黑体" w:eastAsia="黑体"/>
                <w:color w:val="auto"/>
                <w:szCs w:val="21"/>
                <w:lang w:val="en-GB"/>
              </w:rPr>
            </w:pPr>
          </w:p>
        </w:tc>
        <w:tc>
          <w:tcPr>
            <w:tcW w:w="582" w:type="pct"/>
            <w:vAlign w:val="center"/>
          </w:tcPr>
          <w:p>
            <w:pPr>
              <w:tabs>
                <w:tab w:val="left" w:pos="1260"/>
              </w:tabs>
              <w:ind w:left="-53" w:leftChars="-25" w:right="-53" w:rightChars="-25"/>
              <w:jc w:val="center"/>
              <w:rPr>
                <w:rFonts w:ascii="黑体" w:hAnsi="黑体" w:eastAsia="黑体"/>
                <w:color w:val="auto"/>
                <w:szCs w:val="21"/>
                <w:lang w:val="en-GB"/>
              </w:rPr>
            </w:pPr>
          </w:p>
        </w:tc>
        <w:tc>
          <w:tcPr>
            <w:tcW w:w="583" w:type="pct"/>
            <w:vAlign w:val="center"/>
          </w:tcPr>
          <w:p>
            <w:pPr>
              <w:tabs>
                <w:tab w:val="left" w:pos="1260"/>
              </w:tabs>
              <w:ind w:left="-53" w:leftChars="-25" w:right="-53" w:rightChars="-25"/>
              <w:jc w:val="center"/>
              <w:rPr>
                <w:rFonts w:ascii="黑体" w:hAnsi="黑体" w:eastAsia="黑体"/>
                <w:color w:val="auto"/>
                <w:szCs w:val="21"/>
                <w:lang w:val="en-GB"/>
              </w:rPr>
            </w:pPr>
          </w:p>
        </w:tc>
        <w:tc>
          <w:tcPr>
            <w:tcW w:w="418" w:type="pct"/>
            <w:vAlign w:val="center"/>
          </w:tcPr>
          <w:p>
            <w:pPr>
              <w:tabs>
                <w:tab w:val="left" w:pos="1260"/>
              </w:tabs>
              <w:ind w:left="-53" w:leftChars="-25" w:right="-53" w:rightChars="-25"/>
              <w:jc w:val="center"/>
              <w:rPr>
                <w:rFonts w:ascii="黑体" w:hAnsi="黑体" w:eastAsia="黑体"/>
                <w:color w:val="auto"/>
                <w:szCs w:val="21"/>
                <w:lang w:val="en-GB"/>
              </w:rPr>
            </w:pPr>
          </w:p>
        </w:tc>
        <w:tc>
          <w:tcPr>
            <w:tcW w:w="500" w:type="pct"/>
            <w:vAlign w:val="center"/>
          </w:tcPr>
          <w:p>
            <w:pPr>
              <w:tabs>
                <w:tab w:val="left" w:pos="1260"/>
              </w:tabs>
              <w:ind w:left="-53" w:leftChars="-25" w:right="-53" w:rightChars="-25"/>
              <w:jc w:val="center"/>
              <w:rPr>
                <w:rFonts w:ascii="黑体" w:hAnsi="黑体" w:eastAsia="黑体"/>
                <w:color w:val="auto"/>
                <w:szCs w:val="21"/>
                <w:lang w:val="en-GB"/>
              </w:rPr>
            </w:pPr>
          </w:p>
        </w:tc>
        <w:tc>
          <w:tcPr>
            <w:tcW w:w="495" w:type="pct"/>
            <w:vAlign w:val="center"/>
          </w:tcPr>
          <w:p>
            <w:pPr>
              <w:tabs>
                <w:tab w:val="left" w:pos="1260"/>
              </w:tabs>
              <w:ind w:left="-53" w:leftChars="-25" w:right="-53" w:rightChars="-25"/>
              <w:jc w:val="center"/>
              <w:rPr>
                <w:rFonts w:ascii="黑体" w:hAnsi="黑体" w:eastAsia="黑体"/>
                <w:color w:val="auto"/>
                <w:szCs w:val="21"/>
                <w:lang w:val="en-GB"/>
              </w:rPr>
            </w:pPr>
          </w:p>
        </w:tc>
        <w:tc>
          <w:tcPr>
            <w:tcW w:w="946" w:type="pct"/>
            <w:vAlign w:val="center"/>
          </w:tcPr>
          <w:p>
            <w:pPr>
              <w:tabs>
                <w:tab w:val="left" w:pos="1260"/>
              </w:tabs>
              <w:ind w:left="-53" w:leftChars="-25" w:right="-53" w:rightChars="-25"/>
              <w:jc w:val="center"/>
              <w:rPr>
                <w:rFonts w:ascii="黑体" w:hAnsi="黑体" w:eastAsia="黑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0" w:type="pct"/>
            <w:vAlign w:val="center"/>
          </w:tcPr>
          <w:p>
            <w:pPr>
              <w:tabs>
                <w:tab w:val="left" w:pos="1260"/>
              </w:tabs>
              <w:ind w:left="-53" w:leftChars="-25" w:right="-53" w:rightChars="-25"/>
              <w:jc w:val="center"/>
              <w:rPr>
                <w:rFonts w:ascii="黑体" w:hAnsi="黑体" w:eastAsia="黑体"/>
                <w:color w:val="auto"/>
                <w:szCs w:val="21"/>
                <w:lang w:val="en-GB"/>
              </w:rPr>
            </w:pPr>
            <w:r>
              <w:rPr>
                <w:rFonts w:ascii="黑体" w:hAnsi="黑体" w:eastAsia="黑体"/>
                <w:color w:val="auto"/>
                <w:szCs w:val="21"/>
                <w:lang w:val="en-GB"/>
              </w:rPr>
              <w:t>2</w:t>
            </w:r>
          </w:p>
        </w:tc>
        <w:tc>
          <w:tcPr>
            <w:tcW w:w="1246" w:type="pct"/>
            <w:vAlign w:val="center"/>
          </w:tcPr>
          <w:p>
            <w:pPr>
              <w:tabs>
                <w:tab w:val="left" w:pos="1260"/>
              </w:tabs>
              <w:ind w:left="-53" w:leftChars="-25" w:right="-53" w:rightChars="-25"/>
              <w:jc w:val="center"/>
              <w:rPr>
                <w:rFonts w:ascii="黑体" w:hAnsi="黑体" w:eastAsia="黑体"/>
                <w:color w:val="auto"/>
                <w:szCs w:val="21"/>
                <w:lang w:val="en-GB"/>
              </w:rPr>
            </w:pPr>
          </w:p>
        </w:tc>
        <w:tc>
          <w:tcPr>
            <w:tcW w:w="582" w:type="pct"/>
            <w:vAlign w:val="center"/>
          </w:tcPr>
          <w:p>
            <w:pPr>
              <w:tabs>
                <w:tab w:val="left" w:pos="1260"/>
              </w:tabs>
              <w:ind w:left="-53" w:leftChars="-25" w:right="-53" w:rightChars="-25"/>
              <w:jc w:val="center"/>
              <w:rPr>
                <w:rFonts w:ascii="黑体" w:hAnsi="黑体" w:eastAsia="黑体"/>
                <w:color w:val="auto"/>
                <w:szCs w:val="21"/>
                <w:lang w:val="en-GB"/>
              </w:rPr>
            </w:pPr>
          </w:p>
        </w:tc>
        <w:tc>
          <w:tcPr>
            <w:tcW w:w="583" w:type="pct"/>
            <w:vAlign w:val="center"/>
          </w:tcPr>
          <w:p>
            <w:pPr>
              <w:tabs>
                <w:tab w:val="left" w:pos="1260"/>
              </w:tabs>
              <w:ind w:left="-53" w:leftChars="-25" w:right="-53" w:rightChars="-25"/>
              <w:jc w:val="center"/>
              <w:rPr>
                <w:rFonts w:ascii="黑体" w:hAnsi="黑体" w:eastAsia="黑体"/>
                <w:color w:val="auto"/>
                <w:szCs w:val="21"/>
                <w:lang w:val="en-GB"/>
              </w:rPr>
            </w:pPr>
          </w:p>
        </w:tc>
        <w:tc>
          <w:tcPr>
            <w:tcW w:w="418" w:type="pct"/>
            <w:vAlign w:val="center"/>
          </w:tcPr>
          <w:p>
            <w:pPr>
              <w:tabs>
                <w:tab w:val="left" w:pos="1260"/>
              </w:tabs>
              <w:ind w:left="-53" w:leftChars="-25" w:right="-53" w:rightChars="-25"/>
              <w:jc w:val="center"/>
              <w:rPr>
                <w:rFonts w:ascii="黑体" w:hAnsi="黑体" w:eastAsia="黑体"/>
                <w:color w:val="auto"/>
                <w:szCs w:val="21"/>
                <w:lang w:val="en-GB"/>
              </w:rPr>
            </w:pPr>
          </w:p>
        </w:tc>
        <w:tc>
          <w:tcPr>
            <w:tcW w:w="500" w:type="pct"/>
            <w:vAlign w:val="center"/>
          </w:tcPr>
          <w:p>
            <w:pPr>
              <w:tabs>
                <w:tab w:val="left" w:pos="1260"/>
              </w:tabs>
              <w:ind w:left="-53" w:leftChars="-25" w:right="-53" w:rightChars="-25"/>
              <w:jc w:val="center"/>
              <w:rPr>
                <w:rFonts w:ascii="黑体" w:hAnsi="黑体" w:eastAsia="黑体"/>
                <w:color w:val="auto"/>
                <w:szCs w:val="21"/>
                <w:lang w:val="en-GB"/>
              </w:rPr>
            </w:pPr>
          </w:p>
        </w:tc>
        <w:tc>
          <w:tcPr>
            <w:tcW w:w="495" w:type="pct"/>
            <w:vAlign w:val="center"/>
          </w:tcPr>
          <w:p>
            <w:pPr>
              <w:tabs>
                <w:tab w:val="left" w:pos="1260"/>
              </w:tabs>
              <w:ind w:left="-53" w:leftChars="-25" w:right="-53" w:rightChars="-25"/>
              <w:jc w:val="center"/>
              <w:rPr>
                <w:rFonts w:ascii="黑体" w:hAnsi="黑体" w:eastAsia="黑体"/>
                <w:color w:val="auto"/>
                <w:szCs w:val="21"/>
                <w:lang w:val="en-GB"/>
              </w:rPr>
            </w:pPr>
          </w:p>
        </w:tc>
        <w:tc>
          <w:tcPr>
            <w:tcW w:w="946" w:type="pct"/>
            <w:vAlign w:val="center"/>
          </w:tcPr>
          <w:p>
            <w:pPr>
              <w:tabs>
                <w:tab w:val="left" w:pos="1260"/>
              </w:tabs>
              <w:ind w:left="-53" w:leftChars="-25" w:right="-53" w:rightChars="-25"/>
              <w:jc w:val="center"/>
              <w:rPr>
                <w:rFonts w:ascii="黑体" w:hAnsi="黑体" w:eastAsia="黑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0" w:type="pct"/>
            <w:vAlign w:val="center"/>
          </w:tcPr>
          <w:p>
            <w:pPr>
              <w:tabs>
                <w:tab w:val="left" w:pos="1260"/>
              </w:tabs>
              <w:ind w:left="-53" w:leftChars="-25" w:right="-53" w:rightChars="-25"/>
              <w:jc w:val="center"/>
              <w:rPr>
                <w:rFonts w:ascii="黑体" w:hAnsi="黑体" w:eastAsia="黑体"/>
                <w:color w:val="auto"/>
                <w:szCs w:val="21"/>
                <w:lang w:val="en-GB"/>
              </w:rPr>
            </w:pPr>
            <w:r>
              <w:rPr>
                <w:rFonts w:ascii="黑体" w:hAnsi="黑体" w:eastAsia="黑体"/>
                <w:color w:val="auto"/>
                <w:szCs w:val="21"/>
                <w:lang w:val="en-GB"/>
              </w:rPr>
              <w:t>3</w:t>
            </w:r>
          </w:p>
        </w:tc>
        <w:tc>
          <w:tcPr>
            <w:tcW w:w="1246" w:type="pct"/>
            <w:vAlign w:val="center"/>
          </w:tcPr>
          <w:p>
            <w:pPr>
              <w:tabs>
                <w:tab w:val="left" w:pos="1260"/>
              </w:tabs>
              <w:ind w:left="-53" w:leftChars="-25" w:right="-53" w:rightChars="-25"/>
              <w:jc w:val="center"/>
              <w:rPr>
                <w:rFonts w:ascii="黑体" w:hAnsi="黑体" w:eastAsia="黑体"/>
                <w:color w:val="auto"/>
                <w:szCs w:val="21"/>
                <w:lang w:val="en-GB"/>
              </w:rPr>
            </w:pPr>
          </w:p>
        </w:tc>
        <w:tc>
          <w:tcPr>
            <w:tcW w:w="582" w:type="pct"/>
            <w:vAlign w:val="center"/>
          </w:tcPr>
          <w:p>
            <w:pPr>
              <w:tabs>
                <w:tab w:val="left" w:pos="1260"/>
              </w:tabs>
              <w:ind w:left="-53" w:leftChars="-25" w:right="-53" w:rightChars="-25"/>
              <w:jc w:val="center"/>
              <w:rPr>
                <w:rFonts w:ascii="黑体" w:hAnsi="黑体" w:eastAsia="黑体"/>
                <w:color w:val="auto"/>
                <w:szCs w:val="21"/>
                <w:lang w:val="en-GB"/>
              </w:rPr>
            </w:pPr>
          </w:p>
        </w:tc>
        <w:tc>
          <w:tcPr>
            <w:tcW w:w="583" w:type="pct"/>
            <w:vAlign w:val="center"/>
          </w:tcPr>
          <w:p>
            <w:pPr>
              <w:tabs>
                <w:tab w:val="left" w:pos="1260"/>
              </w:tabs>
              <w:ind w:left="-53" w:leftChars="-25" w:right="-53" w:rightChars="-25"/>
              <w:jc w:val="center"/>
              <w:rPr>
                <w:rFonts w:ascii="黑体" w:hAnsi="黑体" w:eastAsia="黑体"/>
                <w:color w:val="auto"/>
                <w:szCs w:val="21"/>
                <w:lang w:val="en-GB"/>
              </w:rPr>
            </w:pPr>
          </w:p>
        </w:tc>
        <w:tc>
          <w:tcPr>
            <w:tcW w:w="418" w:type="pct"/>
            <w:vAlign w:val="center"/>
          </w:tcPr>
          <w:p>
            <w:pPr>
              <w:tabs>
                <w:tab w:val="left" w:pos="1260"/>
              </w:tabs>
              <w:ind w:left="-53" w:leftChars="-25" w:right="-53" w:rightChars="-25"/>
              <w:jc w:val="center"/>
              <w:rPr>
                <w:rFonts w:ascii="黑体" w:hAnsi="黑体" w:eastAsia="黑体"/>
                <w:color w:val="auto"/>
                <w:szCs w:val="21"/>
                <w:lang w:val="en-GB"/>
              </w:rPr>
            </w:pPr>
          </w:p>
        </w:tc>
        <w:tc>
          <w:tcPr>
            <w:tcW w:w="500" w:type="pct"/>
            <w:vAlign w:val="center"/>
          </w:tcPr>
          <w:p>
            <w:pPr>
              <w:tabs>
                <w:tab w:val="left" w:pos="1260"/>
              </w:tabs>
              <w:ind w:left="-53" w:leftChars="-25" w:right="-53" w:rightChars="-25"/>
              <w:jc w:val="center"/>
              <w:rPr>
                <w:rFonts w:ascii="黑体" w:hAnsi="黑体" w:eastAsia="黑体"/>
                <w:color w:val="auto"/>
                <w:szCs w:val="21"/>
                <w:lang w:val="en-GB"/>
              </w:rPr>
            </w:pPr>
          </w:p>
        </w:tc>
        <w:tc>
          <w:tcPr>
            <w:tcW w:w="495" w:type="pct"/>
            <w:vAlign w:val="center"/>
          </w:tcPr>
          <w:p>
            <w:pPr>
              <w:tabs>
                <w:tab w:val="left" w:pos="1260"/>
              </w:tabs>
              <w:ind w:left="-53" w:leftChars="-25" w:right="-53" w:rightChars="-25"/>
              <w:jc w:val="center"/>
              <w:rPr>
                <w:rFonts w:ascii="黑体" w:hAnsi="黑体" w:eastAsia="黑体"/>
                <w:color w:val="auto"/>
                <w:szCs w:val="21"/>
                <w:lang w:val="en-GB"/>
              </w:rPr>
            </w:pPr>
          </w:p>
        </w:tc>
        <w:tc>
          <w:tcPr>
            <w:tcW w:w="946" w:type="pct"/>
            <w:vAlign w:val="center"/>
          </w:tcPr>
          <w:p>
            <w:pPr>
              <w:tabs>
                <w:tab w:val="left" w:pos="1260"/>
              </w:tabs>
              <w:ind w:left="-53" w:leftChars="-25" w:right="-53" w:rightChars="-25"/>
              <w:jc w:val="center"/>
              <w:rPr>
                <w:rFonts w:ascii="黑体" w:hAnsi="黑体" w:eastAsia="黑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0" w:type="pct"/>
            <w:vAlign w:val="center"/>
          </w:tcPr>
          <w:p>
            <w:pPr>
              <w:tabs>
                <w:tab w:val="left" w:pos="1260"/>
              </w:tabs>
              <w:ind w:left="-53" w:leftChars="-25" w:right="-53" w:rightChars="-25"/>
              <w:jc w:val="center"/>
              <w:rPr>
                <w:rFonts w:ascii="黑体" w:hAnsi="黑体" w:eastAsia="黑体"/>
                <w:color w:val="auto"/>
                <w:szCs w:val="21"/>
                <w:lang w:val="en-GB"/>
              </w:rPr>
            </w:pPr>
            <w:r>
              <w:rPr>
                <w:rFonts w:ascii="黑体" w:hAnsi="黑体" w:eastAsia="黑体"/>
                <w:color w:val="auto"/>
                <w:szCs w:val="21"/>
                <w:lang w:val="en-GB"/>
              </w:rPr>
              <w:t>4</w:t>
            </w:r>
          </w:p>
        </w:tc>
        <w:tc>
          <w:tcPr>
            <w:tcW w:w="1246" w:type="pct"/>
            <w:vAlign w:val="center"/>
          </w:tcPr>
          <w:p>
            <w:pPr>
              <w:tabs>
                <w:tab w:val="left" w:pos="1260"/>
              </w:tabs>
              <w:ind w:left="-53" w:leftChars="-25" w:right="-53" w:rightChars="-25"/>
              <w:jc w:val="center"/>
              <w:rPr>
                <w:rFonts w:ascii="黑体" w:hAnsi="黑体" w:eastAsia="黑体"/>
                <w:color w:val="auto"/>
                <w:szCs w:val="21"/>
                <w:lang w:val="en-GB"/>
              </w:rPr>
            </w:pPr>
          </w:p>
        </w:tc>
        <w:tc>
          <w:tcPr>
            <w:tcW w:w="582" w:type="pct"/>
            <w:vAlign w:val="center"/>
          </w:tcPr>
          <w:p>
            <w:pPr>
              <w:tabs>
                <w:tab w:val="left" w:pos="1260"/>
              </w:tabs>
              <w:ind w:left="-53" w:leftChars="-25" w:right="-53" w:rightChars="-25"/>
              <w:jc w:val="center"/>
              <w:rPr>
                <w:rFonts w:ascii="黑体" w:hAnsi="黑体" w:eastAsia="黑体"/>
                <w:color w:val="auto"/>
                <w:szCs w:val="21"/>
                <w:lang w:val="en-GB"/>
              </w:rPr>
            </w:pPr>
          </w:p>
        </w:tc>
        <w:tc>
          <w:tcPr>
            <w:tcW w:w="583" w:type="pct"/>
            <w:vAlign w:val="center"/>
          </w:tcPr>
          <w:p>
            <w:pPr>
              <w:tabs>
                <w:tab w:val="left" w:pos="1260"/>
              </w:tabs>
              <w:ind w:left="-53" w:leftChars="-25" w:right="-53" w:rightChars="-25"/>
              <w:jc w:val="center"/>
              <w:rPr>
                <w:rFonts w:ascii="黑体" w:hAnsi="黑体" w:eastAsia="黑体"/>
                <w:color w:val="auto"/>
                <w:szCs w:val="21"/>
                <w:lang w:val="en-GB"/>
              </w:rPr>
            </w:pPr>
          </w:p>
        </w:tc>
        <w:tc>
          <w:tcPr>
            <w:tcW w:w="418" w:type="pct"/>
            <w:vAlign w:val="center"/>
          </w:tcPr>
          <w:p>
            <w:pPr>
              <w:tabs>
                <w:tab w:val="left" w:pos="1260"/>
              </w:tabs>
              <w:ind w:left="-53" w:leftChars="-25" w:right="-53" w:rightChars="-25"/>
              <w:jc w:val="center"/>
              <w:rPr>
                <w:rFonts w:ascii="黑体" w:hAnsi="黑体" w:eastAsia="黑体"/>
                <w:color w:val="auto"/>
                <w:szCs w:val="21"/>
                <w:lang w:val="en-GB"/>
              </w:rPr>
            </w:pPr>
          </w:p>
        </w:tc>
        <w:tc>
          <w:tcPr>
            <w:tcW w:w="500" w:type="pct"/>
            <w:vAlign w:val="center"/>
          </w:tcPr>
          <w:p>
            <w:pPr>
              <w:tabs>
                <w:tab w:val="left" w:pos="1260"/>
              </w:tabs>
              <w:ind w:left="-53" w:leftChars="-25" w:right="-53" w:rightChars="-25"/>
              <w:jc w:val="center"/>
              <w:rPr>
                <w:rFonts w:ascii="黑体" w:hAnsi="黑体" w:eastAsia="黑体"/>
                <w:color w:val="auto"/>
                <w:szCs w:val="21"/>
                <w:lang w:val="en-GB"/>
              </w:rPr>
            </w:pPr>
          </w:p>
        </w:tc>
        <w:tc>
          <w:tcPr>
            <w:tcW w:w="495" w:type="pct"/>
            <w:vAlign w:val="center"/>
          </w:tcPr>
          <w:p>
            <w:pPr>
              <w:tabs>
                <w:tab w:val="left" w:pos="1260"/>
              </w:tabs>
              <w:ind w:left="-53" w:leftChars="-25" w:right="-53" w:rightChars="-25"/>
              <w:jc w:val="center"/>
              <w:rPr>
                <w:rFonts w:ascii="黑体" w:hAnsi="黑体" w:eastAsia="黑体"/>
                <w:color w:val="auto"/>
                <w:szCs w:val="21"/>
                <w:lang w:val="en-GB"/>
              </w:rPr>
            </w:pPr>
          </w:p>
        </w:tc>
        <w:tc>
          <w:tcPr>
            <w:tcW w:w="946" w:type="pct"/>
            <w:vAlign w:val="center"/>
          </w:tcPr>
          <w:p>
            <w:pPr>
              <w:tabs>
                <w:tab w:val="left" w:pos="1260"/>
              </w:tabs>
              <w:ind w:left="-53" w:leftChars="-25" w:right="-53" w:rightChars="-25"/>
              <w:jc w:val="center"/>
              <w:rPr>
                <w:rFonts w:ascii="黑体" w:hAnsi="黑体" w:eastAsia="黑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0" w:type="pct"/>
            <w:vAlign w:val="center"/>
          </w:tcPr>
          <w:p>
            <w:pPr>
              <w:tabs>
                <w:tab w:val="left" w:pos="1260"/>
              </w:tabs>
              <w:ind w:left="-53" w:leftChars="-25" w:right="-53" w:rightChars="-25"/>
              <w:jc w:val="center"/>
              <w:rPr>
                <w:rFonts w:ascii="黑体" w:hAnsi="黑体" w:eastAsia="黑体"/>
                <w:color w:val="auto"/>
                <w:szCs w:val="21"/>
                <w:lang w:val="en-GB"/>
              </w:rPr>
            </w:pPr>
            <w:r>
              <w:rPr>
                <w:rFonts w:ascii="黑体" w:hAnsi="黑体" w:eastAsia="黑体"/>
                <w:color w:val="auto"/>
                <w:szCs w:val="21"/>
                <w:lang w:val="en-GB"/>
              </w:rPr>
              <w:t>5</w:t>
            </w:r>
          </w:p>
        </w:tc>
        <w:tc>
          <w:tcPr>
            <w:tcW w:w="1246" w:type="pct"/>
            <w:vAlign w:val="center"/>
          </w:tcPr>
          <w:p>
            <w:pPr>
              <w:tabs>
                <w:tab w:val="left" w:pos="1260"/>
              </w:tabs>
              <w:ind w:left="-53" w:leftChars="-25" w:right="-53" w:rightChars="-25"/>
              <w:jc w:val="center"/>
              <w:rPr>
                <w:rFonts w:ascii="黑体" w:hAnsi="黑体" w:eastAsia="黑体"/>
                <w:color w:val="auto"/>
                <w:szCs w:val="21"/>
                <w:lang w:val="en-GB"/>
              </w:rPr>
            </w:pPr>
          </w:p>
        </w:tc>
        <w:tc>
          <w:tcPr>
            <w:tcW w:w="582" w:type="pct"/>
            <w:vAlign w:val="center"/>
          </w:tcPr>
          <w:p>
            <w:pPr>
              <w:tabs>
                <w:tab w:val="left" w:pos="1260"/>
              </w:tabs>
              <w:ind w:left="-53" w:leftChars="-25" w:right="-53" w:rightChars="-25"/>
              <w:jc w:val="center"/>
              <w:rPr>
                <w:rFonts w:ascii="黑体" w:hAnsi="黑体" w:eastAsia="黑体"/>
                <w:color w:val="auto"/>
                <w:szCs w:val="21"/>
                <w:lang w:val="en-GB"/>
              </w:rPr>
            </w:pPr>
          </w:p>
        </w:tc>
        <w:tc>
          <w:tcPr>
            <w:tcW w:w="583" w:type="pct"/>
            <w:vAlign w:val="center"/>
          </w:tcPr>
          <w:p>
            <w:pPr>
              <w:tabs>
                <w:tab w:val="left" w:pos="1260"/>
              </w:tabs>
              <w:ind w:left="-53" w:leftChars="-25" w:right="-53" w:rightChars="-25"/>
              <w:jc w:val="center"/>
              <w:rPr>
                <w:rFonts w:ascii="黑体" w:hAnsi="黑体" w:eastAsia="黑体"/>
                <w:color w:val="auto"/>
                <w:szCs w:val="21"/>
                <w:lang w:val="en-GB"/>
              </w:rPr>
            </w:pPr>
          </w:p>
        </w:tc>
        <w:tc>
          <w:tcPr>
            <w:tcW w:w="418" w:type="pct"/>
            <w:vAlign w:val="center"/>
          </w:tcPr>
          <w:p>
            <w:pPr>
              <w:tabs>
                <w:tab w:val="left" w:pos="1260"/>
              </w:tabs>
              <w:ind w:left="-53" w:leftChars="-25" w:right="-53" w:rightChars="-25"/>
              <w:jc w:val="center"/>
              <w:rPr>
                <w:rFonts w:ascii="黑体" w:hAnsi="黑体" w:eastAsia="黑体"/>
                <w:color w:val="auto"/>
                <w:szCs w:val="21"/>
                <w:lang w:val="en-GB"/>
              </w:rPr>
            </w:pPr>
          </w:p>
        </w:tc>
        <w:tc>
          <w:tcPr>
            <w:tcW w:w="500" w:type="pct"/>
            <w:vAlign w:val="center"/>
          </w:tcPr>
          <w:p>
            <w:pPr>
              <w:tabs>
                <w:tab w:val="left" w:pos="1260"/>
              </w:tabs>
              <w:ind w:left="-53" w:leftChars="-25" w:right="-53" w:rightChars="-25"/>
              <w:jc w:val="center"/>
              <w:rPr>
                <w:rFonts w:ascii="黑体" w:hAnsi="黑体" w:eastAsia="黑体"/>
                <w:color w:val="auto"/>
                <w:szCs w:val="21"/>
                <w:lang w:val="en-GB"/>
              </w:rPr>
            </w:pPr>
          </w:p>
        </w:tc>
        <w:tc>
          <w:tcPr>
            <w:tcW w:w="495" w:type="pct"/>
            <w:vAlign w:val="center"/>
          </w:tcPr>
          <w:p>
            <w:pPr>
              <w:tabs>
                <w:tab w:val="left" w:pos="1260"/>
              </w:tabs>
              <w:ind w:left="-53" w:leftChars="-25" w:right="-53" w:rightChars="-25"/>
              <w:jc w:val="center"/>
              <w:rPr>
                <w:rFonts w:ascii="黑体" w:hAnsi="黑体" w:eastAsia="黑体"/>
                <w:color w:val="auto"/>
                <w:szCs w:val="21"/>
                <w:lang w:val="en-GB"/>
              </w:rPr>
            </w:pPr>
          </w:p>
        </w:tc>
        <w:tc>
          <w:tcPr>
            <w:tcW w:w="946" w:type="pct"/>
            <w:vAlign w:val="center"/>
          </w:tcPr>
          <w:p>
            <w:pPr>
              <w:tabs>
                <w:tab w:val="left" w:pos="1260"/>
              </w:tabs>
              <w:ind w:left="-53" w:leftChars="-25" w:right="-53" w:rightChars="-25"/>
              <w:jc w:val="center"/>
              <w:rPr>
                <w:rFonts w:ascii="黑体" w:hAnsi="黑体" w:eastAsia="黑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30" w:type="pct"/>
            <w:vAlign w:val="center"/>
          </w:tcPr>
          <w:p>
            <w:pPr>
              <w:tabs>
                <w:tab w:val="left" w:pos="1260"/>
              </w:tabs>
              <w:ind w:left="-53" w:leftChars="-25" w:right="-53" w:rightChars="-25"/>
              <w:jc w:val="center"/>
              <w:rPr>
                <w:rFonts w:ascii="黑体" w:hAnsi="黑体" w:eastAsia="黑体"/>
                <w:color w:val="auto"/>
                <w:szCs w:val="21"/>
                <w:lang w:val="en-GB"/>
              </w:rPr>
            </w:pPr>
            <w:r>
              <w:rPr>
                <w:rFonts w:ascii="黑体" w:hAnsi="黑体" w:eastAsia="黑体"/>
                <w:color w:val="auto"/>
                <w:szCs w:val="21"/>
                <w:lang w:val="en-GB"/>
              </w:rPr>
              <w:t>…</w:t>
            </w:r>
          </w:p>
        </w:tc>
        <w:tc>
          <w:tcPr>
            <w:tcW w:w="1246" w:type="pct"/>
            <w:vAlign w:val="center"/>
          </w:tcPr>
          <w:p>
            <w:pPr>
              <w:tabs>
                <w:tab w:val="left" w:pos="1260"/>
              </w:tabs>
              <w:ind w:left="-53" w:leftChars="-25" w:right="-53" w:rightChars="-25"/>
              <w:jc w:val="center"/>
              <w:rPr>
                <w:rFonts w:ascii="黑体" w:hAnsi="黑体" w:eastAsia="黑体"/>
                <w:color w:val="auto"/>
                <w:szCs w:val="21"/>
                <w:lang w:val="en-GB"/>
              </w:rPr>
            </w:pPr>
          </w:p>
        </w:tc>
        <w:tc>
          <w:tcPr>
            <w:tcW w:w="582" w:type="pct"/>
            <w:vAlign w:val="center"/>
          </w:tcPr>
          <w:p>
            <w:pPr>
              <w:tabs>
                <w:tab w:val="left" w:pos="1260"/>
              </w:tabs>
              <w:ind w:left="-53" w:leftChars="-25" w:right="-53" w:rightChars="-25"/>
              <w:jc w:val="center"/>
              <w:rPr>
                <w:rFonts w:ascii="黑体" w:hAnsi="黑体" w:eastAsia="黑体"/>
                <w:color w:val="auto"/>
                <w:szCs w:val="21"/>
                <w:lang w:val="en-GB"/>
              </w:rPr>
            </w:pPr>
          </w:p>
        </w:tc>
        <w:tc>
          <w:tcPr>
            <w:tcW w:w="583" w:type="pct"/>
            <w:vAlign w:val="center"/>
          </w:tcPr>
          <w:p>
            <w:pPr>
              <w:tabs>
                <w:tab w:val="left" w:pos="1260"/>
              </w:tabs>
              <w:ind w:left="-53" w:leftChars="-25" w:right="-53" w:rightChars="-25"/>
              <w:jc w:val="center"/>
              <w:rPr>
                <w:rFonts w:ascii="黑体" w:hAnsi="黑体" w:eastAsia="黑体"/>
                <w:color w:val="auto"/>
                <w:szCs w:val="21"/>
                <w:lang w:val="en-GB"/>
              </w:rPr>
            </w:pPr>
          </w:p>
        </w:tc>
        <w:tc>
          <w:tcPr>
            <w:tcW w:w="418" w:type="pct"/>
            <w:vAlign w:val="center"/>
          </w:tcPr>
          <w:p>
            <w:pPr>
              <w:tabs>
                <w:tab w:val="left" w:pos="1260"/>
              </w:tabs>
              <w:ind w:left="-53" w:leftChars="-25" w:right="-53" w:rightChars="-25"/>
              <w:jc w:val="center"/>
              <w:rPr>
                <w:rFonts w:ascii="黑体" w:hAnsi="黑体" w:eastAsia="黑体"/>
                <w:color w:val="auto"/>
                <w:szCs w:val="21"/>
                <w:lang w:val="en-GB"/>
              </w:rPr>
            </w:pPr>
          </w:p>
        </w:tc>
        <w:tc>
          <w:tcPr>
            <w:tcW w:w="500" w:type="pct"/>
            <w:vAlign w:val="center"/>
          </w:tcPr>
          <w:p>
            <w:pPr>
              <w:tabs>
                <w:tab w:val="left" w:pos="1260"/>
              </w:tabs>
              <w:ind w:left="-53" w:leftChars="-25" w:right="-53" w:rightChars="-25"/>
              <w:jc w:val="center"/>
              <w:rPr>
                <w:rFonts w:ascii="黑体" w:hAnsi="黑体" w:eastAsia="黑体"/>
                <w:color w:val="auto"/>
                <w:szCs w:val="21"/>
                <w:lang w:val="en-GB"/>
              </w:rPr>
            </w:pPr>
          </w:p>
        </w:tc>
        <w:tc>
          <w:tcPr>
            <w:tcW w:w="495" w:type="pct"/>
            <w:vAlign w:val="center"/>
          </w:tcPr>
          <w:p>
            <w:pPr>
              <w:tabs>
                <w:tab w:val="left" w:pos="1260"/>
              </w:tabs>
              <w:ind w:left="-53" w:leftChars="-25" w:right="-53" w:rightChars="-25"/>
              <w:jc w:val="center"/>
              <w:rPr>
                <w:rFonts w:ascii="黑体" w:hAnsi="黑体" w:eastAsia="黑体"/>
                <w:color w:val="auto"/>
                <w:szCs w:val="21"/>
                <w:lang w:val="en-GB"/>
              </w:rPr>
            </w:pPr>
          </w:p>
        </w:tc>
        <w:tc>
          <w:tcPr>
            <w:tcW w:w="946" w:type="pct"/>
            <w:vAlign w:val="center"/>
          </w:tcPr>
          <w:p>
            <w:pPr>
              <w:tabs>
                <w:tab w:val="left" w:pos="1260"/>
              </w:tabs>
              <w:ind w:left="-53" w:leftChars="-25" w:right="-53" w:rightChars="-25"/>
              <w:jc w:val="center"/>
              <w:rPr>
                <w:rFonts w:ascii="黑体" w:hAnsi="黑体" w:eastAsia="黑体"/>
                <w:color w:val="auto"/>
                <w:szCs w:val="21"/>
                <w:lang w:val="en-GB"/>
              </w:rPr>
            </w:pPr>
          </w:p>
        </w:tc>
      </w:tr>
    </w:tbl>
    <w:p>
      <w:pPr>
        <w:spacing w:before="156" w:beforeLines="50" w:line="360" w:lineRule="auto"/>
        <w:rPr>
          <w:rFonts w:ascii="黑体" w:hAnsi="黑体" w:eastAsia="黑体"/>
          <w:bCs/>
          <w:color w:val="auto"/>
          <w:szCs w:val="21"/>
          <w:lang w:val="en-GB"/>
        </w:rPr>
      </w:pPr>
      <w:r>
        <w:rPr>
          <w:rFonts w:hint="eastAsia" w:ascii="黑体" w:hAnsi="黑体" w:eastAsia="黑体"/>
          <w:bCs/>
          <w:color w:val="auto"/>
          <w:szCs w:val="21"/>
          <w:lang w:val="en-GB"/>
        </w:rPr>
        <w:t>注明：</w:t>
      </w:r>
    </w:p>
    <w:p>
      <w:pPr>
        <w:pStyle w:val="30"/>
        <w:numPr>
          <w:ilvl w:val="0"/>
          <w:numId w:val="98"/>
        </w:numPr>
        <w:spacing w:line="360" w:lineRule="auto"/>
        <w:ind w:left="284" w:hanging="284" w:firstLineChars="0"/>
        <w:rPr>
          <w:rFonts w:ascii="黑体" w:hAnsi="黑体" w:eastAsia="黑体"/>
          <w:bCs/>
          <w:color w:val="auto"/>
          <w:szCs w:val="21"/>
          <w:lang w:val="en-GB"/>
        </w:rPr>
      </w:pPr>
      <w:r>
        <w:rPr>
          <w:rFonts w:hint="eastAsia" w:ascii="黑体" w:hAnsi="黑体" w:eastAsia="黑体"/>
          <w:bCs/>
          <w:color w:val="auto"/>
          <w:szCs w:val="21"/>
          <w:lang w:val="en-GB"/>
        </w:rPr>
        <w:t>制造商为小型或微型企业时才需要填“制造商企业类型”栏，填写内容为“小型”或“微型”；</w:t>
      </w:r>
    </w:p>
    <w:p>
      <w:pPr>
        <w:pStyle w:val="30"/>
        <w:numPr>
          <w:ilvl w:val="0"/>
          <w:numId w:val="98"/>
        </w:numPr>
        <w:tabs>
          <w:tab w:val="left" w:pos="142"/>
        </w:tabs>
        <w:spacing w:line="360" w:lineRule="auto"/>
        <w:ind w:left="272" w:leftChars="-1" w:hanging="274" w:hangingChars="136"/>
        <w:rPr>
          <w:rFonts w:ascii="黑体" w:hAnsi="黑体" w:eastAsia="黑体"/>
          <w:bCs/>
          <w:color w:val="auto"/>
          <w:spacing w:val="-4"/>
          <w:szCs w:val="21"/>
          <w:lang w:val="en-GB"/>
        </w:rPr>
      </w:pPr>
      <w:r>
        <w:rPr>
          <w:rFonts w:hint="eastAsia" w:ascii="黑体" w:hAnsi="黑体" w:eastAsia="黑体"/>
          <w:bCs/>
          <w:color w:val="auto"/>
          <w:spacing w:val="-4"/>
          <w:szCs w:val="21"/>
          <w:lang w:val="en-GB"/>
        </w:rPr>
        <w:t>节能产品须填写认证证书编号，并提供投标产品的节能产品认证证书复印件加盖投标人公章；</w:t>
      </w:r>
    </w:p>
    <w:p>
      <w:pPr>
        <w:pStyle w:val="30"/>
        <w:numPr>
          <w:ilvl w:val="0"/>
          <w:numId w:val="98"/>
        </w:numPr>
        <w:spacing w:line="360" w:lineRule="auto"/>
        <w:ind w:left="284" w:hanging="284" w:firstLineChars="0"/>
        <w:rPr>
          <w:rFonts w:ascii="黑体" w:hAnsi="黑体" w:eastAsia="黑体"/>
          <w:bCs/>
          <w:color w:val="auto"/>
          <w:szCs w:val="21"/>
          <w:lang w:val="en-GB"/>
        </w:rPr>
      </w:pPr>
      <w:r>
        <w:rPr>
          <w:rFonts w:hint="eastAsia" w:ascii="黑体" w:hAnsi="黑体" w:eastAsia="黑体"/>
          <w:bCs/>
          <w:color w:val="auto"/>
          <w:szCs w:val="21"/>
          <w:lang w:val="en-GB"/>
        </w:rPr>
        <w:t>环保标志产品须填写认证证书编号，并提供投标产品的环保标志产品认证证书复印件加盖投标人公章。</w:t>
      </w:r>
    </w:p>
    <w:p>
      <w:pPr>
        <w:pStyle w:val="30"/>
        <w:numPr>
          <w:ilvl w:val="0"/>
          <w:numId w:val="98"/>
        </w:numPr>
        <w:spacing w:line="360" w:lineRule="auto"/>
        <w:ind w:left="284" w:hanging="284" w:firstLineChars="0"/>
        <w:rPr>
          <w:rFonts w:ascii="黑体" w:hAnsi="黑体" w:eastAsia="黑体"/>
          <w:bCs/>
          <w:color w:val="auto"/>
          <w:szCs w:val="21"/>
          <w:lang w:val="en-GB"/>
        </w:rPr>
      </w:pPr>
      <w:r>
        <w:rPr>
          <w:rFonts w:hint="eastAsia" w:ascii="黑体" w:hAnsi="黑体" w:eastAsia="黑体"/>
          <w:bCs/>
          <w:color w:val="auto"/>
          <w:szCs w:val="21"/>
          <w:lang w:val="en-GB"/>
        </w:rPr>
        <w:t>以上证明资料未按要求提供或未提供完整的，视为未提供处理。</w:t>
      </w:r>
    </w:p>
    <w:p>
      <w:pPr>
        <w:spacing w:line="360" w:lineRule="auto"/>
        <w:rPr>
          <w:rFonts w:ascii="黑体" w:hAnsi="黑体" w:eastAsia="黑体"/>
          <w:bCs/>
          <w:color w:val="auto"/>
          <w:szCs w:val="21"/>
          <w:lang w:val="en-GB"/>
        </w:rPr>
      </w:pPr>
    </w:p>
    <w:tbl>
      <w:tblPr>
        <w:tblStyle w:val="20"/>
        <w:tblW w:w="0" w:type="auto"/>
        <w:tblInd w:w="0" w:type="dxa"/>
        <w:tblLayout w:type="autofit"/>
        <w:tblCellMar>
          <w:top w:w="0" w:type="dxa"/>
          <w:left w:w="108" w:type="dxa"/>
          <w:bottom w:w="0" w:type="dxa"/>
          <w:right w:w="108" w:type="dxa"/>
        </w:tblCellMar>
      </w:tblPr>
      <w:tblGrid>
        <w:gridCol w:w="5991"/>
        <w:gridCol w:w="2537"/>
      </w:tblGrid>
      <w:tr>
        <w:tc>
          <w:tcPr>
            <w:tcW w:w="5991" w:type="dxa"/>
            <w:shd w:val="clear" w:color="auto" w:fill="auto"/>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 xml:space="preserve">投标人名称（加盖公章）： </w:t>
            </w:r>
            <w:r>
              <w:rPr>
                <w:rFonts w:ascii="黑体" w:hAnsi="黑体" w:eastAsia="黑体"/>
                <w:color w:val="auto"/>
                <w:szCs w:val="21"/>
                <w:u w:val="single"/>
              </w:rPr>
              <w:t xml:space="preserve">                        </w:t>
            </w:r>
          </w:p>
        </w:tc>
        <w:tc>
          <w:tcPr>
            <w:tcW w:w="2537" w:type="dxa"/>
            <w:shd w:val="clear" w:color="auto" w:fill="auto"/>
          </w:tcPr>
          <w:p>
            <w:pPr>
              <w:overflowPunct w:val="0"/>
              <w:adjustRightInd w:val="0"/>
              <w:spacing w:line="360" w:lineRule="auto"/>
              <w:rPr>
                <w:rFonts w:ascii="黑体" w:hAnsi="黑体" w:eastAsia="黑体"/>
                <w:color w:val="auto"/>
                <w:szCs w:val="21"/>
              </w:rPr>
            </w:pPr>
          </w:p>
        </w:tc>
      </w:tr>
      <w:tr>
        <w:tblPrEx>
          <w:tblCellMar>
            <w:top w:w="0" w:type="dxa"/>
            <w:left w:w="108" w:type="dxa"/>
            <w:bottom w:w="0" w:type="dxa"/>
            <w:right w:w="108" w:type="dxa"/>
          </w:tblCellMar>
        </w:tblPrEx>
        <w:tc>
          <w:tcPr>
            <w:tcW w:w="5991" w:type="dxa"/>
            <w:shd w:val="clear" w:color="auto" w:fill="auto"/>
          </w:tcPr>
          <w:p>
            <w:pPr>
              <w:overflowPunct w:val="0"/>
              <w:adjustRightInd w:val="0"/>
              <w:spacing w:line="360" w:lineRule="auto"/>
              <w:rPr>
                <w:rFonts w:ascii="黑体" w:hAnsi="黑体" w:eastAsia="黑体"/>
                <w:color w:val="auto"/>
                <w:szCs w:val="21"/>
                <w:u w:val="single"/>
              </w:rPr>
            </w:pPr>
            <w:r>
              <w:rPr>
                <w:rFonts w:hint="eastAsia" w:ascii="黑体" w:hAnsi="黑体" w:eastAsia="黑体"/>
                <w:color w:val="auto"/>
                <w:szCs w:val="21"/>
              </w:rPr>
              <w:t>日期：</w:t>
            </w:r>
            <w:r>
              <w:rPr>
                <w:rFonts w:ascii="黑体" w:hAnsi="黑体" w:eastAsia="黑体"/>
                <w:color w:val="auto"/>
                <w:szCs w:val="21"/>
              </w:rPr>
              <w:t xml:space="preserve"> </w:t>
            </w:r>
            <w:r>
              <w:rPr>
                <w:rFonts w:ascii="黑体" w:hAnsi="黑体" w:eastAsia="黑体"/>
                <w:color w:val="auto"/>
                <w:szCs w:val="21"/>
                <w:u w:val="single"/>
              </w:rPr>
              <w:t xml:space="preserve">            年           月            日</w:t>
            </w:r>
          </w:p>
        </w:tc>
        <w:tc>
          <w:tcPr>
            <w:tcW w:w="2537" w:type="dxa"/>
            <w:shd w:val="clear" w:color="auto" w:fill="auto"/>
          </w:tcPr>
          <w:p>
            <w:pPr>
              <w:overflowPunct w:val="0"/>
              <w:adjustRightInd w:val="0"/>
              <w:spacing w:line="360" w:lineRule="auto"/>
              <w:rPr>
                <w:rFonts w:ascii="黑体" w:hAnsi="黑体" w:eastAsia="黑体"/>
                <w:color w:val="auto"/>
                <w:szCs w:val="21"/>
                <w:u w:val="single"/>
              </w:rPr>
            </w:pPr>
          </w:p>
        </w:tc>
      </w:tr>
    </w:tbl>
    <w:p>
      <w:pPr>
        <w:tabs>
          <w:tab w:val="left" w:pos="1180"/>
        </w:tabs>
        <w:rPr>
          <w:rFonts w:ascii="黑体" w:hAnsi="黑体" w:eastAsia="黑体"/>
          <w:color w:val="auto"/>
          <w:sz w:val="28"/>
          <w:szCs w:val="28"/>
        </w:rPr>
      </w:pPr>
    </w:p>
    <w:p>
      <w:pPr>
        <w:pStyle w:val="36"/>
        <w:spacing w:before="156" w:beforeLines="50" w:line="360" w:lineRule="auto"/>
        <w:ind w:firstLine="0" w:firstLineChars="0"/>
        <w:rPr>
          <w:rFonts w:ascii="黑体" w:hAnsi="黑体" w:eastAsia="黑体"/>
          <w:b/>
          <w:color w:val="auto"/>
          <w:sz w:val="21"/>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78" w:name="_Toc391627757"/>
      <w:bookmarkStart w:id="79" w:name="_Toc90980564"/>
      <w:bookmarkStart w:id="80" w:name="_Toc405313961"/>
      <w:r>
        <w:rPr>
          <w:rStyle w:val="23"/>
          <w:rFonts w:hint="eastAsia" w:ascii="黑体" w:hAnsi="黑体" w:eastAsia="黑体"/>
          <w:b/>
          <w:bCs/>
          <w:color w:val="auto"/>
          <w:spacing w:val="12"/>
          <w:sz w:val="21"/>
          <w:szCs w:val="21"/>
        </w:rPr>
        <w:t>投标函</w:t>
      </w:r>
      <w:bookmarkEnd w:id="78"/>
      <w:bookmarkEnd w:id="79"/>
      <w:bookmarkEnd w:id="80"/>
    </w:p>
    <w:p>
      <w:pPr>
        <w:spacing w:before="156" w:beforeLines="50" w:after="156" w:afterLines="5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投标函</w:t>
      </w:r>
    </w:p>
    <w:p>
      <w:pPr>
        <w:spacing w:before="156" w:beforeLines="50" w:after="156" w:afterLines="50" w:line="360" w:lineRule="auto"/>
        <w:rPr>
          <w:rFonts w:ascii="黑体" w:hAnsi="黑体" w:eastAsia="黑体"/>
          <w:b/>
          <w:color w:val="auto"/>
        </w:rPr>
      </w:pPr>
      <w:r>
        <w:rPr>
          <w:rFonts w:hint="eastAsia" w:ascii="黑体" w:hAnsi="黑体" w:eastAsia="黑体"/>
          <w:b/>
          <w:color w:val="auto"/>
        </w:rPr>
        <w:t>致：广东有德招标采购有限公司</w:t>
      </w:r>
    </w:p>
    <w:p>
      <w:pPr>
        <w:autoSpaceDE w:val="0"/>
        <w:autoSpaceDN w:val="0"/>
        <w:adjustRightInd w:val="0"/>
        <w:spacing w:line="360" w:lineRule="auto"/>
        <w:ind w:right="26" w:firstLine="420" w:firstLineChars="200"/>
        <w:rPr>
          <w:rFonts w:ascii="黑体" w:hAnsi="黑体" w:eastAsia="黑体"/>
          <w:color w:val="auto"/>
          <w:kern w:val="0"/>
          <w:szCs w:val="21"/>
        </w:rPr>
      </w:pPr>
      <w:r>
        <w:rPr>
          <w:rFonts w:hint="eastAsia" w:ascii="黑体" w:hAnsi="黑体" w:eastAsia="黑体"/>
          <w:bCs/>
          <w:color w:val="auto"/>
          <w:kern w:val="0"/>
          <w:szCs w:val="21"/>
        </w:rPr>
        <w:t>依据贵方</w:t>
      </w:r>
      <w:r>
        <w:rPr>
          <w:rFonts w:ascii="黑体" w:hAnsi="黑体" w:eastAsia="黑体"/>
          <w:bCs/>
          <w:color w:val="auto"/>
          <w:kern w:val="0"/>
          <w:szCs w:val="21"/>
          <w:u w:val="single"/>
        </w:rPr>
        <w:t xml:space="preserve">    </w:t>
      </w:r>
      <w:r>
        <w:rPr>
          <w:rFonts w:hint="eastAsia" w:ascii="黑体" w:hAnsi="黑体" w:eastAsia="黑体"/>
          <w:b/>
          <w:bCs/>
          <w:color w:val="auto"/>
          <w:szCs w:val="21"/>
          <w:u w:val="single"/>
        </w:rPr>
        <w:t>项目名称</w:t>
      </w:r>
      <w:r>
        <w:rPr>
          <w:rFonts w:ascii="黑体" w:hAnsi="黑体" w:eastAsia="黑体"/>
          <w:b/>
          <w:bCs/>
          <w:color w:val="auto"/>
          <w:szCs w:val="21"/>
          <w:u w:val="single"/>
        </w:rPr>
        <w:t xml:space="preserve"> </w:t>
      </w:r>
      <w:r>
        <w:rPr>
          <w:rFonts w:ascii="黑体" w:hAnsi="黑体" w:eastAsia="黑体"/>
          <w:bCs/>
          <w:color w:val="auto"/>
          <w:szCs w:val="21"/>
          <w:u w:val="single"/>
        </w:rPr>
        <w:t xml:space="preserve">    </w:t>
      </w:r>
      <w:r>
        <w:rPr>
          <w:rFonts w:hint="eastAsia" w:ascii="黑体" w:hAnsi="黑体" w:eastAsia="黑体"/>
          <w:bCs/>
          <w:color w:val="auto"/>
          <w:kern w:val="0"/>
          <w:szCs w:val="21"/>
        </w:rPr>
        <w:t>项目</w:t>
      </w:r>
      <w:r>
        <w:rPr>
          <w:rFonts w:hint="eastAsia" w:ascii="黑体" w:hAnsi="黑体" w:eastAsia="黑体"/>
          <w:bCs/>
          <w:color w:val="auto"/>
          <w:szCs w:val="21"/>
          <w:u w:val="single"/>
        </w:rPr>
        <w:t>（</w:t>
      </w:r>
      <w:r>
        <w:rPr>
          <w:rFonts w:hint="eastAsia" w:ascii="黑体" w:hAnsi="黑体" w:eastAsia="黑体"/>
          <w:b/>
          <w:bCs/>
          <w:color w:val="auto"/>
          <w:szCs w:val="21"/>
          <w:u w:val="single"/>
        </w:rPr>
        <w:t>项目编号：</w:t>
      </w:r>
      <w:r>
        <w:rPr>
          <w:rFonts w:ascii="黑体" w:hAnsi="黑体" w:eastAsia="黑体"/>
          <w:bCs/>
          <w:color w:val="auto"/>
          <w:szCs w:val="21"/>
          <w:u w:val="single"/>
        </w:rPr>
        <w:t xml:space="preserve">        )</w:t>
      </w:r>
      <w:r>
        <w:rPr>
          <w:rFonts w:hint="eastAsia" w:ascii="黑体" w:hAnsi="黑体" w:eastAsia="黑体"/>
          <w:bCs/>
          <w:color w:val="auto"/>
          <w:kern w:val="0"/>
          <w:szCs w:val="21"/>
        </w:rPr>
        <w:t>的投标邀请，我方代表</w:t>
      </w:r>
      <w:r>
        <w:rPr>
          <w:rFonts w:ascii="黑体" w:hAnsi="黑体" w:eastAsia="黑体"/>
          <w:bCs/>
          <w:color w:val="auto"/>
          <w:kern w:val="0"/>
          <w:szCs w:val="21"/>
          <w:u w:val="single"/>
        </w:rPr>
        <w:t xml:space="preserve"> </w:t>
      </w:r>
      <w:r>
        <w:rPr>
          <w:rFonts w:hint="eastAsia" w:ascii="黑体" w:hAnsi="黑体" w:eastAsia="黑体"/>
          <w:b/>
          <w:bCs/>
          <w:color w:val="auto"/>
          <w:szCs w:val="21"/>
          <w:u w:val="single"/>
        </w:rPr>
        <w:t>（姓名、职务）</w:t>
      </w:r>
      <w:r>
        <w:rPr>
          <w:rFonts w:ascii="黑体" w:hAnsi="黑体" w:eastAsia="黑体"/>
          <w:bCs/>
          <w:color w:val="auto"/>
          <w:szCs w:val="21"/>
          <w:u w:val="single"/>
        </w:rPr>
        <w:t xml:space="preserve"> </w:t>
      </w:r>
      <w:r>
        <w:rPr>
          <w:rFonts w:hint="eastAsia" w:ascii="黑体" w:hAnsi="黑体" w:eastAsia="黑体"/>
          <w:bCs/>
          <w:color w:val="auto"/>
          <w:kern w:val="0"/>
          <w:szCs w:val="21"/>
        </w:rPr>
        <w:t>经正式授权并代表</w:t>
      </w:r>
      <w:r>
        <w:rPr>
          <w:rFonts w:ascii="黑体" w:hAnsi="黑体" w:eastAsia="黑体"/>
          <w:bCs/>
          <w:color w:val="auto"/>
          <w:kern w:val="0"/>
          <w:szCs w:val="21"/>
          <w:u w:val="single"/>
        </w:rPr>
        <w:t xml:space="preserve"> </w:t>
      </w:r>
      <w:r>
        <w:rPr>
          <w:rFonts w:hint="eastAsia" w:ascii="黑体" w:hAnsi="黑体" w:eastAsia="黑体"/>
          <w:b/>
          <w:bCs/>
          <w:color w:val="auto"/>
          <w:szCs w:val="21"/>
          <w:u w:val="single"/>
        </w:rPr>
        <w:t>（投标人名称）</w:t>
      </w:r>
      <w:r>
        <w:rPr>
          <w:rFonts w:ascii="黑体" w:hAnsi="黑体" w:eastAsia="黑体"/>
          <w:bCs/>
          <w:color w:val="auto"/>
          <w:szCs w:val="21"/>
          <w:u w:val="single"/>
        </w:rPr>
        <w:t xml:space="preserve"> </w:t>
      </w:r>
      <w:r>
        <w:rPr>
          <w:rFonts w:hint="eastAsia" w:ascii="黑体" w:hAnsi="黑体" w:eastAsia="黑体"/>
          <w:bCs/>
          <w:color w:val="auto"/>
          <w:szCs w:val="21"/>
        </w:rPr>
        <w:t>提交唱标信封一份、</w:t>
      </w:r>
      <w:r>
        <w:rPr>
          <w:rFonts w:hint="eastAsia" w:ascii="黑体" w:hAnsi="黑体" w:eastAsia="黑体"/>
          <w:bCs/>
          <w:color w:val="auto"/>
          <w:kern w:val="0"/>
          <w:szCs w:val="21"/>
        </w:rPr>
        <w:t>投标文件</w:t>
      </w:r>
      <w:r>
        <w:rPr>
          <w:rFonts w:ascii="黑体" w:hAnsi="黑体" w:eastAsia="黑体"/>
          <w:bCs/>
          <w:color w:val="auto"/>
          <w:kern w:val="0"/>
          <w:szCs w:val="21"/>
        </w:rPr>
        <w:t>正本一份，副本</w:t>
      </w:r>
      <w:r>
        <w:rPr>
          <w:rFonts w:ascii="黑体" w:hAnsi="黑体" w:eastAsia="黑体"/>
          <w:bCs/>
          <w:color w:val="auto"/>
          <w:kern w:val="0"/>
          <w:szCs w:val="21"/>
          <w:u w:val="single"/>
        </w:rPr>
        <w:t xml:space="preserve"> （</w:t>
      </w:r>
      <w:r>
        <w:rPr>
          <w:rFonts w:hint="eastAsia" w:ascii="黑体" w:hAnsi="黑体" w:eastAsia="黑体"/>
          <w:b/>
          <w:bCs/>
          <w:color w:val="auto"/>
          <w:kern w:val="0"/>
          <w:szCs w:val="21"/>
          <w:u w:val="single"/>
        </w:rPr>
        <w:t>详见投标须知前附表</w:t>
      </w:r>
      <w:r>
        <w:rPr>
          <w:rFonts w:ascii="黑体" w:hAnsi="黑体" w:eastAsia="黑体"/>
          <w:b/>
          <w:bCs/>
          <w:color w:val="auto"/>
          <w:kern w:val="0"/>
          <w:szCs w:val="21"/>
          <w:u w:val="single"/>
        </w:rPr>
        <w:t xml:space="preserve">） </w:t>
      </w:r>
      <w:r>
        <w:rPr>
          <w:rFonts w:ascii="黑体" w:hAnsi="黑体" w:eastAsia="黑体"/>
          <w:bCs/>
          <w:color w:val="auto"/>
          <w:kern w:val="0"/>
          <w:szCs w:val="21"/>
          <w:u w:val="single"/>
        </w:rPr>
        <w:t xml:space="preserve"> </w:t>
      </w:r>
      <w:r>
        <w:rPr>
          <w:rFonts w:hint="eastAsia" w:ascii="黑体" w:hAnsi="黑体" w:eastAsia="黑体"/>
          <w:bCs/>
          <w:color w:val="auto"/>
          <w:kern w:val="0"/>
          <w:szCs w:val="21"/>
        </w:rPr>
        <w:t>份。</w:t>
      </w:r>
    </w:p>
    <w:p>
      <w:pPr>
        <w:autoSpaceDE w:val="0"/>
        <w:autoSpaceDN w:val="0"/>
        <w:adjustRightInd w:val="0"/>
        <w:spacing w:line="360" w:lineRule="auto"/>
        <w:ind w:right="246"/>
        <w:rPr>
          <w:rFonts w:ascii="黑体" w:hAnsi="黑体" w:eastAsia="黑体"/>
          <w:color w:val="auto"/>
          <w:kern w:val="0"/>
          <w:szCs w:val="21"/>
        </w:rPr>
      </w:pPr>
      <w:r>
        <w:rPr>
          <w:rFonts w:hint="eastAsia" w:ascii="黑体" w:hAnsi="黑体" w:eastAsia="黑体"/>
          <w:color w:val="auto"/>
          <w:kern w:val="0"/>
          <w:szCs w:val="21"/>
        </w:rPr>
        <w:t>在此，我方声明如下：</w:t>
      </w:r>
    </w:p>
    <w:p>
      <w:pPr>
        <w:pStyle w:val="30"/>
        <w:numPr>
          <w:ilvl w:val="0"/>
          <w:numId w:val="99"/>
        </w:numPr>
        <w:spacing w:line="360" w:lineRule="auto"/>
        <w:ind w:firstLineChars="0"/>
        <w:rPr>
          <w:rFonts w:ascii="黑体" w:hAnsi="黑体" w:eastAsia="黑体"/>
          <w:color w:val="auto"/>
          <w:szCs w:val="21"/>
        </w:rPr>
      </w:pPr>
      <w:r>
        <w:rPr>
          <w:rFonts w:hint="eastAsia" w:ascii="黑体" w:hAnsi="黑体" w:eastAsia="黑体"/>
          <w:color w:val="auto"/>
          <w:spacing w:val="-6"/>
          <w:szCs w:val="21"/>
        </w:rPr>
        <w:t>同意并接受招标文件的各项要求，遵守招标文件中的各项规定，按招标文件的要求提供报价</w:t>
      </w:r>
      <w:r>
        <w:rPr>
          <w:rFonts w:hint="eastAsia" w:ascii="黑体" w:hAnsi="黑体" w:eastAsia="黑体"/>
          <w:color w:val="auto"/>
          <w:szCs w:val="21"/>
        </w:rPr>
        <w:t>。</w:t>
      </w:r>
    </w:p>
    <w:p>
      <w:pPr>
        <w:pStyle w:val="30"/>
        <w:numPr>
          <w:ilvl w:val="0"/>
          <w:numId w:val="99"/>
        </w:numPr>
        <w:spacing w:line="360" w:lineRule="auto"/>
        <w:ind w:firstLineChars="0"/>
        <w:rPr>
          <w:rFonts w:ascii="黑体" w:hAnsi="黑体" w:eastAsia="黑体"/>
          <w:color w:val="auto"/>
          <w:szCs w:val="21"/>
        </w:rPr>
      </w:pPr>
      <w:r>
        <w:rPr>
          <w:rFonts w:hint="eastAsia" w:ascii="黑体" w:hAnsi="黑体" w:eastAsia="黑体"/>
          <w:color w:val="auto"/>
          <w:szCs w:val="21"/>
        </w:rPr>
        <w:t>投标有效期为递交投标文件截止日起</w:t>
      </w:r>
      <w:r>
        <w:rPr>
          <w:rFonts w:hint="eastAsia" w:ascii="黑体" w:hAnsi="黑体" w:eastAsia="黑体"/>
          <w:color w:val="auto"/>
          <w:szCs w:val="21"/>
          <w:u w:val="single"/>
        </w:rPr>
        <w:t xml:space="preserve"> </w:t>
      </w:r>
      <w:r>
        <w:rPr>
          <w:rFonts w:ascii="黑体" w:hAnsi="黑体" w:eastAsia="黑体"/>
          <w:color w:val="auto"/>
          <w:szCs w:val="21"/>
          <w:u w:val="single"/>
        </w:rPr>
        <w:t>90</w:t>
      </w:r>
      <w:r>
        <w:rPr>
          <w:rFonts w:hint="eastAsia" w:ascii="黑体" w:hAnsi="黑体" w:eastAsia="黑体"/>
          <w:color w:val="auto"/>
          <w:szCs w:val="21"/>
          <w:u w:val="single"/>
        </w:rPr>
        <w:t xml:space="preserve"> </w:t>
      </w:r>
      <w:r>
        <w:rPr>
          <w:rFonts w:hint="eastAsia" w:ascii="黑体" w:hAnsi="黑体" w:eastAsia="黑体"/>
          <w:color w:val="auto"/>
          <w:szCs w:val="21"/>
        </w:rPr>
        <w:t>天，如中标，有效期将延至合同终止日为止。</w:t>
      </w:r>
    </w:p>
    <w:p>
      <w:pPr>
        <w:pStyle w:val="30"/>
        <w:numPr>
          <w:ilvl w:val="0"/>
          <w:numId w:val="99"/>
        </w:numPr>
        <w:spacing w:line="360" w:lineRule="auto"/>
        <w:ind w:firstLineChars="0"/>
        <w:rPr>
          <w:rFonts w:ascii="黑体" w:hAnsi="黑体" w:eastAsia="黑体"/>
          <w:color w:val="auto"/>
          <w:szCs w:val="21"/>
        </w:rPr>
      </w:pPr>
      <w:r>
        <w:rPr>
          <w:rFonts w:hint="eastAsia" w:ascii="黑体" w:hAnsi="黑体" w:eastAsia="黑体"/>
          <w:color w:val="auto"/>
          <w:szCs w:val="21"/>
        </w:rPr>
        <w:t>我方已经详细地阅读了全部招标文件及其附件，包括澄清及参考文件</w:t>
      </w:r>
      <w:r>
        <w:rPr>
          <w:rFonts w:ascii="黑体" w:hAnsi="黑体" w:eastAsia="黑体"/>
          <w:color w:val="auto"/>
          <w:szCs w:val="21"/>
        </w:rPr>
        <w:t>(如有)。我方已完全清晰理解招标文件的要求，不存在任何含糊不清和误解之处，同意放弃对这些文件所提出的</w:t>
      </w:r>
      <w:r>
        <w:rPr>
          <w:rFonts w:hint="eastAsia" w:ascii="黑体" w:hAnsi="黑体" w:eastAsia="黑体"/>
          <w:color w:val="auto"/>
          <w:szCs w:val="21"/>
        </w:rPr>
        <w:t>询问</w:t>
      </w:r>
      <w:r>
        <w:rPr>
          <w:rFonts w:ascii="黑体" w:hAnsi="黑体" w:eastAsia="黑体"/>
          <w:color w:val="auto"/>
          <w:szCs w:val="21"/>
        </w:rPr>
        <w:t>和质疑的权利。</w:t>
      </w:r>
    </w:p>
    <w:p>
      <w:pPr>
        <w:pStyle w:val="30"/>
        <w:numPr>
          <w:ilvl w:val="0"/>
          <w:numId w:val="99"/>
        </w:numPr>
        <w:spacing w:line="360" w:lineRule="auto"/>
        <w:ind w:firstLineChars="0"/>
        <w:rPr>
          <w:rFonts w:ascii="黑体" w:hAnsi="黑体" w:eastAsia="黑体"/>
          <w:color w:val="auto"/>
          <w:szCs w:val="21"/>
        </w:rPr>
      </w:pPr>
      <w:r>
        <w:rPr>
          <w:rFonts w:hint="eastAsia" w:ascii="黑体" w:hAnsi="黑体" w:eastAsia="黑体"/>
          <w:color w:val="auto"/>
          <w:szCs w:val="21"/>
        </w:rPr>
        <w:t>我方已毫无保留地向贵方提供一切所需的证明材料。</w:t>
      </w:r>
    </w:p>
    <w:p>
      <w:pPr>
        <w:pStyle w:val="30"/>
        <w:numPr>
          <w:ilvl w:val="0"/>
          <w:numId w:val="99"/>
        </w:numPr>
        <w:spacing w:line="360" w:lineRule="auto"/>
        <w:ind w:firstLineChars="0"/>
        <w:rPr>
          <w:rFonts w:ascii="黑体" w:hAnsi="黑体" w:eastAsia="黑体"/>
          <w:color w:val="auto"/>
          <w:szCs w:val="21"/>
        </w:rPr>
      </w:pPr>
      <w:r>
        <w:rPr>
          <w:rFonts w:hint="eastAsia" w:ascii="黑体" w:hAnsi="黑体" w:eastAsia="黑体"/>
          <w:color w:val="auto"/>
          <w:szCs w:val="21"/>
        </w:rPr>
        <w:t>我方承诺在本次投标文件中提供的一切文件，无论是原件还是复印件均为真实和准确的，绝无任何虚假、伪造和夸大的成份，否则，愿承担相应的后果和法律责任。</w:t>
      </w:r>
    </w:p>
    <w:p>
      <w:pPr>
        <w:pStyle w:val="30"/>
        <w:numPr>
          <w:ilvl w:val="0"/>
          <w:numId w:val="99"/>
        </w:numPr>
        <w:spacing w:line="360" w:lineRule="auto"/>
        <w:ind w:firstLineChars="0"/>
        <w:rPr>
          <w:rFonts w:ascii="黑体" w:hAnsi="黑体" w:eastAsia="黑体"/>
          <w:color w:val="auto"/>
          <w:szCs w:val="21"/>
        </w:rPr>
      </w:pPr>
      <w:r>
        <w:rPr>
          <w:rFonts w:hint="eastAsia" w:ascii="黑体" w:hAnsi="黑体" w:eastAsia="黑体"/>
          <w:color w:val="auto"/>
          <w:szCs w:val="21"/>
        </w:rPr>
        <w:t>我方完全服从和尊重评委会所作的评定结果，同时清楚理解到报价最低并非意味着必定获得中标资格。</w:t>
      </w:r>
    </w:p>
    <w:p>
      <w:pPr>
        <w:pStyle w:val="30"/>
        <w:numPr>
          <w:ilvl w:val="0"/>
          <w:numId w:val="99"/>
        </w:numPr>
        <w:spacing w:line="360" w:lineRule="auto"/>
        <w:ind w:firstLineChars="0"/>
        <w:rPr>
          <w:rFonts w:ascii="黑体" w:hAnsi="黑体" w:eastAsia="黑体"/>
          <w:color w:val="auto"/>
          <w:szCs w:val="21"/>
        </w:rPr>
      </w:pPr>
      <w:r>
        <w:rPr>
          <w:rFonts w:hint="eastAsia" w:ascii="黑体" w:hAnsi="黑体" w:eastAsia="黑体"/>
          <w:color w:val="auto"/>
          <w:szCs w:val="21"/>
        </w:rPr>
        <w:t>我方同意按招标文件规定向采购代理机构缴纳中标服务费。</w:t>
      </w:r>
    </w:p>
    <w:p>
      <w:pPr>
        <w:pStyle w:val="30"/>
        <w:numPr>
          <w:ilvl w:val="0"/>
          <w:numId w:val="99"/>
        </w:numPr>
        <w:tabs>
          <w:tab w:val="left" w:pos="567"/>
          <w:tab w:val="left" w:pos="709"/>
        </w:tabs>
        <w:spacing w:after="312" w:afterLines="100" w:line="360" w:lineRule="auto"/>
        <w:ind w:firstLineChars="0"/>
        <w:rPr>
          <w:rFonts w:ascii="黑体" w:hAnsi="黑体" w:eastAsia="黑体"/>
          <w:color w:val="auto"/>
          <w:szCs w:val="21"/>
        </w:rPr>
      </w:pPr>
      <w:r>
        <w:rPr>
          <w:rFonts w:ascii="黑体" w:hAnsi="黑体" w:eastAsia="黑体"/>
          <w:color w:val="auto"/>
          <w:szCs w:val="21"/>
        </w:rPr>
        <w:t>所有与本招标有关的函件请发往下列地址：</w:t>
      </w:r>
    </w:p>
    <w:tbl>
      <w:tblPr>
        <w:tblStyle w:val="2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3"/>
        <w:gridCol w:w="4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spacing w:before="156" w:beforeLines="50" w:line="360" w:lineRule="auto"/>
              <w:rPr>
                <w:rFonts w:ascii="黑体" w:hAnsi="黑体" w:eastAsia="黑体"/>
                <w:color w:val="auto"/>
                <w:szCs w:val="21"/>
              </w:rPr>
            </w:pPr>
            <w:r>
              <w:rPr>
                <w:rFonts w:hint="eastAsia" w:ascii="黑体" w:hAnsi="黑体" w:eastAsia="黑体"/>
                <w:color w:val="auto"/>
                <w:szCs w:val="21"/>
              </w:rPr>
              <w:t>投标人地址：</w:t>
            </w:r>
            <w:r>
              <w:rPr>
                <w:rFonts w:ascii="黑体" w:hAnsi="黑体" w:eastAsia="黑体"/>
                <w:color w:val="auto"/>
                <w:szCs w:val="21"/>
                <w:u w:val="single"/>
              </w:rPr>
              <w:t xml:space="preserve">                          </w:t>
            </w:r>
          </w:p>
        </w:tc>
        <w:tc>
          <w:tcPr>
            <w:tcW w:w="2500" w:type="pct"/>
          </w:tcPr>
          <w:p>
            <w:pPr>
              <w:spacing w:before="156" w:beforeLines="50" w:line="360" w:lineRule="auto"/>
              <w:rPr>
                <w:rFonts w:ascii="黑体" w:hAnsi="黑体" w:eastAsia="黑体"/>
                <w:color w:val="auto"/>
                <w:szCs w:val="21"/>
              </w:rPr>
            </w:pPr>
            <w:r>
              <w:rPr>
                <w:rFonts w:hint="eastAsia" w:ascii="黑体" w:hAnsi="黑体" w:eastAsia="黑体"/>
                <w:color w:val="auto"/>
                <w:szCs w:val="21"/>
              </w:rPr>
              <w:t>邮编：</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联系电话：</w:t>
            </w:r>
            <w:r>
              <w:rPr>
                <w:rFonts w:ascii="黑体" w:hAnsi="黑体" w:eastAsia="黑体"/>
                <w:color w:val="auto"/>
                <w:szCs w:val="21"/>
                <w:u w:val="single"/>
              </w:rPr>
              <w:t xml:space="preserve">                            </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传真：</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项目联系人：</w:t>
            </w:r>
            <w:r>
              <w:rPr>
                <w:rFonts w:ascii="黑体" w:hAnsi="黑体" w:eastAsia="黑体"/>
                <w:color w:val="auto"/>
                <w:szCs w:val="21"/>
                <w:u w:val="single"/>
              </w:rPr>
              <w:t xml:space="preserve">                          </w:t>
            </w:r>
          </w:p>
        </w:tc>
        <w:tc>
          <w:tcPr>
            <w:tcW w:w="2500" w:type="pct"/>
          </w:tcPr>
          <w:p>
            <w:pPr>
              <w:spacing w:line="360" w:lineRule="auto"/>
              <w:rPr>
                <w:rFonts w:ascii="黑体" w:hAnsi="黑体" w:eastAsia="黑体"/>
                <w:color w:val="auto"/>
                <w:szCs w:val="21"/>
              </w:rPr>
            </w:pPr>
            <w:r>
              <w:rPr>
                <w:rFonts w:hint="eastAsia" w:ascii="黑体" w:hAnsi="黑体" w:eastAsia="黑体"/>
                <w:color w:val="auto"/>
                <w:szCs w:val="21"/>
              </w:rPr>
              <w:t>手机：</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00" w:type="pct"/>
            <w:gridSpan w:val="2"/>
          </w:tcPr>
          <w:p>
            <w:pPr>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00" w:type="pct"/>
            <w:gridSpan w:val="2"/>
          </w:tcPr>
          <w:p>
            <w:pPr>
              <w:spacing w:line="360" w:lineRule="auto"/>
              <w:jc w:val="left"/>
              <w:rPr>
                <w:rFonts w:ascii="黑体" w:hAnsi="黑体" w:eastAsia="黑体"/>
                <w:color w:val="auto"/>
                <w:szCs w:val="21"/>
              </w:rPr>
            </w:pPr>
            <w:r>
              <w:rPr>
                <w:rFonts w:hint="eastAsia" w:ascii="黑体" w:hAnsi="黑体" w:eastAsia="黑体"/>
                <w:color w:val="auto"/>
                <w:szCs w:val="21"/>
              </w:rPr>
              <w:t>投标人法定代表人或被授权人（签名或盖私章）：</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00" w:type="pct"/>
            <w:gridSpan w:val="2"/>
          </w:tcPr>
          <w:p>
            <w:pPr>
              <w:spacing w:line="360" w:lineRule="auto"/>
              <w:jc w:val="left"/>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w:t>
            </w:r>
            <w:r>
              <w:rPr>
                <w:rFonts w:hint="eastAsia" w:ascii="黑体" w:hAnsi="黑体" w:eastAsia="黑体"/>
                <w:color w:val="auto"/>
                <w:szCs w:val="21"/>
                <w:u w:val="single"/>
              </w:rPr>
              <w:t>年</w:t>
            </w:r>
            <w:r>
              <w:rPr>
                <w:rFonts w:ascii="黑体" w:hAnsi="黑体" w:eastAsia="黑体"/>
                <w:color w:val="auto"/>
                <w:szCs w:val="21"/>
                <w:u w:val="single"/>
              </w:rPr>
              <w:t xml:space="preserve">        </w:t>
            </w:r>
            <w:r>
              <w:rPr>
                <w:rFonts w:hint="eastAsia" w:ascii="黑体" w:hAnsi="黑体" w:eastAsia="黑体"/>
                <w:color w:val="auto"/>
                <w:szCs w:val="21"/>
                <w:u w:val="single"/>
              </w:rPr>
              <w:t>月</w:t>
            </w:r>
            <w:r>
              <w:rPr>
                <w:rFonts w:ascii="黑体" w:hAnsi="黑体" w:eastAsia="黑体"/>
                <w:color w:val="auto"/>
                <w:szCs w:val="21"/>
                <w:u w:val="single"/>
              </w:rPr>
              <w:t xml:space="preserve">         </w:t>
            </w:r>
            <w:r>
              <w:rPr>
                <w:rFonts w:hint="eastAsia" w:ascii="黑体" w:hAnsi="黑体" w:eastAsia="黑体"/>
                <w:color w:val="auto"/>
                <w:szCs w:val="21"/>
                <w:u w:val="single"/>
              </w:rPr>
              <w:t>日</w:t>
            </w: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81" w:name="_Toc391627764"/>
      <w:bookmarkStart w:id="82" w:name="_Toc405313969"/>
      <w:bookmarkStart w:id="83" w:name="_Toc90980565"/>
      <w:bookmarkStart w:id="84" w:name="_Toc75734373"/>
      <w:bookmarkStart w:id="85" w:name="_Toc405313962"/>
      <w:bookmarkStart w:id="86" w:name="_Toc391627758"/>
      <w:r>
        <w:rPr>
          <w:rStyle w:val="23"/>
          <w:rFonts w:hint="eastAsia" w:ascii="黑体" w:hAnsi="黑体" w:eastAsia="黑体"/>
          <w:b/>
          <w:bCs/>
          <w:color w:val="auto"/>
          <w:spacing w:val="12"/>
          <w:sz w:val="21"/>
          <w:szCs w:val="21"/>
        </w:rPr>
        <w:t>资格</w:t>
      </w:r>
      <w:bookmarkEnd w:id="81"/>
      <w:bookmarkEnd w:id="82"/>
      <w:r>
        <w:rPr>
          <w:rStyle w:val="23"/>
          <w:rFonts w:hint="eastAsia" w:ascii="黑体" w:hAnsi="黑体" w:eastAsia="黑体"/>
          <w:b/>
          <w:bCs/>
          <w:color w:val="auto"/>
          <w:spacing w:val="12"/>
          <w:sz w:val="21"/>
          <w:szCs w:val="21"/>
        </w:rPr>
        <w:t>声明函</w:t>
      </w:r>
      <w:bookmarkEnd w:id="83"/>
      <w:bookmarkEnd w:id="84"/>
    </w:p>
    <w:p>
      <w:pPr>
        <w:spacing w:before="156" w:beforeLines="50" w:after="312" w:afterLines="100" w:line="360" w:lineRule="auto"/>
        <w:jc w:val="center"/>
        <w:rPr>
          <w:rFonts w:ascii="黑体" w:hAnsi="黑体" w:eastAsia="黑体"/>
          <w:b/>
          <w:color w:val="auto"/>
          <w:spacing w:val="20"/>
          <w:sz w:val="30"/>
          <w:szCs w:val="30"/>
        </w:rPr>
      </w:pPr>
      <w:bookmarkStart w:id="87" w:name="_Hlk81177964"/>
      <w:r>
        <w:rPr>
          <w:rFonts w:hint="eastAsia" w:ascii="黑体" w:hAnsi="黑体" w:eastAsia="黑体"/>
          <w:b/>
          <w:color w:val="auto"/>
          <w:spacing w:val="20"/>
          <w:sz w:val="30"/>
          <w:szCs w:val="30"/>
        </w:rPr>
        <w:t>资格声明函</w:t>
      </w:r>
    </w:p>
    <w:bookmarkEnd w:id="87"/>
    <w:p>
      <w:pPr>
        <w:adjustRightInd w:val="0"/>
        <w:snapToGrid w:val="0"/>
        <w:spacing w:after="156" w:afterLines="50" w:line="360" w:lineRule="auto"/>
        <w:rPr>
          <w:rFonts w:ascii="黑体" w:hAnsi="黑体" w:eastAsia="黑体"/>
          <w:b/>
          <w:color w:val="auto"/>
          <w:szCs w:val="21"/>
        </w:rPr>
      </w:pPr>
      <w:r>
        <w:rPr>
          <w:rFonts w:hint="eastAsia" w:ascii="黑体" w:hAnsi="黑体" w:eastAsia="黑体"/>
          <w:b/>
          <w:color w:val="auto"/>
          <w:szCs w:val="21"/>
        </w:rPr>
        <w:t>广东有德招标采购有限公司：</w:t>
      </w:r>
    </w:p>
    <w:p>
      <w:pPr>
        <w:adjustRightInd w:val="0"/>
        <w:snapToGrid w:val="0"/>
        <w:spacing w:line="360" w:lineRule="auto"/>
        <w:ind w:firstLine="424" w:firstLineChars="202"/>
        <w:rPr>
          <w:rFonts w:ascii="黑体" w:hAnsi="黑体" w:eastAsia="黑体"/>
          <w:color w:val="auto"/>
          <w:szCs w:val="21"/>
        </w:rPr>
      </w:pPr>
      <w:r>
        <w:rPr>
          <w:rFonts w:hint="eastAsia" w:ascii="黑体" w:hAnsi="黑体" w:eastAsia="黑体"/>
          <w:color w:val="auto"/>
          <w:szCs w:val="21"/>
        </w:rPr>
        <w:t xml:space="preserve">关于贵公司 </w:t>
      </w:r>
      <w:r>
        <w:rPr>
          <w:rFonts w:hint="eastAsia" w:ascii="黑体" w:hAnsi="黑体" w:eastAsia="黑体"/>
          <w:color w:val="auto"/>
          <w:szCs w:val="21"/>
          <w:u w:val="single"/>
        </w:rPr>
        <w:t xml:space="preserve">     </w:t>
      </w:r>
      <w:r>
        <w:rPr>
          <w:rFonts w:hint="eastAsia" w:ascii="黑体" w:hAnsi="黑体" w:eastAsia="黑体"/>
          <w:color w:val="auto"/>
          <w:szCs w:val="21"/>
        </w:rPr>
        <w:t>年</w:t>
      </w:r>
      <w:r>
        <w:rPr>
          <w:rFonts w:hint="eastAsia" w:ascii="黑体" w:hAnsi="黑体" w:eastAsia="黑体"/>
          <w:color w:val="auto"/>
          <w:szCs w:val="21"/>
          <w:u w:val="single"/>
        </w:rPr>
        <w:t xml:space="preserve">      </w:t>
      </w:r>
      <w:r>
        <w:rPr>
          <w:rFonts w:hint="eastAsia" w:ascii="黑体" w:hAnsi="黑体" w:eastAsia="黑体"/>
          <w:color w:val="auto"/>
          <w:szCs w:val="21"/>
        </w:rPr>
        <w:t>月</w:t>
      </w:r>
      <w:r>
        <w:rPr>
          <w:rFonts w:hint="eastAsia" w:ascii="黑体" w:hAnsi="黑体" w:eastAsia="黑体"/>
          <w:color w:val="auto"/>
          <w:szCs w:val="21"/>
          <w:u w:val="single"/>
        </w:rPr>
        <w:t xml:space="preserve">     </w:t>
      </w:r>
      <w:r>
        <w:rPr>
          <w:rFonts w:hint="eastAsia" w:ascii="黑体" w:hAnsi="黑体" w:eastAsia="黑体"/>
          <w:color w:val="auto"/>
          <w:szCs w:val="21"/>
        </w:rPr>
        <w:t>日发布</w:t>
      </w:r>
      <w:r>
        <w:rPr>
          <w:rFonts w:hint="eastAsia" w:ascii="黑体" w:hAnsi="黑体" w:eastAsia="黑体"/>
          <w:color w:val="auto"/>
          <w:szCs w:val="21"/>
          <w:u w:val="single"/>
        </w:rPr>
        <w:t xml:space="preserve">               </w:t>
      </w:r>
      <w:r>
        <w:rPr>
          <w:rFonts w:hint="eastAsia" w:ascii="黑体" w:hAnsi="黑体" w:eastAsia="黑体"/>
          <w:color w:val="auto"/>
          <w:szCs w:val="21"/>
        </w:rPr>
        <w:t>项目（项目编号：</w:t>
      </w:r>
      <w:r>
        <w:rPr>
          <w:rFonts w:hint="eastAsia" w:ascii="黑体" w:hAnsi="黑体" w:eastAsia="黑体"/>
          <w:color w:val="auto"/>
          <w:szCs w:val="21"/>
          <w:u w:val="single"/>
        </w:rPr>
        <w:t xml:space="preserve">           </w:t>
      </w:r>
      <w:r>
        <w:rPr>
          <w:rFonts w:hint="eastAsia" w:ascii="黑体" w:hAnsi="黑体" w:eastAsia="黑体"/>
          <w:color w:val="auto"/>
          <w:szCs w:val="21"/>
        </w:rPr>
        <w:t>）的采购公告，本单位愿意参加投标，并声明：</w:t>
      </w:r>
    </w:p>
    <w:p>
      <w:pPr>
        <w:pStyle w:val="30"/>
        <w:widowControl/>
        <w:numPr>
          <w:ilvl w:val="0"/>
          <w:numId w:val="100"/>
        </w:numPr>
        <w:adjustRightInd w:val="0"/>
        <w:snapToGrid w:val="0"/>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本单位具有依法缴纳税收和社会保障资金的良好记录。</w:t>
      </w:r>
    </w:p>
    <w:p>
      <w:pPr>
        <w:pStyle w:val="30"/>
        <w:widowControl/>
        <w:numPr>
          <w:ilvl w:val="0"/>
          <w:numId w:val="100"/>
        </w:numPr>
        <w:adjustRightInd w:val="0"/>
        <w:snapToGrid w:val="0"/>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本单位具有良好的商业信誉和健全的财务会计制度。</w:t>
      </w:r>
    </w:p>
    <w:p>
      <w:pPr>
        <w:pStyle w:val="30"/>
        <w:widowControl/>
        <w:numPr>
          <w:ilvl w:val="0"/>
          <w:numId w:val="100"/>
        </w:numPr>
        <w:adjustRightInd w:val="0"/>
        <w:snapToGrid w:val="0"/>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本单位具有履行合同所必需的设备和专业技术能力。</w:t>
      </w:r>
    </w:p>
    <w:p>
      <w:pPr>
        <w:pStyle w:val="30"/>
        <w:widowControl/>
        <w:numPr>
          <w:ilvl w:val="0"/>
          <w:numId w:val="100"/>
        </w:numPr>
        <w:adjustRightInd w:val="0"/>
        <w:snapToGrid w:val="0"/>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本单位参加采购活动前3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pStyle w:val="30"/>
        <w:widowControl/>
        <w:numPr>
          <w:ilvl w:val="0"/>
          <w:numId w:val="100"/>
        </w:numPr>
        <w:adjustRightInd w:val="0"/>
        <w:snapToGrid w:val="0"/>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本单位具备法律、行政法规规定的其他条件。</w:t>
      </w:r>
    </w:p>
    <w:p>
      <w:pPr>
        <w:pStyle w:val="30"/>
        <w:widowControl/>
        <w:numPr>
          <w:ilvl w:val="0"/>
          <w:numId w:val="100"/>
        </w:numPr>
        <w:adjustRightInd w:val="0"/>
        <w:snapToGrid w:val="0"/>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本单位承诺单位负责人为同一人或者存在直接控股、管理关系的不同供应商，不得同时参加本采购项目（或采购包）投标。</w:t>
      </w:r>
    </w:p>
    <w:p>
      <w:pPr>
        <w:pStyle w:val="30"/>
        <w:widowControl/>
        <w:numPr>
          <w:ilvl w:val="0"/>
          <w:numId w:val="100"/>
        </w:numPr>
        <w:adjustRightInd w:val="0"/>
        <w:snapToGrid w:val="0"/>
        <w:spacing w:line="360" w:lineRule="auto"/>
        <w:ind w:firstLineChars="0"/>
        <w:rPr>
          <w:rFonts w:ascii="黑体" w:hAnsi="黑体" w:eastAsia="黑体" w:cs="宋体"/>
          <w:color w:val="auto"/>
          <w:kern w:val="0"/>
          <w:szCs w:val="21"/>
        </w:rPr>
      </w:pPr>
      <w:r>
        <w:rPr>
          <w:rFonts w:hint="eastAsia" w:ascii="黑体" w:hAnsi="黑体" w:eastAsia="黑体" w:cs="宋体"/>
          <w:color w:val="auto"/>
          <w:kern w:val="0"/>
          <w:szCs w:val="21"/>
        </w:rPr>
        <w:t>本单位承诺为本项目提供整体设计、规范编制或者项目管理、监理、检测等服务的供应商，不得再参与本项目投标。</w:t>
      </w:r>
    </w:p>
    <w:p>
      <w:pPr>
        <w:adjustRightInd w:val="0"/>
        <w:snapToGrid w:val="0"/>
        <w:spacing w:line="360" w:lineRule="auto"/>
        <w:ind w:firstLine="424" w:firstLineChars="202"/>
        <w:rPr>
          <w:rFonts w:ascii="黑体" w:hAnsi="黑体" w:eastAsia="黑体"/>
          <w:color w:val="auto"/>
          <w:szCs w:val="21"/>
        </w:rPr>
      </w:pPr>
      <w:r>
        <w:rPr>
          <w:rFonts w:hint="eastAsia" w:ascii="黑体" w:hAnsi="黑体" w:eastAsia="黑体"/>
          <w:color w:val="auto"/>
          <w:szCs w:val="21"/>
        </w:rPr>
        <w:t>本单位承诺在本次招标采购活动中，如有违法、违规、弄虚作假行为，所造成的损失、不良后果及法律责任，一律由本单位承担。</w:t>
      </w:r>
    </w:p>
    <w:p>
      <w:pPr>
        <w:adjustRightInd w:val="0"/>
        <w:snapToGrid w:val="0"/>
        <w:spacing w:before="156" w:beforeLines="50" w:line="360" w:lineRule="auto"/>
        <w:ind w:firstLine="420"/>
        <w:rPr>
          <w:rFonts w:ascii="黑体" w:hAnsi="黑体" w:eastAsia="黑体"/>
          <w:color w:val="auto"/>
          <w:szCs w:val="21"/>
        </w:rPr>
      </w:pPr>
      <w:r>
        <w:rPr>
          <w:rFonts w:hint="eastAsia" w:ascii="黑体" w:hAnsi="黑体" w:eastAsia="黑体"/>
          <w:color w:val="auto"/>
          <w:szCs w:val="21"/>
        </w:rPr>
        <w:t>特此声明！</w:t>
      </w:r>
    </w:p>
    <w:p>
      <w:pPr>
        <w:adjustRightInd w:val="0"/>
        <w:snapToGrid w:val="0"/>
        <w:spacing w:before="312" w:beforeLines="100" w:line="360" w:lineRule="auto"/>
        <w:ind w:firstLine="420"/>
        <w:rPr>
          <w:rFonts w:ascii="黑体" w:hAnsi="黑体" w:eastAsia="黑体"/>
          <w:b/>
          <w:color w:val="auto"/>
          <w:szCs w:val="21"/>
        </w:rPr>
      </w:pPr>
      <w:r>
        <w:rPr>
          <w:rFonts w:hint="eastAsia" w:ascii="黑体" w:hAnsi="黑体" w:eastAsia="黑体"/>
          <w:b/>
          <w:color w:val="auto"/>
          <w:szCs w:val="21"/>
        </w:rPr>
        <w:t>备注：1.本声明函必须提供且内容不得擅自删改，否则视为无效投标。</w:t>
      </w:r>
    </w:p>
    <w:p>
      <w:pPr>
        <w:adjustRightInd w:val="0"/>
        <w:snapToGrid w:val="0"/>
        <w:spacing w:line="360" w:lineRule="auto"/>
        <w:ind w:firstLine="1138" w:firstLineChars="540"/>
        <w:rPr>
          <w:rFonts w:ascii="黑体" w:hAnsi="黑体" w:eastAsia="黑体"/>
          <w:b/>
          <w:color w:val="auto"/>
          <w:szCs w:val="21"/>
        </w:rPr>
      </w:pPr>
      <w:r>
        <w:rPr>
          <w:rFonts w:ascii="黑体" w:hAnsi="黑体" w:eastAsia="黑体"/>
          <w:b/>
          <w:color w:val="auto"/>
          <w:szCs w:val="21"/>
        </w:rPr>
        <w:t>2.本</w:t>
      </w:r>
      <w:bookmarkStart w:id="88" w:name="_Hlk20518506"/>
      <w:r>
        <w:rPr>
          <w:rFonts w:ascii="黑体" w:hAnsi="黑体" w:eastAsia="黑体"/>
          <w:b/>
          <w:color w:val="auto"/>
          <w:szCs w:val="21"/>
        </w:rPr>
        <w:t>声明</w:t>
      </w:r>
      <w:bookmarkEnd w:id="88"/>
      <w:r>
        <w:rPr>
          <w:rFonts w:ascii="黑体" w:hAnsi="黑体" w:eastAsia="黑体"/>
          <w:b/>
          <w:color w:val="auto"/>
          <w:szCs w:val="21"/>
        </w:rPr>
        <w:t>函如有虚假或与事实不符的，作无效投标处理。</w:t>
      </w:r>
    </w:p>
    <w:p>
      <w:pPr>
        <w:adjustRightInd w:val="0"/>
        <w:snapToGrid w:val="0"/>
        <w:spacing w:after="156" w:afterLines="50" w:line="360" w:lineRule="auto"/>
        <w:jc w:val="left"/>
        <w:rPr>
          <w:rFonts w:ascii="黑体" w:hAnsi="黑体" w:eastAsia="黑体"/>
          <w:b/>
          <w:color w:val="auto"/>
          <w:szCs w:val="21"/>
        </w:rPr>
      </w:pPr>
    </w:p>
    <w:p>
      <w:pPr>
        <w:adjustRightInd w:val="0"/>
        <w:snapToGrid w:val="0"/>
        <w:spacing w:after="156" w:afterLines="50" w:line="360" w:lineRule="auto"/>
        <w:jc w:val="left"/>
        <w:rPr>
          <w:rFonts w:ascii="黑体" w:hAnsi="黑体" w:eastAsia="黑体"/>
          <w:b/>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89" w:name="_Toc90980566"/>
      <w:r>
        <w:rPr>
          <w:rStyle w:val="23"/>
          <w:rFonts w:hint="eastAsia" w:ascii="黑体" w:hAnsi="黑体" w:eastAsia="黑体"/>
          <w:b/>
          <w:bCs/>
          <w:color w:val="auto"/>
          <w:spacing w:val="12"/>
          <w:sz w:val="21"/>
          <w:szCs w:val="21"/>
        </w:rPr>
        <w:t>法定代表人身份证明书</w:t>
      </w:r>
      <w:bookmarkEnd w:id="85"/>
      <w:bookmarkEnd w:id="86"/>
      <w:bookmarkEnd w:id="89"/>
    </w:p>
    <w:p>
      <w:pPr>
        <w:spacing w:before="156" w:beforeLines="50" w:after="156" w:afterLines="5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法定代表人身份证明书</w:t>
      </w:r>
    </w:p>
    <w:p>
      <w:pPr>
        <w:spacing w:before="312" w:beforeLines="100" w:after="156" w:afterLines="50" w:line="360" w:lineRule="auto"/>
        <w:rPr>
          <w:rFonts w:ascii="黑体" w:hAnsi="黑体" w:eastAsia="黑体"/>
          <w:b/>
          <w:color w:val="auto"/>
        </w:rPr>
      </w:pPr>
      <w:r>
        <w:rPr>
          <w:rFonts w:hint="eastAsia" w:ascii="黑体" w:hAnsi="黑体" w:eastAsia="黑体"/>
          <w:b/>
          <w:color w:val="auto"/>
        </w:rPr>
        <w:t>致：广东有德招标采购有限公司</w:t>
      </w:r>
    </w:p>
    <w:tbl>
      <w:tblPr>
        <w:tblStyle w:val="2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81"/>
        <w:gridCol w:w="5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00" w:type="pct"/>
            <w:gridSpan w:val="2"/>
          </w:tcPr>
          <w:p>
            <w:pPr>
              <w:spacing w:line="360" w:lineRule="auto"/>
              <w:rPr>
                <w:rFonts w:ascii="黑体" w:hAnsi="黑体" w:eastAsia="黑体"/>
                <w:color w:val="auto"/>
                <w:szCs w:val="21"/>
              </w:rPr>
            </w:pPr>
            <w:r>
              <w:rPr>
                <w:rFonts w:ascii="黑体" w:hAnsi="黑体" w:eastAsia="黑体"/>
                <w:color w:val="auto"/>
                <w:szCs w:val="21"/>
                <w:u w:val="single"/>
              </w:rPr>
              <w:t xml:space="preserve">                 </w:t>
            </w:r>
            <w:r>
              <w:rPr>
                <w:rFonts w:hint="eastAsia" w:ascii="黑体" w:hAnsi="黑体" w:eastAsia="黑体"/>
                <w:color w:val="auto"/>
                <w:szCs w:val="21"/>
              </w:rPr>
              <w:t>同志，现任我单位</w:t>
            </w:r>
            <w:r>
              <w:rPr>
                <w:rFonts w:ascii="黑体" w:hAnsi="黑体" w:eastAsia="黑体"/>
                <w:color w:val="auto"/>
                <w:szCs w:val="21"/>
                <w:u w:val="single"/>
              </w:rPr>
              <w:t xml:space="preserve">               </w:t>
            </w:r>
            <w:r>
              <w:rPr>
                <w:rFonts w:hint="eastAsia" w:ascii="黑体" w:hAnsi="黑体" w:eastAsia="黑体"/>
                <w:color w:val="auto"/>
                <w:szCs w:val="21"/>
              </w:rPr>
              <w:t>职务，为法定代表人，特此证明。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1" w:hRule="atLeast"/>
          <w:jc w:val="center"/>
        </w:trPr>
        <w:tc>
          <w:tcPr>
            <w:tcW w:w="5000" w:type="pct"/>
            <w:gridSpan w:val="2"/>
          </w:tcPr>
          <w:p>
            <w:pPr>
              <w:spacing w:line="360" w:lineRule="auto"/>
              <w:rPr>
                <w:rFonts w:ascii="黑体" w:hAnsi="黑体" w:eastAsia="黑体"/>
                <w:color w:val="auto"/>
                <w:szCs w:val="21"/>
              </w:rPr>
            </w:pPr>
          </w:p>
          <w:p>
            <w:pPr>
              <w:spacing w:line="360" w:lineRule="auto"/>
              <w:rPr>
                <w:rFonts w:ascii="黑体" w:hAnsi="黑体" w:eastAsia="黑体"/>
                <w:color w:val="auto"/>
                <w:szCs w:val="21"/>
              </w:rPr>
            </w:pPr>
            <w:r>
              <w:rPr>
                <w:rFonts w:hint="eastAsia" w:ascii="黑体" w:hAnsi="黑体" w:eastAsia="黑体"/>
                <w:color w:val="auto"/>
                <w:szCs w:val="21"/>
              </w:rPr>
              <w:t>附：</w:t>
            </w:r>
          </w:p>
          <w:p>
            <w:pPr>
              <w:spacing w:line="360" w:lineRule="auto"/>
              <w:rPr>
                <w:rFonts w:ascii="黑体" w:hAnsi="黑体" w:eastAsia="黑体"/>
                <w:color w:val="auto"/>
                <w:szCs w:val="21"/>
              </w:rPr>
            </w:pPr>
            <w:r>
              <w:rPr>
                <w:rFonts w:hint="eastAsia" w:ascii="黑体" w:hAnsi="黑体" w:eastAsia="黑体"/>
                <w:color w:val="auto"/>
                <w:szCs w:val="21"/>
              </w:rPr>
              <w:t xml:space="preserve">代表人性别：    </w:t>
            </w:r>
          </w:p>
          <w:p>
            <w:pPr>
              <w:spacing w:line="360" w:lineRule="auto"/>
              <w:rPr>
                <w:rFonts w:ascii="黑体" w:hAnsi="黑体" w:eastAsia="黑体"/>
                <w:color w:val="auto"/>
                <w:szCs w:val="21"/>
              </w:rPr>
            </w:pPr>
            <w:r>
              <w:rPr>
                <w:rFonts w:hint="eastAsia" w:ascii="黑体" w:hAnsi="黑体" w:eastAsia="黑体"/>
                <w:color w:val="auto"/>
                <w:szCs w:val="21"/>
              </w:rPr>
              <w:t xml:space="preserve">身份证号码： </w:t>
            </w:r>
          </w:p>
          <w:p>
            <w:pPr>
              <w:spacing w:line="360" w:lineRule="auto"/>
              <w:rPr>
                <w:rFonts w:ascii="黑体" w:hAnsi="黑体" w:eastAsia="黑体"/>
                <w:color w:val="auto"/>
                <w:szCs w:val="21"/>
              </w:rPr>
            </w:pPr>
            <w:r>
              <w:rPr>
                <w:rFonts w:hint="eastAsia" w:ascii="黑体" w:hAnsi="黑体" w:eastAsia="黑体"/>
                <w:color w:val="auto"/>
                <w:szCs w:val="21"/>
              </w:rPr>
              <w:t xml:space="preserve">联系电话：  </w:t>
            </w:r>
          </w:p>
          <w:p>
            <w:pPr>
              <w:spacing w:line="360" w:lineRule="auto"/>
              <w:rPr>
                <w:rFonts w:ascii="黑体" w:hAnsi="黑体" w:eastAsia="黑体"/>
                <w:color w:val="auto"/>
                <w:szCs w:val="21"/>
              </w:rPr>
            </w:pPr>
            <w:r>
              <w:rPr>
                <w:rFonts w:hint="eastAsia" w:ascii="黑体" w:hAnsi="黑体" w:eastAsia="黑体"/>
                <w:color w:val="auto"/>
                <w:szCs w:val="21"/>
              </w:rPr>
              <w:t xml:space="preserve">主营（产）：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00" w:type="pct"/>
            <w:gridSpan w:val="2"/>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43" w:type="pct"/>
          </w:tcPr>
          <w:p>
            <w:pPr>
              <w:spacing w:line="360" w:lineRule="auto"/>
              <w:rPr>
                <w:rFonts w:ascii="黑体" w:hAnsi="黑体" w:eastAsia="黑体"/>
                <w:color w:val="auto"/>
                <w:szCs w:val="21"/>
              </w:rPr>
            </w:pPr>
          </w:p>
        </w:tc>
        <w:tc>
          <w:tcPr>
            <w:tcW w:w="3357" w:type="pct"/>
          </w:tcPr>
          <w:p>
            <w:pPr>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43" w:type="pct"/>
          </w:tcPr>
          <w:p>
            <w:pPr>
              <w:spacing w:line="360" w:lineRule="auto"/>
              <w:rPr>
                <w:rFonts w:ascii="黑体" w:hAnsi="黑体" w:eastAsia="黑体"/>
                <w:color w:val="auto"/>
                <w:szCs w:val="21"/>
              </w:rPr>
            </w:pPr>
          </w:p>
        </w:tc>
        <w:tc>
          <w:tcPr>
            <w:tcW w:w="3357" w:type="pct"/>
          </w:tcPr>
          <w:p>
            <w:pPr>
              <w:spacing w:line="360" w:lineRule="auto"/>
              <w:rPr>
                <w:rFonts w:ascii="黑体" w:hAnsi="黑体" w:eastAsia="黑体"/>
                <w:color w:val="auto"/>
                <w:szCs w:val="21"/>
              </w:rPr>
            </w:pPr>
            <w:r>
              <w:rPr>
                <w:rFonts w:hint="eastAsia" w:ascii="黑体" w:hAnsi="黑体" w:eastAsia="黑体"/>
                <w:color w:val="auto"/>
                <w:szCs w:val="21"/>
              </w:rPr>
              <w:t>法定代表人（签名或盖私章）：</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43" w:type="pct"/>
          </w:tcPr>
          <w:p>
            <w:pPr>
              <w:spacing w:line="360" w:lineRule="auto"/>
              <w:rPr>
                <w:rFonts w:ascii="黑体" w:hAnsi="黑体" w:eastAsia="黑体"/>
                <w:color w:val="auto"/>
                <w:szCs w:val="21"/>
              </w:rPr>
            </w:pPr>
          </w:p>
        </w:tc>
        <w:tc>
          <w:tcPr>
            <w:tcW w:w="3357" w:type="pct"/>
          </w:tcPr>
          <w:p>
            <w:pPr>
              <w:spacing w:after="312" w:afterLines="100"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r>
    </w:tbl>
    <w:p>
      <w:pPr>
        <w:spacing w:before="156" w:beforeLines="50" w:after="156" w:afterLines="50" w:line="360" w:lineRule="auto"/>
        <w:rPr>
          <w:rFonts w:ascii="黑体" w:hAnsi="黑体" w:eastAsia="黑体"/>
          <w:color w:val="auto"/>
          <w:szCs w:val="21"/>
        </w:rPr>
      </w:pPr>
      <w:r>
        <w:rPr>
          <w:rFonts w:hint="eastAsia" w:ascii="黑体" w:hAnsi="黑体" w:eastAsia="黑体"/>
          <w:color w:val="auto"/>
          <w:szCs w:val="21"/>
        </w:rPr>
        <w:t>须附：法定代表人有效期内身份证复印件</w:t>
      </w:r>
    </w:p>
    <w:tbl>
      <w:tblPr>
        <w:tblStyle w:val="20"/>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383"/>
        <w:gridCol w:w="438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833" w:hRule="atLeast"/>
          <w:jc w:val="center"/>
        </w:trPr>
        <w:tc>
          <w:tcPr>
            <w:tcW w:w="2500" w:type="pct"/>
            <w:vAlign w:val="center"/>
          </w:tcPr>
          <w:p>
            <w:pPr>
              <w:pStyle w:val="36"/>
              <w:spacing w:line="46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正面</w:t>
            </w:r>
          </w:p>
        </w:tc>
        <w:tc>
          <w:tcPr>
            <w:tcW w:w="2500" w:type="pct"/>
            <w:vAlign w:val="center"/>
          </w:tcPr>
          <w:p>
            <w:pPr>
              <w:pStyle w:val="36"/>
              <w:spacing w:line="46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背面</w:t>
            </w:r>
          </w:p>
        </w:tc>
      </w:tr>
    </w:tbl>
    <w:p>
      <w:pPr>
        <w:spacing w:before="156" w:beforeLines="50" w:after="93" w:afterLines="30"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90" w:name="_Toc391627759"/>
      <w:bookmarkStart w:id="91" w:name="_Toc90980567"/>
      <w:bookmarkStart w:id="92" w:name="_Toc405313963"/>
      <w:r>
        <w:rPr>
          <w:rStyle w:val="23"/>
          <w:rFonts w:hint="eastAsia" w:ascii="黑体" w:hAnsi="黑体" w:eastAsia="黑体"/>
          <w:b/>
          <w:bCs/>
          <w:color w:val="auto"/>
          <w:spacing w:val="12"/>
          <w:sz w:val="21"/>
          <w:szCs w:val="21"/>
        </w:rPr>
        <w:t>法定代表人授权委托书</w:t>
      </w:r>
      <w:bookmarkEnd w:id="90"/>
      <w:bookmarkEnd w:id="91"/>
      <w:bookmarkEnd w:id="92"/>
    </w:p>
    <w:p>
      <w:pPr>
        <w:spacing w:before="156" w:beforeLines="50" w:after="156" w:afterLines="5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法定代表人授权委托书</w:t>
      </w:r>
    </w:p>
    <w:p>
      <w:pPr>
        <w:spacing w:before="468" w:beforeLines="150" w:after="312" w:afterLines="100" w:line="360" w:lineRule="auto"/>
        <w:rPr>
          <w:rFonts w:ascii="黑体" w:hAnsi="黑体" w:eastAsia="黑体"/>
          <w:b/>
          <w:color w:val="auto"/>
        </w:rPr>
      </w:pPr>
      <w:r>
        <w:rPr>
          <w:rFonts w:hint="eastAsia" w:ascii="黑体" w:hAnsi="黑体" w:eastAsia="黑体"/>
          <w:b/>
          <w:color w:val="auto"/>
        </w:rPr>
        <w:t>致：广东有德招标采购有限公司</w:t>
      </w:r>
    </w:p>
    <w:p>
      <w:pPr>
        <w:pStyle w:val="36"/>
        <w:spacing w:line="360" w:lineRule="auto"/>
        <w:ind w:firstLine="450" w:firstLineChars="0"/>
        <w:rPr>
          <w:rFonts w:ascii="黑体" w:hAnsi="黑体" w:eastAsia="黑体"/>
          <w:color w:val="auto"/>
          <w:sz w:val="21"/>
          <w:szCs w:val="21"/>
        </w:rPr>
      </w:pPr>
      <w:r>
        <w:rPr>
          <w:rFonts w:hint="eastAsia" w:ascii="黑体" w:hAnsi="黑体" w:eastAsia="黑体"/>
          <w:color w:val="auto"/>
          <w:sz w:val="21"/>
          <w:szCs w:val="21"/>
        </w:rPr>
        <w:t>本人</w:t>
      </w:r>
      <w:r>
        <w:rPr>
          <w:rFonts w:ascii="黑体" w:hAnsi="黑体" w:eastAsia="黑体"/>
          <w:color w:val="auto"/>
          <w:sz w:val="21"/>
          <w:szCs w:val="21"/>
          <w:u w:val="single"/>
        </w:rPr>
        <w:t xml:space="preserve">   </w:t>
      </w:r>
      <w:r>
        <w:rPr>
          <w:rFonts w:hint="eastAsia" w:ascii="黑体" w:hAnsi="黑体" w:eastAsia="黑体"/>
          <w:color w:val="auto"/>
          <w:sz w:val="21"/>
          <w:szCs w:val="21"/>
          <w:u w:val="single"/>
        </w:rPr>
        <w:t>（姓名）</w:t>
      </w:r>
      <w:r>
        <w:rPr>
          <w:rFonts w:ascii="黑体" w:hAnsi="黑体" w:eastAsia="黑体"/>
          <w:color w:val="auto"/>
          <w:sz w:val="21"/>
          <w:szCs w:val="21"/>
          <w:u w:val="single"/>
        </w:rPr>
        <w:t xml:space="preserve">  </w:t>
      </w:r>
      <w:r>
        <w:rPr>
          <w:rFonts w:hint="eastAsia" w:ascii="黑体" w:hAnsi="黑体" w:eastAsia="黑体"/>
          <w:color w:val="auto"/>
          <w:sz w:val="21"/>
          <w:szCs w:val="21"/>
        </w:rPr>
        <w:t>系</w:t>
      </w:r>
      <w:r>
        <w:rPr>
          <w:rFonts w:ascii="黑体" w:hAnsi="黑体" w:eastAsia="黑体"/>
          <w:color w:val="auto"/>
          <w:sz w:val="21"/>
          <w:szCs w:val="21"/>
          <w:u w:val="single"/>
        </w:rPr>
        <w:t xml:space="preserve">     （投标人名称）    </w:t>
      </w:r>
      <w:r>
        <w:rPr>
          <w:rFonts w:hint="eastAsia" w:ascii="黑体" w:hAnsi="黑体" w:eastAsia="黑体"/>
          <w:color w:val="auto"/>
          <w:sz w:val="21"/>
          <w:szCs w:val="21"/>
        </w:rPr>
        <w:t>的法定代表人，现委托</w:t>
      </w:r>
      <w:r>
        <w:rPr>
          <w:rFonts w:ascii="黑体" w:hAnsi="黑体" w:eastAsia="黑体"/>
          <w:color w:val="auto"/>
          <w:sz w:val="21"/>
          <w:szCs w:val="21"/>
          <w:u w:val="single"/>
        </w:rPr>
        <w:t xml:space="preserve"> （姓名） </w:t>
      </w:r>
      <w:r>
        <w:rPr>
          <w:rFonts w:hint="eastAsia" w:ascii="黑体" w:hAnsi="黑体" w:eastAsia="黑体"/>
          <w:color w:val="auto"/>
          <w:sz w:val="21"/>
          <w:szCs w:val="21"/>
        </w:rPr>
        <w:t>为我方合法代理人。代理人根据授权，以我方名义签署、澄清、说明、补正、递交、撤回、修改</w:t>
      </w:r>
      <w:r>
        <w:rPr>
          <w:rFonts w:ascii="黑体" w:hAnsi="黑体" w:eastAsia="黑体"/>
          <w:color w:val="auto"/>
          <w:sz w:val="21"/>
          <w:szCs w:val="21"/>
          <w:u w:val="single"/>
        </w:rPr>
        <w:t xml:space="preserve">          （项目名称）      </w:t>
      </w:r>
      <w:r>
        <w:rPr>
          <w:rFonts w:hint="eastAsia" w:ascii="黑体" w:hAnsi="黑体" w:eastAsia="黑体"/>
          <w:color w:val="auto"/>
          <w:sz w:val="21"/>
          <w:szCs w:val="21"/>
        </w:rPr>
        <w:t>（项目编号：</w:t>
      </w:r>
      <w:r>
        <w:rPr>
          <w:rFonts w:hint="eastAsia" w:ascii="黑体" w:hAnsi="黑体" w:eastAsia="黑体"/>
          <w:color w:val="auto"/>
          <w:sz w:val="21"/>
          <w:szCs w:val="21"/>
          <w:u w:val="single"/>
        </w:rPr>
        <w:t>　　</w:t>
      </w:r>
      <w:r>
        <w:rPr>
          <w:rFonts w:ascii="黑体" w:hAnsi="黑体" w:eastAsia="黑体"/>
          <w:color w:val="auto"/>
          <w:sz w:val="21"/>
          <w:szCs w:val="21"/>
          <w:u w:val="single"/>
        </w:rPr>
        <w:t xml:space="preserve">     </w:t>
      </w:r>
      <w:r>
        <w:rPr>
          <w:rFonts w:hint="eastAsia" w:ascii="黑体" w:hAnsi="黑体" w:eastAsia="黑体"/>
          <w:color w:val="auto"/>
          <w:sz w:val="21"/>
          <w:szCs w:val="21"/>
          <w:u w:val="single"/>
        </w:rPr>
        <w:t>　</w:t>
      </w:r>
      <w:r>
        <w:rPr>
          <w:rFonts w:hint="eastAsia" w:ascii="黑体" w:hAnsi="黑体" w:eastAsia="黑体"/>
          <w:color w:val="auto"/>
          <w:sz w:val="21"/>
          <w:szCs w:val="21"/>
        </w:rPr>
        <w:t>）投标文件、签订合同和处理有关事宜，其法律后果由我方承担。</w:t>
      </w:r>
    </w:p>
    <w:p>
      <w:pPr>
        <w:pStyle w:val="36"/>
        <w:spacing w:line="360" w:lineRule="auto"/>
        <w:ind w:firstLine="428" w:firstLineChars="204"/>
        <w:rPr>
          <w:rFonts w:ascii="黑体" w:hAnsi="黑体" w:eastAsia="黑体"/>
          <w:color w:val="auto"/>
          <w:sz w:val="21"/>
          <w:szCs w:val="21"/>
        </w:rPr>
      </w:pPr>
      <w:r>
        <w:rPr>
          <w:rFonts w:hint="eastAsia" w:ascii="黑体" w:hAnsi="黑体" w:eastAsia="黑体"/>
          <w:color w:val="auto"/>
          <w:sz w:val="21"/>
          <w:szCs w:val="21"/>
        </w:rPr>
        <w:t>本委托书于</w:t>
      </w:r>
      <w:r>
        <w:rPr>
          <w:rFonts w:hint="eastAsia" w:ascii="黑体" w:hAnsi="黑体" w:eastAsia="黑体"/>
          <w:color w:val="auto"/>
          <w:sz w:val="21"/>
          <w:szCs w:val="21"/>
          <w:u w:val="single"/>
        </w:rPr>
        <w:t>　</w:t>
      </w:r>
      <w:r>
        <w:rPr>
          <w:rFonts w:ascii="黑体" w:hAnsi="黑体" w:eastAsia="黑体"/>
          <w:color w:val="auto"/>
          <w:sz w:val="21"/>
          <w:szCs w:val="21"/>
          <w:u w:val="single"/>
        </w:rPr>
        <w:t xml:space="preserve">    </w:t>
      </w:r>
      <w:r>
        <w:rPr>
          <w:rFonts w:hint="eastAsia" w:ascii="黑体" w:hAnsi="黑体" w:eastAsia="黑体"/>
          <w:color w:val="auto"/>
          <w:sz w:val="21"/>
          <w:szCs w:val="21"/>
        </w:rPr>
        <w:t>年</w:t>
      </w:r>
      <w:r>
        <w:rPr>
          <w:rFonts w:hint="eastAsia" w:ascii="黑体" w:hAnsi="黑体" w:eastAsia="黑体"/>
          <w:color w:val="auto"/>
          <w:sz w:val="21"/>
          <w:szCs w:val="21"/>
          <w:u w:val="single"/>
        </w:rPr>
        <w:t>　</w:t>
      </w:r>
      <w:r>
        <w:rPr>
          <w:rFonts w:ascii="黑体" w:hAnsi="黑体" w:eastAsia="黑体"/>
          <w:color w:val="auto"/>
          <w:sz w:val="21"/>
          <w:szCs w:val="21"/>
          <w:u w:val="single"/>
        </w:rPr>
        <w:t xml:space="preserve"> </w:t>
      </w:r>
      <w:r>
        <w:rPr>
          <w:rFonts w:hint="eastAsia" w:ascii="黑体" w:hAnsi="黑体" w:eastAsia="黑体"/>
          <w:color w:val="auto"/>
          <w:sz w:val="21"/>
          <w:szCs w:val="21"/>
        </w:rPr>
        <w:t>月</w:t>
      </w:r>
      <w:r>
        <w:rPr>
          <w:rFonts w:hint="eastAsia" w:ascii="黑体" w:hAnsi="黑体" w:eastAsia="黑体"/>
          <w:color w:val="auto"/>
          <w:sz w:val="21"/>
          <w:szCs w:val="21"/>
          <w:u w:val="single"/>
        </w:rPr>
        <w:t>　</w:t>
      </w:r>
      <w:r>
        <w:rPr>
          <w:rFonts w:ascii="黑体" w:hAnsi="黑体" w:eastAsia="黑体"/>
          <w:color w:val="auto"/>
          <w:sz w:val="21"/>
          <w:szCs w:val="21"/>
          <w:u w:val="single"/>
        </w:rPr>
        <w:t xml:space="preserve"> </w:t>
      </w:r>
      <w:r>
        <w:rPr>
          <w:rFonts w:hint="eastAsia" w:ascii="黑体" w:hAnsi="黑体" w:eastAsia="黑体"/>
          <w:color w:val="auto"/>
          <w:sz w:val="21"/>
          <w:szCs w:val="21"/>
        </w:rPr>
        <w:t>日签字生效，特此证明。</w:t>
      </w:r>
    </w:p>
    <w:p>
      <w:pPr>
        <w:pStyle w:val="36"/>
        <w:spacing w:line="360" w:lineRule="auto"/>
        <w:ind w:firstLine="428" w:firstLineChars="204"/>
        <w:rPr>
          <w:rFonts w:ascii="黑体" w:hAnsi="黑体" w:eastAsia="黑体"/>
          <w:color w:val="auto"/>
          <w:sz w:val="21"/>
          <w:szCs w:val="21"/>
        </w:rPr>
      </w:pPr>
    </w:p>
    <w:p>
      <w:pPr>
        <w:pStyle w:val="36"/>
        <w:spacing w:line="360" w:lineRule="auto"/>
        <w:ind w:firstLine="0" w:firstLineChars="0"/>
        <w:rPr>
          <w:rFonts w:ascii="黑体" w:hAnsi="黑体" w:eastAsia="黑体"/>
          <w:color w:val="auto"/>
          <w:sz w:val="21"/>
          <w:szCs w:val="21"/>
        </w:rPr>
      </w:pPr>
    </w:p>
    <w:p>
      <w:pPr>
        <w:pStyle w:val="36"/>
        <w:spacing w:line="360" w:lineRule="auto"/>
        <w:ind w:firstLine="0" w:firstLineChars="0"/>
        <w:rPr>
          <w:rFonts w:ascii="黑体" w:hAnsi="黑体" w:eastAsia="黑体"/>
          <w:color w:val="auto"/>
          <w:sz w:val="21"/>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5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pStyle w:val="36"/>
              <w:spacing w:line="360" w:lineRule="auto"/>
              <w:ind w:firstLine="0" w:firstLineChars="0"/>
              <w:rPr>
                <w:rFonts w:ascii="黑体" w:hAnsi="黑体" w:eastAsia="黑体"/>
                <w:color w:val="auto"/>
                <w:sz w:val="21"/>
                <w:szCs w:val="21"/>
              </w:rPr>
            </w:pPr>
          </w:p>
        </w:tc>
        <w:tc>
          <w:tcPr>
            <w:tcW w:w="5726" w:type="dxa"/>
          </w:tcPr>
          <w:p>
            <w:pPr>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pStyle w:val="36"/>
              <w:spacing w:line="360" w:lineRule="auto"/>
              <w:ind w:firstLine="0" w:firstLineChars="0"/>
              <w:rPr>
                <w:rFonts w:ascii="黑体" w:hAnsi="黑体" w:eastAsia="黑体"/>
                <w:color w:val="auto"/>
                <w:sz w:val="21"/>
                <w:szCs w:val="21"/>
              </w:rPr>
            </w:pPr>
          </w:p>
        </w:tc>
        <w:tc>
          <w:tcPr>
            <w:tcW w:w="5726" w:type="dxa"/>
          </w:tcPr>
          <w:p>
            <w:pPr>
              <w:spacing w:line="360" w:lineRule="auto"/>
              <w:rPr>
                <w:rFonts w:ascii="黑体" w:hAnsi="黑体" w:eastAsia="黑体"/>
                <w:color w:val="auto"/>
                <w:szCs w:val="21"/>
              </w:rPr>
            </w:pPr>
            <w:r>
              <w:rPr>
                <w:rFonts w:hint="eastAsia" w:ascii="黑体" w:hAnsi="黑体" w:eastAsia="黑体"/>
                <w:color w:val="auto"/>
                <w:szCs w:val="21"/>
              </w:rPr>
              <w:t>法定代表人（签名或盖私章）：</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pStyle w:val="36"/>
              <w:spacing w:line="360" w:lineRule="auto"/>
              <w:ind w:firstLine="0" w:firstLineChars="0"/>
              <w:rPr>
                <w:rFonts w:ascii="黑体" w:hAnsi="黑体" w:eastAsia="黑体"/>
                <w:color w:val="auto"/>
                <w:sz w:val="21"/>
                <w:szCs w:val="21"/>
              </w:rPr>
            </w:pPr>
          </w:p>
        </w:tc>
        <w:tc>
          <w:tcPr>
            <w:tcW w:w="5726" w:type="dxa"/>
          </w:tcPr>
          <w:p>
            <w:pPr>
              <w:spacing w:line="360" w:lineRule="auto"/>
              <w:rPr>
                <w:rFonts w:ascii="黑体" w:hAnsi="黑体" w:eastAsia="黑体"/>
                <w:color w:val="auto"/>
                <w:szCs w:val="21"/>
              </w:rPr>
            </w:pPr>
            <w:r>
              <w:rPr>
                <w:rFonts w:hint="eastAsia" w:ascii="黑体" w:hAnsi="黑体" w:eastAsia="黑体"/>
                <w:color w:val="auto"/>
                <w:szCs w:val="21"/>
              </w:rPr>
              <w:t>职务：</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pStyle w:val="36"/>
              <w:spacing w:line="360" w:lineRule="auto"/>
              <w:ind w:firstLine="0" w:firstLineChars="0"/>
              <w:rPr>
                <w:rFonts w:ascii="黑体" w:hAnsi="黑体" w:eastAsia="黑体"/>
                <w:color w:val="auto"/>
                <w:sz w:val="21"/>
                <w:szCs w:val="21"/>
              </w:rPr>
            </w:pPr>
          </w:p>
        </w:tc>
        <w:tc>
          <w:tcPr>
            <w:tcW w:w="5726" w:type="dxa"/>
          </w:tcPr>
          <w:p>
            <w:pPr>
              <w:spacing w:line="360" w:lineRule="auto"/>
              <w:rPr>
                <w:rFonts w:ascii="黑体" w:hAnsi="黑体" w:eastAsia="黑体"/>
                <w:color w:val="auto"/>
                <w:szCs w:val="21"/>
              </w:rPr>
            </w:pPr>
            <w:r>
              <w:rPr>
                <w:rFonts w:hint="eastAsia" w:ascii="黑体" w:hAnsi="黑体" w:eastAsia="黑体"/>
                <w:color w:val="auto"/>
                <w:szCs w:val="21"/>
              </w:rPr>
              <w:t>被授权人（签名或盖私章）：</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pStyle w:val="36"/>
              <w:spacing w:line="360" w:lineRule="auto"/>
              <w:ind w:firstLine="0" w:firstLineChars="0"/>
              <w:rPr>
                <w:rFonts w:ascii="黑体" w:hAnsi="黑体" w:eastAsia="黑体"/>
                <w:color w:val="auto"/>
                <w:sz w:val="21"/>
                <w:szCs w:val="21"/>
              </w:rPr>
            </w:pPr>
          </w:p>
        </w:tc>
        <w:tc>
          <w:tcPr>
            <w:tcW w:w="5726" w:type="dxa"/>
          </w:tcPr>
          <w:p>
            <w:pPr>
              <w:spacing w:line="360" w:lineRule="auto"/>
              <w:rPr>
                <w:rFonts w:ascii="黑体" w:hAnsi="黑体" w:eastAsia="黑体"/>
                <w:color w:val="auto"/>
                <w:szCs w:val="21"/>
              </w:rPr>
            </w:pPr>
            <w:r>
              <w:rPr>
                <w:rFonts w:hint="eastAsia" w:ascii="黑体" w:hAnsi="黑体" w:eastAsia="黑体"/>
                <w:color w:val="auto"/>
                <w:szCs w:val="21"/>
              </w:rPr>
              <w:t>职务：</w:t>
            </w:r>
            <w:r>
              <w:rPr>
                <w:rFonts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2" w:type="dxa"/>
          </w:tcPr>
          <w:p>
            <w:pPr>
              <w:pStyle w:val="36"/>
              <w:spacing w:line="360" w:lineRule="auto"/>
              <w:ind w:firstLine="0" w:firstLineChars="0"/>
              <w:rPr>
                <w:rFonts w:ascii="黑体" w:hAnsi="黑体" w:eastAsia="黑体"/>
                <w:color w:val="auto"/>
                <w:sz w:val="21"/>
                <w:szCs w:val="21"/>
              </w:rPr>
            </w:pPr>
          </w:p>
        </w:tc>
        <w:tc>
          <w:tcPr>
            <w:tcW w:w="5726"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r>
    </w:tbl>
    <w:p>
      <w:pPr>
        <w:pStyle w:val="36"/>
        <w:spacing w:line="360" w:lineRule="auto"/>
        <w:ind w:firstLine="0" w:firstLineChars="0"/>
        <w:rPr>
          <w:rFonts w:ascii="黑体" w:hAnsi="黑体" w:eastAsia="黑体"/>
          <w:color w:val="auto"/>
          <w:sz w:val="21"/>
          <w:szCs w:val="21"/>
        </w:rPr>
      </w:pPr>
    </w:p>
    <w:p>
      <w:pPr>
        <w:pStyle w:val="36"/>
        <w:spacing w:line="360" w:lineRule="auto"/>
        <w:ind w:firstLine="0" w:firstLineChars="0"/>
        <w:rPr>
          <w:rFonts w:ascii="黑体" w:hAnsi="黑体" w:eastAsia="黑体"/>
          <w:color w:val="auto"/>
          <w:sz w:val="21"/>
          <w:szCs w:val="21"/>
        </w:rPr>
      </w:pPr>
    </w:p>
    <w:p>
      <w:pPr>
        <w:spacing w:after="156" w:afterLines="50" w:line="360" w:lineRule="auto"/>
        <w:rPr>
          <w:rFonts w:ascii="黑体" w:hAnsi="黑体" w:eastAsia="黑体"/>
          <w:color w:val="auto"/>
          <w:szCs w:val="21"/>
        </w:rPr>
      </w:pPr>
      <w:r>
        <w:rPr>
          <w:rFonts w:hint="eastAsia" w:ascii="黑体" w:hAnsi="黑体" w:eastAsia="黑体"/>
          <w:color w:val="auto"/>
          <w:szCs w:val="21"/>
        </w:rPr>
        <w:t>须附：被授权人有效期内身份证复印件</w:t>
      </w:r>
    </w:p>
    <w:tbl>
      <w:tblPr>
        <w:tblStyle w:val="20"/>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383"/>
        <w:gridCol w:w="438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2500" w:type="pct"/>
            <w:vAlign w:val="center"/>
          </w:tcPr>
          <w:p>
            <w:pPr>
              <w:pStyle w:val="36"/>
              <w:spacing w:line="46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正面</w:t>
            </w:r>
          </w:p>
        </w:tc>
        <w:tc>
          <w:tcPr>
            <w:tcW w:w="2500" w:type="pct"/>
            <w:vAlign w:val="center"/>
          </w:tcPr>
          <w:p>
            <w:pPr>
              <w:pStyle w:val="36"/>
              <w:spacing w:line="46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背面</w:t>
            </w: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93" w:name="_Toc391627760"/>
      <w:bookmarkStart w:id="94" w:name="_Toc90980568"/>
      <w:bookmarkStart w:id="95" w:name="_Toc405313964"/>
      <w:r>
        <w:rPr>
          <w:rStyle w:val="23"/>
          <w:rFonts w:hint="eastAsia" w:ascii="黑体" w:hAnsi="黑体" w:eastAsia="黑体"/>
          <w:b/>
          <w:bCs/>
          <w:color w:val="auto"/>
          <w:spacing w:val="12"/>
          <w:sz w:val="21"/>
          <w:szCs w:val="21"/>
        </w:rPr>
        <w:t>投标人基本情况说明</w:t>
      </w:r>
      <w:bookmarkEnd w:id="93"/>
      <w:bookmarkEnd w:id="94"/>
      <w:bookmarkEnd w:id="95"/>
    </w:p>
    <w:p>
      <w:pPr>
        <w:spacing w:before="156" w:beforeLines="50" w:after="156" w:afterLines="5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投标人基本情况说明</w:t>
      </w:r>
    </w:p>
    <w:p>
      <w:pPr>
        <w:pStyle w:val="30"/>
        <w:numPr>
          <w:ilvl w:val="0"/>
          <w:numId w:val="101"/>
        </w:numPr>
        <w:spacing w:after="156" w:afterLines="50" w:line="360" w:lineRule="auto"/>
        <w:ind w:firstLineChars="0"/>
        <w:rPr>
          <w:rFonts w:ascii="黑体" w:hAnsi="黑体" w:eastAsia="黑体"/>
          <w:color w:val="auto"/>
          <w:szCs w:val="21"/>
        </w:rPr>
      </w:pPr>
      <w:r>
        <w:rPr>
          <w:rFonts w:ascii="黑体" w:hAnsi="黑体" w:eastAsia="黑体"/>
          <w:color w:val="auto"/>
          <w:szCs w:val="21"/>
        </w:rPr>
        <w:t>公司基本情况</w:t>
      </w:r>
    </w:p>
    <w:tbl>
      <w:tblPr>
        <w:tblStyle w:val="2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3"/>
        <w:gridCol w:w="2439"/>
        <w:gridCol w:w="1068"/>
        <w:gridCol w:w="1410"/>
        <w:gridCol w:w="2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00" w:type="pct"/>
            <w:gridSpan w:val="3"/>
          </w:tcPr>
          <w:p>
            <w:pPr>
              <w:spacing w:line="360" w:lineRule="auto"/>
              <w:rPr>
                <w:rFonts w:ascii="黑体" w:hAnsi="黑体" w:eastAsia="黑体"/>
                <w:color w:val="auto"/>
                <w:szCs w:val="21"/>
              </w:rPr>
            </w:pPr>
            <w:r>
              <w:rPr>
                <w:rFonts w:ascii="黑体" w:hAnsi="黑体" w:eastAsia="黑体"/>
                <w:color w:val="auto"/>
                <w:szCs w:val="21"/>
              </w:rPr>
              <w:t>公司名称：</w:t>
            </w:r>
            <w:r>
              <w:rPr>
                <w:rFonts w:ascii="黑体" w:hAnsi="黑体" w:eastAsia="黑体"/>
                <w:color w:val="auto"/>
                <w:szCs w:val="21"/>
                <w:u w:val="single"/>
              </w:rPr>
              <w:t xml:space="preserve">           </w:t>
            </w:r>
            <w:r>
              <w:rPr>
                <w:rFonts w:hint="eastAsia" w:ascii="黑体" w:hAnsi="黑体" w:eastAsia="黑体"/>
                <w:color w:val="auto"/>
                <w:szCs w:val="21"/>
                <w:u w:val="single"/>
              </w:rPr>
              <w:t xml:space="preserve">                    </w:t>
            </w:r>
            <w:r>
              <w:rPr>
                <w:rFonts w:ascii="黑体" w:hAnsi="黑体" w:eastAsia="黑体"/>
                <w:color w:val="auto"/>
                <w:szCs w:val="21"/>
                <w:u w:val="single"/>
              </w:rPr>
              <w:t xml:space="preserve">    </w:t>
            </w:r>
            <w:r>
              <w:rPr>
                <w:rFonts w:ascii="黑体" w:hAnsi="黑体" w:eastAsia="黑体"/>
                <w:color w:val="auto"/>
                <w:szCs w:val="21"/>
              </w:rPr>
              <w:t xml:space="preserve"> </w:t>
            </w:r>
          </w:p>
        </w:tc>
        <w:tc>
          <w:tcPr>
            <w:tcW w:w="2000" w:type="pct"/>
            <w:gridSpan w:val="2"/>
          </w:tcPr>
          <w:p>
            <w:pPr>
              <w:spacing w:line="360" w:lineRule="auto"/>
              <w:rPr>
                <w:rFonts w:ascii="黑体" w:hAnsi="黑体" w:eastAsia="黑体"/>
                <w:color w:val="auto"/>
                <w:szCs w:val="21"/>
              </w:rPr>
            </w:pPr>
            <w:r>
              <w:rPr>
                <w:rFonts w:hint="eastAsia" w:ascii="黑体" w:hAnsi="黑体" w:eastAsia="黑体"/>
                <w:color w:val="auto"/>
                <w:szCs w:val="21"/>
              </w:rPr>
              <w:t>公司固话：</w:t>
            </w:r>
            <w:r>
              <w:rPr>
                <w:rFonts w:hint="eastAsia"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00" w:type="pct"/>
            <w:gridSpan w:val="3"/>
          </w:tcPr>
          <w:p>
            <w:pPr>
              <w:spacing w:line="360" w:lineRule="auto"/>
              <w:rPr>
                <w:rFonts w:ascii="黑体" w:hAnsi="黑体" w:eastAsia="黑体"/>
                <w:color w:val="auto"/>
                <w:szCs w:val="21"/>
              </w:rPr>
            </w:pPr>
            <w:r>
              <w:rPr>
                <w:rFonts w:hint="eastAsia" w:ascii="黑体" w:hAnsi="黑体" w:eastAsia="黑体"/>
                <w:color w:val="auto"/>
                <w:szCs w:val="21"/>
              </w:rPr>
              <w:t>单位地址：</w:t>
            </w:r>
            <w:r>
              <w:rPr>
                <w:rFonts w:hint="eastAsia" w:ascii="黑体" w:hAnsi="黑体" w:eastAsia="黑体"/>
                <w:color w:val="auto"/>
                <w:szCs w:val="21"/>
                <w:u w:val="single"/>
              </w:rPr>
              <w:t xml:space="preserve">                                    </w:t>
            </w:r>
          </w:p>
        </w:tc>
        <w:tc>
          <w:tcPr>
            <w:tcW w:w="2000" w:type="pct"/>
            <w:gridSpan w:val="2"/>
          </w:tcPr>
          <w:p>
            <w:pPr>
              <w:spacing w:line="360" w:lineRule="auto"/>
              <w:rPr>
                <w:rFonts w:ascii="黑体" w:hAnsi="黑体" w:eastAsia="黑体"/>
                <w:color w:val="auto"/>
                <w:szCs w:val="21"/>
              </w:rPr>
            </w:pPr>
            <w:r>
              <w:rPr>
                <w:rFonts w:hint="eastAsia" w:ascii="黑体" w:hAnsi="黑体" w:eastAsia="黑体"/>
                <w:color w:val="auto"/>
                <w:szCs w:val="21"/>
              </w:rPr>
              <w:t>公司传真：</w:t>
            </w:r>
            <w:r>
              <w:rPr>
                <w:rFonts w:hint="eastAsia"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00" w:type="pct"/>
            <w:gridSpan w:val="3"/>
          </w:tcPr>
          <w:p>
            <w:pPr>
              <w:spacing w:line="360" w:lineRule="auto"/>
              <w:rPr>
                <w:rFonts w:ascii="黑体" w:hAnsi="黑体" w:eastAsia="黑体"/>
                <w:color w:val="auto"/>
                <w:szCs w:val="21"/>
              </w:rPr>
            </w:pPr>
            <w:r>
              <w:rPr>
                <w:rFonts w:hint="eastAsia" w:ascii="黑体" w:hAnsi="黑体" w:eastAsia="黑体"/>
                <w:color w:val="auto"/>
                <w:szCs w:val="21"/>
              </w:rPr>
              <w:t>注册资金：</w:t>
            </w:r>
            <w:r>
              <w:rPr>
                <w:rFonts w:hint="eastAsia" w:ascii="黑体" w:hAnsi="黑体" w:eastAsia="黑体"/>
                <w:color w:val="auto"/>
                <w:szCs w:val="21"/>
                <w:u w:val="single"/>
              </w:rPr>
              <w:t xml:space="preserve">                                    </w:t>
            </w:r>
          </w:p>
        </w:tc>
        <w:tc>
          <w:tcPr>
            <w:tcW w:w="2000" w:type="pct"/>
            <w:gridSpan w:val="2"/>
          </w:tcPr>
          <w:p>
            <w:pPr>
              <w:spacing w:line="360" w:lineRule="auto"/>
              <w:rPr>
                <w:rFonts w:ascii="黑体" w:hAnsi="黑体" w:eastAsia="黑体"/>
                <w:color w:val="auto"/>
                <w:szCs w:val="21"/>
              </w:rPr>
            </w:pPr>
            <w:r>
              <w:rPr>
                <w:rFonts w:hint="eastAsia" w:ascii="黑体" w:hAnsi="黑体" w:eastAsia="黑体"/>
                <w:color w:val="auto"/>
                <w:szCs w:val="21"/>
              </w:rPr>
              <w:t>单位性质：</w:t>
            </w:r>
            <w:r>
              <w:rPr>
                <w:rFonts w:hint="eastAsia"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00" w:type="pct"/>
            <w:gridSpan w:val="3"/>
          </w:tcPr>
          <w:p>
            <w:pPr>
              <w:spacing w:line="360" w:lineRule="auto"/>
              <w:rPr>
                <w:rFonts w:ascii="黑体" w:hAnsi="黑体" w:eastAsia="黑体"/>
                <w:color w:val="auto"/>
                <w:szCs w:val="21"/>
              </w:rPr>
            </w:pPr>
            <w:r>
              <w:rPr>
                <w:rFonts w:hint="eastAsia" w:ascii="黑体" w:hAnsi="黑体" w:eastAsia="黑体"/>
                <w:color w:val="auto"/>
                <w:szCs w:val="21"/>
              </w:rPr>
              <w:t>公司开户银行名称：</w:t>
            </w:r>
            <w:r>
              <w:rPr>
                <w:rFonts w:hint="eastAsia" w:ascii="黑体" w:hAnsi="黑体" w:eastAsia="黑体"/>
                <w:color w:val="auto"/>
                <w:szCs w:val="21"/>
                <w:u w:val="single"/>
              </w:rPr>
              <w:t xml:space="preserve">                            </w:t>
            </w:r>
          </w:p>
        </w:tc>
        <w:tc>
          <w:tcPr>
            <w:tcW w:w="2000" w:type="pct"/>
            <w:gridSpan w:val="2"/>
          </w:tcPr>
          <w:p>
            <w:pPr>
              <w:spacing w:line="360" w:lineRule="auto"/>
              <w:rPr>
                <w:rFonts w:ascii="黑体" w:hAnsi="黑体" w:eastAsia="黑体"/>
                <w:color w:val="auto"/>
                <w:szCs w:val="21"/>
              </w:rPr>
            </w:pPr>
            <w:r>
              <w:rPr>
                <w:rFonts w:hint="eastAsia" w:ascii="黑体" w:hAnsi="黑体" w:eastAsia="黑体"/>
                <w:color w:val="auto"/>
                <w:szCs w:val="21"/>
              </w:rPr>
              <w:t>开户账号：</w:t>
            </w:r>
            <w:r>
              <w:rPr>
                <w:rFonts w:hint="eastAsia"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00" w:type="pct"/>
            <w:gridSpan w:val="5"/>
          </w:tcPr>
          <w:p>
            <w:pPr>
              <w:spacing w:line="360" w:lineRule="auto"/>
              <w:rPr>
                <w:rFonts w:ascii="黑体" w:hAnsi="黑体" w:eastAsia="黑体"/>
                <w:color w:val="auto"/>
                <w:szCs w:val="21"/>
              </w:rPr>
            </w:pPr>
            <w:r>
              <w:rPr>
                <w:rFonts w:ascii="黑体" w:hAnsi="黑体" w:eastAsia="黑体"/>
                <w:color w:val="auto"/>
                <w:szCs w:val="21"/>
              </w:rPr>
              <w:t>营业注册执照</w:t>
            </w:r>
            <w:r>
              <w:rPr>
                <w:rFonts w:hint="eastAsia" w:ascii="黑体" w:hAnsi="黑体" w:eastAsia="黑体"/>
                <w:color w:val="auto"/>
                <w:szCs w:val="21"/>
              </w:rPr>
              <w:t>或事业单位法人证书</w:t>
            </w:r>
            <w:r>
              <w:rPr>
                <w:rFonts w:ascii="黑体" w:hAnsi="黑体" w:eastAsia="黑体"/>
                <w:color w:val="auto"/>
                <w:szCs w:val="21"/>
              </w:rPr>
              <w:t>号</w:t>
            </w:r>
            <w:r>
              <w:rPr>
                <w:rFonts w:hint="eastAsia" w:ascii="黑体" w:hAnsi="黑体" w:eastAsia="黑体"/>
                <w:color w:val="auto"/>
                <w:szCs w:val="21"/>
              </w:rPr>
              <w:t>：</w:t>
            </w:r>
            <w:r>
              <w:rPr>
                <w:rFonts w:hint="eastAsia" w:ascii="黑体" w:hAnsi="黑体" w:eastAsia="黑体"/>
                <w:color w:val="auto"/>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5000" w:type="pct"/>
            <w:gridSpan w:val="5"/>
          </w:tcPr>
          <w:p>
            <w:pPr>
              <w:spacing w:line="360" w:lineRule="auto"/>
              <w:rPr>
                <w:rFonts w:ascii="黑体" w:hAnsi="黑体" w:eastAsia="黑体"/>
                <w:color w:val="auto"/>
                <w:szCs w:val="21"/>
              </w:rPr>
            </w:pPr>
            <w:r>
              <w:rPr>
                <w:rFonts w:hint="eastAsia" w:ascii="黑体" w:hAnsi="黑体" w:eastAsia="黑体"/>
                <w:color w:val="auto"/>
                <w:szCs w:val="21"/>
              </w:rPr>
              <w:t>公司财务状况：（如有）                                  【价格单位：（人民币）元】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年  度</w:t>
            </w:r>
          </w:p>
        </w:tc>
        <w:tc>
          <w:tcPr>
            <w:tcW w:w="1391"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总资产（元）</w:t>
            </w:r>
          </w:p>
        </w:tc>
        <w:tc>
          <w:tcPr>
            <w:tcW w:w="1413" w:type="pct"/>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年营业额（元）</w:t>
            </w:r>
          </w:p>
        </w:tc>
        <w:tc>
          <w:tcPr>
            <w:tcW w:w="119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年净利润（元）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0" w:type="pct"/>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c>
          <w:tcPr>
            <w:tcW w:w="1391" w:type="pct"/>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c>
          <w:tcPr>
            <w:tcW w:w="1413" w:type="pct"/>
            <w:gridSpan w:val="2"/>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c>
          <w:tcPr>
            <w:tcW w:w="1197" w:type="pct"/>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0" w:type="pct"/>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c>
          <w:tcPr>
            <w:tcW w:w="1391" w:type="pct"/>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c>
          <w:tcPr>
            <w:tcW w:w="1413" w:type="pct"/>
            <w:gridSpan w:val="2"/>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c>
          <w:tcPr>
            <w:tcW w:w="1197" w:type="pct"/>
            <w:tcBorders>
              <w:top w:val="single" w:color="auto" w:sz="6" w:space="0"/>
              <w:left w:val="single" w:color="auto" w:sz="6" w:space="0"/>
              <w:bottom w:val="single" w:color="auto" w:sz="6" w:space="0"/>
              <w:right w:val="single" w:color="auto" w:sz="6" w:space="0"/>
            </w:tcBorders>
          </w:tcPr>
          <w:p>
            <w:pPr>
              <w:spacing w:line="360" w:lineRule="auto"/>
              <w:rPr>
                <w:rFonts w:ascii="黑体" w:hAnsi="黑体" w:eastAsia="黑体"/>
                <w:color w:val="auto"/>
                <w:szCs w:val="21"/>
              </w:rPr>
            </w:pPr>
          </w:p>
        </w:tc>
      </w:tr>
    </w:tbl>
    <w:p>
      <w:pPr>
        <w:pStyle w:val="30"/>
        <w:numPr>
          <w:ilvl w:val="0"/>
          <w:numId w:val="101"/>
        </w:numPr>
        <w:spacing w:after="156" w:afterLines="50" w:line="360" w:lineRule="auto"/>
        <w:ind w:firstLineChars="0"/>
        <w:rPr>
          <w:rFonts w:ascii="黑体" w:hAnsi="黑体" w:eastAsia="黑体"/>
          <w:color w:val="auto"/>
          <w:szCs w:val="21"/>
        </w:rPr>
      </w:pPr>
      <w:r>
        <w:rPr>
          <w:rFonts w:ascii="黑体" w:hAnsi="黑体" w:eastAsia="黑体"/>
          <w:color w:val="auto"/>
          <w:szCs w:val="21"/>
        </w:rPr>
        <w:t>投标人获得国家有关部门颁发的资质证明</w:t>
      </w:r>
      <w:r>
        <w:rPr>
          <w:rFonts w:hint="eastAsia" w:ascii="黑体" w:hAnsi="黑体" w:eastAsia="黑体"/>
          <w:color w:val="auto"/>
          <w:szCs w:val="21"/>
        </w:rPr>
        <w:t>或荣誉</w:t>
      </w:r>
      <w:r>
        <w:rPr>
          <w:rFonts w:ascii="黑体" w:hAnsi="黑体" w:eastAsia="黑体"/>
          <w:color w:val="auto"/>
          <w:szCs w:val="21"/>
        </w:rPr>
        <w:t>：</w:t>
      </w:r>
      <w:r>
        <w:rPr>
          <w:rFonts w:hint="eastAsia" w:ascii="黑体" w:hAnsi="黑体" w:eastAsia="黑体"/>
          <w:color w:val="auto"/>
          <w:szCs w:val="21"/>
        </w:rPr>
        <w:t>（如有）</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2192"/>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spacing w:line="360" w:lineRule="auto"/>
              <w:jc w:val="center"/>
              <w:rPr>
                <w:rFonts w:ascii="黑体" w:hAnsi="黑体" w:eastAsia="黑体"/>
                <w:color w:val="auto"/>
                <w:szCs w:val="21"/>
              </w:rPr>
            </w:pPr>
            <w:r>
              <w:rPr>
                <w:rFonts w:ascii="黑体" w:hAnsi="黑体" w:eastAsia="黑体"/>
                <w:color w:val="auto"/>
                <w:szCs w:val="21"/>
              </w:rPr>
              <w:t>证书名称</w:t>
            </w:r>
          </w:p>
        </w:tc>
        <w:tc>
          <w:tcPr>
            <w:tcW w:w="1250" w:type="pct"/>
            <w:vAlign w:val="center"/>
          </w:tcPr>
          <w:p>
            <w:pPr>
              <w:spacing w:line="360" w:lineRule="auto"/>
              <w:jc w:val="center"/>
              <w:rPr>
                <w:rFonts w:ascii="黑体" w:hAnsi="黑体" w:eastAsia="黑体"/>
                <w:color w:val="auto"/>
                <w:szCs w:val="21"/>
              </w:rPr>
            </w:pPr>
            <w:r>
              <w:rPr>
                <w:rFonts w:ascii="黑体" w:hAnsi="黑体" w:eastAsia="黑体"/>
                <w:color w:val="auto"/>
                <w:szCs w:val="21"/>
              </w:rPr>
              <w:t>发证单位</w:t>
            </w:r>
          </w:p>
        </w:tc>
        <w:tc>
          <w:tcPr>
            <w:tcW w:w="1250" w:type="pct"/>
            <w:vAlign w:val="center"/>
          </w:tcPr>
          <w:p>
            <w:pPr>
              <w:spacing w:line="360" w:lineRule="auto"/>
              <w:jc w:val="center"/>
              <w:rPr>
                <w:rFonts w:ascii="黑体" w:hAnsi="黑体" w:eastAsia="黑体"/>
                <w:color w:val="auto"/>
                <w:szCs w:val="21"/>
              </w:rPr>
            </w:pPr>
            <w:r>
              <w:rPr>
                <w:rFonts w:ascii="黑体" w:hAnsi="黑体" w:eastAsia="黑体"/>
                <w:color w:val="auto"/>
                <w:szCs w:val="21"/>
              </w:rPr>
              <w:t>证书等级</w:t>
            </w:r>
          </w:p>
        </w:tc>
        <w:tc>
          <w:tcPr>
            <w:tcW w:w="1250" w:type="pct"/>
            <w:vAlign w:val="center"/>
          </w:tcPr>
          <w:p>
            <w:pPr>
              <w:spacing w:line="360" w:lineRule="auto"/>
              <w:jc w:val="center"/>
              <w:rPr>
                <w:rFonts w:ascii="黑体" w:hAnsi="黑体" w:eastAsia="黑体"/>
                <w:color w:val="auto"/>
                <w:szCs w:val="21"/>
              </w:rPr>
            </w:pPr>
            <w:r>
              <w:rPr>
                <w:rFonts w:ascii="黑体" w:hAnsi="黑体" w:eastAsia="黑体"/>
                <w:color w:val="auto"/>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tcPr>
          <w:p>
            <w:pPr>
              <w:spacing w:line="360" w:lineRule="auto"/>
              <w:rPr>
                <w:rFonts w:ascii="黑体" w:hAnsi="黑体" w:eastAsia="黑体"/>
                <w:color w:val="auto"/>
                <w:szCs w:val="21"/>
              </w:rPr>
            </w:pPr>
          </w:p>
        </w:tc>
        <w:tc>
          <w:tcPr>
            <w:tcW w:w="1250" w:type="pct"/>
          </w:tcPr>
          <w:p>
            <w:pPr>
              <w:spacing w:line="360" w:lineRule="auto"/>
              <w:rPr>
                <w:rFonts w:ascii="黑体" w:hAnsi="黑体" w:eastAsia="黑体"/>
                <w:color w:val="auto"/>
                <w:szCs w:val="21"/>
              </w:rPr>
            </w:pPr>
          </w:p>
        </w:tc>
        <w:tc>
          <w:tcPr>
            <w:tcW w:w="1250" w:type="pct"/>
          </w:tcPr>
          <w:p>
            <w:pPr>
              <w:spacing w:line="360" w:lineRule="auto"/>
              <w:rPr>
                <w:rFonts w:ascii="黑体" w:hAnsi="黑体" w:eastAsia="黑体"/>
                <w:color w:val="auto"/>
                <w:szCs w:val="21"/>
              </w:rPr>
            </w:pPr>
          </w:p>
        </w:tc>
        <w:tc>
          <w:tcPr>
            <w:tcW w:w="1250" w:type="pct"/>
          </w:tcPr>
          <w:p>
            <w:pPr>
              <w:spacing w:line="360" w:lineRule="auto"/>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tcPr>
          <w:p>
            <w:pPr>
              <w:spacing w:line="360" w:lineRule="auto"/>
              <w:rPr>
                <w:rFonts w:ascii="黑体" w:hAnsi="黑体" w:eastAsia="黑体"/>
                <w:color w:val="auto"/>
                <w:szCs w:val="21"/>
              </w:rPr>
            </w:pPr>
          </w:p>
        </w:tc>
        <w:tc>
          <w:tcPr>
            <w:tcW w:w="1250" w:type="pct"/>
          </w:tcPr>
          <w:p>
            <w:pPr>
              <w:spacing w:line="360" w:lineRule="auto"/>
              <w:rPr>
                <w:rFonts w:ascii="黑体" w:hAnsi="黑体" w:eastAsia="黑体"/>
                <w:color w:val="auto"/>
                <w:szCs w:val="21"/>
              </w:rPr>
            </w:pPr>
          </w:p>
        </w:tc>
        <w:tc>
          <w:tcPr>
            <w:tcW w:w="1250" w:type="pct"/>
          </w:tcPr>
          <w:p>
            <w:pPr>
              <w:spacing w:line="360" w:lineRule="auto"/>
              <w:rPr>
                <w:rFonts w:ascii="黑体" w:hAnsi="黑体" w:eastAsia="黑体"/>
                <w:color w:val="auto"/>
                <w:szCs w:val="21"/>
              </w:rPr>
            </w:pPr>
          </w:p>
        </w:tc>
        <w:tc>
          <w:tcPr>
            <w:tcW w:w="1250" w:type="pct"/>
          </w:tcPr>
          <w:p>
            <w:pPr>
              <w:spacing w:line="360" w:lineRule="auto"/>
              <w:rPr>
                <w:rFonts w:ascii="黑体" w:hAnsi="黑体" w:eastAsia="黑体"/>
                <w:color w:val="auto"/>
                <w:szCs w:val="21"/>
              </w:rPr>
            </w:pPr>
          </w:p>
        </w:tc>
      </w:tr>
    </w:tbl>
    <w:p>
      <w:pPr>
        <w:spacing w:before="156" w:beforeLines="50" w:after="624" w:afterLines="200" w:line="360" w:lineRule="auto"/>
        <w:rPr>
          <w:rFonts w:ascii="黑体" w:hAnsi="黑体" w:eastAsia="黑体" w:cs="Times New Roman"/>
          <w:color w:val="auto"/>
          <w:szCs w:val="21"/>
        </w:rPr>
      </w:pPr>
      <w:r>
        <w:rPr>
          <w:rFonts w:hint="eastAsia" w:ascii="黑体" w:hAnsi="黑体" w:eastAsia="黑体" w:cs="Times New Roman"/>
          <w:color w:val="auto"/>
          <w:szCs w:val="21"/>
        </w:rPr>
        <w:t>兹证明上述声明是真实、正确的，并提供了全部能提供的资料和数据，我方同意遵照贵方要求出示有关证明文件。</w:t>
      </w: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hint="eastAsia"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bl>
    <w:p>
      <w:pPr>
        <w:spacing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96" w:name="_Toc90980569"/>
      <w:bookmarkStart w:id="97" w:name="_Toc405313968"/>
      <w:bookmarkStart w:id="98" w:name="_Toc391627765"/>
      <w:r>
        <w:rPr>
          <w:rStyle w:val="23"/>
          <w:rFonts w:ascii="黑体" w:hAnsi="黑体" w:eastAsia="黑体"/>
          <w:b/>
          <w:bCs/>
          <w:color w:val="auto"/>
          <w:spacing w:val="12"/>
          <w:sz w:val="21"/>
          <w:szCs w:val="21"/>
        </w:rPr>
        <w:t>业绩表</w:t>
      </w:r>
      <w:bookmarkEnd w:id="96"/>
      <w:bookmarkEnd w:id="97"/>
      <w:bookmarkEnd w:id="98"/>
    </w:p>
    <w:p>
      <w:pPr>
        <w:spacing w:before="312" w:beforeLines="100" w:after="468" w:afterLines="15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业绩表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2362"/>
        <w:gridCol w:w="1606"/>
        <w:gridCol w:w="1601"/>
        <w:gridCol w:w="145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78" w:type="pct"/>
            <w:vAlign w:val="center"/>
          </w:tcPr>
          <w:p>
            <w:pPr>
              <w:spacing w:before="156" w:after="156" w:line="240" w:lineRule="exact"/>
              <w:jc w:val="center"/>
              <w:rPr>
                <w:rFonts w:ascii="黑体" w:hAnsi="黑体" w:eastAsia="黑体"/>
                <w:b/>
                <w:bCs/>
                <w:color w:val="auto"/>
                <w:szCs w:val="21"/>
              </w:rPr>
            </w:pPr>
            <w:r>
              <w:rPr>
                <w:rFonts w:ascii="黑体" w:hAnsi="黑体" w:eastAsia="黑体"/>
                <w:b/>
                <w:bCs/>
                <w:color w:val="auto"/>
                <w:szCs w:val="21"/>
              </w:rPr>
              <w:t>序号</w:t>
            </w:r>
          </w:p>
        </w:tc>
        <w:tc>
          <w:tcPr>
            <w:tcW w:w="1347" w:type="pct"/>
            <w:vAlign w:val="center"/>
          </w:tcPr>
          <w:p>
            <w:pPr>
              <w:spacing w:before="156" w:after="156" w:line="240" w:lineRule="exact"/>
              <w:jc w:val="center"/>
              <w:rPr>
                <w:rFonts w:ascii="黑体" w:hAnsi="黑体" w:eastAsia="黑体"/>
                <w:b/>
                <w:bCs/>
                <w:color w:val="auto"/>
                <w:szCs w:val="21"/>
              </w:rPr>
            </w:pPr>
            <w:r>
              <w:rPr>
                <w:rFonts w:hint="eastAsia" w:ascii="黑体" w:hAnsi="黑体" w:eastAsia="黑体"/>
                <w:b/>
                <w:bCs/>
                <w:color w:val="auto"/>
                <w:szCs w:val="21"/>
              </w:rPr>
              <w:t>项目名称</w:t>
            </w:r>
          </w:p>
        </w:tc>
        <w:tc>
          <w:tcPr>
            <w:tcW w:w="916" w:type="pct"/>
            <w:vAlign w:val="center"/>
          </w:tcPr>
          <w:p>
            <w:pPr>
              <w:spacing w:before="156" w:after="156" w:line="240" w:lineRule="exact"/>
              <w:jc w:val="center"/>
              <w:rPr>
                <w:rFonts w:ascii="黑体" w:hAnsi="黑体" w:eastAsia="黑体"/>
                <w:b/>
                <w:bCs/>
                <w:color w:val="auto"/>
                <w:szCs w:val="21"/>
              </w:rPr>
            </w:pPr>
            <w:r>
              <w:rPr>
                <w:rFonts w:hint="eastAsia" w:ascii="黑体" w:hAnsi="黑体" w:eastAsia="黑体"/>
                <w:b/>
                <w:bCs/>
                <w:color w:val="auto"/>
                <w:szCs w:val="21"/>
              </w:rPr>
              <w:t>合同金额</w:t>
            </w:r>
          </w:p>
        </w:tc>
        <w:tc>
          <w:tcPr>
            <w:tcW w:w="913" w:type="pct"/>
            <w:vAlign w:val="center"/>
          </w:tcPr>
          <w:p>
            <w:pPr>
              <w:spacing w:before="156" w:after="156" w:line="240" w:lineRule="exact"/>
              <w:jc w:val="center"/>
              <w:rPr>
                <w:rFonts w:ascii="黑体" w:hAnsi="黑体" w:eastAsia="黑体"/>
                <w:b/>
                <w:bCs/>
                <w:color w:val="auto"/>
                <w:szCs w:val="21"/>
              </w:rPr>
            </w:pPr>
            <w:r>
              <w:rPr>
                <w:rFonts w:hint="eastAsia" w:ascii="黑体" w:hAnsi="黑体" w:eastAsia="黑体"/>
                <w:b/>
                <w:bCs/>
                <w:color w:val="auto"/>
                <w:szCs w:val="21"/>
              </w:rPr>
              <w:t>签约时间</w:t>
            </w:r>
          </w:p>
        </w:tc>
        <w:tc>
          <w:tcPr>
            <w:tcW w:w="830" w:type="pct"/>
            <w:vAlign w:val="center"/>
          </w:tcPr>
          <w:p>
            <w:pPr>
              <w:spacing w:before="156" w:after="156" w:line="240" w:lineRule="exact"/>
              <w:jc w:val="center"/>
              <w:rPr>
                <w:rFonts w:ascii="黑体" w:hAnsi="黑体" w:eastAsia="黑体"/>
                <w:b/>
                <w:bCs/>
                <w:color w:val="auto"/>
                <w:szCs w:val="21"/>
              </w:rPr>
            </w:pPr>
            <w:r>
              <w:rPr>
                <w:rFonts w:hint="eastAsia" w:ascii="黑体" w:hAnsi="黑体" w:eastAsia="黑体"/>
                <w:b/>
                <w:bCs/>
                <w:color w:val="auto"/>
                <w:szCs w:val="21"/>
              </w:rPr>
              <w:t>完成情况</w:t>
            </w:r>
          </w:p>
        </w:tc>
        <w:tc>
          <w:tcPr>
            <w:tcW w:w="615" w:type="pct"/>
            <w:vAlign w:val="center"/>
          </w:tcPr>
          <w:p>
            <w:pPr>
              <w:spacing w:before="156" w:after="156" w:line="240" w:lineRule="exact"/>
              <w:jc w:val="center"/>
              <w:rPr>
                <w:rFonts w:ascii="黑体" w:hAnsi="黑体" w:eastAsia="黑体"/>
                <w:b/>
                <w:bCs/>
                <w:color w:val="auto"/>
                <w:szCs w:val="21"/>
              </w:rPr>
            </w:pPr>
            <w:r>
              <w:rPr>
                <w:rFonts w:hint="eastAsia" w:ascii="黑体" w:hAnsi="黑体" w:eastAsia="黑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spacing w:before="156" w:after="156" w:line="240" w:lineRule="exact"/>
              <w:jc w:val="center"/>
              <w:rPr>
                <w:rFonts w:ascii="黑体" w:hAnsi="黑体" w:eastAsia="黑体"/>
                <w:color w:val="auto"/>
                <w:szCs w:val="21"/>
              </w:rPr>
            </w:pPr>
          </w:p>
        </w:tc>
        <w:tc>
          <w:tcPr>
            <w:tcW w:w="1347" w:type="pct"/>
            <w:vAlign w:val="center"/>
          </w:tcPr>
          <w:p>
            <w:pPr>
              <w:spacing w:before="156" w:after="156" w:line="240" w:lineRule="exact"/>
              <w:jc w:val="center"/>
              <w:rPr>
                <w:rFonts w:ascii="黑体" w:hAnsi="黑体" w:eastAsia="黑体"/>
                <w:color w:val="auto"/>
                <w:szCs w:val="21"/>
              </w:rPr>
            </w:pPr>
          </w:p>
        </w:tc>
        <w:tc>
          <w:tcPr>
            <w:tcW w:w="916" w:type="pct"/>
            <w:vAlign w:val="center"/>
          </w:tcPr>
          <w:p>
            <w:pPr>
              <w:spacing w:before="156" w:after="156" w:line="240" w:lineRule="exact"/>
              <w:jc w:val="center"/>
              <w:rPr>
                <w:rFonts w:ascii="黑体" w:hAnsi="黑体" w:eastAsia="黑体"/>
                <w:color w:val="auto"/>
                <w:szCs w:val="21"/>
              </w:rPr>
            </w:pPr>
          </w:p>
        </w:tc>
        <w:tc>
          <w:tcPr>
            <w:tcW w:w="913" w:type="pct"/>
            <w:vAlign w:val="center"/>
          </w:tcPr>
          <w:p>
            <w:pPr>
              <w:spacing w:before="156" w:after="156" w:line="240" w:lineRule="exact"/>
              <w:jc w:val="center"/>
              <w:rPr>
                <w:rFonts w:ascii="黑体" w:hAnsi="黑体" w:eastAsia="黑体"/>
                <w:color w:val="auto"/>
                <w:szCs w:val="21"/>
              </w:rPr>
            </w:pPr>
          </w:p>
        </w:tc>
        <w:tc>
          <w:tcPr>
            <w:tcW w:w="830" w:type="pct"/>
            <w:vAlign w:val="center"/>
          </w:tcPr>
          <w:p>
            <w:pPr>
              <w:spacing w:before="156" w:after="156" w:line="240" w:lineRule="exact"/>
              <w:jc w:val="center"/>
              <w:rPr>
                <w:rFonts w:ascii="黑体" w:hAnsi="黑体" w:eastAsia="黑体"/>
                <w:color w:val="auto"/>
                <w:szCs w:val="21"/>
              </w:rPr>
            </w:pPr>
          </w:p>
        </w:tc>
        <w:tc>
          <w:tcPr>
            <w:tcW w:w="615" w:type="pct"/>
            <w:vAlign w:val="center"/>
          </w:tcPr>
          <w:p>
            <w:pPr>
              <w:spacing w:before="156" w:after="156" w:line="240" w:lineRule="exact"/>
              <w:jc w:val="center"/>
              <w:rPr>
                <w:rFonts w:ascii="黑体" w:hAnsi="黑体" w:eastAsia="黑体"/>
                <w:color w:val="auto"/>
                <w:szCs w:val="21"/>
              </w:rPr>
            </w:pPr>
          </w:p>
        </w:tc>
      </w:tr>
    </w:tbl>
    <w:p>
      <w:pPr>
        <w:spacing w:before="156" w:beforeLines="50" w:line="360" w:lineRule="auto"/>
        <w:rPr>
          <w:rFonts w:ascii="黑体" w:hAnsi="黑体" w:eastAsia="黑体"/>
          <w:color w:val="auto"/>
          <w:szCs w:val="21"/>
        </w:rPr>
      </w:pPr>
      <w:r>
        <w:rPr>
          <w:rFonts w:hint="eastAsia" w:ascii="黑体" w:hAnsi="黑体" w:eastAsia="黑体"/>
          <w:color w:val="auto"/>
          <w:szCs w:val="21"/>
        </w:rPr>
        <w:t>注明：需提供证明资料内容详见</w:t>
      </w:r>
      <w:r>
        <w:rPr>
          <w:rFonts w:hint="eastAsia" w:ascii="黑体" w:hAnsi="黑体" w:eastAsia="黑体"/>
          <w:color w:val="auto"/>
          <w:szCs w:val="21"/>
          <w:u w:val="single"/>
        </w:rPr>
        <w:t>（招标文件第五部分</w:t>
      </w:r>
      <w:r>
        <w:rPr>
          <w:rFonts w:ascii="黑体" w:hAnsi="黑体" w:eastAsia="黑体"/>
          <w:color w:val="auto"/>
          <w:szCs w:val="21"/>
          <w:u w:val="single"/>
        </w:rPr>
        <w:t xml:space="preserve"> </w:t>
      </w:r>
      <w:r>
        <w:rPr>
          <w:rFonts w:hint="eastAsia" w:ascii="黑体" w:hAnsi="黑体" w:eastAsia="黑体"/>
          <w:color w:val="auto"/>
          <w:szCs w:val="21"/>
          <w:u w:val="single"/>
        </w:rPr>
        <w:t>评标方法、步骤、标准之</w:t>
      </w:r>
      <w:r>
        <w:rPr>
          <w:rFonts w:hint="eastAsia" w:ascii="黑体" w:hAnsi="黑体" w:eastAsia="黑体"/>
          <w:color w:val="auto"/>
          <w:kern w:val="0"/>
          <w:szCs w:val="21"/>
          <w:u w:val="single"/>
        </w:rPr>
        <w:t>附表三</w:t>
      </w:r>
      <w:r>
        <w:rPr>
          <w:rFonts w:hint="eastAsia" w:ascii="黑体" w:hAnsi="黑体" w:eastAsia="黑体"/>
          <w:color w:val="auto"/>
          <w:szCs w:val="21"/>
          <w:u w:val="single"/>
        </w:rPr>
        <w:t>详细评审表相对应条款）</w:t>
      </w:r>
      <w:r>
        <w:rPr>
          <w:rFonts w:ascii="黑体" w:hAnsi="黑体" w:eastAsia="黑体"/>
          <w:color w:val="auto"/>
          <w:szCs w:val="21"/>
          <w:u w:val="single"/>
        </w:rPr>
        <w:t xml:space="preserve"> </w:t>
      </w:r>
      <w:r>
        <w:rPr>
          <w:rFonts w:hint="eastAsia" w:ascii="黑体" w:hAnsi="黑体" w:eastAsia="黑体"/>
          <w:color w:val="auto"/>
          <w:szCs w:val="21"/>
        </w:rPr>
        <w:t>。</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99" w:name="_Toc90980570"/>
      <w:r>
        <w:rPr>
          <w:rStyle w:val="23"/>
          <w:rFonts w:hint="eastAsia" w:ascii="黑体" w:hAnsi="黑体" w:eastAsia="黑体"/>
          <w:b/>
          <w:bCs/>
          <w:color w:val="auto"/>
          <w:spacing w:val="12"/>
          <w:sz w:val="21"/>
          <w:szCs w:val="21"/>
        </w:rPr>
        <w:t>商务要求偏离表</w:t>
      </w:r>
      <w:bookmarkEnd w:id="99"/>
    </w:p>
    <w:p>
      <w:pPr>
        <w:spacing w:before="624" w:beforeLines="200" w:after="468" w:afterLines="15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商务要求偏离表</w:t>
      </w:r>
    </w:p>
    <w:tbl>
      <w:tblPr>
        <w:tblStyle w:val="20"/>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352"/>
        <w:gridCol w:w="2126"/>
        <w:gridCol w:w="164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20" w:type="dxa"/>
            <w:vAlign w:val="center"/>
          </w:tcPr>
          <w:p>
            <w:pPr>
              <w:jc w:val="center"/>
              <w:rPr>
                <w:rFonts w:ascii="黑体" w:hAnsi="黑体" w:eastAsia="黑体"/>
                <w:b/>
                <w:color w:val="auto"/>
                <w:szCs w:val="21"/>
              </w:rPr>
            </w:pPr>
            <w:r>
              <w:rPr>
                <w:rFonts w:hint="eastAsia" w:ascii="黑体" w:hAnsi="黑体" w:eastAsia="黑体"/>
                <w:b/>
                <w:color w:val="auto"/>
                <w:szCs w:val="21"/>
              </w:rPr>
              <w:t>序号</w:t>
            </w:r>
          </w:p>
        </w:tc>
        <w:tc>
          <w:tcPr>
            <w:tcW w:w="2352" w:type="dxa"/>
            <w:vAlign w:val="center"/>
          </w:tcPr>
          <w:p>
            <w:pPr>
              <w:jc w:val="center"/>
              <w:rPr>
                <w:rFonts w:ascii="黑体" w:hAnsi="黑体" w:eastAsia="黑体"/>
                <w:b/>
                <w:color w:val="auto"/>
                <w:szCs w:val="21"/>
              </w:rPr>
            </w:pPr>
            <w:r>
              <w:rPr>
                <w:rFonts w:hint="eastAsia" w:ascii="黑体" w:hAnsi="黑体" w:eastAsia="黑体"/>
                <w:b/>
                <w:color w:val="auto"/>
                <w:szCs w:val="21"/>
              </w:rPr>
              <w:t>招标文件要求</w:t>
            </w:r>
          </w:p>
        </w:tc>
        <w:tc>
          <w:tcPr>
            <w:tcW w:w="2126" w:type="dxa"/>
            <w:vAlign w:val="center"/>
          </w:tcPr>
          <w:p>
            <w:pPr>
              <w:jc w:val="center"/>
              <w:rPr>
                <w:rFonts w:ascii="黑体" w:hAnsi="黑体" w:eastAsia="黑体"/>
                <w:b/>
                <w:color w:val="auto"/>
                <w:szCs w:val="21"/>
              </w:rPr>
            </w:pPr>
            <w:r>
              <w:rPr>
                <w:rFonts w:hint="eastAsia" w:ascii="黑体" w:hAnsi="黑体" w:eastAsia="黑体"/>
                <w:b/>
                <w:bCs/>
                <w:color w:val="auto"/>
                <w:szCs w:val="21"/>
              </w:rPr>
              <w:t>投标文件响应内容</w:t>
            </w:r>
          </w:p>
        </w:tc>
        <w:tc>
          <w:tcPr>
            <w:tcW w:w="1644" w:type="dxa"/>
            <w:vAlign w:val="center"/>
          </w:tcPr>
          <w:p>
            <w:pPr>
              <w:ind w:left="293" w:hanging="293" w:hangingChars="139"/>
              <w:jc w:val="center"/>
              <w:rPr>
                <w:rFonts w:ascii="黑体" w:hAnsi="黑体" w:eastAsia="黑体"/>
                <w:b/>
                <w:color w:val="auto"/>
                <w:szCs w:val="21"/>
              </w:rPr>
            </w:pPr>
            <w:r>
              <w:rPr>
                <w:rFonts w:hint="eastAsia" w:ascii="黑体" w:hAnsi="黑体" w:eastAsia="黑体"/>
                <w:b/>
                <w:color w:val="auto"/>
                <w:szCs w:val="21"/>
              </w:rPr>
              <w:t>偏离情况</w:t>
            </w:r>
          </w:p>
        </w:tc>
        <w:tc>
          <w:tcPr>
            <w:tcW w:w="1575" w:type="dxa"/>
            <w:vAlign w:val="center"/>
          </w:tcPr>
          <w:p>
            <w:pPr>
              <w:jc w:val="center"/>
              <w:rPr>
                <w:rFonts w:ascii="黑体" w:hAnsi="黑体" w:eastAsia="黑体"/>
                <w:b/>
                <w:color w:val="auto"/>
                <w:szCs w:val="21"/>
              </w:rPr>
            </w:pPr>
            <w:r>
              <w:rPr>
                <w:rFonts w:hint="eastAsia" w:ascii="黑体" w:hAnsi="黑体" w:eastAsia="黑体"/>
                <w:b/>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bl>
    <w:p>
      <w:pPr>
        <w:spacing w:before="156" w:beforeLines="50" w:line="360" w:lineRule="auto"/>
        <w:rPr>
          <w:rFonts w:ascii="黑体" w:hAnsi="黑体" w:eastAsia="黑体"/>
          <w:color w:val="auto"/>
          <w:szCs w:val="21"/>
        </w:rPr>
      </w:pPr>
      <w:r>
        <w:rPr>
          <w:rFonts w:hint="eastAsia" w:ascii="黑体" w:hAnsi="黑体" w:eastAsia="黑体"/>
          <w:color w:val="auto"/>
          <w:szCs w:val="21"/>
        </w:rPr>
        <w:t>注明：</w:t>
      </w:r>
    </w:p>
    <w:p>
      <w:pPr>
        <w:pStyle w:val="30"/>
        <w:numPr>
          <w:ilvl w:val="0"/>
          <w:numId w:val="102"/>
        </w:numPr>
        <w:spacing w:line="360" w:lineRule="auto"/>
        <w:ind w:firstLineChars="0"/>
        <w:rPr>
          <w:rFonts w:ascii="黑体" w:hAnsi="黑体" w:eastAsia="黑体"/>
          <w:color w:val="auto"/>
          <w:szCs w:val="21"/>
        </w:rPr>
      </w:pPr>
      <w:r>
        <w:rPr>
          <w:rFonts w:hint="eastAsia" w:ascii="黑体" w:hAnsi="黑体" w:eastAsia="黑体"/>
          <w:color w:val="auto"/>
          <w:szCs w:val="21"/>
        </w:rPr>
        <w:t>偏离情况项填写“正”、“负”或“无”，说明项中填写原因。</w:t>
      </w:r>
    </w:p>
    <w:p>
      <w:pPr>
        <w:pStyle w:val="30"/>
        <w:numPr>
          <w:ilvl w:val="0"/>
          <w:numId w:val="102"/>
        </w:numPr>
        <w:spacing w:line="360" w:lineRule="auto"/>
        <w:ind w:firstLineChars="0"/>
        <w:rPr>
          <w:rFonts w:ascii="黑体" w:hAnsi="黑体" w:eastAsia="黑体"/>
          <w:color w:val="auto"/>
          <w:szCs w:val="21"/>
        </w:rPr>
      </w:pPr>
      <w:r>
        <w:rPr>
          <w:rFonts w:hint="eastAsia" w:ascii="黑体" w:hAnsi="黑体" w:eastAsia="黑体"/>
          <w:color w:val="auto"/>
          <w:szCs w:val="21"/>
        </w:rPr>
        <w:t>投标人应按照招标文件要求，根据“采购需求”内容作出全面响应。对响应有偏离的，则说明偏离的内容。</w:t>
      </w:r>
      <w:r>
        <w:rPr>
          <w:rFonts w:hint="eastAsia" w:ascii="黑体" w:hAnsi="黑体" w:eastAsia="黑体" w:cs="Times New Roman"/>
          <w:color w:val="auto"/>
          <w:szCs w:val="21"/>
        </w:rPr>
        <w:t>“采购需求”内容中若有要求提供相关证明资料的，须按要求提供，否则视为负偏离</w:t>
      </w:r>
      <w:r>
        <w:rPr>
          <w:rFonts w:hint="eastAsia" w:ascii="黑体" w:hAnsi="黑体" w:eastAsia="黑体"/>
          <w:color w:val="auto"/>
          <w:szCs w:val="21"/>
        </w:rPr>
        <w:t>。</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00" w:name="_Toc494567328"/>
      <w:bookmarkStart w:id="101" w:name="_Toc90980571"/>
      <w:bookmarkStart w:id="102" w:name="_Toc391627770"/>
      <w:bookmarkStart w:id="103" w:name="_Toc405313974"/>
      <w:r>
        <w:rPr>
          <w:rStyle w:val="23"/>
          <w:rFonts w:ascii="黑体" w:hAnsi="黑体" w:eastAsia="黑体"/>
          <w:b/>
          <w:bCs/>
          <w:color w:val="auto"/>
          <w:spacing w:val="12"/>
          <w:sz w:val="21"/>
          <w:szCs w:val="21"/>
        </w:rPr>
        <w:t>拟投入本项目</w:t>
      </w:r>
      <w:bookmarkEnd w:id="100"/>
      <w:r>
        <w:rPr>
          <w:rStyle w:val="23"/>
          <w:rFonts w:hint="eastAsia" w:ascii="黑体" w:hAnsi="黑体" w:eastAsia="黑体"/>
          <w:b/>
          <w:bCs/>
          <w:color w:val="auto"/>
          <w:spacing w:val="12"/>
          <w:sz w:val="21"/>
          <w:szCs w:val="21"/>
        </w:rPr>
        <w:t>设备情况表</w:t>
      </w:r>
      <w:bookmarkEnd w:id="101"/>
    </w:p>
    <w:p>
      <w:pPr>
        <w:spacing w:before="624" w:beforeLines="200" w:after="312" w:afterLines="100" w:line="360" w:lineRule="auto"/>
        <w:jc w:val="center"/>
        <w:rPr>
          <w:rFonts w:ascii="黑体" w:hAnsi="黑体" w:eastAsia="黑体"/>
          <w:b/>
          <w:color w:val="auto"/>
          <w:spacing w:val="10"/>
          <w:sz w:val="30"/>
          <w:szCs w:val="30"/>
        </w:rPr>
      </w:pPr>
      <w:r>
        <w:rPr>
          <w:rFonts w:hint="eastAsia" w:ascii="黑体" w:hAnsi="黑体" w:eastAsia="黑体"/>
          <w:b/>
          <w:color w:val="auto"/>
          <w:spacing w:val="10"/>
          <w:sz w:val="30"/>
          <w:szCs w:val="30"/>
        </w:rPr>
        <w:t>拟投入本项目设备情况表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078"/>
        <w:gridCol w:w="1546"/>
        <w:gridCol w:w="973"/>
        <w:gridCol w:w="212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trPr>
        <w:tc>
          <w:tcPr>
            <w:tcW w:w="403"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序号</w:t>
            </w:r>
          </w:p>
        </w:tc>
        <w:tc>
          <w:tcPr>
            <w:tcW w:w="1185"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名称</w:t>
            </w:r>
          </w:p>
        </w:tc>
        <w:tc>
          <w:tcPr>
            <w:tcW w:w="882"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规格型号</w:t>
            </w:r>
          </w:p>
        </w:tc>
        <w:tc>
          <w:tcPr>
            <w:tcW w:w="555"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数量</w:t>
            </w:r>
          </w:p>
        </w:tc>
        <w:tc>
          <w:tcPr>
            <w:tcW w:w="1210"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使用年限</w:t>
            </w:r>
          </w:p>
        </w:tc>
        <w:tc>
          <w:tcPr>
            <w:tcW w:w="765" w:type="pct"/>
            <w:vAlign w:val="center"/>
          </w:tcPr>
          <w:p>
            <w:pPr>
              <w:spacing w:line="360" w:lineRule="auto"/>
              <w:jc w:val="center"/>
              <w:rPr>
                <w:rFonts w:ascii="黑体" w:hAnsi="黑体" w:eastAsia="黑体"/>
                <w:b/>
                <w:bCs/>
                <w:color w:val="auto"/>
                <w:szCs w:val="21"/>
              </w:rPr>
            </w:pPr>
            <w:r>
              <w:rPr>
                <w:rFonts w:hint="eastAsia" w:ascii="黑体" w:hAnsi="黑体" w:eastAsia="黑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03" w:type="pct"/>
            <w:vAlign w:val="center"/>
          </w:tcPr>
          <w:p>
            <w:pPr>
              <w:spacing w:line="360" w:lineRule="auto"/>
              <w:jc w:val="center"/>
              <w:rPr>
                <w:rFonts w:ascii="黑体" w:hAnsi="黑体" w:eastAsia="黑体"/>
                <w:color w:val="auto"/>
                <w:szCs w:val="21"/>
              </w:rPr>
            </w:pPr>
          </w:p>
        </w:tc>
        <w:tc>
          <w:tcPr>
            <w:tcW w:w="1185" w:type="pct"/>
            <w:vAlign w:val="center"/>
          </w:tcPr>
          <w:p>
            <w:pPr>
              <w:spacing w:line="360" w:lineRule="auto"/>
              <w:jc w:val="center"/>
              <w:rPr>
                <w:rFonts w:ascii="黑体" w:hAnsi="黑体" w:eastAsia="黑体"/>
                <w:color w:val="auto"/>
                <w:szCs w:val="21"/>
              </w:rPr>
            </w:pPr>
          </w:p>
        </w:tc>
        <w:tc>
          <w:tcPr>
            <w:tcW w:w="882" w:type="pct"/>
            <w:vAlign w:val="center"/>
          </w:tcPr>
          <w:p>
            <w:pPr>
              <w:spacing w:line="360" w:lineRule="auto"/>
              <w:jc w:val="center"/>
              <w:rPr>
                <w:rFonts w:ascii="黑体" w:hAnsi="黑体" w:eastAsia="黑体"/>
                <w:color w:val="auto"/>
                <w:szCs w:val="21"/>
              </w:rPr>
            </w:pPr>
          </w:p>
        </w:tc>
        <w:tc>
          <w:tcPr>
            <w:tcW w:w="555" w:type="pct"/>
            <w:vAlign w:val="center"/>
          </w:tcPr>
          <w:p>
            <w:pPr>
              <w:spacing w:line="360" w:lineRule="auto"/>
              <w:jc w:val="center"/>
              <w:rPr>
                <w:rFonts w:ascii="黑体" w:hAnsi="黑体" w:eastAsia="黑体"/>
                <w:color w:val="auto"/>
                <w:szCs w:val="21"/>
              </w:rPr>
            </w:pPr>
          </w:p>
        </w:tc>
        <w:tc>
          <w:tcPr>
            <w:tcW w:w="1210" w:type="pct"/>
            <w:vAlign w:val="center"/>
          </w:tcPr>
          <w:p>
            <w:pPr>
              <w:spacing w:line="360" w:lineRule="auto"/>
              <w:jc w:val="center"/>
              <w:rPr>
                <w:rFonts w:ascii="黑体" w:hAnsi="黑体" w:eastAsia="黑体"/>
                <w:color w:val="auto"/>
                <w:szCs w:val="21"/>
              </w:rPr>
            </w:pPr>
          </w:p>
        </w:tc>
        <w:tc>
          <w:tcPr>
            <w:tcW w:w="765" w:type="pct"/>
            <w:vAlign w:val="center"/>
          </w:tcPr>
          <w:p>
            <w:pPr>
              <w:spacing w:line="360" w:lineRule="auto"/>
              <w:jc w:val="center"/>
              <w:rPr>
                <w:rFonts w:ascii="黑体" w:hAnsi="黑体" w:eastAsia="黑体"/>
                <w:color w:val="auto"/>
                <w:szCs w:val="21"/>
              </w:rPr>
            </w:pPr>
          </w:p>
        </w:tc>
      </w:tr>
    </w:tbl>
    <w:p>
      <w:pPr>
        <w:spacing w:before="156" w:beforeLines="50" w:line="360" w:lineRule="auto"/>
        <w:rPr>
          <w:rFonts w:ascii="黑体" w:hAnsi="黑体" w:eastAsia="黑体"/>
          <w:color w:val="auto"/>
          <w:szCs w:val="21"/>
        </w:rPr>
      </w:pPr>
      <w:r>
        <w:rPr>
          <w:rFonts w:hint="eastAsia" w:ascii="黑体" w:hAnsi="黑体" w:eastAsia="黑体"/>
          <w:color w:val="auto"/>
          <w:szCs w:val="21"/>
        </w:rPr>
        <w:t>注明：需提供证明资料内容详见</w:t>
      </w:r>
      <w:r>
        <w:rPr>
          <w:rFonts w:hint="eastAsia" w:ascii="黑体" w:hAnsi="黑体" w:eastAsia="黑体"/>
          <w:color w:val="auto"/>
          <w:szCs w:val="21"/>
          <w:u w:val="single"/>
        </w:rPr>
        <w:t xml:space="preserve">（招标文件第五部分 评标方法、步骤、标准之附表三详细评审表相对应条款） </w:t>
      </w:r>
      <w:r>
        <w:rPr>
          <w:rFonts w:hint="eastAsia" w:ascii="黑体" w:hAnsi="黑体" w:eastAsia="黑体"/>
          <w:color w:val="auto"/>
          <w:szCs w:val="21"/>
        </w:rPr>
        <w:t>。</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hint="eastAsia"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hint="eastAsia"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spacing w:line="360" w:lineRule="auto"/>
        <w:rPr>
          <w:rFonts w:ascii="黑体" w:hAnsi="黑体" w:eastAsia="黑体"/>
          <w:color w:val="auto"/>
          <w:szCs w:val="21"/>
        </w:rPr>
      </w:pPr>
    </w:p>
    <w:bookmarkEnd w:id="102"/>
    <w:bookmarkEnd w:id="103"/>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04" w:name="_Toc90980572"/>
      <w:r>
        <w:rPr>
          <w:rStyle w:val="23"/>
          <w:rFonts w:hint="eastAsia" w:ascii="黑体" w:hAnsi="黑体" w:eastAsia="黑体"/>
          <w:b/>
          <w:bCs/>
          <w:color w:val="auto"/>
          <w:spacing w:val="12"/>
          <w:sz w:val="21"/>
          <w:szCs w:val="21"/>
        </w:rPr>
        <w:t>项目技术服务人员情况表</w:t>
      </w:r>
      <w:bookmarkEnd w:id="104"/>
    </w:p>
    <w:p>
      <w:pPr>
        <w:spacing w:before="624" w:beforeLines="2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项目技术服务人员情况表</w:t>
      </w:r>
    </w:p>
    <w:tbl>
      <w:tblPr>
        <w:tblStyle w:val="20"/>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145"/>
        <w:gridCol w:w="1296"/>
        <w:gridCol w:w="1895"/>
        <w:gridCol w:w="1455"/>
        <w:gridCol w:w="102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416" w:type="pct"/>
            <w:vAlign w:val="center"/>
          </w:tcPr>
          <w:p>
            <w:pPr>
              <w:jc w:val="center"/>
              <w:rPr>
                <w:rFonts w:ascii="黑体" w:hAnsi="黑体" w:eastAsia="黑体"/>
                <w:b/>
                <w:bCs/>
                <w:color w:val="auto"/>
                <w:szCs w:val="21"/>
              </w:rPr>
            </w:pPr>
            <w:r>
              <w:rPr>
                <w:rFonts w:hint="eastAsia" w:ascii="黑体" w:hAnsi="黑体" w:eastAsia="黑体"/>
                <w:b/>
                <w:bCs/>
                <w:color w:val="auto"/>
                <w:szCs w:val="21"/>
              </w:rPr>
              <w:t>序号</w:t>
            </w:r>
          </w:p>
        </w:tc>
        <w:tc>
          <w:tcPr>
            <w:tcW w:w="653" w:type="pct"/>
            <w:vAlign w:val="center"/>
          </w:tcPr>
          <w:p>
            <w:pPr>
              <w:jc w:val="center"/>
              <w:rPr>
                <w:rFonts w:ascii="黑体" w:hAnsi="黑体" w:eastAsia="黑体"/>
                <w:b/>
                <w:bCs/>
                <w:color w:val="auto"/>
                <w:szCs w:val="21"/>
              </w:rPr>
            </w:pPr>
            <w:r>
              <w:rPr>
                <w:rFonts w:hint="eastAsia" w:ascii="黑体" w:hAnsi="黑体" w:eastAsia="黑体"/>
                <w:b/>
                <w:bCs/>
                <w:color w:val="auto"/>
                <w:szCs w:val="21"/>
              </w:rPr>
              <w:t>姓名</w:t>
            </w:r>
          </w:p>
        </w:tc>
        <w:tc>
          <w:tcPr>
            <w:tcW w:w="739" w:type="pct"/>
            <w:vAlign w:val="center"/>
          </w:tcPr>
          <w:p>
            <w:pPr>
              <w:jc w:val="center"/>
              <w:rPr>
                <w:rFonts w:ascii="黑体" w:hAnsi="黑体" w:eastAsia="黑体"/>
                <w:b/>
                <w:bCs/>
                <w:color w:val="auto"/>
                <w:szCs w:val="21"/>
              </w:rPr>
            </w:pPr>
            <w:r>
              <w:rPr>
                <w:rFonts w:hint="eastAsia" w:ascii="黑体" w:hAnsi="黑体" w:eastAsia="黑体"/>
                <w:b/>
                <w:bCs/>
                <w:color w:val="auto"/>
                <w:szCs w:val="21"/>
              </w:rPr>
              <w:t>职位</w:t>
            </w:r>
          </w:p>
        </w:tc>
        <w:tc>
          <w:tcPr>
            <w:tcW w:w="1081" w:type="pct"/>
            <w:vAlign w:val="center"/>
          </w:tcPr>
          <w:p>
            <w:pPr>
              <w:jc w:val="center"/>
              <w:rPr>
                <w:rFonts w:ascii="黑体" w:hAnsi="黑体" w:eastAsia="黑体"/>
                <w:b/>
                <w:bCs/>
                <w:color w:val="auto"/>
                <w:szCs w:val="21"/>
              </w:rPr>
            </w:pPr>
            <w:r>
              <w:rPr>
                <w:rFonts w:hint="eastAsia" w:ascii="黑体" w:hAnsi="黑体" w:eastAsia="黑体"/>
                <w:b/>
                <w:bCs/>
                <w:color w:val="auto"/>
                <w:szCs w:val="21"/>
              </w:rPr>
              <w:t>持何种资格证件</w:t>
            </w:r>
          </w:p>
        </w:tc>
        <w:tc>
          <w:tcPr>
            <w:tcW w:w="830" w:type="pct"/>
            <w:vAlign w:val="center"/>
          </w:tcPr>
          <w:p>
            <w:pPr>
              <w:jc w:val="center"/>
              <w:rPr>
                <w:rFonts w:ascii="黑体" w:hAnsi="黑体" w:eastAsia="黑体"/>
                <w:b/>
                <w:bCs/>
                <w:color w:val="auto"/>
                <w:szCs w:val="21"/>
              </w:rPr>
            </w:pPr>
            <w:r>
              <w:rPr>
                <w:rFonts w:hint="eastAsia" w:ascii="黑体" w:hAnsi="黑体" w:eastAsia="黑体"/>
                <w:b/>
                <w:bCs/>
                <w:color w:val="auto"/>
                <w:szCs w:val="21"/>
              </w:rPr>
              <w:t>发证时间</w:t>
            </w:r>
          </w:p>
        </w:tc>
        <w:tc>
          <w:tcPr>
            <w:tcW w:w="582" w:type="pct"/>
            <w:vAlign w:val="center"/>
          </w:tcPr>
          <w:p>
            <w:pPr>
              <w:jc w:val="center"/>
              <w:rPr>
                <w:rFonts w:ascii="黑体" w:hAnsi="黑体" w:eastAsia="黑体"/>
                <w:b/>
                <w:bCs/>
                <w:color w:val="auto"/>
                <w:szCs w:val="21"/>
              </w:rPr>
            </w:pPr>
            <w:r>
              <w:rPr>
                <w:rFonts w:hint="eastAsia" w:ascii="黑体" w:hAnsi="黑体" w:eastAsia="黑体"/>
                <w:b/>
                <w:bCs/>
                <w:color w:val="auto"/>
                <w:szCs w:val="21"/>
              </w:rPr>
              <w:t>学历</w:t>
            </w:r>
          </w:p>
        </w:tc>
        <w:tc>
          <w:tcPr>
            <w:tcW w:w="699" w:type="pct"/>
            <w:vAlign w:val="center"/>
          </w:tcPr>
          <w:p>
            <w:pPr>
              <w:jc w:val="center"/>
              <w:rPr>
                <w:rFonts w:ascii="黑体" w:hAnsi="黑体" w:eastAsia="黑体"/>
                <w:b/>
                <w:bCs/>
                <w:color w:val="auto"/>
                <w:szCs w:val="21"/>
              </w:rPr>
            </w:pPr>
            <w:r>
              <w:rPr>
                <w:rFonts w:hint="eastAsia" w:ascii="黑体" w:hAnsi="黑体" w:eastAsia="黑体"/>
                <w:b/>
                <w:bCs/>
                <w:color w:val="auto"/>
                <w:szCs w:val="21"/>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spacing w:line="480" w:lineRule="auto"/>
              <w:jc w:val="center"/>
              <w:rPr>
                <w:rFonts w:ascii="黑体" w:hAnsi="黑体" w:eastAsia="黑体"/>
                <w:color w:val="auto"/>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spacing w:line="480" w:lineRule="auto"/>
              <w:jc w:val="center"/>
              <w:rPr>
                <w:rFonts w:ascii="黑体" w:hAnsi="黑体" w:eastAsia="黑体"/>
                <w:color w:val="auto"/>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spacing w:line="480" w:lineRule="auto"/>
              <w:jc w:val="center"/>
              <w:rPr>
                <w:rFonts w:ascii="黑体" w:hAnsi="黑体" w:eastAsia="黑体"/>
                <w:color w:val="auto"/>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spacing w:line="480" w:lineRule="auto"/>
              <w:jc w:val="center"/>
              <w:rPr>
                <w:rFonts w:ascii="黑体" w:hAnsi="黑体" w:eastAsia="黑体"/>
                <w:color w:val="auto"/>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widowControl/>
              <w:tabs>
                <w:tab w:val="right" w:leader="dot" w:pos="8302"/>
              </w:tabs>
              <w:spacing w:line="480" w:lineRule="auto"/>
              <w:jc w:val="center"/>
              <w:rPr>
                <w:rFonts w:ascii="黑体" w:hAnsi="黑体" w:eastAsia="黑体"/>
                <w:color w:val="auto"/>
                <w:kern w:val="0"/>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widowControl/>
              <w:tabs>
                <w:tab w:val="right" w:leader="dot" w:pos="8302"/>
              </w:tabs>
              <w:spacing w:line="480" w:lineRule="auto"/>
              <w:jc w:val="center"/>
              <w:rPr>
                <w:rFonts w:ascii="黑体" w:hAnsi="黑体" w:eastAsia="黑体"/>
                <w:color w:val="auto"/>
                <w:kern w:val="0"/>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spacing w:line="480" w:lineRule="auto"/>
              <w:jc w:val="center"/>
              <w:rPr>
                <w:rFonts w:ascii="黑体" w:hAnsi="黑体" w:eastAsia="黑体"/>
                <w:color w:val="auto"/>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16" w:type="pct"/>
            <w:vAlign w:val="center"/>
          </w:tcPr>
          <w:p>
            <w:pPr>
              <w:spacing w:line="480" w:lineRule="auto"/>
              <w:jc w:val="center"/>
              <w:rPr>
                <w:rFonts w:ascii="黑体" w:hAnsi="黑体" w:eastAsia="黑体"/>
                <w:color w:val="auto"/>
                <w:szCs w:val="21"/>
              </w:rPr>
            </w:pPr>
          </w:p>
        </w:tc>
        <w:tc>
          <w:tcPr>
            <w:tcW w:w="653" w:type="pct"/>
            <w:vAlign w:val="center"/>
          </w:tcPr>
          <w:p>
            <w:pPr>
              <w:spacing w:line="480" w:lineRule="auto"/>
              <w:jc w:val="center"/>
              <w:rPr>
                <w:rFonts w:ascii="黑体" w:hAnsi="黑体" w:eastAsia="黑体"/>
                <w:color w:val="auto"/>
                <w:szCs w:val="21"/>
              </w:rPr>
            </w:pPr>
          </w:p>
        </w:tc>
        <w:tc>
          <w:tcPr>
            <w:tcW w:w="739" w:type="pct"/>
            <w:vAlign w:val="center"/>
          </w:tcPr>
          <w:p>
            <w:pPr>
              <w:spacing w:line="480" w:lineRule="auto"/>
              <w:jc w:val="center"/>
              <w:rPr>
                <w:rFonts w:ascii="黑体" w:hAnsi="黑体" w:eastAsia="黑体"/>
                <w:color w:val="auto"/>
                <w:szCs w:val="21"/>
              </w:rPr>
            </w:pPr>
          </w:p>
        </w:tc>
        <w:tc>
          <w:tcPr>
            <w:tcW w:w="1081" w:type="pct"/>
            <w:vAlign w:val="center"/>
          </w:tcPr>
          <w:p>
            <w:pPr>
              <w:spacing w:line="480" w:lineRule="auto"/>
              <w:jc w:val="center"/>
              <w:rPr>
                <w:rFonts w:ascii="黑体" w:hAnsi="黑体" w:eastAsia="黑体"/>
                <w:color w:val="auto"/>
                <w:szCs w:val="21"/>
              </w:rPr>
            </w:pPr>
          </w:p>
        </w:tc>
        <w:tc>
          <w:tcPr>
            <w:tcW w:w="830" w:type="pct"/>
          </w:tcPr>
          <w:p>
            <w:pPr>
              <w:spacing w:line="480" w:lineRule="auto"/>
              <w:jc w:val="center"/>
              <w:rPr>
                <w:rFonts w:ascii="黑体" w:hAnsi="黑体" w:eastAsia="黑体"/>
                <w:color w:val="auto"/>
                <w:szCs w:val="21"/>
              </w:rPr>
            </w:pPr>
          </w:p>
        </w:tc>
        <w:tc>
          <w:tcPr>
            <w:tcW w:w="582" w:type="pct"/>
            <w:vAlign w:val="center"/>
          </w:tcPr>
          <w:p>
            <w:pPr>
              <w:spacing w:line="480" w:lineRule="auto"/>
              <w:jc w:val="center"/>
              <w:rPr>
                <w:rFonts w:ascii="黑体" w:hAnsi="黑体" w:eastAsia="黑体"/>
                <w:color w:val="auto"/>
                <w:szCs w:val="21"/>
              </w:rPr>
            </w:pPr>
          </w:p>
        </w:tc>
        <w:tc>
          <w:tcPr>
            <w:tcW w:w="699" w:type="pct"/>
          </w:tcPr>
          <w:p>
            <w:pPr>
              <w:spacing w:line="480" w:lineRule="auto"/>
              <w:jc w:val="center"/>
              <w:rPr>
                <w:rFonts w:ascii="黑体" w:hAnsi="黑体" w:eastAsia="黑体"/>
                <w:color w:val="auto"/>
                <w:szCs w:val="21"/>
              </w:rPr>
            </w:pPr>
          </w:p>
        </w:tc>
      </w:tr>
    </w:tbl>
    <w:p>
      <w:pPr>
        <w:pStyle w:val="9"/>
        <w:overflowPunct w:val="0"/>
        <w:spacing w:before="156" w:beforeLines="50" w:after="0" w:line="360" w:lineRule="auto"/>
        <w:rPr>
          <w:rFonts w:ascii="黑体" w:hAnsi="黑体" w:eastAsia="黑体"/>
          <w:color w:val="auto"/>
          <w:szCs w:val="21"/>
        </w:rPr>
      </w:pPr>
    </w:p>
    <w:p>
      <w:pPr>
        <w:pStyle w:val="9"/>
        <w:overflowPunct w:val="0"/>
        <w:spacing w:before="156" w:beforeLines="50" w:after="0" w:line="360" w:lineRule="auto"/>
        <w:rPr>
          <w:rFonts w:ascii="黑体" w:hAnsi="黑体" w:eastAsia="黑体"/>
          <w:color w:val="auto"/>
          <w:szCs w:val="21"/>
        </w:rPr>
      </w:pPr>
      <w:r>
        <w:rPr>
          <w:rFonts w:hint="eastAsia" w:ascii="黑体" w:hAnsi="黑体" w:eastAsia="黑体"/>
          <w:color w:val="auto"/>
          <w:szCs w:val="21"/>
        </w:rPr>
        <w:t>注明：需提供证明资料内容详见</w:t>
      </w:r>
      <w:r>
        <w:rPr>
          <w:rFonts w:hint="eastAsia" w:ascii="黑体" w:hAnsi="黑体" w:eastAsia="黑体"/>
          <w:color w:val="auto"/>
          <w:szCs w:val="21"/>
          <w:u w:val="single"/>
        </w:rPr>
        <w:t>（招标文件第五部分</w:t>
      </w:r>
      <w:r>
        <w:rPr>
          <w:rFonts w:ascii="黑体" w:hAnsi="黑体" w:eastAsia="黑体"/>
          <w:color w:val="auto"/>
          <w:szCs w:val="21"/>
          <w:u w:val="single"/>
        </w:rPr>
        <w:t xml:space="preserve"> </w:t>
      </w:r>
      <w:r>
        <w:rPr>
          <w:rFonts w:hint="eastAsia" w:ascii="黑体" w:hAnsi="黑体" w:eastAsia="黑体"/>
          <w:color w:val="auto"/>
          <w:szCs w:val="21"/>
          <w:u w:val="single"/>
        </w:rPr>
        <w:t>评标方法、步骤、标准之</w:t>
      </w:r>
      <w:r>
        <w:rPr>
          <w:rFonts w:hint="eastAsia" w:ascii="黑体" w:hAnsi="黑体" w:eastAsia="黑体"/>
          <w:color w:val="auto"/>
          <w:kern w:val="0"/>
          <w:szCs w:val="21"/>
          <w:u w:val="single"/>
        </w:rPr>
        <w:t>附表三</w:t>
      </w:r>
      <w:r>
        <w:rPr>
          <w:rFonts w:hint="eastAsia" w:ascii="黑体" w:hAnsi="黑体" w:eastAsia="黑体"/>
          <w:color w:val="auto"/>
          <w:szCs w:val="21"/>
          <w:u w:val="single"/>
        </w:rPr>
        <w:t>详细评审表相对应条款）</w:t>
      </w:r>
      <w:r>
        <w:rPr>
          <w:rFonts w:ascii="黑体" w:hAnsi="黑体" w:eastAsia="黑体"/>
          <w:color w:val="auto"/>
          <w:szCs w:val="21"/>
          <w:u w:val="single"/>
        </w:rPr>
        <w:t xml:space="preserve"> </w:t>
      </w:r>
      <w:r>
        <w:rPr>
          <w:rFonts w:hint="eastAsia" w:ascii="黑体" w:hAnsi="黑体" w:eastAsia="黑体"/>
          <w:color w:val="auto"/>
          <w:szCs w:val="21"/>
        </w:rPr>
        <w:t>。</w:t>
      </w:r>
    </w:p>
    <w:p>
      <w:pPr>
        <w:spacing w:line="360" w:lineRule="auto"/>
        <w:rPr>
          <w:rFonts w:ascii="黑体" w:hAnsi="黑体" w:eastAsia="黑体"/>
          <w:color w:val="auto"/>
        </w:rPr>
      </w:pPr>
    </w:p>
    <w:p>
      <w:pPr>
        <w:spacing w:line="360" w:lineRule="auto"/>
        <w:rPr>
          <w:rFonts w:ascii="黑体" w:hAnsi="黑体" w:eastAsia="黑体"/>
          <w:color w:val="auto"/>
        </w:rPr>
      </w:pPr>
    </w:p>
    <w:p>
      <w:pPr>
        <w:spacing w:line="360" w:lineRule="auto"/>
        <w:rPr>
          <w:rFonts w:ascii="黑体" w:hAnsi="黑体" w:eastAsia="黑体"/>
          <w:color w:val="auto"/>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05" w:name="_Toc90980573"/>
      <w:bookmarkStart w:id="106" w:name="_Toc405313975"/>
      <w:bookmarkStart w:id="107" w:name="_Toc391627771"/>
      <w:r>
        <w:rPr>
          <w:rStyle w:val="23"/>
          <w:rFonts w:hint="eastAsia" w:ascii="黑体" w:hAnsi="黑体" w:eastAsia="黑体"/>
          <w:b/>
          <w:bCs/>
          <w:color w:val="auto"/>
          <w:spacing w:val="12"/>
          <w:sz w:val="21"/>
          <w:szCs w:val="21"/>
        </w:rPr>
        <w:t>项目负责人简历表</w:t>
      </w:r>
      <w:bookmarkEnd w:id="105"/>
      <w:bookmarkEnd w:id="106"/>
      <w:bookmarkEnd w:id="107"/>
    </w:p>
    <w:p>
      <w:pPr>
        <w:spacing w:before="624" w:beforeLines="2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项目负责人简历表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746"/>
        <w:gridCol w:w="1361"/>
        <w:gridCol w:w="326"/>
        <w:gridCol w:w="184"/>
        <w:gridCol w:w="842"/>
        <w:gridCol w:w="544"/>
        <w:gridCol w:w="14"/>
        <w:gridCol w:w="1129"/>
        <w:gridCol w:w="435"/>
        <w:gridCol w:w="647"/>
        <w:gridCol w:w="409"/>
        <w:gridCol w:w="1396"/>
      </w:tblGrid>
      <w:tr>
        <w:tblPrEx>
          <w:tblCellMar>
            <w:top w:w="0" w:type="dxa"/>
            <w:left w:w="108" w:type="dxa"/>
            <w:bottom w:w="0" w:type="dxa"/>
            <w:right w:w="108" w:type="dxa"/>
          </w:tblCellMar>
        </w:tblPrEx>
        <w:trPr>
          <w:trHeight w:val="600" w:hRule="atLeast"/>
          <w:jc w:val="center"/>
        </w:trPr>
        <w:tc>
          <w:tcPr>
            <w:tcW w:w="419" w:type="pct"/>
            <w:vAlign w:val="center"/>
          </w:tcPr>
          <w:p>
            <w:pPr>
              <w:jc w:val="center"/>
              <w:rPr>
                <w:rFonts w:ascii="黑体" w:hAnsi="黑体" w:eastAsia="黑体"/>
                <w:color w:val="auto"/>
                <w:szCs w:val="21"/>
              </w:rPr>
            </w:pPr>
            <w:r>
              <w:rPr>
                <w:rFonts w:hint="eastAsia" w:ascii="黑体" w:hAnsi="黑体" w:eastAsia="黑体"/>
                <w:color w:val="auto"/>
                <w:szCs w:val="21"/>
              </w:rPr>
              <w:t>姓名</w:t>
            </w:r>
          </w:p>
        </w:tc>
        <w:tc>
          <w:tcPr>
            <w:tcW w:w="1493" w:type="pct"/>
            <w:gridSpan w:val="4"/>
            <w:vAlign w:val="center"/>
          </w:tcPr>
          <w:p>
            <w:pPr>
              <w:jc w:val="center"/>
              <w:rPr>
                <w:rFonts w:ascii="黑体" w:hAnsi="黑体" w:eastAsia="黑体"/>
                <w:color w:val="auto"/>
                <w:szCs w:val="21"/>
              </w:rPr>
            </w:pPr>
          </w:p>
        </w:tc>
        <w:tc>
          <w:tcPr>
            <w:tcW w:w="480" w:type="pct"/>
            <w:vAlign w:val="center"/>
          </w:tcPr>
          <w:p>
            <w:pPr>
              <w:jc w:val="center"/>
              <w:rPr>
                <w:rFonts w:ascii="黑体" w:hAnsi="黑体" w:eastAsia="黑体"/>
                <w:color w:val="auto"/>
                <w:szCs w:val="21"/>
              </w:rPr>
            </w:pPr>
            <w:r>
              <w:rPr>
                <w:rFonts w:hint="eastAsia" w:ascii="黑体" w:hAnsi="黑体" w:eastAsia="黑体"/>
                <w:color w:val="auto"/>
                <w:szCs w:val="21"/>
              </w:rPr>
              <w:t>性别</w:t>
            </w:r>
          </w:p>
        </w:tc>
        <w:tc>
          <w:tcPr>
            <w:tcW w:w="962" w:type="pct"/>
            <w:gridSpan w:val="3"/>
            <w:vAlign w:val="center"/>
          </w:tcPr>
          <w:p>
            <w:pPr>
              <w:jc w:val="center"/>
              <w:rPr>
                <w:rFonts w:ascii="黑体" w:hAnsi="黑体" w:eastAsia="黑体"/>
                <w:color w:val="auto"/>
                <w:szCs w:val="21"/>
              </w:rPr>
            </w:pPr>
          </w:p>
        </w:tc>
        <w:tc>
          <w:tcPr>
            <w:tcW w:w="617" w:type="pct"/>
            <w:gridSpan w:val="2"/>
            <w:vAlign w:val="center"/>
          </w:tcPr>
          <w:p>
            <w:pPr>
              <w:jc w:val="center"/>
              <w:rPr>
                <w:rFonts w:ascii="黑体" w:hAnsi="黑体" w:eastAsia="黑体"/>
                <w:color w:val="auto"/>
                <w:szCs w:val="21"/>
              </w:rPr>
            </w:pPr>
            <w:r>
              <w:rPr>
                <w:rFonts w:hint="eastAsia" w:ascii="黑体" w:hAnsi="黑体" w:eastAsia="黑体"/>
                <w:color w:val="auto"/>
                <w:szCs w:val="21"/>
              </w:rPr>
              <w:t>年龄</w:t>
            </w:r>
          </w:p>
        </w:tc>
        <w:tc>
          <w:tcPr>
            <w:tcW w:w="1030" w:type="pct"/>
            <w:gridSpan w:val="2"/>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19" w:type="pct"/>
            <w:vAlign w:val="center"/>
          </w:tcPr>
          <w:p>
            <w:pPr>
              <w:jc w:val="center"/>
              <w:rPr>
                <w:rFonts w:ascii="黑体" w:hAnsi="黑体" w:eastAsia="黑体"/>
                <w:color w:val="auto"/>
                <w:szCs w:val="21"/>
              </w:rPr>
            </w:pPr>
            <w:r>
              <w:rPr>
                <w:rFonts w:hint="eastAsia" w:ascii="黑体" w:hAnsi="黑体" w:eastAsia="黑体"/>
                <w:color w:val="auto"/>
                <w:szCs w:val="21"/>
              </w:rPr>
              <w:t>职务</w:t>
            </w:r>
          </w:p>
        </w:tc>
        <w:tc>
          <w:tcPr>
            <w:tcW w:w="1493" w:type="pct"/>
            <w:gridSpan w:val="4"/>
            <w:vAlign w:val="center"/>
          </w:tcPr>
          <w:p>
            <w:pPr>
              <w:jc w:val="center"/>
              <w:rPr>
                <w:rFonts w:ascii="黑体" w:hAnsi="黑体" w:eastAsia="黑体"/>
                <w:color w:val="auto"/>
                <w:szCs w:val="21"/>
              </w:rPr>
            </w:pPr>
          </w:p>
        </w:tc>
        <w:tc>
          <w:tcPr>
            <w:tcW w:w="480" w:type="pct"/>
            <w:vAlign w:val="center"/>
          </w:tcPr>
          <w:p>
            <w:pPr>
              <w:jc w:val="center"/>
              <w:rPr>
                <w:rFonts w:ascii="黑体" w:hAnsi="黑体" w:eastAsia="黑体"/>
                <w:color w:val="auto"/>
                <w:szCs w:val="21"/>
              </w:rPr>
            </w:pPr>
            <w:r>
              <w:rPr>
                <w:rFonts w:hint="eastAsia" w:ascii="黑体" w:hAnsi="黑体" w:eastAsia="黑体"/>
                <w:color w:val="auto"/>
                <w:szCs w:val="21"/>
              </w:rPr>
              <w:t>职称</w:t>
            </w:r>
          </w:p>
        </w:tc>
        <w:tc>
          <w:tcPr>
            <w:tcW w:w="962" w:type="pct"/>
            <w:gridSpan w:val="3"/>
            <w:vAlign w:val="center"/>
          </w:tcPr>
          <w:p>
            <w:pPr>
              <w:jc w:val="center"/>
              <w:rPr>
                <w:rFonts w:ascii="黑体" w:hAnsi="黑体" w:eastAsia="黑体"/>
                <w:color w:val="auto"/>
                <w:szCs w:val="21"/>
              </w:rPr>
            </w:pPr>
          </w:p>
        </w:tc>
        <w:tc>
          <w:tcPr>
            <w:tcW w:w="617" w:type="pct"/>
            <w:gridSpan w:val="2"/>
            <w:vAlign w:val="center"/>
          </w:tcPr>
          <w:p>
            <w:pPr>
              <w:jc w:val="center"/>
              <w:rPr>
                <w:rFonts w:ascii="黑体" w:hAnsi="黑体" w:eastAsia="黑体"/>
                <w:color w:val="auto"/>
                <w:szCs w:val="21"/>
              </w:rPr>
            </w:pPr>
            <w:r>
              <w:rPr>
                <w:rFonts w:hint="eastAsia" w:ascii="黑体" w:hAnsi="黑体" w:eastAsia="黑体"/>
                <w:color w:val="auto"/>
                <w:szCs w:val="21"/>
              </w:rPr>
              <w:t>学历</w:t>
            </w:r>
          </w:p>
        </w:tc>
        <w:tc>
          <w:tcPr>
            <w:tcW w:w="1030" w:type="pct"/>
            <w:gridSpan w:val="2"/>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21" w:type="pct"/>
            <w:gridSpan w:val="3"/>
            <w:vAlign w:val="center"/>
          </w:tcPr>
          <w:p>
            <w:pPr>
              <w:jc w:val="center"/>
              <w:rPr>
                <w:rFonts w:ascii="黑体" w:hAnsi="黑体" w:eastAsia="黑体"/>
                <w:color w:val="auto"/>
                <w:szCs w:val="21"/>
              </w:rPr>
            </w:pPr>
            <w:r>
              <w:rPr>
                <w:rFonts w:hint="eastAsia" w:ascii="黑体" w:hAnsi="黑体" w:eastAsia="黑体"/>
                <w:color w:val="auto"/>
                <w:szCs w:val="21"/>
              </w:rPr>
              <w:t>参加工作时间</w:t>
            </w:r>
          </w:p>
        </w:tc>
        <w:tc>
          <w:tcPr>
            <w:tcW w:w="1081" w:type="pct"/>
            <w:gridSpan w:val="4"/>
            <w:vAlign w:val="center"/>
          </w:tcPr>
          <w:p>
            <w:pPr>
              <w:jc w:val="center"/>
              <w:rPr>
                <w:rFonts w:ascii="黑体" w:hAnsi="黑体" w:eastAsia="黑体"/>
                <w:color w:val="auto"/>
                <w:szCs w:val="21"/>
              </w:rPr>
            </w:pPr>
          </w:p>
        </w:tc>
        <w:tc>
          <w:tcPr>
            <w:tcW w:w="1502" w:type="pct"/>
            <w:gridSpan w:val="5"/>
            <w:vAlign w:val="center"/>
          </w:tcPr>
          <w:p>
            <w:pPr>
              <w:jc w:val="center"/>
              <w:rPr>
                <w:rFonts w:ascii="黑体" w:hAnsi="黑体" w:eastAsia="黑体"/>
                <w:color w:val="auto"/>
                <w:szCs w:val="21"/>
              </w:rPr>
            </w:pPr>
            <w:r>
              <w:rPr>
                <w:rFonts w:hint="eastAsia" w:ascii="黑体" w:hAnsi="黑体" w:eastAsia="黑体"/>
                <w:color w:val="auto"/>
                <w:szCs w:val="21"/>
              </w:rPr>
              <w:t>相关经验年限</w:t>
            </w:r>
          </w:p>
        </w:tc>
        <w:tc>
          <w:tcPr>
            <w:tcW w:w="796" w:type="pct"/>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621" w:type="pct"/>
            <w:gridSpan w:val="3"/>
            <w:vAlign w:val="center"/>
          </w:tcPr>
          <w:p>
            <w:pPr>
              <w:jc w:val="center"/>
              <w:rPr>
                <w:rFonts w:ascii="黑体" w:hAnsi="黑体" w:eastAsia="黑体"/>
                <w:color w:val="auto"/>
                <w:szCs w:val="21"/>
              </w:rPr>
            </w:pPr>
            <w:r>
              <w:rPr>
                <w:rFonts w:hint="eastAsia" w:ascii="黑体" w:hAnsi="黑体" w:eastAsia="黑体"/>
                <w:color w:val="auto"/>
                <w:szCs w:val="21"/>
              </w:rPr>
              <w:t>资格证书名称、编号</w:t>
            </w:r>
          </w:p>
        </w:tc>
        <w:tc>
          <w:tcPr>
            <w:tcW w:w="3379" w:type="pct"/>
            <w:gridSpan w:val="10"/>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000" w:type="pct"/>
            <w:gridSpan w:val="13"/>
            <w:vAlign w:val="center"/>
          </w:tcPr>
          <w:p>
            <w:pPr>
              <w:jc w:val="center"/>
              <w:rPr>
                <w:rFonts w:ascii="黑体" w:hAnsi="黑体" w:eastAsia="黑体"/>
                <w:color w:val="auto"/>
                <w:szCs w:val="21"/>
              </w:rPr>
            </w:pPr>
            <w:r>
              <w:rPr>
                <w:rFonts w:hint="eastAsia" w:ascii="黑体" w:hAnsi="黑体" w:eastAsia="黑体"/>
                <w:color w:val="auto"/>
                <w:szCs w:val="21"/>
              </w:rPr>
              <w:t>目前在任及以往服务项目情况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5" w:type="pct"/>
            <w:gridSpan w:val="2"/>
            <w:vAlign w:val="center"/>
          </w:tcPr>
          <w:p>
            <w:pPr>
              <w:jc w:val="center"/>
              <w:rPr>
                <w:rFonts w:ascii="黑体" w:hAnsi="黑体" w:eastAsia="黑体"/>
                <w:color w:val="auto"/>
                <w:szCs w:val="21"/>
              </w:rPr>
            </w:pPr>
            <w:r>
              <w:rPr>
                <w:rFonts w:hint="eastAsia" w:ascii="黑体" w:hAnsi="黑体" w:eastAsia="黑体"/>
                <w:color w:val="auto"/>
                <w:szCs w:val="21"/>
              </w:rPr>
              <w:t>采购人</w:t>
            </w:r>
          </w:p>
        </w:tc>
        <w:tc>
          <w:tcPr>
            <w:tcW w:w="962" w:type="pct"/>
            <w:gridSpan w:val="2"/>
            <w:vAlign w:val="center"/>
          </w:tcPr>
          <w:p>
            <w:pPr>
              <w:jc w:val="center"/>
              <w:rPr>
                <w:rFonts w:ascii="黑体" w:hAnsi="黑体" w:eastAsia="黑体"/>
                <w:color w:val="auto"/>
                <w:szCs w:val="21"/>
              </w:rPr>
            </w:pPr>
            <w:r>
              <w:rPr>
                <w:rFonts w:hint="eastAsia" w:ascii="黑体" w:hAnsi="黑体" w:eastAsia="黑体"/>
                <w:color w:val="auto"/>
                <w:szCs w:val="21"/>
              </w:rPr>
              <w:t>项目名称</w:t>
            </w:r>
          </w:p>
        </w:tc>
        <w:tc>
          <w:tcPr>
            <w:tcW w:w="903" w:type="pct"/>
            <w:gridSpan w:val="4"/>
            <w:vAlign w:val="center"/>
          </w:tcPr>
          <w:p>
            <w:pPr>
              <w:jc w:val="center"/>
              <w:rPr>
                <w:rFonts w:ascii="黑体" w:hAnsi="黑体" w:eastAsia="黑体"/>
                <w:color w:val="auto"/>
                <w:szCs w:val="21"/>
              </w:rPr>
            </w:pPr>
            <w:r>
              <w:rPr>
                <w:rFonts w:hint="eastAsia" w:ascii="黑体" w:hAnsi="黑体" w:eastAsia="黑体"/>
                <w:color w:val="auto"/>
                <w:szCs w:val="21"/>
              </w:rPr>
              <w:t>项目规模</w:t>
            </w:r>
          </w:p>
        </w:tc>
        <w:tc>
          <w:tcPr>
            <w:tcW w:w="892" w:type="pct"/>
            <w:gridSpan w:val="2"/>
            <w:vAlign w:val="center"/>
          </w:tcPr>
          <w:p>
            <w:pPr>
              <w:jc w:val="center"/>
              <w:rPr>
                <w:rFonts w:ascii="黑体" w:hAnsi="黑体" w:eastAsia="黑体"/>
                <w:color w:val="auto"/>
                <w:szCs w:val="21"/>
              </w:rPr>
            </w:pPr>
            <w:r>
              <w:rPr>
                <w:rFonts w:hint="eastAsia" w:ascii="黑体" w:hAnsi="黑体" w:eastAsia="黑体"/>
                <w:color w:val="auto"/>
                <w:szCs w:val="21"/>
              </w:rPr>
              <w:t>所任职务</w:t>
            </w:r>
          </w:p>
        </w:tc>
        <w:tc>
          <w:tcPr>
            <w:tcW w:w="1399" w:type="pct"/>
            <w:gridSpan w:val="3"/>
            <w:vAlign w:val="center"/>
          </w:tcPr>
          <w:p>
            <w:pPr>
              <w:jc w:val="center"/>
              <w:rPr>
                <w:rFonts w:ascii="黑体" w:hAnsi="黑体" w:eastAsia="黑体"/>
                <w:color w:val="auto"/>
                <w:szCs w:val="21"/>
              </w:rPr>
            </w:pPr>
            <w:r>
              <w:rPr>
                <w:rFonts w:hint="eastAsia" w:ascii="黑体" w:hAnsi="黑体" w:eastAsia="黑体"/>
                <w:color w:val="auto"/>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5" w:type="pct"/>
            <w:gridSpan w:val="2"/>
            <w:vAlign w:val="center"/>
          </w:tcPr>
          <w:p>
            <w:pPr>
              <w:jc w:val="center"/>
              <w:rPr>
                <w:rFonts w:ascii="黑体" w:hAnsi="黑体" w:eastAsia="黑体"/>
                <w:color w:val="auto"/>
                <w:szCs w:val="21"/>
              </w:rPr>
            </w:pPr>
          </w:p>
        </w:tc>
        <w:tc>
          <w:tcPr>
            <w:tcW w:w="962" w:type="pct"/>
            <w:gridSpan w:val="2"/>
            <w:vAlign w:val="center"/>
          </w:tcPr>
          <w:p>
            <w:pPr>
              <w:jc w:val="center"/>
              <w:rPr>
                <w:rFonts w:ascii="黑体" w:hAnsi="黑体" w:eastAsia="黑体"/>
                <w:color w:val="auto"/>
                <w:szCs w:val="21"/>
              </w:rPr>
            </w:pPr>
          </w:p>
        </w:tc>
        <w:tc>
          <w:tcPr>
            <w:tcW w:w="903" w:type="pct"/>
            <w:gridSpan w:val="4"/>
            <w:vAlign w:val="center"/>
          </w:tcPr>
          <w:p>
            <w:pPr>
              <w:jc w:val="center"/>
              <w:rPr>
                <w:rFonts w:ascii="黑体" w:hAnsi="黑体" w:eastAsia="黑体"/>
                <w:color w:val="auto"/>
                <w:szCs w:val="21"/>
              </w:rPr>
            </w:pPr>
          </w:p>
        </w:tc>
        <w:tc>
          <w:tcPr>
            <w:tcW w:w="892" w:type="pct"/>
            <w:gridSpan w:val="2"/>
            <w:vAlign w:val="center"/>
          </w:tcPr>
          <w:p>
            <w:pPr>
              <w:jc w:val="center"/>
              <w:rPr>
                <w:rFonts w:ascii="黑体" w:hAnsi="黑体" w:eastAsia="黑体"/>
                <w:color w:val="auto"/>
                <w:szCs w:val="21"/>
              </w:rPr>
            </w:pPr>
          </w:p>
        </w:tc>
        <w:tc>
          <w:tcPr>
            <w:tcW w:w="1399" w:type="pct"/>
            <w:gridSpan w:val="3"/>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5" w:type="pct"/>
            <w:gridSpan w:val="2"/>
            <w:vAlign w:val="center"/>
          </w:tcPr>
          <w:p>
            <w:pPr>
              <w:jc w:val="center"/>
              <w:rPr>
                <w:rFonts w:ascii="黑体" w:hAnsi="黑体" w:eastAsia="黑体"/>
                <w:color w:val="auto"/>
                <w:szCs w:val="21"/>
              </w:rPr>
            </w:pPr>
          </w:p>
        </w:tc>
        <w:tc>
          <w:tcPr>
            <w:tcW w:w="962" w:type="pct"/>
            <w:gridSpan w:val="2"/>
            <w:vAlign w:val="center"/>
          </w:tcPr>
          <w:p>
            <w:pPr>
              <w:jc w:val="center"/>
              <w:rPr>
                <w:rFonts w:ascii="黑体" w:hAnsi="黑体" w:eastAsia="黑体"/>
                <w:color w:val="auto"/>
                <w:szCs w:val="21"/>
              </w:rPr>
            </w:pPr>
          </w:p>
        </w:tc>
        <w:tc>
          <w:tcPr>
            <w:tcW w:w="903" w:type="pct"/>
            <w:gridSpan w:val="4"/>
            <w:vAlign w:val="center"/>
          </w:tcPr>
          <w:p>
            <w:pPr>
              <w:jc w:val="center"/>
              <w:rPr>
                <w:rFonts w:ascii="黑体" w:hAnsi="黑体" w:eastAsia="黑体"/>
                <w:color w:val="auto"/>
                <w:szCs w:val="21"/>
              </w:rPr>
            </w:pPr>
          </w:p>
        </w:tc>
        <w:tc>
          <w:tcPr>
            <w:tcW w:w="892" w:type="pct"/>
            <w:gridSpan w:val="2"/>
            <w:vAlign w:val="center"/>
          </w:tcPr>
          <w:p>
            <w:pPr>
              <w:jc w:val="center"/>
              <w:rPr>
                <w:rFonts w:ascii="黑体" w:hAnsi="黑体" w:eastAsia="黑体"/>
                <w:color w:val="auto"/>
                <w:szCs w:val="21"/>
              </w:rPr>
            </w:pPr>
          </w:p>
        </w:tc>
        <w:tc>
          <w:tcPr>
            <w:tcW w:w="1399" w:type="pct"/>
            <w:gridSpan w:val="3"/>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5" w:type="pct"/>
            <w:gridSpan w:val="2"/>
            <w:vAlign w:val="center"/>
          </w:tcPr>
          <w:p>
            <w:pPr>
              <w:jc w:val="center"/>
              <w:rPr>
                <w:rFonts w:ascii="黑体" w:hAnsi="黑体" w:eastAsia="黑体"/>
                <w:color w:val="auto"/>
                <w:szCs w:val="21"/>
              </w:rPr>
            </w:pPr>
          </w:p>
        </w:tc>
        <w:tc>
          <w:tcPr>
            <w:tcW w:w="962" w:type="pct"/>
            <w:gridSpan w:val="2"/>
            <w:vAlign w:val="center"/>
          </w:tcPr>
          <w:p>
            <w:pPr>
              <w:jc w:val="center"/>
              <w:rPr>
                <w:rFonts w:ascii="黑体" w:hAnsi="黑体" w:eastAsia="黑体"/>
                <w:color w:val="auto"/>
                <w:szCs w:val="21"/>
              </w:rPr>
            </w:pPr>
          </w:p>
        </w:tc>
        <w:tc>
          <w:tcPr>
            <w:tcW w:w="903" w:type="pct"/>
            <w:gridSpan w:val="4"/>
            <w:vAlign w:val="center"/>
          </w:tcPr>
          <w:p>
            <w:pPr>
              <w:jc w:val="center"/>
              <w:rPr>
                <w:rFonts w:ascii="黑体" w:hAnsi="黑体" w:eastAsia="黑体"/>
                <w:color w:val="auto"/>
                <w:szCs w:val="21"/>
              </w:rPr>
            </w:pPr>
          </w:p>
        </w:tc>
        <w:tc>
          <w:tcPr>
            <w:tcW w:w="892" w:type="pct"/>
            <w:gridSpan w:val="2"/>
            <w:vAlign w:val="center"/>
          </w:tcPr>
          <w:p>
            <w:pPr>
              <w:jc w:val="center"/>
              <w:rPr>
                <w:rFonts w:ascii="黑体" w:hAnsi="黑体" w:eastAsia="黑体"/>
                <w:color w:val="auto"/>
                <w:szCs w:val="21"/>
              </w:rPr>
            </w:pPr>
          </w:p>
        </w:tc>
        <w:tc>
          <w:tcPr>
            <w:tcW w:w="1399" w:type="pct"/>
            <w:gridSpan w:val="3"/>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5" w:type="pct"/>
            <w:gridSpan w:val="2"/>
            <w:vAlign w:val="center"/>
          </w:tcPr>
          <w:p>
            <w:pPr>
              <w:jc w:val="center"/>
              <w:rPr>
                <w:rFonts w:ascii="黑体" w:hAnsi="黑体" w:eastAsia="黑体"/>
                <w:color w:val="auto"/>
                <w:szCs w:val="21"/>
              </w:rPr>
            </w:pPr>
          </w:p>
        </w:tc>
        <w:tc>
          <w:tcPr>
            <w:tcW w:w="962" w:type="pct"/>
            <w:gridSpan w:val="2"/>
            <w:vAlign w:val="center"/>
          </w:tcPr>
          <w:p>
            <w:pPr>
              <w:jc w:val="center"/>
              <w:rPr>
                <w:rFonts w:ascii="黑体" w:hAnsi="黑体" w:eastAsia="黑体"/>
                <w:color w:val="auto"/>
                <w:szCs w:val="21"/>
              </w:rPr>
            </w:pPr>
          </w:p>
        </w:tc>
        <w:tc>
          <w:tcPr>
            <w:tcW w:w="903" w:type="pct"/>
            <w:gridSpan w:val="4"/>
            <w:vAlign w:val="center"/>
          </w:tcPr>
          <w:p>
            <w:pPr>
              <w:jc w:val="center"/>
              <w:rPr>
                <w:rFonts w:ascii="黑体" w:hAnsi="黑体" w:eastAsia="黑体"/>
                <w:color w:val="auto"/>
                <w:szCs w:val="21"/>
              </w:rPr>
            </w:pPr>
          </w:p>
        </w:tc>
        <w:tc>
          <w:tcPr>
            <w:tcW w:w="892" w:type="pct"/>
            <w:gridSpan w:val="2"/>
            <w:vAlign w:val="center"/>
          </w:tcPr>
          <w:p>
            <w:pPr>
              <w:jc w:val="center"/>
              <w:rPr>
                <w:rFonts w:ascii="黑体" w:hAnsi="黑体" w:eastAsia="黑体"/>
                <w:color w:val="auto"/>
                <w:szCs w:val="21"/>
              </w:rPr>
            </w:pPr>
          </w:p>
        </w:tc>
        <w:tc>
          <w:tcPr>
            <w:tcW w:w="1399" w:type="pct"/>
            <w:gridSpan w:val="3"/>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5" w:type="pct"/>
            <w:gridSpan w:val="2"/>
            <w:vAlign w:val="center"/>
          </w:tcPr>
          <w:p>
            <w:pPr>
              <w:jc w:val="center"/>
              <w:rPr>
                <w:rFonts w:ascii="黑体" w:hAnsi="黑体" w:eastAsia="黑体"/>
                <w:color w:val="auto"/>
                <w:szCs w:val="21"/>
              </w:rPr>
            </w:pPr>
          </w:p>
        </w:tc>
        <w:tc>
          <w:tcPr>
            <w:tcW w:w="962" w:type="pct"/>
            <w:gridSpan w:val="2"/>
            <w:vAlign w:val="center"/>
          </w:tcPr>
          <w:p>
            <w:pPr>
              <w:jc w:val="center"/>
              <w:rPr>
                <w:rFonts w:ascii="黑体" w:hAnsi="黑体" w:eastAsia="黑体"/>
                <w:color w:val="auto"/>
                <w:szCs w:val="21"/>
              </w:rPr>
            </w:pPr>
          </w:p>
        </w:tc>
        <w:tc>
          <w:tcPr>
            <w:tcW w:w="903" w:type="pct"/>
            <w:gridSpan w:val="4"/>
            <w:vAlign w:val="center"/>
          </w:tcPr>
          <w:p>
            <w:pPr>
              <w:jc w:val="center"/>
              <w:rPr>
                <w:rFonts w:ascii="黑体" w:hAnsi="黑体" w:eastAsia="黑体"/>
                <w:color w:val="auto"/>
                <w:szCs w:val="21"/>
              </w:rPr>
            </w:pPr>
          </w:p>
        </w:tc>
        <w:tc>
          <w:tcPr>
            <w:tcW w:w="892" w:type="pct"/>
            <w:gridSpan w:val="2"/>
            <w:vAlign w:val="center"/>
          </w:tcPr>
          <w:p>
            <w:pPr>
              <w:jc w:val="center"/>
              <w:rPr>
                <w:rFonts w:ascii="黑体" w:hAnsi="黑体" w:eastAsia="黑体"/>
                <w:color w:val="auto"/>
                <w:szCs w:val="21"/>
              </w:rPr>
            </w:pPr>
          </w:p>
        </w:tc>
        <w:tc>
          <w:tcPr>
            <w:tcW w:w="1399" w:type="pct"/>
            <w:gridSpan w:val="3"/>
            <w:vAlign w:val="center"/>
          </w:tcPr>
          <w:p>
            <w:pPr>
              <w:jc w:val="center"/>
              <w:rPr>
                <w:rFonts w:ascii="黑体" w:hAnsi="黑体" w:eastAsia="黑体"/>
                <w:color w:val="auto"/>
                <w:szCs w:val="21"/>
              </w:rPr>
            </w:pPr>
          </w:p>
        </w:tc>
      </w:tr>
    </w:tbl>
    <w:p>
      <w:pPr>
        <w:pStyle w:val="9"/>
        <w:overflowPunct w:val="0"/>
        <w:spacing w:before="156" w:beforeLines="50" w:after="0" w:line="360" w:lineRule="auto"/>
        <w:rPr>
          <w:rFonts w:ascii="黑体" w:hAnsi="黑体" w:eastAsia="黑体"/>
          <w:color w:val="auto"/>
          <w:szCs w:val="21"/>
        </w:rPr>
      </w:pPr>
      <w:r>
        <w:rPr>
          <w:rFonts w:hint="eastAsia" w:ascii="黑体" w:hAnsi="黑体" w:eastAsia="黑体"/>
          <w:color w:val="auto"/>
          <w:szCs w:val="21"/>
        </w:rPr>
        <w:t>注明：需提供证明资料内容详见</w:t>
      </w:r>
      <w:r>
        <w:rPr>
          <w:rFonts w:hint="eastAsia" w:ascii="黑体" w:hAnsi="黑体" w:eastAsia="黑体"/>
          <w:color w:val="auto"/>
          <w:szCs w:val="21"/>
          <w:u w:val="single"/>
        </w:rPr>
        <w:t>（招标文件第五部分</w:t>
      </w:r>
      <w:r>
        <w:rPr>
          <w:rFonts w:ascii="黑体" w:hAnsi="黑体" w:eastAsia="黑体"/>
          <w:color w:val="auto"/>
          <w:szCs w:val="21"/>
          <w:u w:val="single"/>
        </w:rPr>
        <w:t xml:space="preserve"> </w:t>
      </w:r>
      <w:r>
        <w:rPr>
          <w:rFonts w:hint="eastAsia" w:ascii="黑体" w:hAnsi="黑体" w:eastAsia="黑体"/>
          <w:color w:val="auto"/>
          <w:szCs w:val="21"/>
          <w:u w:val="single"/>
        </w:rPr>
        <w:t>评标方法、步骤、标准之</w:t>
      </w:r>
      <w:r>
        <w:rPr>
          <w:rFonts w:hint="eastAsia" w:ascii="黑体" w:hAnsi="黑体" w:eastAsia="黑体"/>
          <w:color w:val="auto"/>
          <w:kern w:val="0"/>
          <w:szCs w:val="21"/>
          <w:u w:val="single"/>
        </w:rPr>
        <w:t>附表三</w:t>
      </w:r>
      <w:r>
        <w:rPr>
          <w:rFonts w:hint="eastAsia" w:ascii="黑体" w:hAnsi="黑体" w:eastAsia="黑体"/>
          <w:color w:val="auto"/>
          <w:szCs w:val="21"/>
          <w:u w:val="single"/>
        </w:rPr>
        <w:t>详细评审表相对应条款）</w:t>
      </w:r>
      <w:r>
        <w:rPr>
          <w:rFonts w:ascii="黑体" w:hAnsi="黑体" w:eastAsia="黑体"/>
          <w:color w:val="auto"/>
          <w:szCs w:val="21"/>
          <w:u w:val="single"/>
        </w:rPr>
        <w:t xml:space="preserve"> </w:t>
      </w:r>
      <w:r>
        <w:rPr>
          <w:rFonts w:hint="eastAsia" w:ascii="黑体" w:hAnsi="黑体" w:eastAsia="黑体"/>
          <w:color w:val="auto"/>
          <w:szCs w:val="21"/>
        </w:rPr>
        <w:t>。</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08" w:name="_Toc90980574"/>
      <w:r>
        <w:rPr>
          <w:rStyle w:val="23"/>
          <w:rFonts w:hint="eastAsia" w:ascii="黑体" w:hAnsi="黑体" w:eastAsia="黑体"/>
          <w:b/>
          <w:bCs/>
          <w:color w:val="auto"/>
          <w:spacing w:val="12"/>
          <w:sz w:val="21"/>
          <w:szCs w:val="21"/>
        </w:rPr>
        <w:t>技术要求偏离表</w:t>
      </w:r>
      <w:bookmarkEnd w:id="108"/>
    </w:p>
    <w:p>
      <w:pPr>
        <w:spacing w:before="624" w:beforeLines="200" w:after="468" w:afterLines="15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技术要求偏离表</w:t>
      </w:r>
    </w:p>
    <w:tbl>
      <w:tblPr>
        <w:tblStyle w:val="20"/>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352"/>
        <w:gridCol w:w="2126"/>
        <w:gridCol w:w="164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20" w:type="dxa"/>
            <w:vAlign w:val="center"/>
          </w:tcPr>
          <w:p>
            <w:pPr>
              <w:jc w:val="center"/>
              <w:rPr>
                <w:rFonts w:ascii="黑体" w:hAnsi="黑体" w:eastAsia="黑体"/>
                <w:b/>
                <w:color w:val="auto"/>
                <w:szCs w:val="21"/>
              </w:rPr>
            </w:pPr>
            <w:r>
              <w:rPr>
                <w:rFonts w:hint="eastAsia" w:ascii="黑体" w:hAnsi="黑体" w:eastAsia="黑体"/>
                <w:b/>
                <w:color w:val="auto"/>
                <w:szCs w:val="21"/>
              </w:rPr>
              <w:t>序号</w:t>
            </w:r>
          </w:p>
        </w:tc>
        <w:tc>
          <w:tcPr>
            <w:tcW w:w="2352" w:type="dxa"/>
            <w:vAlign w:val="center"/>
          </w:tcPr>
          <w:p>
            <w:pPr>
              <w:jc w:val="center"/>
              <w:rPr>
                <w:rFonts w:ascii="黑体" w:hAnsi="黑体" w:eastAsia="黑体"/>
                <w:b/>
                <w:color w:val="auto"/>
                <w:szCs w:val="21"/>
              </w:rPr>
            </w:pPr>
            <w:r>
              <w:rPr>
                <w:rFonts w:hint="eastAsia" w:ascii="黑体" w:hAnsi="黑体" w:eastAsia="黑体"/>
                <w:b/>
                <w:color w:val="auto"/>
                <w:szCs w:val="21"/>
              </w:rPr>
              <w:t>招标文件要求</w:t>
            </w:r>
          </w:p>
        </w:tc>
        <w:tc>
          <w:tcPr>
            <w:tcW w:w="2126" w:type="dxa"/>
            <w:vAlign w:val="center"/>
          </w:tcPr>
          <w:p>
            <w:pPr>
              <w:jc w:val="center"/>
              <w:rPr>
                <w:rFonts w:ascii="黑体" w:hAnsi="黑体" w:eastAsia="黑体"/>
                <w:b/>
                <w:color w:val="auto"/>
                <w:szCs w:val="21"/>
              </w:rPr>
            </w:pPr>
            <w:r>
              <w:rPr>
                <w:rFonts w:hint="eastAsia" w:ascii="黑体" w:hAnsi="黑体" w:eastAsia="黑体"/>
                <w:b/>
                <w:bCs/>
                <w:color w:val="auto"/>
                <w:szCs w:val="21"/>
              </w:rPr>
              <w:t>投标文件响应内容</w:t>
            </w:r>
          </w:p>
        </w:tc>
        <w:tc>
          <w:tcPr>
            <w:tcW w:w="1644" w:type="dxa"/>
            <w:vAlign w:val="center"/>
          </w:tcPr>
          <w:p>
            <w:pPr>
              <w:ind w:left="293" w:hanging="293" w:hangingChars="139"/>
              <w:jc w:val="center"/>
              <w:rPr>
                <w:rFonts w:ascii="黑体" w:hAnsi="黑体" w:eastAsia="黑体"/>
                <w:b/>
                <w:color w:val="auto"/>
                <w:szCs w:val="21"/>
              </w:rPr>
            </w:pPr>
            <w:r>
              <w:rPr>
                <w:rFonts w:hint="eastAsia" w:ascii="黑体" w:hAnsi="黑体" w:eastAsia="黑体"/>
                <w:b/>
                <w:color w:val="auto"/>
                <w:szCs w:val="21"/>
              </w:rPr>
              <w:t>偏离情况</w:t>
            </w:r>
          </w:p>
        </w:tc>
        <w:tc>
          <w:tcPr>
            <w:tcW w:w="1575" w:type="dxa"/>
            <w:vAlign w:val="center"/>
          </w:tcPr>
          <w:p>
            <w:pPr>
              <w:jc w:val="center"/>
              <w:rPr>
                <w:rFonts w:ascii="黑体" w:hAnsi="黑体" w:eastAsia="黑体"/>
                <w:b/>
                <w:color w:val="auto"/>
                <w:szCs w:val="21"/>
              </w:rPr>
            </w:pPr>
            <w:r>
              <w:rPr>
                <w:rFonts w:hint="eastAsia" w:ascii="黑体" w:hAnsi="黑体" w:eastAsia="黑体"/>
                <w:b/>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20" w:type="dxa"/>
            <w:vAlign w:val="center"/>
          </w:tcPr>
          <w:p>
            <w:pPr>
              <w:spacing w:line="360" w:lineRule="auto"/>
              <w:jc w:val="center"/>
              <w:rPr>
                <w:rFonts w:ascii="黑体" w:hAnsi="黑体" w:eastAsia="黑体"/>
                <w:color w:val="auto"/>
                <w:szCs w:val="21"/>
              </w:rPr>
            </w:pPr>
          </w:p>
        </w:tc>
        <w:tc>
          <w:tcPr>
            <w:tcW w:w="2352" w:type="dxa"/>
            <w:vAlign w:val="center"/>
          </w:tcPr>
          <w:p>
            <w:pPr>
              <w:spacing w:line="360" w:lineRule="auto"/>
              <w:jc w:val="center"/>
              <w:rPr>
                <w:rFonts w:ascii="黑体" w:hAnsi="黑体" w:eastAsia="黑体"/>
                <w:color w:val="auto"/>
                <w:szCs w:val="21"/>
              </w:rPr>
            </w:pPr>
          </w:p>
        </w:tc>
        <w:tc>
          <w:tcPr>
            <w:tcW w:w="2126" w:type="dxa"/>
            <w:vAlign w:val="center"/>
          </w:tcPr>
          <w:p>
            <w:pPr>
              <w:spacing w:line="360" w:lineRule="auto"/>
              <w:jc w:val="center"/>
              <w:rPr>
                <w:rFonts w:ascii="黑体" w:hAnsi="黑体" w:eastAsia="黑体"/>
                <w:color w:val="auto"/>
                <w:szCs w:val="21"/>
              </w:rPr>
            </w:pPr>
          </w:p>
        </w:tc>
        <w:tc>
          <w:tcPr>
            <w:tcW w:w="1644" w:type="dxa"/>
            <w:vAlign w:val="center"/>
          </w:tcPr>
          <w:p>
            <w:pPr>
              <w:spacing w:line="360" w:lineRule="auto"/>
              <w:jc w:val="center"/>
              <w:rPr>
                <w:rFonts w:ascii="黑体" w:hAnsi="黑体" w:eastAsia="黑体"/>
                <w:color w:val="auto"/>
                <w:szCs w:val="21"/>
              </w:rPr>
            </w:pPr>
          </w:p>
        </w:tc>
        <w:tc>
          <w:tcPr>
            <w:tcW w:w="1575" w:type="dxa"/>
            <w:vAlign w:val="center"/>
          </w:tcPr>
          <w:p>
            <w:pPr>
              <w:spacing w:line="360" w:lineRule="auto"/>
              <w:jc w:val="center"/>
              <w:rPr>
                <w:rFonts w:ascii="黑体" w:hAnsi="黑体" w:eastAsia="黑体"/>
                <w:color w:val="auto"/>
                <w:szCs w:val="21"/>
              </w:rPr>
            </w:pPr>
          </w:p>
        </w:tc>
      </w:tr>
    </w:tbl>
    <w:p>
      <w:pPr>
        <w:spacing w:before="156" w:beforeLines="50" w:line="360" w:lineRule="auto"/>
        <w:rPr>
          <w:rFonts w:ascii="黑体" w:hAnsi="黑体" w:eastAsia="黑体"/>
          <w:color w:val="auto"/>
          <w:szCs w:val="21"/>
        </w:rPr>
      </w:pPr>
      <w:r>
        <w:rPr>
          <w:rFonts w:hint="eastAsia" w:ascii="黑体" w:hAnsi="黑体" w:eastAsia="黑体"/>
          <w:color w:val="auto"/>
          <w:szCs w:val="21"/>
        </w:rPr>
        <w:t>注明：</w:t>
      </w:r>
    </w:p>
    <w:p>
      <w:pPr>
        <w:pStyle w:val="30"/>
        <w:numPr>
          <w:ilvl w:val="0"/>
          <w:numId w:val="102"/>
        </w:numPr>
        <w:spacing w:line="360" w:lineRule="auto"/>
        <w:ind w:firstLineChars="0"/>
        <w:rPr>
          <w:rFonts w:ascii="黑体" w:hAnsi="黑体" w:eastAsia="黑体"/>
          <w:color w:val="auto"/>
          <w:szCs w:val="21"/>
        </w:rPr>
      </w:pPr>
      <w:r>
        <w:rPr>
          <w:rFonts w:hint="eastAsia" w:ascii="黑体" w:hAnsi="黑体" w:eastAsia="黑体"/>
          <w:color w:val="auto"/>
          <w:szCs w:val="21"/>
        </w:rPr>
        <w:t>偏离情况项填写“正”、“负”或“无”，说明项中填写原因。</w:t>
      </w:r>
    </w:p>
    <w:p>
      <w:pPr>
        <w:pStyle w:val="30"/>
        <w:numPr>
          <w:ilvl w:val="0"/>
          <w:numId w:val="102"/>
        </w:numPr>
        <w:spacing w:line="360" w:lineRule="auto"/>
        <w:ind w:firstLineChars="0"/>
        <w:rPr>
          <w:rFonts w:ascii="黑体" w:hAnsi="黑体" w:eastAsia="黑体"/>
          <w:color w:val="auto"/>
          <w:szCs w:val="21"/>
        </w:rPr>
      </w:pPr>
      <w:r>
        <w:rPr>
          <w:rFonts w:hint="eastAsia" w:ascii="黑体" w:hAnsi="黑体" w:eastAsia="黑体"/>
          <w:color w:val="auto"/>
          <w:szCs w:val="21"/>
        </w:rPr>
        <w:t>投标人应按照招标文件要求，根据“采购需求”内容作出全面响应。对响应有偏离的，则说明偏离的内容。</w:t>
      </w:r>
      <w:r>
        <w:rPr>
          <w:rFonts w:hint="eastAsia" w:ascii="黑体" w:hAnsi="黑体" w:eastAsia="黑体" w:cs="Times New Roman"/>
          <w:color w:val="auto"/>
          <w:szCs w:val="21"/>
        </w:rPr>
        <w:t>“采购需求”内容中若有要求提供相关证明资料的，须按要求提供，否则视为负偏离</w:t>
      </w:r>
      <w:r>
        <w:rPr>
          <w:rFonts w:hint="eastAsia" w:ascii="黑体" w:hAnsi="黑体" w:eastAsia="黑体"/>
          <w:color w:val="auto"/>
          <w:szCs w:val="21"/>
        </w:rPr>
        <w:t>。</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spacing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09" w:name="_Toc82388833"/>
      <w:bookmarkStart w:id="110" w:name="_Toc90980575"/>
      <w:r>
        <w:rPr>
          <w:rStyle w:val="23"/>
          <w:rFonts w:hint="eastAsia" w:ascii="黑体" w:hAnsi="黑体" w:eastAsia="黑体"/>
          <w:b/>
          <w:bCs/>
          <w:color w:val="auto"/>
          <w:spacing w:val="12"/>
          <w:sz w:val="21"/>
          <w:szCs w:val="21"/>
        </w:rPr>
        <w:t>★号条款要求响应一览表（可选）</w:t>
      </w:r>
      <w:bookmarkEnd w:id="109"/>
      <w:bookmarkEnd w:id="110"/>
    </w:p>
    <w:p>
      <w:pPr>
        <w:spacing w:before="312" w:beforeLines="100" w:after="312" w:afterLines="100"/>
        <w:jc w:val="center"/>
        <w:rPr>
          <w:rFonts w:ascii="黑体" w:hAnsi="黑体" w:eastAsia="黑体" w:cs="Times New Roman"/>
          <w:b/>
          <w:color w:val="auto"/>
          <w:spacing w:val="20"/>
          <w:sz w:val="30"/>
          <w:szCs w:val="30"/>
        </w:rPr>
      </w:pPr>
      <w:bookmarkStart w:id="111" w:name="_Hlk82385743"/>
      <w:r>
        <w:rPr>
          <w:rFonts w:hint="eastAsia" w:ascii="黑体" w:hAnsi="黑体" w:eastAsia="黑体" w:cs="Times New Roman"/>
          <w:b/>
          <w:color w:val="auto"/>
          <w:spacing w:val="20"/>
          <w:sz w:val="30"/>
          <w:szCs w:val="30"/>
        </w:rPr>
        <w:t>★号条款</w:t>
      </w:r>
      <w:bookmarkEnd w:id="111"/>
      <w:r>
        <w:rPr>
          <w:rFonts w:hint="eastAsia" w:ascii="黑体" w:hAnsi="黑体" w:eastAsia="黑体" w:cs="Times New Roman"/>
          <w:b/>
          <w:color w:val="auto"/>
          <w:spacing w:val="20"/>
          <w:sz w:val="30"/>
          <w:szCs w:val="30"/>
        </w:rPr>
        <w:t>响应一览表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3190"/>
        <w:gridCol w:w="1843"/>
        <w:gridCol w:w="1843"/>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0" w:type="auto"/>
            <w:shd w:val="clear" w:color="auto" w:fill="auto"/>
            <w:vAlign w:val="center"/>
          </w:tcPr>
          <w:p>
            <w:pPr>
              <w:spacing w:line="360" w:lineRule="auto"/>
              <w:jc w:val="center"/>
              <w:rPr>
                <w:rFonts w:ascii="黑体" w:hAnsi="黑体" w:eastAsia="黑体"/>
                <w:color w:val="auto"/>
              </w:rPr>
            </w:pPr>
            <w:r>
              <w:rPr>
                <w:rFonts w:hint="eastAsia" w:ascii="黑体" w:hAnsi="黑体" w:eastAsia="黑体"/>
                <w:color w:val="auto"/>
              </w:rPr>
              <w:t>序号</w:t>
            </w:r>
          </w:p>
        </w:tc>
        <w:tc>
          <w:tcPr>
            <w:tcW w:w="3190" w:type="dxa"/>
            <w:shd w:val="clear" w:color="auto" w:fill="auto"/>
            <w:vAlign w:val="center"/>
          </w:tcPr>
          <w:p>
            <w:pPr>
              <w:spacing w:line="360" w:lineRule="auto"/>
              <w:jc w:val="center"/>
              <w:rPr>
                <w:rFonts w:ascii="黑体" w:hAnsi="黑体" w:eastAsia="黑体"/>
                <w:color w:val="auto"/>
              </w:rPr>
            </w:pPr>
            <w:r>
              <w:rPr>
                <w:rFonts w:hint="eastAsia" w:ascii="黑体" w:hAnsi="黑体" w:eastAsia="黑体"/>
                <w:color w:val="auto"/>
              </w:rPr>
              <w:t>采购需求★号条款要求</w:t>
            </w:r>
          </w:p>
        </w:tc>
        <w:tc>
          <w:tcPr>
            <w:tcW w:w="1843" w:type="dxa"/>
            <w:shd w:val="clear" w:color="auto" w:fill="auto"/>
            <w:vAlign w:val="center"/>
          </w:tcPr>
          <w:p>
            <w:pPr>
              <w:spacing w:line="360" w:lineRule="auto"/>
              <w:jc w:val="center"/>
              <w:rPr>
                <w:rFonts w:ascii="黑体" w:hAnsi="黑体" w:eastAsia="黑体"/>
                <w:color w:val="auto"/>
              </w:rPr>
            </w:pPr>
            <w:r>
              <w:rPr>
                <w:rFonts w:hint="eastAsia" w:ascii="黑体" w:hAnsi="黑体" w:eastAsia="黑体"/>
                <w:color w:val="auto"/>
              </w:rPr>
              <w:t>投标人响应内容</w:t>
            </w:r>
          </w:p>
        </w:tc>
        <w:tc>
          <w:tcPr>
            <w:tcW w:w="1843" w:type="dxa"/>
            <w:shd w:val="clear" w:color="auto" w:fill="auto"/>
            <w:vAlign w:val="center"/>
          </w:tcPr>
          <w:p>
            <w:pPr>
              <w:spacing w:line="360" w:lineRule="auto"/>
              <w:jc w:val="center"/>
              <w:rPr>
                <w:rFonts w:ascii="黑体" w:hAnsi="黑体" w:eastAsia="黑体"/>
                <w:color w:val="auto"/>
              </w:rPr>
            </w:pPr>
            <w:r>
              <w:rPr>
                <w:rFonts w:hint="eastAsia" w:ascii="黑体" w:hAnsi="黑体" w:eastAsia="黑体"/>
                <w:color w:val="auto"/>
              </w:rPr>
              <w:t>偏离情况及说明</w:t>
            </w:r>
          </w:p>
          <w:p>
            <w:pPr>
              <w:spacing w:line="360" w:lineRule="auto"/>
              <w:jc w:val="center"/>
              <w:rPr>
                <w:rFonts w:ascii="黑体" w:hAnsi="黑体" w:eastAsia="黑体"/>
                <w:color w:val="auto"/>
              </w:rPr>
            </w:pPr>
            <w:r>
              <w:rPr>
                <w:rFonts w:ascii="黑体" w:hAnsi="黑体" w:eastAsia="黑体"/>
                <w:color w:val="auto"/>
              </w:rPr>
              <w:t>(正偏离/</w:t>
            </w:r>
            <w:r>
              <w:rPr>
                <w:rFonts w:hint="eastAsia" w:ascii="黑体" w:hAnsi="黑体" w:eastAsia="黑体"/>
                <w:color w:val="auto"/>
              </w:rPr>
              <w:t>无偏离</w:t>
            </w:r>
            <w:r>
              <w:rPr>
                <w:rFonts w:ascii="黑体" w:hAnsi="黑体" w:eastAsia="黑体"/>
                <w:color w:val="auto"/>
              </w:rPr>
              <w:t>/负偏离)</w:t>
            </w:r>
          </w:p>
        </w:tc>
        <w:tc>
          <w:tcPr>
            <w:tcW w:w="1190" w:type="dxa"/>
            <w:shd w:val="clear" w:color="auto" w:fill="auto"/>
            <w:vAlign w:val="center"/>
          </w:tcPr>
          <w:p>
            <w:pPr>
              <w:spacing w:line="360" w:lineRule="auto"/>
              <w:jc w:val="center"/>
              <w:rPr>
                <w:rFonts w:ascii="黑体" w:hAnsi="黑体" w:eastAsia="黑体"/>
                <w:color w:val="auto"/>
              </w:rPr>
            </w:pPr>
            <w:r>
              <w:rPr>
                <w:rFonts w:hint="eastAsia" w:ascii="黑体" w:hAnsi="黑体" w:eastAsia="黑体"/>
                <w:color w:val="auto"/>
              </w:rPr>
              <w:t>查阅</w:t>
            </w:r>
            <w:r>
              <w:rPr>
                <w:rFonts w:ascii="黑体" w:hAnsi="黑体" w:eastAsia="黑体"/>
                <w:color w:val="auto"/>
              </w:rPr>
              <w:t>/证明文件索引页码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0" w:type="auto"/>
            <w:shd w:val="clear" w:color="auto" w:fill="auto"/>
            <w:vAlign w:val="center"/>
          </w:tcPr>
          <w:p>
            <w:pPr>
              <w:spacing w:line="360" w:lineRule="auto"/>
              <w:jc w:val="center"/>
              <w:rPr>
                <w:rFonts w:ascii="黑体" w:hAnsi="黑体" w:eastAsia="黑体"/>
                <w:color w:val="auto"/>
              </w:rPr>
            </w:pPr>
            <w:r>
              <w:rPr>
                <w:rFonts w:ascii="黑体" w:hAnsi="黑体" w:eastAsia="黑体"/>
                <w:color w:val="auto"/>
              </w:rPr>
              <w:t>1</w:t>
            </w:r>
          </w:p>
        </w:tc>
        <w:tc>
          <w:tcPr>
            <w:tcW w:w="3190"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190" w:type="dxa"/>
            <w:shd w:val="clear" w:color="auto" w:fill="auto"/>
          </w:tcPr>
          <w:p>
            <w:pPr>
              <w:spacing w:line="360" w:lineRule="auto"/>
              <w:rPr>
                <w:rFonts w:ascii="黑体" w:hAns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0" w:type="auto"/>
            <w:shd w:val="clear" w:color="auto" w:fill="auto"/>
            <w:vAlign w:val="center"/>
          </w:tcPr>
          <w:p>
            <w:pPr>
              <w:spacing w:line="360" w:lineRule="auto"/>
              <w:jc w:val="center"/>
              <w:rPr>
                <w:rFonts w:ascii="黑体" w:hAnsi="黑体" w:eastAsia="黑体"/>
                <w:color w:val="auto"/>
              </w:rPr>
            </w:pPr>
            <w:r>
              <w:rPr>
                <w:rFonts w:ascii="黑体" w:hAnsi="黑体" w:eastAsia="黑体"/>
                <w:color w:val="auto"/>
              </w:rPr>
              <w:t>2</w:t>
            </w:r>
          </w:p>
        </w:tc>
        <w:tc>
          <w:tcPr>
            <w:tcW w:w="3190"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190" w:type="dxa"/>
            <w:shd w:val="clear" w:color="auto" w:fill="auto"/>
          </w:tcPr>
          <w:p>
            <w:pPr>
              <w:spacing w:line="360" w:lineRule="auto"/>
              <w:rPr>
                <w:rFonts w:ascii="黑体" w:hAns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0" w:type="auto"/>
            <w:shd w:val="clear" w:color="auto" w:fill="auto"/>
            <w:vAlign w:val="center"/>
          </w:tcPr>
          <w:p>
            <w:pPr>
              <w:spacing w:line="360" w:lineRule="auto"/>
              <w:jc w:val="center"/>
              <w:rPr>
                <w:rFonts w:ascii="黑体" w:hAnsi="黑体" w:eastAsia="黑体"/>
                <w:color w:val="auto"/>
              </w:rPr>
            </w:pPr>
            <w:r>
              <w:rPr>
                <w:rFonts w:ascii="黑体" w:hAnsi="黑体" w:eastAsia="黑体"/>
                <w:color w:val="auto"/>
              </w:rPr>
              <w:t>3</w:t>
            </w:r>
          </w:p>
        </w:tc>
        <w:tc>
          <w:tcPr>
            <w:tcW w:w="3190"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190" w:type="dxa"/>
            <w:shd w:val="clear" w:color="auto" w:fill="auto"/>
          </w:tcPr>
          <w:p>
            <w:pPr>
              <w:spacing w:line="360" w:lineRule="auto"/>
              <w:rPr>
                <w:rFonts w:ascii="黑体" w:hAns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0" w:type="auto"/>
            <w:shd w:val="clear" w:color="auto" w:fill="auto"/>
            <w:vAlign w:val="center"/>
          </w:tcPr>
          <w:p>
            <w:pPr>
              <w:spacing w:line="360" w:lineRule="auto"/>
              <w:jc w:val="center"/>
              <w:rPr>
                <w:rFonts w:ascii="黑体" w:hAnsi="黑体" w:eastAsia="黑体"/>
                <w:color w:val="auto"/>
              </w:rPr>
            </w:pPr>
            <w:r>
              <w:rPr>
                <w:rFonts w:ascii="黑体" w:hAnsi="黑体" w:eastAsia="黑体"/>
                <w:color w:val="auto"/>
              </w:rPr>
              <w:t>4</w:t>
            </w:r>
          </w:p>
        </w:tc>
        <w:tc>
          <w:tcPr>
            <w:tcW w:w="3190"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190" w:type="dxa"/>
            <w:shd w:val="clear" w:color="auto" w:fill="auto"/>
          </w:tcPr>
          <w:p>
            <w:pPr>
              <w:spacing w:line="360" w:lineRule="auto"/>
              <w:rPr>
                <w:rFonts w:ascii="黑体" w:hAns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0" w:type="auto"/>
            <w:shd w:val="clear" w:color="auto" w:fill="auto"/>
            <w:vAlign w:val="center"/>
          </w:tcPr>
          <w:p>
            <w:pPr>
              <w:spacing w:line="360" w:lineRule="auto"/>
              <w:jc w:val="center"/>
              <w:rPr>
                <w:rFonts w:ascii="黑体" w:hAnsi="黑体" w:eastAsia="黑体"/>
                <w:color w:val="auto"/>
              </w:rPr>
            </w:pPr>
            <w:r>
              <w:rPr>
                <w:rFonts w:ascii="黑体" w:hAnsi="黑体" w:eastAsia="黑体"/>
                <w:color w:val="auto"/>
              </w:rPr>
              <w:t>…</w:t>
            </w:r>
          </w:p>
        </w:tc>
        <w:tc>
          <w:tcPr>
            <w:tcW w:w="3190"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843" w:type="dxa"/>
            <w:shd w:val="clear" w:color="auto" w:fill="auto"/>
          </w:tcPr>
          <w:p>
            <w:pPr>
              <w:spacing w:line="360" w:lineRule="auto"/>
              <w:rPr>
                <w:rFonts w:ascii="黑体" w:hAnsi="黑体" w:eastAsia="黑体"/>
                <w:color w:val="auto"/>
              </w:rPr>
            </w:pPr>
          </w:p>
        </w:tc>
        <w:tc>
          <w:tcPr>
            <w:tcW w:w="1190" w:type="dxa"/>
            <w:shd w:val="clear" w:color="auto" w:fill="auto"/>
          </w:tcPr>
          <w:p>
            <w:pPr>
              <w:spacing w:line="360" w:lineRule="auto"/>
              <w:rPr>
                <w:rFonts w:ascii="黑体" w:hAnsi="黑体" w:eastAsia="黑体"/>
                <w:color w:val="auto"/>
              </w:rPr>
            </w:pPr>
          </w:p>
        </w:tc>
      </w:tr>
    </w:tbl>
    <w:p>
      <w:pPr>
        <w:spacing w:before="156" w:beforeLines="50" w:line="360" w:lineRule="auto"/>
        <w:rPr>
          <w:rFonts w:ascii="黑体" w:hAnsi="黑体" w:eastAsia="黑体"/>
          <w:color w:val="auto"/>
        </w:rPr>
      </w:pPr>
      <w:r>
        <w:rPr>
          <w:rFonts w:hint="eastAsia" w:ascii="黑体" w:hAnsi="黑体" w:eastAsia="黑体"/>
          <w:color w:val="auto"/>
        </w:rPr>
        <w:t>注明：</w:t>
      </w:r>
    </w:p>
    <w:p>
      <w:pPr>
        <w:pStyle w:val="30"/>
        <w:numPr>
          <w:ilvl w:val="0"/>
          <w:numId w:val="103"/>
        </w:numPr>
        <w:spacing w:line="360" w:lineRule="auto"/>
        <w:ind w:firstLineChars="0"/>
        <w:rPr>
          <w:rFonts w:ascii="黑体" w:hAnsi="黑体" w:eastAsia="黑体"/>
          <w:color w:val="auto"/>
        </w:rPr>
      </w:pPr>
      <w:r>
        <w:rPr>
          <w:rFonts w:hint="eastAsia" w:ascii="黑体" w:hAnsi="黑体" w:eastAsia="黑体"/>
          <w:color w:val="auto"/>
        </w:rPr>
        <w:t>投标人必须对应招标文件“采购需求”要求的</w:t>
      </w:r>
      <w:bookmarkStart w:id="112" w:name="_Hlk82385673"/>
      <w:r>
        <w:rPr>
          <w:rFonts w:ascii="黑体" w:hAnsi="黑体" w:eastAsia="黑体"/>
          <w:color w:val="auto"/>
        </w:rPr>
        <w:t>★号条款</w:t>
      </w:r>
      <w:bookmarkEnd w:id="112"/>
      <w:r>
        <w:rPr>
          <w:rFonts w:ascii="黑体" w:hAnsi="黑体" w:eastAsia="黑体"/>
          <w:color w:val="auto"/>
        </w:rPr>
        <w:t>逐条应答并按要求填写表格</w:t>
      </w:r>
      <w:r>
        <w:rPr>
          <w:rFonts w:hint="eastAsia" w:ascii="黑体" w:hAnsi="黑体" w:eastAsia="黑体"/>
          <w:color w:val="auto"/>
        </w:rPr>
        <w:t>；</w:t>
      </w:r>
    </w:p>
    <w:p>
      <w:pPr>
        <w:pStyle w:val="30"/>
        <w:numPr>
          <w:ilvl w:val="0"/>
          <w:numId w:val="103"/>
        </w:numPr>
        <w:spacing w:line="360" w:lineRule="auto"/>
        <w:ind w:firstLineChars="0"/>
        <w:rPr>
          <w:rFonts w:ascii="黑体" w:hAnsi="黑体" w:eastAsia="黑体"/>
          <w:color w:val="auto"/>
        </w:rPr>
      </w:pPr>
      <w:r>
        <w:rPr>
          <w:rFonts w:hint="eastAsia" w:ascii="黑体" w:hAnsi="黑体" w:eastAsia="黑体"/>
          <w:color w:val="auto"/>
        </w:rPr>
        <w:t>若招标文件“采购需求”中的★号条款中规定须提交相关证明文件的，须按要求提供，并作为附件附于表格后。未按要求提供或未提供完整的，视为负偏离处理。</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spacing w:line="360" w:lineRule="auto"/>
        <w:rPr>
          <w:rFonts w:ascii="黑体" w:hAnsi="黑体" w:eastAsia="黑体"/>
          <w:color w:val="auto"/>
          <w:szCs w:val="21"/>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13" w:name="_Toc90980576"/>
      <w:bookmarkStart w:id="114" w:name="_Toc82388834"/>
      <w:r>
        <w:rPr>
          <w:rStyle w:val="23"/>
          <w:rFonts w:hint="eastAsia" w:ascii="黑体" w:hAnsi="黑体" w:eastAsia="黑体"/>
          <w:b/>
          <w:bCs/>
          <w:color w:val="auto"/>
          <w:spacing w:val="12"/>
          <w:sz w:val="21"/>
          <w:szCs w:val="21"/>
        </w:rPr>
        <w:t>▲号条款要求扣分明细响应表（可选）</w:t>
      </w:r>
      <w:bookmarkEnd w:id="113"/>
      <w:bookmarkEnd w:id="114"/>
    </w:p>
    <w:p>
      <w:pPr>
        <w:spacing w:before="312" w:beforeLines="100" w:after="312" w:afterLines="100"/>
        <w:jc w:val="center"/>
        <w:rPr>
          <w:rFonts w:ascii="黑体" w:hAnsi="黑体" w:eastAsia="黑体" w:cs="Times New Roman"/>
          <w:b/>
          <w:color w:val="auto"/>
          <w:spacing w:val="20"/>
          <w:sz w:val="30"/>
          <w:szCs w:val="30"/>
        </w:rPr>
      </w:pPr>
      <w:bookmarkStart w:id="115" w:name="_Hlk82385592"/>
      <w:r>
        <w:rPr>
          <w:rFonts w:ascii="黑体" w:hAnsi="黑体" w:eastAsia="黑体" w:cs="Times New Roman"/>
          <w:b/>
          <w:color w:val="auto"/>
          <w:spacing w:val="20"/>
          <w:sz w:val="30"/>
          <w:szCs w:val="30"/>
        </w:rPr>
        <w:t>▲号条款</w:t>
      </w:r>
      <w:bookmarkEnd w:id="115"/>
      <w:r>
        <w:rPr>
          <w:rFonts w:hint="eastAsia" w:ascii="黑体" w:hAnsi="黑体" w:eastAsia="黑体" w:cs="Times New Roman"/>
          <w:b/>
          <w:color w:val="auto"/>
          <w:spacing w:val="20"/>
          <w:sz w:val="30"/>
          <w:szCs w:val="30"/>
        </w:rPr>
        <w:t>要求扣分明细响应表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410"/>
        <w:gridCol w:w="2745"/>
        <w:gridCol w:w="1932"/>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459" w:type="dxa"/>
            <w:vAlign w:val="center"/>
          </w:tcPr>
          <w:p>
            <w:pPr>
              <w:jc w:val="center"/>
              <w:rPr>
                <w:rFonts w:ascii="黑体" w:hAnsi="黑体" w:eastAsia="黑体"/>
                <w:color w:val="auto"/>
                <w:szCs w:val="21"/>
              </w:rPr>
            </w:pPr>
            <w:r>
              <w:rPr>
                <w:rFonts w:hint="eastAsia" w:ascii="黑体" w:hAnsi="黑体" w:eastAsia="黑体"/>
                <w:color w:val="auto"/>
                <w:szCs w:val="21"/>
              </w:rPr>
              <w:t>序号</w:t>
            </w:r>
          </w:p>
        </w:tc>
        <w:tc>
          <w:tcPr>
            <w:tcW w:w="2410" w:type="dxa"/>
            <w:vAlign w:val="center"/>
          </w:tcPr>
          <w:p>
            <w:pPr>
              <w:jc w:val="center"/>
              <w:rPr>
                <w:rFonts w:ascii="黑体" w:hAnsi="黑体" w:eastAsia="黑体"/>
                <w:color w:val="auto"/>
                <w:szCs w:val="21"/>
              </w:rPr>
            </w:pPr>
            <w:r>
              <w:rPr>
                <w:rFonts w:hint="eastAsia" w:ascii="黑体" w:hAnsi="黑体" w:eastAsia="黑体"/>
                <w:color w:val="auto"/>
              </w:rPr>
              <w:t>采购需求▲号条款</w:t>
            </w:r>
          </w:p>
        </w:tc>
        <w:tc>
          <w:tcPr>
            <w:tcW w:w="2745" w:type="dxa"/>
            <w:vAlign w:val="center"/>
          </w:tcPr>
          <w:p>
            <w:pPr>
              <w:spacing w:line="360" w:lineRule="auto"/>
              <w:jc w:val="center"/>
              <w:rPr>
                <w:rFonts w:ascii="黑体" w:hAnsi="黑体" w:eastAsia="黑体"/>
                <w:color w:val="auto"/>
              </w:rPr>
            </w:pPr>
            <w:r>
              <w:rPr>
                <w:rFonts w:hint="eastAsia" w:ascii="黑体" w:hAnsi="黑体" w:eastAsia="黑体"/>
                <w:color w:val="auto"/>
              </w:rPr>
              <w:t>投标人响应内容</w:t>
            </w:r>
          </w:p>
          <w:p>
            <w:pPr>
              <w:spacing w:line="360" w:lineRule="auto"/>
              <w:jc w:val="center"/>
              <w:rPr>
                <w:rFonts w:ascii="黑体" w:hAnsi="黑体" w:eastAsia="黑体"/>
                <w:color w:val="auto"/>
                <w:szCs w:val="21"/>
              </w:rPr>
            </w:pPr>
            <w:r>
              <w:rPr>
                <w:rFonts w:ascii="黑体" w:hAnsi="黑体" w:eastAsia="黑体"/>
                <w:color w:val="auto"/>
              </w:rPr>
              <w:t>(投标人应按</w:t>
            </w:r>
            <w:r>
              <w:rPr>
                <w:rFonts w:hint="eastAsia" w:ascii="黑体" w:hAnsi="黑体" w:eastAsia="黑体"/>
                <w:color w:val="auto"/>
              </w:rPr>
              <w:t>投标时响应的服务实际数据填写</w:t>
            </w:r>
            <w:r>
              <w:rPr>
                <w:rFonts w:ascii="黑体" w:hAnsi="黑体" w:eastAsia="黑体"/>
                <w:color w:val="auto"/>
              </w:rPr>
              <w:t>)</w:t>
            </w:r>
          </w:p>
        </w:tc>
        <w:tc>
          <w:tcPr>
            <w:tcW w:w="1932" w:type="dxa"/>
            <w:vAlign w:val="center"/>
          </w:tcPr>
          <w:p>
            <w:pPr>
              <w:spacing w:line="360" w:lineRule="auto"/>
              <w:jc w:val="center"/>
              <w:rPr>
                <w:rFonts w:ascii="黑体" w:hAnsi="黑体" w:eastAsia="黑体"/>
                <w:color w:val="auto"/>
              </w:rPr>
            </w:pPr>
            <w:r>
              <w:rPr>
                <w:rFonts w:hint="eastAsia" w:ascii="黑体" w:hAnsi="黑体" w:eastAsia="黑体"/>
                <w:color w:val="auto"/>
              </w:rPr>
              <w:t>响应情况及说明</w:t>
            </w:r>
            <w:r>
              <w:rPr>
                <w:rFonts w:ascii="黑体" w:hAnsi="黑体" w:eastAsia="黑体"/>
                <w:color w:val="auto"/>
              </w:rPr>
              <w:t>(正偏离/无偏离/负偏离)</w:t>
            </w:r>
          </w:p>
        </w:tc>
        <w:tc>
          <w:tcPr>
            <w:tcW w:w="1115" w:type="dxa"/>
            <w:vAlign w:val="center"/>
          </w:tcPr>
          <w:p>
            <w:pPr>
              <w:spacing w:line="360" w:lineRule="auto"/>
              <w:jc w:val="center"/>
              <w:rPr>
                <w:rFonts w:ascii="黑体" w:hAnsi="黑体" w:eastAsia="黑体"/>
                <w:color w:val="auto"/>
              </w:rPr>
            </w:pPr>
            <w:r>
              <w:rPr>
                <w:rFonts w:hint="eastAsia" w:ascii="黑体" w:hAnsi="黑体" w:eastAsia="黑体"/>
                <w:color w:val="auto"/>
              </w:rPr>
              <w:t>查阅</w:t>
            </w:r>
            <w:r>
              <w:rPr>
                <w:rFonts w:ascii="黑体" w:hAnsi="黑体" w:eastAsia="黑体"/>
                <w:color w:val="auto"/>
              </w:rPr>
              <w:t>/证明文件索引页码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59" w:type="dxa"/>
            <w:vAlign w:val="center"/>
          </w:tcPr>
          <w:p>
            <w:pPr>
              <w:jc w:val="center"/>
              <w:rPr>
                <w:rFonts w:ascii="黑体" w:hAnsi="黑体" w:eastAsia="黑体"/>
                <w:color w:val="auto"/>
                <w:szCs w:val="21"/>
              </w:rPr>
            </w:pPr>
            <w:r>
              <w:rPr>
                <w:rFonts w:ascii="黑体" w:hAnsi="黑体" w:eastAsia="黑体"/>
                <w:color w:val="auto"/>
                <w:szCs w:val="21"/>
              </w:rPr>
              <w:t>1</w:t>
            </w:r>
          </w:p>
        </w:tc>
        <w:tc>
          <w:tcPr>
            <w:tcW w:w="2410" w:type="dxa"/>
            <w:vAlign w:val="center"/>
          </w:tcPr>
          <w:p>
            <w:pPr>
              <w:jc w:val="center"/>
              <w:rPr>
                <w:rFonts w:ascii="黑体" w:hAnsi="黑体" w:eastAsia="黑体"/>
                <w:color w:val="auto"/>
                <w:szCs w:val="21"/>
              </w:rPr>
            </w:pPr>
          </w:p>
        </w:tc>
        <w:tc>
          <w:tcPr>
            <w:tcW w:w="2745" w:type="dxa"/>
            <w:vAlign w:val="center"/>
          </w:tcPr>
          <w:p>
            <w:pPr>
              <w:jc w:val="center"/>
              <w:rPr>
                <w:rFonts w:ascii="黑体" w:hAnsi="黑体" w:eastAsia="黑体"/>
                <w:color w:val="auto"/>
                <w:szCs w:val="21"/>
              </w:rPr>
            </w:pPr>
          </w:p>
        </w:tc>
        <w:tc>
          <w:tcPr>
            <w:tcW w:w="1932" w:type="dxa"/>
            <w:vAlign w:val="center"/>
          </w:tcPr>
          <w:p>
            <w:pPr>
              <w:jc w:val="center"/>
              <w:rPr>
                <w:rFonts w:ascii="黑体" w:hAnsi="黑体" w:eastAsia="黑体"/>
                <w:color w:val="auto"/>
                <w:szCs w:val="21"/>
              </w:rPr>
            </w:pPr>
          </w:p>
        </w:tc>
        <w:tc>
          <w:tcPr>
            <w:tcW w:w="1115" w:type="dxa"/>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59" w:type="dxa"/>
            <w:vAlign w:val="center"/>
          </w:tcPr>
          <w:p>
            <w:pPr>
              <w:jc w:val="center"/>
              <w:rPr>
                <w:rFonts w:ascii="黑体" w:hAnsi="黑体" w:eastAsia="黑体"/>
                <w:color w:val="auto"/>
                <w:szCs w:val="21"/>
              </w:rPr>
            </w:pPr>
            <w:r>
              <w:rPr>
                <w:rFonts w:ascii="黑体" w:hAnsi="黑体" w:eastAsia="黑体"/>
                <w:color w:val="auto"/>
                <w:szCs w:val="21"/>
              </w:rPr>
              <w:t>2</w:t>
            </w:r>
          </w:p>
        </w:tc>
        <w:tc>
          <w:tcPr>
            <w:tcW w:w="2410" w:type="dxa"/>
            <w:vAlign w:val="center"/>
          </w:tcPr>
          <w:p>
            <w:pPr>
              <w:jc w:val="center"/>
              <w:rPr>
                <w:rFonts w:ascii="黑体" w:hAnsi="黑体" w:eastAsia="黑体"/>
                <w:color w:val="auto"/>
                <w:szCs w:val="21"/>
              </w:rPr>
            </w:pPr>
          </w:p>
        </w:tc>
        <w:tc>
          <w:tcPr>
            <w:tcW w:w="2745" w:type="dxa"/>
            <w:vAlign w:val="center"/>
          </w:tcPr>
          <w:p>
            <w:pPr>
              <w:jc w:val="center"/>
              <w:rPr>
                <w:rFonts w:ascii="黑体" w:hAnsi="黑体" w:eastAsia="黑体"/>
                <w:color w:val="auto"/>
                <w:szCs w:val="21"/>
              </w:rPr>
            </w:pPr>
          </w:p>
        </w:tc>
        <w:tc>
          <w:tcPr>
            <w:tcW w:w="1932" w:type="dxa"/>
            <w:vAlign w:val="center"/>
          </w:tcPr>
          <w:p>
            <w:pPr>
              <w:jc w:val="center"/>
              <w:rPr>
                <w:rFonts w:ascii="黑体" w:hAnsi="黑体" w:eastAsia="黑体"/>
                <w:color w:val="auto"/>
                <w:szCs w:val="21"/>
              </w:rPr>
            </w:pPr>
          </w:p>
        </w:tc>
        <w:tc>
          <w:tcPr>
            <w:tcW w:w="1115" w:type="dxa"/>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59" w:type="dxa"/>
            <w:vAlign w:val="center"/>
          </w:tcPr>
          <w:p>
            <w:pPr>
              <w:jc w:val="center"/>
              <w:rPr>
                <w:rFonts w:ascii="黑体" w:hAnsi="黑体" w:eastAsia="黑体"/>
                <w:color w:val="auto"/>
                <w:szCs w:val="21"/>
              </w:rPr>
            </w:pPr>
            <w:r>
              <w:rPr>
                <w:rFonts w:ascii="黑体" w:hAnsi="黑体" w:eastAsia="黑体"/>
                <w:color w:val="auto"/>
                <w:szCs w:val="21"/>
              </w:rPr>
              <w:t>3</w:t>
            </w:r>
          </w:p>
        </w:tc>
        <w:tc>
          <w:tcPr>
            <w:tcW w:w="2410" w:type="dxa"/>
            <w:vAlign w:val="center"/>
          </w:tcPr>
          <w:p>
            <w:pPr>
              <w:jc w:val="center"/>
              <w:rPr>
                <w:rFonts w:ascii="黑体" w:hAnsi="黑体" w:eastAsia="黑体"/>
                <w:color w:val="auto"/>
                <w:szCs w:val="21"/>
              </w:rPr>
            </w:pPr>
          </w:p>
        </w:tc>
        <w:tc>
          <w:tcPr>
            <w:tcW w:w="2745" w:type="dxa"/>
            <w:vAlign w:val="center"/>
          </w:tcPr>
          <w:p>
            <w:pPr>
              <w:jc w:val="center"/>
              <w:rPr>
                <w:rFonts w:ascii="黑体" w:hAnsi="黑体" w:eastAsia="黑体"/>
                <w:color w:val="auto"/>
                <w:szCs w:val="21"/>
              </w:rPr>
            </w:pPr>
          </w:p>
        </w:tc>
        <w:tc>
          <w:tcPr>
            <w:tcW w:w="1932" w:type="dxa"/>
            <w:vAlign w:val="center"/>
          </w:tcPr>
          <w:p>
            <w:pPr>
              <w:jc w:val="center"/>
              <w:rPr>
                <w:rFonts w:ascii="黑体" w:hAnsi="黑体" w:eastAsia="黑体"/>
                <w:color w:val="auto"/>
                <w:szCs w:val="21"/>
              </w:rPr>
            </w:pPr>
          </w:p>
        </w:tc>
        <w:tc>
          <w:tcPr>
            <w:tcW w:w="1115" w:type="dxa"/>
            <w:vAlign w:val="center"/>
          </w:tcPr>
          <w:p>
            <w:pPr>
              <w:jc w:val="center"/>
              <w:rPr>
                <w:rFonts w:ascii="黑体" w:hAns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59" w:type="dxa"/>
            <w:vAlign w:val="center"/>
          </w:tcPr>
          <w:p>
            <w:pPr>
              <w:jc w:val="center"/>
              <w:rPr>
                <w:rFonts w:ascii="黑体" w:hAnsi="黑体" w:eastAsia="黑体"/>
                <w:color w:val="auto"/>
                <w:szCs w:val="21"/>
              </w:rPr>
            </w:pPr>
            <w:r>
              <w:rPr>
                <w:rFonts w:ascii="黑体" w:hAnsi="黑体" w:eastAsia="黑体"/>
                <w:color w:val="auto"/>
                <w:szCs w:val="21"/>
              </w:rPr>
              <w:t>…</w:t>
            </w:r>
          </w:p>
        </w:tc>
        <w:tc>
          <w:tcPr>
            <w:tcW w:w="2410" w:type="dxa"/>
            <w:vAlign w:val="center"/>
          </w:tcPr>
          <w:p>
            <w:pPr>
              <w:jc w:val="center"/>
              <w:rPr>
                <w:rFonts w:ascii="黑体" w:hAnsi="黑体" w:eastAsia="黑体"/>
                <w:color w:val="auto"/>
                <w:szCs w:val="21"/>
              </w:rPr>
            </w:pPr>
          </w:p>
        </w:tc>
        <w:tc>
          <w:tcPr>
            <w:tcW w:w="2745" w:type="dxa"/>
            <w:vAlign w:val="center"/>
          </w:tcPr>
          <w:p>
            <w:pPr>
              <w:jc w:val="center"/>
              <w:rPr>
                <w:rFonts w:ascii="黑体" w:hAnsi="黑体" w:eastAsia="黑体"/>
                <w:color w:val="auto"/>
                <w:szCs w:val="21"/>
              </w:rPr>
            </w:pPr>
          </w:p>
        </w:tc>
        <w:tc>
          <w:tcPr>
            <w:tcW w:w="1932" w:type="dxa"/>
            <w:vAlign w:val="center"/>
          </w:tcPr>
          <w:p>
            <w:pPr>
              <w:jc w:val="center"/>
              <w:rPr>
                <w:rFonts w:ascii="黑体" w:hAnsi="黑体" w:eastAsia="黑体"/>
                <w:color w:val="auto"/>
                <w:szCs w:val="21"/>
              </w:rPr>
            </w:pPr>
          </w:p>
        </w:tc>
        <w:tc>
          <w:tcPr>
            <w:tcW w:w="1115" w:type="dxa"/>
            <w:vAlign w:val="center"/>
          </w:tcPr>
          <w:p>
            <w:pPr>
              <w:jc w:val="center"/>
              <w:rPr>
                <w:rFonts w:ascii="黑体" w:hAnsi="黑体" w:eastAsia="黑体"/>
                <w:color w:val="auto"/>
                <w:szCs w:val="21"/>
              </w:rPr>
            </w:pPr>
          </w:p>
        </w:tc>
      </w:tr>
    </w:tbl>
    <w:p>
      <w:pPr>
        <w:spacing w:before="156" w:beforeLines="50" w:line="360" w:lineRule="auto"/>
        <w:rPr>
          <w:rFonts w:ascii="黑体" w:hAnsi="黑体" w:eastAsia="黑体"/>
          <w:color w:val="auto"/>
        </w:rPr>
      </w:pPr>
      <w:r>
        <w:rPr>
          <w:rFonts w:hint="eastAsia" w:ascii="黑体" w:hAnsi="黑体" w:eastAsia="黑体"/>
          <w:color w:val="auto"/>
        </w:rPr>
        <w:t>注明：</w:t>
      </w:r>
    </w:p>
    <w:p>
      <w:pPr>
        <w:pStyle w:val="30"/>
        <w:numPr>
          <w:ilvl w:val="0"/>
          <w:numId w:val="104"/>
        </w:numPr>
        <w:spacing w:line="360" w:lineRule="auto"/>
        <w:ind w:firstLineChars="0"/>
        <w:rPr>
          <w:rFonts w:ascii="黑体" w:hAnsi="黑体" w:eastAsia="黑体"/>
          <w:color w:val="auto"/>
          <w:spacing w:val="4"/>
        </w:rPr>
      </w:pPr>
      <w:r>
        <w:rPr>
          <w:rFonts w:hint="eastAsia" w:ascii="黑体" w:hAnsi="黑体" w:eastAsia="黑体"/>
          <w:color w:val="auto"/>
          <w:spacing w:val="4"/>
        </w:rPr>
        <w:t>投标人必须对应招标文件</w:t>
      </w:r>
      <w:r>
        <w:rPr>
          <w:rFonts w:hint="eastAsia" w:ascii="黑体" w:hAnsi="黑体" w:eastAsia="黑体" w:cs="Times New Roman"/>
          <w:bCs/>
          <w:color w:val="auto"/>
          <w:spacing w:val="4"/>
          <w:szCs w:val="21"/>
        </w:rPr>
        <w:t>“采购需求”要求的</w:t>
      </w:r>
      <w:bookmarkStart w:id="116" w:name="_Hlk82385546"/>
      <w:r>
        <w:rPr>
          <w:rFonts w:ascii="黑体" w:hAnsi="黑体" w:eastAsia="黑体"/>
          <w:color w:val="auto"/>
        </w:rPr>
        <w:t>▲号条款</w:t>
      </w:r>
      <w:bookmarkEnd w:id="116"/>
      <w:r>
        <w:rPr>
          <w:rFonts w:hint="eastAsia" w:ascii="黑体" w:hAnsi="黑体" w:eastAsia="黑体"/>
          <w:color w:val="auto"/>
          <w:spacing w:val="4"/>
        </w:rPr>
        <w:t>逐条应答并按要求填写表格。</w:t>
      </w:r>
    </w:p>
    <w:p>
      <w:pPr>
        <w:pStyle w:val="30"/>
        <w:numPr>
          <w:ilvl w:val="0"/>
          <w:numId w:val="104"/>
        </w:numPr>
        <w:spacing w:line="360" w:lineRule="auto"/>
        <w:ind w:firstLineChars="0"/>
        <w:rPr>
          <w:rFonts w:ascii="黑体" w:hAnsi="黑体" w:eastAsia="黑体"/>
          <w:color w:val="auto"/>
        </w:rPr>
      </w:pPr>
      <w:r>
        <w:rPr>
          <w:rFonts w:hint="eastAsia" w:ascii="黑体" w:hAnsi="黑体" w:eastAsia="黑体"/>
          <w:color w:val="auto"/>
          <w:szCs w:val="21"/>
        </w:rPr>
        <w:t>需提供证明资料内容详见</w:t>
      </w:r>
      <w:r>
        <w:rPr>
          <w:rFonts w:hint="eastAsia" w:ascii="黑体" w:hAnsi="黑体" w:eastAsia="黑体"/>
          <w:color w:val="auto"/>
          <w:szCs w:val="21"/>
          <w:u w:val="single"/>
        </w:rPr>
        <w:t>（招标文件第五部分</w:t>
      </w:r>
      <w:r>
        <w:rPr>
          <w:rFonts w:ascii="黑体" w:hAnsi="黑体" w:eastAsia="黑体"/>
          <w:color w:val="auto"/>
          <w:szCs w:val="21"/>
          <w:u w:val="single"/>
        </w:rPr>
        <w:t xml:space="preserve"> </w:t>
      </w:r>
      <w:r>
        <w:rPr>
          <w:rFonts w:hint="eastAsia" w:ascii="黑体" w:hAnsi="黑体" w:eastAsia="黑体"/>
          <w:color w:val="auto"/>
          <w:szCs w:val="21"/>
          <w:u w:val="single"/>
        </w:rPr>
        <w:t>评标方法、步骤、标准之</w:t>
      </w:r>
      <w:r>
        <w:rPr>
          <w:rFonts w:hint="eastAsia" w:ascii="黑体" w:hAnsi="黑体" w:eastAsia="黑体"/>
          <w:color w:val="auto"/>
          <w:kern w:val="0"/>
          <w:szCs w:val="21"/>
          <w:u w:val="single"/>
        </w:rPr>
        <w:t>附表三</w:t>
      </w:r>
      <w:r>
        <w:rPr>
          <w:rFonts w:hint="eastAsia" w:ascii="黑体" w:hAnsi="黑体" w:eastAsia="黑体"/>
          <w:color w:val="auto"/>
          <w:szCs w:val="21"/>
          <w:u w:val="single"/>
        </w:rPr>
        <w:t>详细评审表相对应条款）</w:t>
      </w:r>
      <w:r>
        <w:rPr>
          <w:rFonts w:hint="eastAsia" w:ascii="黑体" w:hAnsi="黑体" w:eastAsia="黑体"/>
          <w:color w:val="auto"/>
          <w:szCs w:val="21"/>
        </w:rPr>
        <w:t>，提供的证明资料</w:t>
      </w:r>
      <w:r>
        <w:rPr>
          <w:rFonts w:hint="eastAsia" w:ascii="黑体" w:hAnsi="黑体" w:eastAsia="黑体"/>
          <w:color w:val="auto"/>
        </w:rPr>
        <w:t>作为附件附于表格后。未按要求提供或未提供完整的，视为负偏离处理。</w:t>
      </w: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p>
      <w:pPr>
        <w:spacing w:line="360" w:lineRule="auto"/>
        <w:rPr>
          <w:rFonts w:ascii="黑体" w:hAnsi="黑体" w:eastAsia="黑体"/>
          <w:color w:val="auto"/>
          <w:szCs w:val="21"/>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overflowPunct w:val="0"/>
              <w:adjustRightInd w:val="0"/>
              <w:spacing w:line="360" w:lineRule="auto"/>
              <w:rPr>
                <w:rFonts w:ascii="黑体" w:hAnsi="黑体" w:eastAsia="黑体"/>
                <w:color w:val="auto"/>
                <w:szCs w:val="21"/>
              </w:rPr>
            </w:pPr>
            <w:r>
              <w:rPr>
                <w:rFonts w:hint="eastAsia" w:ascii="黑体" w:hAnsi="黑体" w:eastAsia="黑体"/>
                <w:color w:val="auto"/>
                <w:szCs w:val="21"/>
              </w:rPr>
              <w:t>投标人名称（加盖公章）：</w:t>
            </w:r>
            <w:r>
              <w:rPr>
                <w:rFonts w:ascii="黑体" w:hAnsi="黑体" w:eastAsia="黑体"/>
                <w:color w:val="auto"/>
                <w:szCs w:val="21"/>
                <w:u w:val="single"/>
              </w:rPr>
              <w:t xml:space="preserve">                         </w:t>
            </w:r>
          </w:p>
        </w:tc>
        <w:tc>
          <w:tcPr>
            <w:tcW w:w="3175" w:type="dxa"/>
          </w:tcPr>
          <w:p>
            <w:pPr>
              <w:spacing w:line="360" w:lineRule="auto"/>
              <w:rPr>
                <w:rFonts w:ascii="黑体" w:hAnsi="黑体" w:eastAsia="黑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auto"/>
                <w:szCs w:val="21"/>
              </w:rPr>
            </w:pPr>
            <w:r>
              <w:rPr>
                <w:rFonts w:hint="eastAsia" w:ascii="黑体" w:hAnsi="黑体" w:eastAsia="黑体"/>
                <w:color w:val="auto"/>
                <w:szCs w:val="21"/>
              </w:rPr>
              <w:t>日期：</w:t>
            </w:r>
            <w:r>
              <w:rPr>
                <w:rFonts w:ascii="黑体" w:hAnsi="黑体" w:eastAsia="黑体"/>
                <w:color w:val="auto"/>
                <w:szCs w:val="21"/>
                <w:u w:val="single"/>
              </w:rPr>
              <w:t xml:space="preserve">             年           月            日</w:t>
            </w:r>
          </w:p>
        </w:tc>
        <w:tc>
          <w:tcPr>
            <w:tcW w:w="3175" w:type="dxa"/>
          </w:tcPr>
          <w:p>
            <w:pPr>
              <w:spacing w:line="360" w:lineRule="auto"/>
              <w:rPr>
                <w:rFonts w:ascii="黑体" w:hAnsi="黑体" w:eastAsia="黑体"/>
                <w:color w:val="auto"/>
                <w:szCs w:val="21"/>
              </w:rPr>
            </w:pP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17" w:name="_Toc90980577"/>
      <w:r>
        <w:rPr>
          <w:rStyle w:val="23"/>
          <w:rFonts w:hint="eastAsia" w:ascii="黑体" w:hAnsi="黑体" w:eastAsia="黑体"/>
          <w:b/>
          <w:bCs/>
          <w:color w:val="auto"/>
          <w:spacing w:val="12"/>
          <w:sz w:val="21"/>
          <w:szCs w:val="21"/>
        </w:rPr>
        <w:t>投标保证金汇入情况说明</w:t>
      </w:r>
      <w:bookmarkEnd w:id="117"/>
    </w:p>
    <w:p>
      <w:pPr>
        <w:spacing w:before="312" w:beforeLines="100" w:after="312" w:afterLines="100"/>
        <w:jc w:val="center"/>
        <w:rPr>
          <w:rFonts w:ascii="黑体" w:hAnsi="黑体" w:eastAsia="黑体"/>
          <w:b/>
          <w:color w:val="auto"/>
          <w:spacing w:val="20"/>
          <w:sz w:val="30"/>
          <w:szCs w:val="30"/>
        </w:rPr>
      </w:pPr>
      <w:r>
        <w:rPr>
          <w:rFonts w:hint="eastAsia" w:ascii="黑体" w:hAnsi="黑体" w:eastAsia="黑体"/>
          <w:b/>
          <w:color w:val="auto"/>
          <w:spacing w:val="20"/>
          <w:sz w:val="30"/>
          <w:szCs w:val="30"/>
        </w:rPr>
        <w:t>投标保证金汇入情况说明</w:t>
      </w:r>
    </w:p>
    <w:p>
      <w:pPr>
        <w:spacing w:before="468" w:beforeLines="150" w:after="312" w:afterLines="100" w:line="360" w:lineRule="auto"/>
        <w:rPr>
          <w:rFonts w:ascii="黑体" w:hAnsi="黑体" w:eastAsia="黑体"/>
          <w:b/>
          <w:color w:val="auto"/>
        </w:rPr>
      </w:pPr>
      <w:r>
        <w:rPr>
          <w:rFonts w:hint="eastAsia" w:ascii="黑体" w:hAnsi="黑体" w:eastAsia="黑体"/>
          <w:b/>
          <w:color w:val="auto"/>
        </w:rPr>
        <w:t>致：广东有德招标采购有限公司</w:t>
      </w:r>
    </w:p>
    <w:p>
      <w:pPr>
        <w:spacing w:line="360" w:lineRule="auto"/>
        <w:ind w:firstLine="422" w:firstLineChars="200"/>
        <w:rPr>
          <w:rFonts w:ascii="黑体" w:hAnsi="黑体" w:eastAsia="黑体"/>
          <w:color w:val="auto"/>
          <w:szCs w:val="21"/>
        </w:rPr>
      </w:pPr>
      <w:r>
        <w:rPr>
          <w:rFonts w:hint="eastAsia" w:ascii="黑体" w:hAnsi="黑体" w:eastAsia="黑体"/>
          <w:b/>
          <w:bCs/>
          <w:color w:val="auto"/>
          <w:szCs w:val="21"/>
        </w:rPr>
        <w:t>本单位已按</w:t>
      </w:r>
      <w:r>
        <w:rPr>
          <w:rFonts w:ascii="黑体" w:hAnsi="黑体" w:eastAsia="黑体"/>
          <w:b/>
          <w:bCs/>
          <w:color w:val="auto"/>
          <w:szCs w:val="21"/>
          <w:u w:val="single"/>
        </w:rPr>
        <w:t xml:space="preserve">     （</w:t>
      </w:r>
      <w:r>
        <w:rPr>
          <w:rFonts w:hint="eastAsia" w:ascii="黑体" w:hAnsi="黑体" w:eastAsia="黑体"/>
          <w:b/>
          <w:bCs/>
          <w:color w:val="auto"/>
          <w:szCs w:val="21"/>
          <w:u w:val="single"/>
        </w:rPr>
        <w:t>项目名称）</w:t>
      </w:r>
      <w:r>
        <w:rPr>
          <w:rFonts w:ascii="黑体" w:hAnsi="黑体" w:eastAsia="黑体"/>
          <w:b/>
          <w:bCs/>
          <w:color w:val="auto"/>
          <w:szCs w:val="21"/>
          <w:u w:val="single"/>
        </w:rPr>
        <w:t xml:space="preserve">     </w:t>
      </w:r>
      <w:r>
        <w:rPr>
          <w:rFonts w:hint="eastAsia" w:ascii="黑体" w:hAnsi="黑体" w:eastAsia="黑体"/>
          <w:b/>
          <w:bCs/>
          <w:color w:val="auto"/>
          <w:szCs w:val="21"/>
        </w:rPr>
        <w:t>项目（项目编号：</w:t>
      </w:r>
      <w:r>
        <w:rPr>
          <w:rFonts w:ascii="黑体" w:hAnsi="黑体" w:eastAsia="黑体"/>
          <w:b/>
          <w:bCs/>
          <w:color w:val="auto"/>
          <w:szCs w:val="21"/>
          <w:u w:val="single"/>
        </w:rPr>
        <w:t xml:space="preserve">             </w:t>
      </w:r>
      <w:r>
        <w:rPr>
          <w:rFonts w:hint="eastAsia" w:ascii="黑体" w:hAnsi="黑体" w:eastAsia="黑体"/>
          <w:b/>
          <w:bCs/>
          <w:color w:val="auto"/>
          <w:szCs w:val="21"/>
        </w:rPr>
        <w:t>）的招标文件要求，于</w:t>
      </w:r>
      <w:r>
        <w:rPr>
          <w:rFonts w:ascii="黑体" w:hAnsi="黑体" w:eastAsia="黑体"/>
          <w:b/>
          <w:bCs/>
          <w:color w:val="auto"/>
          <w:szCs w:val="21"/>
          <w:u w:val="single"/>
        </w:rPr>
        <w:t xml:space="preserve">   </w:t>
      </w:r>
      <w:r>
        <w:rPr>
          <w:rFonts w:hint="eastAsia" w:ascii="黑体" w:hAnsi="黑体" w:eastAsia="黑体"/>
          <w:b/>
          <w:bCs/>
          <w:color w:val="auto"/>
          <w:szCs w:val="21"/>
        </w:rPr>
        <w:t>年</w:t>
      </w:r>
      <w:r>
        <w:rPr>
          <w:rFonts w:ascii="黑体" w:hAnsi="黑体" w:eastAsia="黑体"/>
          <w:b/>
          <w:bCs/>
          <w:color w:val="auto"/>
          <w:szCs w:val="21"/>
          <w:u w:val="single"/>
        </w:rPr>
        <w:t xml:space="preserve">   </w:t>
      </w:r>
      <w:r>
        <w:rPr>
          <w:rFonts w:hint="eastAsia" w:ascii="黑体" w:hAnsi="黑体" w:eastAsia="黑体"/>
          <w:b/>
          <w:bCs/>
          <w:color w:val="auto"/>
          <w:szCs w:val="21"/>
        </w:rPr>
        <w:t>月</w:t>
      </w:r>
      <w:r>
        <w:rPr>
          <w:rFonts w:ascii="黑体" w:hAnsi="黑体" w:eastAsia="黑体"/>
          <w:b/>
          <w:bCs/>
          <w:color w:val="auto"/>
          <w:szCs w:val="21"/>
          <w:u w:val="single"/>
        </w:rPr>
        <w:t xml:space="preserve">   </w:t>
      </w:r>
      <w:r>
        <w:rPr>
          <w:rFonts w:hint="eastAsia" w:ascii="黑体" w:hAnsi="黑体" w:eastAsia="黑体"/>
          <w:b/>
          <w:bCs/>
          <w:color w:val="auto"/>
          <w:szCs w:val="21"/>
        </w:rPr>
        <w:t>日前以</w:t>
      </w:r>
      <w:r>
        <w:rPr>
          <w:rFonts w:ascii="黑体" w:hAnsi="黑体" w:eastAsia="黑体"/>
          <w:b/>
          <w:bCs/>
          <w:color w:val="auto"/>
          <w:szCs w:val="21"/>
          <w:u w:val="single"/>
        </w:rPr>
        <w:t xml:space="preserve">       </w:t>
      </w:r>
      <w:r>
        <w:rPr>
          <w:rFonts w:hint="eastAsia" w:ascii="黑体" w:hAnsi="黑体" w:eastAsia="黑体"/>
          <w:b/>
          <w:bCs/>
          <w:color w:val="auto"/>
          <w:szCs w:val="21"/>
        </w:rPr>
        <w:t>（付款形式）方式汇入指定账户（账户名称：</w:t>
      </w:r>
      <w:r>
        <w:rPr>
          <w:rFonts w:ascii="黑体" w:hAnsi="黑体" w:eastAsia="黑体"/>
          <w:b/>
          <w:bCs/>
          <w:color w:val="auto"/>
          <w:szCs w:val="21"/>
          <w:u w:val="single"/>
        </w:rPr>
        <w:t xml:space="preserve">                  </w:t>
      </w:r>
      <w:r>
        <w:rPr>
          <w:rFonts w:hint="eastAsia" w:ascii="黑体" w:hAnsi="黑体" w:eastAsia="黑体"/>
          <w:b/>
          <w:bCs/>
          <w:color w:val="auto"/>
          <w:szCs w:val="21"/>
        </w:rPr>
        <w:t>，账号：</w:t>
      </w:r>
      <w:r>
        <w:rPr>
          <w:rFonts w:ascii="黑体" w:hAnsi="黑体" w:eastAsia="黑体"/>
          <w:b/>
          <w:bCs/>
          <w:color w:val="auto"/>
          <w:szCs w:val="21"/>
          <w:u w:val="single"/>
        </w:rPr>
        <w:t xml:space="preserve">                  </w:t>
      </w:r>
      <w:r>
        <w:rPr>
          <w:rFonts w:hint="eastAsia" w:ascii="黑体" w:hAnsi="黑体" w:eastAsia="黑体"/>
          <w:b/>
          <w:bCs/>
          <w:color w:val="auto"/>
          <w:szCs w:val="21"/>
        </w:rPr>
        <w:t>，开户银行：</w:t>
      </w:r>
      <w:r>
        <w:rPr>
          <w:rFonts w:ascii="黑体" w:hAnsi="黑体" w:eastAsia="黑体"/>
          <w:b/>
          <w:bCs/>
          <w:color w:val="auto"/>
          <w:szCs w:val="21"/>
          <w:u w:val="single"/>
        </w:rPr>
        <w:t xml:space="preserve">                 </w:t>
      </w:r>
      <w:r>
        <w:rPr>
          <w:rFonts w:hint="eastAsia" w:ascii="黑体" w:hAnsi="黑体" w:eastAsia="黑体"/>
          <w:b/>
          <w:bCs/>
          <w:color w:val="auto"/>
          <w:szCs w:val="21"/>
        </w:rPr>
        <w:t>）。</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本单位投标保证金的汇款情况：（详见附件－投标保证金汇款凭证）</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汇出时间：</w:t>
      </w:r>
      <w:r>
        <w:rPr>
          <w:rFonts w:ascii="黑体" w:hAnsi="黑体" w:eastAsia="黑体"/>
          <w:color w:val="auto"/>
          <w:szCs w:val="21"/>
          <w:u w:val="single"/>
        </w:rPr>
        <w:t xml:space="preserve">             </w:t>
      </w:r>
      <w:r>
        <w:rPr>
          <w:rFonts w:hint="eastAsia" w:ascii="黑体" w:hAnsi="黑体" w:eastAsia="黑体"/>
          <w:color w:val="auto"/>
          <w:szCs w:val="21"/>
        </w:rPr>
        <w:t>年</w:t>
      </w:r>
      <w:r>
        <w:rPr>
          <w:rFonts w:ascii="黑体" w:hAnsi="黑体" w:eastAsia="黑体"/>
          <w:color w:val="auto"/>
          <w:szCs w:val="21"/>
          <w:u w:val="single"/>
        </w:rPr>
        <w:t xml:space="preserve">                      </w:t>
      </w:r>
      <w:r>
        <w:rPr>
          <w:rFonts w:hint="eastAsia" w:ascii="黑体" w:hAnsi="黑体" w:eastAsia="黑体"/>
          <w:color w:val="auto"/>
          <w:szCs w:val="21"/>
        </w:rPr>
        <w:t>月</w:t>
      </w:r>
      <w:r>
        <w:rPr>
          <w:rFonts w:ascii="黑体" w:hAnsi="黑体" w:eastAsia="黑体"/>
          <w:color w:val="auto"/>
          <w:szCs w:val="21"/>
          <w:u w:val="single"/>
        </w:rPr>
        <w:t xml:space="preserve">                       </w:t>
      </w:r>
      <w:r>
        <w:rPr>
          <w:rFonts w:hint="eastAsia" w:ascii="黑体" w:hAnsi="黑体" w:eastAsia="黑体"/>
          <w:color w:val="auto"/>
          <w:szCs w:val="21"/>
        </w:rPr>
        <w:t>日；</w:t>
      </w:r>
    </w:p>
    <w:p>
      <w:pPr>
        <w:spacing w:line="360" w:lineRule="auto"/>
        <w:ind w:firstLine="420" w:firstLineChars="200"/>
        <w:rPr>
          <w:rFonts w:ascii="黑体" w:hAnsi="黑体" w:eastAsia="黑体" w:cs="宋体"/>
          <w:color w:val="auto"/>
          <w:szCs w:val="21"/>
          <w:u w:val="single"/>
        </w:rPr>
      </w:pPr>
      <w:r>
        <w:rPr>
          <w:rFonts w:hint="eastAsia" w:ascii="黑体" w:hAnsi="黑体" w:eastAsia="黑体"/>
          <w:color w:val="auto"/>
          <w:szCs w:val="21"/>
        </w:rPr>
        <w:t>汇</w:t>
      </w:r>
      <w:r>
        <w:rPr>
          <w:rFonts w:hint="eastAsia" w:ascii="黑体" w:hAnsi="黑体" w:eastAsia="黑体" w:cs="宋体"/>
          <w:color w:val="auto"/>
          <w:szCs w:val="21"/>
        </w:rPr>
        <w:t>款金额：（大写）人民币</w:t>
      </w:r>
      <w:r>
        <w:rPr>
          <w:rFonts w:ascii="黑体" w:hAnsi="黑体" w:eastAsia="黑体" w:cs="宋体"/>
          <w:color w:val="auto"/>
          <w:szCs w:val="21"/>
          <w:u w:val="single"/>
        </w:rPr>
        <w:t xml:space="preserve">                    </w:t>
      </w:r>
      <w:r>
        <w:rPr>
          <w:rFonts w:hint="eastAsia" w:ascii="黑体" w:hAnsi="黑体" w:eastAsia="黑体" w:cs="宋体"/>
          <w:color w:val="auto"/>
          <w:szCs w:val="21"/>
        </w:rPr>
        <w:t>元（小写：￥</w:t>
      </w:r>
      <w:r>
        <w:rPr>
          <w:rFonts w:ascii="黑体" w:hAnsi="黑体" w:eastAsia="黑体" w:cs="宋体"/>
          <w:color w:val="auto"/>
          <w:szCs w:val="21"/>
          <w:u w:val="single"/>
        </w:rPr>
        <w:t xml:space="preserve">                    </w:t>
      </w:r>
      <w:r>
        <w:rPr>
          <w:rFonts w:hint="eastAsia" w:ascii="黑体" w:hAnsi="黑体" w:eastAsia="黑体" w:cs="宋体"/>
          <w:color w:val="auto"/>
          <w:szCs w:val="21"/>
        </w:rPr>
        <w:t>元），</w:t>
      </w:r>
    </w:p>
    <w:p>
      <w:pPr>
        <w:spacing w:line="360" w:lineRule="auto"/>
        <w:ind w:firstLine="420" w:firstLineChars="200"/>
        <w:rPr>
          <w:rFonts w:ascii="黑体" w:hAnsi="黑体" w:eastAsia="黑体"/>
          <w:color w:val="auto"/>
          <w:szCs w:val="21"/>
          <w:u w:val="single"/>
        </w:rPr>
      </w:pPr>
      <w:r>
        <w:rPr>
          <w:rFonts w:hint="eastAsia" w:ascii="黑体" w:hAnsi="黑体" w:eastAsia="黑体"/>
          <w:color w:val="auto"/>
          <w:szCs w:val="21"/>
        </w:rPr>
        <w:t>汇款账户名称：</w:t>
      </w:r>
      <w:r>
        <w:rPr>
          <w:rFonts w:ascii="黑体" w:hAnsi="黑体" w:eastAsia="黑体"/>
          <w:color w:val="auto"/>
          <w:szCs w:val="21"/>
          <w:u w:val="single"/>
        </w:rPr>
        <w:t xml:space="preserve">         （必须是投标时使用的账户名）                        </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帐</w:t>
      </w:r>
      <w:r>
        <w:rPr>
          <w:rFonts w:ascii="黑体" w:hAnsi="黑体" w:eastAsia="黑体"/>
          <w:color w:val="auto"/>
          <w:szCs w:val="21"/>
        </w:rPr>
        <w:t xml:space="preserve">    </w:t>
      </w:r>
      <w:r>
        <w:rPr>
          <w:rFonts w:hint="eastAsia" w:ascii="黑体" w:hAnsi="黑体" w:eastAsia="黑体"/>
          <w:color w:val="auto"/>
          <w:szCs w:val="21"/>
        </w:rPr>
        <w:t>号：</w:t>
      </w:r>
      <w:r>
        <w:rPr>
          <w:rFonts w:ascii="黑体" w:hAnsi="黑体" w:eastAsia="黑体"/>
          <w:color w:val="auto"/>
          <w:szCs w:val="21"/>
          <w:u w:val="single"/>
        </w:rPr>
        <w:t xml:space="preserve">              （必须是投标时使用的账号）                         </w:t>
      </w:r>
    </w:p>
    <w:p>
      <w:pPr>
        <w:spacing w:line="360" w:lineRule="auto"/>
        <w:ind w:firstLine="420" w:firstLineChars="200"/>
        <w:rPr>
          <w:rFonts w:ascii="黑体" w:hAnsi="黑体" w:eastAsia="黑体"/>
          <w:color w:val="auto"/>
          <w:szCs w:val="21"/>
          <w:u w:val="single"/>
        </w:rPr>
      </w:pPr>
      <w:r>
        <w:rPr>
          <w:rFonts w:hint="eastAsia" w:ascii="黑体" w:hAnsi="黑体" w:eastAsia="黑体"/>
          <w:color w:val="auto"/>
          <w:szCs w:val="21"/>
        </w:rPr>
        <w:t>开户银行：</w:t>
      </w:r>
      <w:r>
        <w:rPr>
          <w:rFonts w:ascii="黑体" w:hAnsi="黑体" w:eastAsia="黑体"/>
          <w:color w:val="auto"/>
          <w:szCs w:val="21"/>
          <w:u w:val="single"/>
        </w:rPr>
        <w:t xml:space="preserve">            省             市           银行           支行      </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本单位谨承诺上述资料是正确、真实的，如因上述证明与事实不符导致的一切损失，本单位保证承担赔偿等一切法律责任。</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投标保证金退回时，请按上述资料退回。</w:t>
      </w:r>
    </w:p>
    <w:p>
      <w:pPr>
        <w:spacing w:line="360" w:lineRule="auto"/>
        <w:ind w:right="844" w:rightChars="402"/>
        <w:jc w:val="right"/>
        <w:rPr>
          <w:rFonts w:ascii="黑体" w:hAnsi="黑体" w:eastAsia="黑体"/>
          <w:color w:val="auto"/>
          <w:szCs w:val="21"/>
        </w:rPr>
      </w:pPr>
      <w:r>
        <w:rPr>
          <w:rFonts w:hint="eastAsia" w:ascii="黑体" w:hAnsi="黑体" w:eastAsia="黑体"/>
          <w:color w:val="auto"/>
          <w:szCs w:val="21"/>
        </w:rPr>
        <w:t>（单位公章）</w:t>
      </w:r>
    </w:p>
    <w:p>
      <w:pPr>
        <w:spacing w:line="360" w:lineRule="auto"/>
        <w:ind w:right="628" w:rightChars="299"/>
        <w:jc w:val="right"/>
        <w:rPr>
          <w:rFonts w:ascii="黑体" w:hAnsi="黑体" w:eastAsia="黑体"/>
          <w:color w:val="auto"/>
          <w:szCs w:val="21"/>
        </w:rPr>
      </w:pPr>
      <w:r>
        <w:rPr>
          <w:rFonts w:hint="eastAsia" w:ascii="黑体" w:hAnsi="黑体" w:eastAsia="黑体"/>
          <w:color w:val="auto"/>
          <w:szCs w:val="21"/>
        </w:rPr>
        <w:t>年</w:t>
      </w:r>
      <w:r>
        <w:rPr>
          <w:rFonts w:ascii="黑体" w:hAnsi="黑体" w:eastAsia="黑体"/>
          <w:color w:val="auto"/>
          <w:szCs w:val="21"/>
        </w:rPr>
        <w:t xml:space="preserve">     </w:t>
      </w:r>
      <w:r>
        <w:rPr>
          <w:rFonts w:hint="eastAsia" w:ascii="黑体" w:hAnsi="黑体" w:eastAsia="黑体"/>
          <w:color w:val="auto"/>
          <w:szCs w:val="21"/>
        </w:rPr>
        <w:t>月</w:t>
      </w:r>
      <w:r>
        <w:rPr>
          <w:rFonts w:ascii="黑体" w:hAnsi="黑体" w:eastAsia="黑体"/>
          <w:color w:val="auto"/>
          <w:szCs w:val="21"/>
        </w:rPr>
        <w:t xml:space="preserve">    </w:t>
      </w:r>
      <w:r>
        <w:rPr>
          <w:rFonts w:hint="eastAsia" w:ascii="黑体" w:hAnsi="黑体" w:eastAsia="黑体"/>
          <w:color w:val="auto"/>
          <w:szCs w:val="21"/>
        </w:rPr>
        <w:t>日</w:t>
      </w:r>
    </w:p>
    <w:p>
      <w:pPr>
        <w:spacing w:line="360" w:lineRule="auto"/>
        <w:rPr>
          <w:rFonts w:ascii="黑体" w:hAnsi="黑体" w:eastAsia="黑体"/>
          <w:color w:val="auto"/>
          <w:szCs w:val="21"/>
          <w:u w:val="single"/>
        </w:rPr>
      </w:pPr>
      <w:r>
        <w:rPr>
          <w:rFonts w:hint="eastAsia" w:ascii="黑体" w:hAnsi="黑体" w:eastAsia="黑体"/>
          <w:color w:val="auto"/>
          <w:szCs w:val="21"/>
        </w:rPr>
        <w:t>单位名称：</w:t>
      </w:r>
      <w:r>
        <w:rPr>
          <w:rFonts w:ascii="黑体" w:hAnsi="黑体" w:eastAsia="黑体"/>
          <w:color w:val="auto"/>
          <w:szCs w:val="21"/>
          <w:u w:val="single"/>
        </w:rPr>
        <w:t xml:space="preserve">                    </w:t>
      </w:r>
    </w:p>
    <w:p>
      <w:pPr>
        <w:spacing w:line="360" w:lineRule="auto"/>
        <w:rPr>
          <w:rFonts w:ascii="黑体" w:hAnsi="黑体" w:eastAsia="黑体"/>
          <w:color w:val="auto"/>
          <w:szCs w:val="21"/>
        </w:rPr>
      </w:pPr>
      <w:r>
        <w:rPr>
          <w:rFonts w:hint="eastAsia" w:ascii="黑体" w:hAnsi="黑体" w:eastAsia="黑体"/>
          <w:color w:val="auto"/>
          <w:szCs w:val="21"/>
        </w:rPr>
        <w:t>单位地址：</w:t>
      </w:r>
      <w:r>
        <w:rPr>
          <w:rFonts w:ascii="黑体" w:hAnsi="黑体" w:eastAsia="黑体"/>
          <w:color w:val="auto"/>
          <w:szCs w:val="21"/>
          <w:u w:val="single"/>
        </w:rPr>
        <w:t xml:space="preserve">                    </w:t>
      </w:r>
    </w:p>
    <w:p>
      <w:pPr>
        <w:spacing w:line="360" w:lineRule="auto"/>
        <w:rPr>
          <w:rFonts w:ascii="黑体" w:hAnsi="黑体" w:eastAsia="黑体"/>
          <w:color w:val="auto"/>
          <w:szCs w:val="21"/>
        </w:rPr>
      </w:pPr>
      <w:r>
        <w:rPr>
          <w:rFonts w:hint="eastAsia" w:ascii="黑体" w:hAnsi="黑体" w:eastAsia="黑体"/>
          <w:color w:val="auto"/>
          <w:szCs w:val="21"/>
        </w:rPr>
        <w:t>联</w:t>
      </w:r>
      <w:r>
        <w:rPr>
          <w:rFonts w:ascii="黑体" w:hAnsi="黑体" w:eastAsia="黑体"/>
          <w:color w:val="auto"/>
          <w:szCs w:val="21"/>
        </w:rPr>
        <w:t xml:space="preserve"> </w:t>
      </w:r>
      <w:r>
        <w:rPr>
          <w:rFonts w:hint="eastAsia" w:ascii="黑体" w:hAnsi="黑体" w:eastAsia="黑体"/>
          <w:color w:val="auto"/>
          <w:szCs w:val="21"/>
        </w:rPr>
        <w:t>系</w:t>
      </w:r>
      <w:r>
        <w:rPr>
          <w:rFonts w:ascii="黑体" w:hAnsi="黑体" w:eastAsia="黑体"/>
          <w:color w:val="auto"/>
          <w:szCs w:val="21"/>
        </w:rPr>
        <w:t xml:space="preserve"> </w:t>
      </w:r>
      <w:r>
        <w:rPr>
          <w:rFonts w:hint="eastAsia" w:ascii="黑体" w:hAnsi="黑体" w:eastAsia="黑体"/>
          <w:color w:val="auto"/>
          <w:szCs w:val="21"/>
        </w:rPr>
        <w:t>人：</w:t>
      </w:r>
      <w:r>
        <w:rPr>
          <w:rFonts w:ascii="黑体" w:hAnsi="黑体" w:eastAsia="黑体"/>
          <w:color w:val="auto"/>
          <w:szCs w:val="21"/>
          <w:u w:val="single"/>
        </w:rPr>
        <w:t xml:space="preserve">  </w:t>
      </w:r>
      <w:r>
        <w:rPr>
          <w:rFonts w:hint="eastAsia" w:ascii="黑体" w:hAnsi="黑体" w:eastAsia="黑体"/>
          <w:i/>
          <w:color w:val="auto"/>
          <w:szCs w:val="21"/>
          <w:u w:val="single"/>
        </w:rPr>
        <w:t>（投标单位财务）</w:t>
      </w:r>
      <w:r>
        <w:rPr>
          <w:rFonts w:ascii="黑体" w:hAnsi="黑体" w:eastAsia="黑体"/>
          <w:color w:val="auto"/>
          <w:szCs w:val="21"/>
          <w:u w:val="single"/>
        </w:rPr>
        <w:t xml:space="preserve">  </w:t>
      </w:r>
    </w:p>
    <w:p>
      <w:pPr>
        <w:spacing w:line="360" w:lineRule="auto"/>
        <w:rPr>
          <w:rFonts w:ascii="黑体" w:hAnsi="黑体" w:eastAsia="黑体"/>
          <w:color w:val="auto"/>
          <w:szCs w:val="21"/>
        </w:rPr>
      </w:pPr>
      <w:r>
        <w:rPr>
          <w:rFonts w:hint="eastAsia" w:ascii="黑体" w:hAnsi="黑体" w:eastAsia="黑体"/>
          <w:color w:val="auto"/>
          <w:szCs w:val="21"/>
        </w:rPr>
        <w:t>单位电话：</w:t>
      </w:r>
      <w:r>
        <w:rPr>
          <w:rFonts w:ascii="黑体" w:hAnsi="黑体" w:eastAsia="黑体"/>
          <w:color w:val="auto"/>
          <w:szCs w:val="21"/>
          <w:u w:val="single"/>
        </w:rPr>
        <w:t xml:space="preserve">                    </w:t>
      </w:r>
      <w:r>
        <w:rPr>
          <w:rFonts w:ascii="黑体" w:hAnsi="黑体" w:eastAsia="黑体"/>
          <w:color w:val="auto"/>
          <w:szCs w:val="21"/>
        </w:rPr>
        <w:t xml:space="preserve">      联系人手机：</w:t>
      </w:r>
      <w:r>
        <w:rPr>
          <w:rFonts w:ascii="黑体" w:hAnsi="黑体" w:eastAsia="黑体"/>
          <w:color w:val="auto"/>
          <w:szCs w:val="21"/>
          <w:u w:val="single"/>
        </w:rPr>
        <w:t xml:space="preserve">              </w:t>
      </w:r>
    </w:p>
    <w:tbl>
      <w:tblPr>
        <w:tblStyle w:val="20"/>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87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5000" w:type="pct"/>
            <w:vAlign w:val="center"/>
          </w:tcPr>
          <w:p>
            <w:pPr>
              <w:jc w:val="center"/>
              <w:rPr>
                <w:rFonts w:ascii="黑体" w:hAnsi="黑体" w:eastAsia="黑体"/>
                <w:color w:val="auto"/>
                <w:szCs w:val="21"/>
              </w:rPr>
            </w:pPr>
            <w:r>
              <w:rPr>
                <w:rFonts w:hint="eastAsia" w:ascii="黑体" w:hAnsi="黑体" w:eastAsia="黑体"/>
                <w:color w:val="auto"/>
                <w:szCs w:val="21"/>
              </w:rPr>
              <w:t>附件一：我方投标保证金汇款凭证（复印件加盖投标人公章）</w:t>
            </w:r>
          </w:p>
        </w:tc>
      </w:tr>
    </w:tbl>
    <w:p>
      <w:pPr>
        <w:spacing w:line="360" w:lineRule="auto"/>
        <w:rPr>
          <w:rFonts w:ascii="黑体" w:hAnsi="黑体" w:eastAsia="黑体"/>
          <w:bCs/>
          <w:color w:val="auto"/>
          <w:szCs w:val="21"/>
          <w:lang w:val="zh-CN"/>
        </w:rPr>
      </w:pPr>
      <w:r>
        <w:rPr>
          <w:rFonts w:hint="eastAsia" w:ascii="黑体" w:hAnsi="黑体" w:eastAsia="黑体"/>
          <w:bCs/>
          <w:color w:val="auto"/>
          <w:szCs w:val="21"/>
          <w:lang w:val="zh-CN"/>
        </w:rPr>
        <w:t>注：本情况说明手写无效。</w:t>
      </w:r>
    </w:p>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18" w:name="_Toc90980578"/>
      <w:r>
        <w:rPr>
          <w:rStyle w:val="23"/>
          <w:rFonts w:hint="eastAsia" w:ascii="黑体" w:hAnsi="黑体" w:eastAsia="黑体"/>
          <w:b/>
          <w:bCs/>
          <w:color w:val="auto"/>
          <w:spacing w:val="12"/>
          <w:sz w:val="21"/>
          <w:szCs w:val="21"/>
        </w:rPr>
        <w:t>政府采购投标担保函递交情况说明</w:t>
      </w:r>
      <w:bookmarkEnd w:id="118"/>
    </w:p>
    <w:p>
      <w:pPr>
        <w:spacing w:before="312" w:beforeLines="100" w:after="312" w:afterLines="100"/>
        <w:jc w:val="center"/>
        <w:rPr>
          <w:rFonts w:ascii="黑体" w:hAnsi="黑体" w:eastAsia="黑体"/>
          <w:b/>
          <w:color w:val="auto"/>
          <w:spacing w:val="20"/>
          <w:sz w:val="30"/>
          <w:szCs w:val="30"/>
        </w:rPr>
      </w:pPr>
      <w:r>
        <w:rPr>
          <w:rFonts w:hint="eastAsia" w:ascii="黑体" w:hAnsi="黑体" w:eastAsia="黑体"/>
          <w:b/>
          <w:color w:val="auto"/>
          <w:spacing w:val="20"/>
          <w:sz w:val="30"/>
          <w:szCs w:val="30"/>
        </w:rPr>
        <w:t>政府采购投标担保函递交情况说明</w:t>
      </w:r>
    </w:p>
    <w:p>
      <w:pPr>
        <w:spacing w:before="468" w:beforeLines="150" w:after="312" w:afterLines="100" w:line="360" w:lineRule="auto"/>
        <w:rPr>
          <w:rFonts w:ascii="黑体" w:hAnsi="黑体" w:eastAsia="黑体"/>
          <w:b/>
          <w:color w:val="auto"/>
        </w:rPr>
      </w:pPr>
      <w:r>
        <w:rPr>
          <w:rFonts w:hint="eastAsia" w:ascii="黑体" w:hAnsi="黑体" w:eastAsia="黑体"/>
          <w:b/>
          <w:color w:val="auto"/>
        </w:rPr>
        <w:t>致：广东有德招标采购有限公司</w:t>
      </w:r>
    </w:p>
    <w:p>
      <w:pPr>
        <w:spacing w:line="480" w:lineRule="auto"/>
        <w:ind w:firstLine="420" w:firstLineChars="200"/>
        <w:rPr>
          <w:rFonts w:ascii="黑体" w:hAnsi="黑体" w:eastAsia="黑体"/>
          <w:color w:val="auto"/>
          <w:szCs w:val="21"/>
        </w:rPr>
      </w:pPr>
      <w:r>
        <w:rPr>
          <w:rFonts w:hint="eastAsia" w:ascii="黑体" w:hAnsi="黑体" w:eastAsia="黑体"/>
          <w:bCs/>
          <w:color w:val="auto"/>
          <w:szCs w:val="21"/>
        </w:rPr>
        <w:t>本单位已按</w:t>
      </w:r>
      <w:r>
        <w:rPr>
          <w:rFonts w:ascii="黑体" w:hAnsi="黑体" w:eastAsia="黑体"/>
          <w:bCs/>
          <w:color w:val="auto"/>
          <w:szCs w:val="21"/>
          <w:u w:val="single"/>
        </w:rPr>
        <w:t xml:space="preserve">     （</w:t>
      </w:r>
      <w:r>
        <w:rPr>
          <w:rFonts w:hint="eastAsia" w:ascii="黑体" w:hAnsi="黑体" w:eastAsia="黑体"/>
          <w:bCs/>
          <w:color w:val="auto"/>
          <w:szCs w:val="21"/>
          <w:u w:val="single"/>
        </w:rPr>
        <w:t>项目名称）</w:t>
      </w:r>
      <w:r>
        <w:rPr>
          <w:rFonts w:ascii="黑体" w:hAnsi="黑体" w:eastAsia="黑体"/>
          <w:bCs/>
          <w:color w:val="auto"/>
          <w:szCs w:val="21"/>
          <w:u w:val="single"/>
        </w:rPr>
        <w:t xml:space="preserve">     </w:t>
      </w:r>
      <w:r>
        <w:rPr>
          <w:rFonts w:hint="eastAsia" w:ascii="黑体" w:hAnsi="黑体" w:eastAsia="黑体"/>
          <w:bCs/>
          <w:color w:val="auto"/>
          <w:szCs w:val="21"/>
        </w:rPr>
        <w:t>项目（项目编号：</w:t>
      </w:r>
      <w:r>
        <w:rPr>
          <w:rFonts w:ascii="黑体" w:hAnsi="黑体" w:eastAsia="黑体"/>
          <w:bCs/>
          <w:color w:val="auto"/>
          <w:szCs w:val="21"/>
          <w:u w:val="single"/>
        </w:rPr>
        <w:t xml:space="preserve">             </w:t>
      </w:r>
      <w:r>
        <w:rPr>
          <w:rFonts w:hint="eastAsia" w:ascii="黑体" w:hAnsi="黑体" w:eastAsia="黑体"/>
          <w:bCs/>
          <w:color w:val="auto"/>
          <w:szCs w:val="21"/>
        </w:rPr>
        <w:t>）的招标文件要求，于</w:t>
      </w:r>
      <w:r>
        <w:rPr>
          <w:rFonts w:hint="eastAsia" w:ascii="黑体" w:hAnsi="黑体" w:eastAsia="黑体"/>
          <w:color w:val="auto"/>
          <w:szCs w:val="21"/>
          <w:u w:val="single"/>
        </w:rPr>
        <w:t xml:space="preserve">      年</w:t>
      </w:r>
      <w:r>
        <w:rPr>
          <w:rFonts w:ascii="黑体" w:hAnsi="黑体" w:eastAsia="黑体"/>
          <w:color w:val="auto"/>
          <w:szCs w:val="21"/>
          <w:u w:val="single"/>
        </w:rPr>
        <w:t xml:space="preserve">   月   日    </w:t>
      </w:r>
      <w:r>
        <w:rPr>
          <w:rFonts w:hint="eastAsia" w:ascii="黑体" w:hAnsi="黑体" w:eastAsia="黑体"/>
          <w:color w:val="auto"/>
          <w:szCs w:val="21"/>
          <w:u w:val="single"/>
        </w:rPr>
        <w:t>时</w:t>
      </w:r>
      <w:r>
        <w:rPr>
          <w:rFonts w:ascii="黑体" w:hAnsi="黑体" w:eastAsia="黑体"/>
          <w:color w:val="auto"/>
          <w:szCs w:val="21"/>
          <w:u w:val="single"/>
        </w:rPr>
        <w:t xml:space="preserve">   </w:t>
      </w:r>
      <w:r>
        <w:rPr>
          <w:rFonts w:hint="eastAsia" w:ascii="黑体" w:hAnsi="黑体" w:eastAsia="黑体"/>
          <w:color w:val="auto"/>
          <w:szCs w:val="21"/>
          <w:u w:val="single"/>
        </w:rPr>
        <w:t>分（北京时间）</w:t>
      </w:r>
      <w:r>
        <w:rPr>
          <w:rFonts w:hint="eastAsia" w:ascii="黑体" w:hAnsi="黑体" w:eastAsia="黑体"/>
          <w:bCs/>
          <w:color w:val="auto"/>
          <w:szCs w:val="21"/>
        </w:rPr>
        <w:t>前以</w:t>
      </w:r>
      <w:r>
        <w:rPr>
          <w:rFonts w:hint="eastAsia" w:ascii="黑体" w:hAnsi="黑体" w:eastAsia="黑体"/>
          <w:bCs/>
          <w:color w:val="auto"/>
          <w:szCs w:val="21"/>
          <w:u w:val="single"/>
        </w:rPr>
        <w:t>政府采购投标担保函</w:t>
      </w:r>
      <w:r>
        <w:rPr>
          <w:rFonts w:hint="eastAsia" w:ascii="黑体" w:hAnsi="黑体" w:eastAsia="黑体"/>
          <w:bCs/>
          <w:color w:val="auto"/>
          <w:szCs w:val="21"/>
        </w:rPr>
        <w:t>方式与投标文件一同递交。</w:t>
      </w:r>
    </w:p>
    <w:p>
      <w:pPr>
        <w:spacing w:line="360" w:lineRule="auto"/>
        <w:ind w:right="844" w:rightChars="402"/>
        <w:jc w:val="right"/>
        <w:rPr>
          <w:rFonts w:ascii="黑体" w:hAnsi="黑体" w:eastAsia="黑体"/>
          <w:color w:val="auto"/>
          <w:szCs w:val="21"/>
        </w:rPr>
      </w:pPr>
    </w:p>
    <w:p>
      <w:pPr>
        <w:spacing w:line="360" w:lineRule="auto"/>
        <w:ind w:right="844" w:rightChars="402"/>
        <w:jc w:val="right"/>
        <w:rPr>
          <w:rFonts w:ascii="黑体" w:hAnsi="黑体" w:eastAsia="黑体"/>
          <w:color w:val="auto"/>
          <w:szCs w:val="21"/>
        </w:rPr>
      </w:pPr>
      <w:r>
        <w:rPr>
          <w:rFonts w:hint="eastAsia" w:ascii="黑体" w:hAnsi="黑体" w:eastAsia="黑体"/>
          <w:color w:val="auto"/>
          <w:szCs w:val="21"/>
        </w:rPr>
        <w:t>（单位公章）</w:t>
      </w:r>
    </w:p>
    <w:p>
      <w:pPr>
        <w:spacing w:after="624" w:afterLines="200" w:line="360" w:lineRule="auto"/>
        <w:ind w:right="628" w:rightChars="299"/>
        <w:jc w:val="right"/>
        <w:rPr>
          <w:rFonts w:ascii="黑体" w:hAnsi="黑体" w:eastAsia="黑体"/>
          <w:color w:val="auto"/>
          <w:szCs w:val="21"/>
        </w:rPr>
      </w:pPr>
      <w:r>
        <w:rPr>
          <w:rFonts w:hint="eastAsia" w:ascii="黑体" w:hAnsi="黑体" w:eastAsia="黑体"/>
          <w:color w:val="auto"/>
          <w:szCs w:val="21"/>
        </w:rPr>
        <w:t>年</w:t>
      </w:r>
      <w:r>
        <w:rPr>
          <w:rFonts w:ascii="黑体" w:hAnsi="黑体" w:eastAsia="黑体"/>
          <w:color w:val="auto"/>
          <w:szCs w:val="21"/>
        </w:rPr>
        <w:t xml:space="preserve">     </w:t>
      </w:r>
      <w:r>
        <w:rPr>
          <w:rFonts w:hint="eastAsia" w:ascii="黑体" w:hAnsi="黑体" w:eastAsia="黑体"/>
          <w:color w:val="auto"/>
          <w:szCs w:val="21"/>
        </w:rPr>
        <w:t>月</w:t>
      </w:r>
      <w:r>
        <w:rPr>
          <w:rFonts w:ascii="黑体" w:hAnsi="黑体" w:eastAsia="黑体"/>
          <w:color w:val="auto"/>
          <w:szCs w:val="21"/>
        </w:rPr>
        <w:t xml:space="preserve">    </w:t>
      </w:r>
      <w:r>
        <w:rPr>
          <w:rFonts w:hint="eastAsia" w:ascii="黑体" w:hAnsi="黑体" w:eastAsia="黑体"/>
          <w:color w:val="auto"/>
          <w:szCs w:val="21"/>
        </w:rPr>
        <w:t>日</w:t>
      </w:r>
    </w:p>
    <w:p>
      <w:pPr>
        <w:spacing w:line="360" w:lineRule="auto"/>
        <w:rPr>
          <w:rFonts w:ascii="黑体" w:hAnsi="黑体" w:eastAsia="黑体"/>
          <w:color w:val="auto"/>
          <w:szCs w:val="21"/>
          <w:u w:val="single"/>
        </w:rPr>
      </w:pPr>
      <w:r>
        <w:rPr>
          <w:rFonts w:hint="eastAsia" w:ascii="黑体" w:hAnsi="黑体" w:eastAsia="黑体"/>
          <w:color w:val="auto"/>
          <w:szCs w:val="21"/>
        </w:rPr>
        <w:t>单位名称：</w:t>
      </w:r>
      <w:r>
        <w:rPr>
          <w:rFonts w:ascii="黑体" w:hAnsi="黑体" w:eastAsia="黑体"/>
          <w:color w:val="auto"/>
          <w:szCs w:val="21"/>
          <w:u w:val="single"/>
        </w:rPr>
        <w:t xml:space="preserve">                    </w:t>
      </w:r>
    </w:p>
    <w:p>
      <w:pPr>
        <w:spacing w:line="360" w:lineRule="auto"/>
        <w:rPr>
          <w:rFonts w:ascii="黑体" w:hAnsi="黑体" w:eastAsia="黑体"/>
          <w:color w:val="auto"/>
          <w:szCs w:val="21"/>
        </w:rPr>
      </w:pPr>
      <w:r>
        <w:rPr>
          <w:rFonts w:hint="eastAsia" w:ascii="黑体" w:hAnsi="黑体" w:eastAsia="黑体"/>
          <w:color w:val="auto"/>
          <w:szCs w:val="21"/>
        </w:rPr>
        <w:t>单位地址：</w:t>
      </w:r>
      <w:r>
        <w:rPr>
          <w:rFonts w:ascii="黑体" w:hAnsi="黑体" w:eastAsia="黑体"/>
          <w:color w:val="auto"/>
          <w:szCs w:val="21"/>
          <w:u w:val="single"/>
        </w:rPr>
        <w:t xml:space="preserve">                    </w:t>
      </w:r>
    </w:p>
    <w:p>
      <w:pPr>
        <w:spacing w:line="360" w:lineRule="auto"/>
        <w:rPr>
          <w:rFonts w:ascii="黑体" w:hAnsi="黑体" w:eastAsia="黑体"/>
          <w:color w:val="auto"/>
          <w:szCs w:val="21"/>
        </w:rPr>
      </w:pPr>
      <w:r>
        <w:rPr>
          <w:rFonts w:hint="eastAsia" w:ascii="黑体" w:hAnsi="黑体" w:eastAsia="黑体"/>
          <w:color w:val="auto"/>
          <w:szCs w:val="21"/>
        </w:rPr>
        <w:t>联</w:t>
      </w:r>
      <w:r>
        <w:rPr>
          <w:rFonts w:ascii="黑体" w:hAnsi="黑体" w:eastAsia="黑体"/>
          <w:color w:val="auto"/>
          <w:szCs w:val="21"/>
        </w:rPr>
        <w:t xml:space="preserve"> </w:t>
      </w:r>
      <w:r>
        <w:rPr>
          <w:rFonts w:hint="eastAsia" w:ascii="黑体" w:hAnsi="黑体" w:eastAsia="黑体"/>
          <w:color w:val="auto"/>
          <w:szCs w:val="21"/>
        </w:rPr>
        <w:t>系</w:t>
      </w:r>
      <w:r>
        <w:rPr>
          <w:rFonts w:ascii="黑体" w:hAnsi="黑体" w:eastAsia="黑体"/>
          <w:color w:val="auto"/>
          <w:szCs w:val="21"/>
        </w:rPr>
        <w:t xml:space="preserve"> </w:t>
      </w:r>
      <w:r>
        <w:rPr>
          <w:rFonts w:hint="eastAsia" w:ascii="黑体" w:hAnsi="黑体" w:eastAsia="黑体"/>
          <w:color w:val="auto"/>
          <w:szCs w:val="21"/>
        </w:rPr>
        <w:t>人：</w:t>
      </w:r>
      <w:r>
        <w:rPr>
          <w:rFonts w:ascii="黑体" w:hAnsi="黑体" w:eastAsia="黑体"/>
          <w:color w:val="auto"/>
          <w:szCs w:val="21"/>
          <w:u w:val="single"/>
        </w:rPr>
        <w:t xml:space="preserve">  </w:t>
      </w:r>
      <w:r>
        <w:rPr>
          <w:rFonts w:hint="eastAsia" w:ascii="黑体" w:hAnsi="黑体" w:eastAsia="黑体"/>
          <w:i/>
          <w:color w:val="auto"/>
          <w:szCs w:val="21"/>
          <w:u w:val="single"/>
        </w:rPr>
        <w:t>（投标单位财务）</w:t>
      </w:r>
      <w:r>
        <w:rPr>
          <w:rFonts w:ascii="黑体" w:hAnsi="黑体" w:eastAsia="黑体"/>
          <w:color w:val="auto"/>
          <w:szCs w:val="21"/>
          <w:u w:val="single"/>
        </w:rPr>
        <w:t xml:space="preserve">  </w:t>
      </w:r>
    </w:p>
    <w:p>
      <w:pPr>
        <w:spacing w:line="360" w:lineRule="auto"/>
        <w:rPr>
          <w:rFonts w:ascii="黑体" w:hAnsi="黑体" w:eastAsia="黑体"/>
          <w:color w:val="auto"/>
          <w:szCs w:val="21"/>
        </w:rPr>
      </w:pPr>
      <w:r>
        <w:rPr>
          <w:rFonts w:hint="eastAsia" w:ascii="黑体" w:hAnsi="黑体" w:eastAsia="黑体"/>
          <w:color w:val="auto"/>
          <w:szCs w:val="21"/>
        </w:rPr>
        <w:t>单位电话：</w:t>
      </w:r>
      <w:r>
        <w:rPr>
          <w:rFonts w:ascii="黑体" w:hAnsi="黑体" w:eastAsia="黑体"/>
          <w:color w:val="auto"/>
          <w:szCs w:val="21"/>
          <w:u w:val="single"/>
        </w:rPr>
        <w:t xml:space="preserve">                    </w:t>
      </w:r>
      <w:r>
        <w:rPr>
          <w:rFonts w:ascii="黑体" w:hAnsi="黑体" w:eastAsia="黑体"/>
          <w:color w:val="auto"/>
          <w:szCs w:val="21"/>
        </w:rPr>
        <w:t xml:space="preserve">      联系人手机：</w:t>
      </w:r>
      <w:r>
        <w:rPr>
          <w:rFonts w:ascii="黑体" w:hAnsi="黑体" w:eastAsia="黑体"/>
          <w:color w:val="auto"/>
          <w:szCs w:val="21"/>
          <w:u w:val="single"/>
        </w:rPr>
        <w:t xml:space="preserve">              </w:t>
      </w:r>
    </w:p>
    <w:tbl>
      <w:tblPr>
        <w:tblStyle w:val="20"/>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87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5000" w:type="pct"/>
            <w:vAlign w:val="center"/>
          </w:tcPr>
          <w:p>
            <w:pPr>
              <w:jc w:val="center"/>
              <w:rPr>
                <w:rFonts w:ascii="黑体" w:hAnsi="黑体" w:eastAsia="黑体"/>
                <w:b/>
                <w:color w:val="auto"/>
                <w:szCs w:val="21"/>
              </w:rPr>
            </w:pPr>
            <w:r>
              <w:rPr>
                <w:rFonts w:hint="eastAsia" w:ascii="黑体" w:hAnsi="黑体" w:eastAsia="黑体"/>
                <w:b/>
                <w:color w:val="auto"/>
                <w:szCs w:val="21"/>
              </w:rPr>
              <w:t>附件一：</w:t>
            </w:r>
            <w:r>
              <w:rPr>
                <w:rFonts w:hint="eastAsia" w:ascii="黑体" w:hAnsi="黑体" w:eastAsia="黑体"/>
                <w:b/>
                <w:color w:val="auto"/>
                <w:szCs w:val="21"/>
                <w:lang w:val="zh-CN"/>
              </w:rPr>
              <w:t>《政府采购投标担保函》</w:t>
            </w:r>
            <w:r>
              <w:rPr>
                <w:rFonts w:hint="eastAsia" w:ascii="黑体" w:hAnsi="黑体" w:eastAsia="黑体"/>
                <w:b/>
                <w:color w:val="auto"/>
                <w:szCs w:val="21"/>
              </w:rPr>
              <w:t>（原件）</w:t>
            </w:r>
          </w:p>
        </w:tc>
      </w:tr>
    </w:tbl>
    <w:p>
      <w:pPr>
        <w:pStyle w:val="3"/>
        <w:keepNext w:val="0"/>
        <w:keepLines w:val="0"/>
        <w:pageBreakBefore/>
        <w:numPr>
          <w:ilvl w:val="0"/>
          <w:numId w:val="93"/>
        </w:numPr>
        <w:tabs>
          <w:tab w:val="left" w:pos="284"/>
        </w:tabs>
        <w:spacing w:line="360" w:lineRule="auto"/>
        <w:jc w:val="left"/>
        <w:rPr>
          <w:rStyle w:val="23"/>
          <w:rFonts w:ascii="黑体" w:hAnsi="黑体" w:eastAsia="黑体"/>
          <w:b/>
          <w:bCs/>
          <w:color w:val="auto"/>
          <w:spacing w:val="12"/>
          <w:sz w:val="21"/>
          <w:szCs w:val="21"/>
        </w:rPr>
      </w:pPr>
      <w:bookmarkStart w:id="119" w:name="_Toc90980579"/>
      <w:r>
        <w:rPr>
          <w:rStyle w:val="23"/>
          <w:rFonts w:hint="eastAsia" w:ascii="黑体" w:hAnsi="黑体" w:eastAsia="黑体"/>
          <w:b/>
          <w:bCs/>
          <w:color w:val="auto"/>
          <w:spacing w:val="12"/>
          <w:sz w:val="21"/>
          <w:szCs w:val="21"/>
        </w:rPr>
        <w:t>相关保函格式</w:t>
      </w:r>
      <w:bookmarkEnd w:id="119"/>
    </w:p>
    <w:p>
      <w:pPr>
        <w:spacing w:before="312" w:beforeLines="1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政府采购投标担保函</w:t>
      </w:r>
    </w:p>
    <w:p>
      <w:pPr>
        <w:spacing w:line="360" w:lineRule="auto"/>
        <w:ind w:firstLine="6261" w:firstLineChars="2970"/>
        <w:rPr>
          <w:rFonts w:ascii="黑体" w:hAnsi="黑体" w:eastAsia="黑体"/>
          <w:b/>
          <w:color w:val="auto"/>
          <w:szCs w:val="21"/>
        </w:rPr>
      </w:pPr>
      <w:r>
        <w:rPr>
          <w:rFonts w:hint="eastAsia" w:ascii="黑体" w:hAnsi="黑体" w:eastAsia="黑体"/>
          <w:b/>
          <w:color w:val="auto"/>
          <w:szCs w:val="21"/>
        </w:rPr>
        <w:t>编号：</w:t>
      </w:r>
    </w:p>
    <w:p>
      <w:pPr>
        <w:spacing w:line="360" w:lineRule="auto"/>
        <w:rPr>
          <w:rFonts w:ascii="黑体" w:hAnsi="黑体" w:eastAsia="黑体"/>
          <w:color w:val="auto"/>
          <w:szCs w:val="21"/>
          <w:u w:val="single"/>
        </w:rPr>
      </w:pPr>
      <w:r>
        <w:rPr>
          <w:rFonts w:hint="eastAsia" w:ascii="黑体" w:hAnsi="黑体" w:eastAsia="黑体"/>
          <w:color w:val="auto"/>
          <w:szCs w:val="21"/>
          <w:u w:val="single"/>
        </w:rPr>
        <w:t xml:space="preserve">                     </w:t>
      </w:r>
      <w:r>
        <w:rPr>
          <w:rFonts w:hint="eastAsia" w:ascii="黑体" w:hAnsi="黑体" w:eastAsia="黑体"/>
          <w:color w:val="auto"/>
          <w:szCs w:val="21"/>
        </w:rPr>
        <w:t>(采购人或采购代理机构)：</w:t>
      </w:r>
    </w:p>
    <w:p>
      <w:pPr>
        <w:spacing w:line="360" w:lineRule="auto"/>
        <w:ind w:firstLine="420" w:firstLineChars="200"/>
        <w:rPr>
          <w:rFonts w:ascii="黑体" w:hAnsi="黑体" w:eastAsia="黑体"/>
          <w:color w:val="auto"/>
          <w:szCs w:val="21"/>
          <w:u w:val="single"/>
        </w:rPr>
      </w:pPr>
      <w:r>
        <w:rPr>
          <w:rFonts w:hint="eastAsia" w:ascii="黑体" w:hAnsi="黑体" w:eastAsia="黑体"/>
          <w:color w:val="auto"/>
          <w:szCs w:val="21"/>
        </w:rPr>
        <w:t>鉴于</w:t>
      </w:r>
      <w:r>
        <w:rPr>
          <w:rFonts w:hint="eastAsia" w:ascii="黑体" w:hAnsi="黑体" w:eastAsia="黑体"/>
          <w:color w:val="auto"/>
          <w:szCs w:val="21"/>
          <w:u w:val="single"/>
        </w:rPr>
        <w:t xml:space="preserve">                   </w:t>
      </w:r>
      <w:r>
        <w:rPr>
          <w:rFonts w:hint="eastAsia" w:ascii="黑体" w:hAnsi="黑体" w:eastAsia="黑体"/>
          <w:color w:val="auto"/>
          <w:szCs w:val="21"/>
        </w:rPr>
        <w:t>(以下简称“投标人”)拟参加编号为</w:t>
      </w:r>
      <w:r>
        <w:rPr>
          <w:rFonts w:hint="eastAsia" w:ascii="黑体" w:hAnsi="黑体" w:eastAsia="黑体"/>
          <w:color w:val="auto"/>
          <w:szCs w:val="21"/>
          <w:u w:val="single"/>
        </w:rPr>
        <w:t xml:space="preserve">                   </w:t>
      </w:r>
      <w:r>
        <w:rPr>
          <w:rFonts w:hint="eastAsia" w:ascii="黑体" w:hAnsi="黑体" w:eastAsia="黑体"/>
          <w:color w:val="auto"/>
          <w:szCs w:val="21"/>
        </w:rPr>
        <w:t>的</w:t>
      </w:r>
      <w:r>
        <w:rPr>
          <w:rFonts w:hint="eastAsia" w:ascii="黑体" w:hAnsi="黑体" w:eastAsia="黑体"/>
          <w:color w:val="auto"/>
          <w:szCs w:val="21"/>
          <w:u w:val="single"/>
        </w:rPr>
        <w:t xml:space="preserve">      </w:t>
      </w:r>
    </w:p>
    <w:p>
      <w:pPr>
        <w:spacing w:line="360" w:lineRule="auto"/>
        <w:rPr>
          <w:rFonts w:ascii="黑体" w:hAnsi="黑体" w:eastAsia="黑体"/>
          <w:color w:val="auto"/>
          <w:szCs w:val="21"/>
          <w:u w:val="single"/>
        </w:rPr>
      </w:pPr>
      <w:r>
        <w:rPr>
          <w:rFonts w:hint="eastAsia" w:ascii="黑体" w:hAnsi="黑体" w:eastAsia="黑体"/>
          <w:color w:val="auto"/>
          <w:szCs w:val="21"/>
          <w:u w:val="single"/>
        </w:rPr>
        <w:t xml:space="preserve">                   </w:t>
      </w:r>
      <w:r>
        <w:rPr>
          <w:rFonts w:hint="eastAsia" w:ascii="黑体" w:hAnsi="黑体" w:eastAsia="黑体"/>
          <w:color w:val="auto"/>
          <w:szCs w:val="21"/>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rPr>
          <w:rFonts w:ascii="黑体" w:hAnsi="黑体" w:eastAsia="黑体"/>
          <w:color w:val="auto"/>
          <w:szCs w:val="21"/>
        </w:rPr>
      </w:pPr>
      <w:r>
        <w:rPr>
          <w:rFonts w:hint="eastAsia" w:ascii="黑体" w:hAnsi="黑体" w:eastAsia="黑体"/>
          <w:color w:val="auto"/>
          <w:szCs w:val="21"/>
        </w:rPr>
        <w:t>一、保证责任的情形及保证金额</w:t>
      </w:r>
    </w:p>
    <w:p>
      <w:pPr>
        <w:tabs>
          <w:tab w:val="left" w:pos="284"/>
        </w:tabs>
        <w:spacing w:line="360" w:lineRule="auto"/>
        <w:ind w:left="283" w:leftChars="135"/>
        <w:rPr>
          <w:rFonts w:ascii="黑体" w:hAnsi="黑体" w:eastAsia="黑体"/>
          <w:color w:val="auto"/>
          <w:szCs w:val="21"/>
        </w:rPr>
      </w:pPr>
      <w:r>
        <w:rPr>
          <w:rFonts w:hint="eastAsia" w:ascii="黑体" w:hAnsi="黑体" w:eastAsia="黑体"/>
          <w:color w:val="auto"/>
          <w:szCs w:val="21"/>
        </w:rPr>
        <w:t>(一)在投标人出现下列情形之一时,，我方承担保证责任：</w:t>
      </w:r>
    </w:p>
    <w:p>
      <w:pPr>
        <w:tabs>
          <w:tab w:val="left" w:pos="284"/>
        </w:tabs>
        <w:spacing w:line="360" w:lineRule="auto"/>
        <w:ind w:left="283" w:leftChars="135"/>
        <w:rPr>
          <w:rFonts w:ascii="黑体" w:hAnsi="黑体" w:eastAsia="黑体"/>
          <w:color w:val="auto"/>
          <w:szCs w:val="21"/>
        </w:rPr>
      </w:pPr>
      <w:r>
        <w:rPr>
          <w:rFonts w:hint="eastAsia" w:ascii="黑体" w:hAnsi="黑体" w:eastAsia="黑体"/>
          <w:color w:val="auto"/>
          <w:szCs w:val="21"/>
        </w:rPr>
        <w:t>1.中标后投标人无正当理由不与采购人或者采购代理机构签订《政府采购合同》；</w:t>
      </w:r>
    </w:p>
    <w:p>
      <w:pPr>
        <w:tabs>
          <w:tab w:val="left" w:pos="284"/>
        </w:tabs>
        <w:spacing w:line="360" w:lineRule="auto"/>
        <w:ind w:left="283" w:leftChars="135"/>
        <w:rPr>
          <w:rFonts w:ascii="黑体" w:hAnsi="黑体" w:eastAsia="黑体"/>
          <w:color w:val="auto"/>
          <w:szCs w:val="21"/>
        </w:rPr>
      </w:pPr>
      <w:r>
        <w:rPr>
          <w:rFonts w:hint="eastAsia" w:ascii="黑体" w:hAnsi="黑体" w:eastAsia="黑体"/>
          <w:color w:val="auto"/>
          <w:szCs w:val="21"/>
        </w:rPr>
        <w:t>2.招标文件规定的投标人应当缴纳保证金的其他情形。</w:t>
      </w:r>
    </w:p>
    <w:p>
      <w:pPr>
        <w:tabs>
          <w:tab w:val="left" w:pos="284"/>
        </w:tabs>
        <w:spacing w:line="360" w:lineRule="auto"/>
        <w:ind w:left="283" w:leftChars="135"/>
        <w:rPr>
          <w:rFonts w:ascii="黑体" w:hAnsi="黑体" w:eastAsia="黑体"/>
          <w:color w:val="auto"/>
          <w:szCs w:val="21"/>
        </w:rPr>
      </w:pPr>
      <w:r>
        <w:rPr>
          <w:rFonts w:hint="eastAsia" w:ascii="黑体" w:hAnsi="黑体" w:eastAsia="黑体"/>
          <w:color w:val="auto"/>
          <w:szCs w:val="21"/>
        </w:rPr>
        <w:t>(二)我方承担保证责任的最高金额为人民币</w:t>
      </w:r>
      <w:r>
        <w:rPr>
          <w:rFonts w:hint="eastAsia" w:ascii="黑体" w:hAnsi="黑体" w:eastAsia="黑体"/>
          <w:color w:val="auto"/>
          <w:szCs w:val="21"/>
          <w:u w:val="single"/>
        </w:rPr>
        <w:t xml:space="preserve">         </w:t>
      </w:r>
      <w:r>
        <w:rPr>
          <w:rFonts w:hint="eastAsia" w:ascii="黑体" w:hAnsi="黑体" w:eastAsia="黑体"/>
          <w:color w:val="auto"/>
          <w:szCs w:val="21"/>
        </w:rPr>
        <w:t>元(大写：</w:t>
      </w:r>
      <w:r>
        <w:rPr>
          <w:rFonts w:hint="eastAsia" w:ascii="黑体" w:hAnsi="黑体" w:eastAsia="黑体"/>
          <w:color w:val="auto"/>
          <w:szCs w:val="21"/>
          <w:u w:val="single"/>
        </w:rPr>
        <w:t xml:space="preserve">        </w:t>
      </w:r>
      <w:r>
        <w:rPr>
          <w:rFonts w:hint="eastAsia" w:ascii="黑体" w:hAnsi="黑体" w:eastAsia="黑体"/>
          <w:color w:val="auto"/>
          <w:szCs w:val="21"/>
        </w:rPr>
        <w:t xml:space="preserve"> )；即本项目的投标保证金金额。</w:t>
      </w:r>
    </w:p>
    <w:p>
      <w:pPr>
        <w:spacing w:line="360" w:lineRule="auto"/>
        <w:rPr>
          <w:rFonts w:ascii="黑体" w:hAnsi="黑体" w:eastAsia="黑体"/>
          <w:color w:val="auto"/>
          <w:szCs w:val="21"/>
        </w:rPr>
      </w:pPr>
      <w:r>
        <w:rPr>
          <w:rFonts w:hint="eastAsia" w:ascii="黑体" w:hAnsi="黑体" w:eastAsia="黑体"/>
          <w:color w:val="auto"/>
          <w:szCs w:val="21"/>
        </w:rPr>
        <w:t>二、保证的方式及保证期间</w:t>
      </w:r>
    </w:p>
    <w:p>
      <w:pPr>
        <w:tabs>
          <w:tab w:val="left" w:pos="142"/>
          <w:tab w:val="left" w:pos="284"/>
        </w:tabs>
        <w:spacing w:line="360" w:lineRule="auto"/>
        <w:ind w:left="283" w:leftChars="135"/>
        <w:rPr>
          <w:rFonts w:ascii="黑体" w:hAnsi="黑体" w:eastAsia="黑体"/>
          <w:color w:val="auto"/>
          <w:szCs w:val="21"/>
        </w:rPr>
      </w:pPr>
      <w:r>
        <w:rPr>
          <w:rFonts w:hint="eastAsia" w:ascii="黑体" w:hAnsi="黑体" w:eastAsia="黑体"/>
          <w:color w:val="auto"/>
          <w:szCs w:val="21"/>
        </w:rPr>
        <w:t>我方保证的方式为：连带责任保证。</w:t>
      </w:r>
    </w:p>
    <w:p>
      <w:pPr>
        <w:spacing w:line="360" w:lineRule="auto"/>
        <w:ind w:left="283" w:leftChars="135"/>
        <w:rPr>
          <w:rFonts w:ascii="黑体" w:hAnsi="黑体" w:eastAsia="黑体"/>
          <w:color w:val="auto"/>
          <w:szCs w:val="21"/>
        </w:rPr>
      </w:pPr>
      <w:r>
        <w:rPr>
          <w:rFonts w:hint="eastAsia" w:ascii="黑体" w:hAnsi="黑体" w:eastAsia="黑体"/>
          <w:color w:val="auto"/>
          <w:szCs w:val="21"/>
        </w:rPr>
        <w:t>我方的保证期间为：自本保函生效之日起</w:t>
      </w:r>
      <w:r>
        <w:rPr>
          <w:rFonts w:hint="eastAsia" w:ascii="黑体" w:hAnsi="黑体" w:eastAsia="黑体"/>
          <w:color w:val="auto"/>
          <w:szCs w:val="21"/>
          <w:u w:val="single"/>
        </w:rPr>
        <w:t xml:space="preserve">      </w:t>
      </w:r>
      <w:r>
        <w:rPr>
          <w:rFonts w:hint="eastAsia" w:ascii="黑体" w:hAnsi="黑体" w:eastAsia="黑体"/>
          <w:color w:val="auto"/>
          <w:szCs w:val="21"/>
        </w:rPr>
        <w:t>个月止。</w:t>
      </w:r>
    </w:p>
    <w:p>
      <w:pPr>
        <w:spacing w:line="360" w:lineRule="auto"/>
        <w:rPr>
          <w:rFonts w:ascii="黑体" w:hAnsi="黑体" w:eastAsia="黑体"/>
          <w:color w:val="auto"/>
          <w:szCs w:val="21"/>
        </w:rPr>
      </w:pPr>
      <w:r>
        <w:rPr>
          <w:rFonts w:hint="eastAsia" w:ascii="黑体" w:hAnsi="黑体" w:eastAsia="黑体"/>
          <w:color w:val="auto"/>
          <w:szCs w:val="21"/>
        </w:rPr>
        <w:t>三、承担保证责任的程序</w:t>
      </w:r>
    </w:p>
    <w:p>
      <w:pPr>
        <w:spacing w:line="360" w:lineRule="auto"/>
        <w:ind w:left="281" w:leftChars="134"/>
        <w:rPr>
          <w:rFonts w:ascii="黑体" w:hAnsi="黑体" w:eastAsia="黑体"/>
          <w:color w:val="auto"/>
          <w:szCs w:val="21"/>
        </w:rPr>
      </w:pPr>
      <w:r>
        <w:rPr>
          <w:rFonts w:hint="eastAsia" w:ascii="黑体" w:hAnsi="黑体" w:eastAsia="黑体"/>
          <w:color w:val="auto"/>
          <w:szCs w:val="21"/>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line="360" w:lineRule="auto"/>
        <w:ind w:left="281" w:leftChars="134"/>
        <w:rPr>
          <w:rFonts w:ascii="黑体" w:hAnsi="黑体" w:eastAsia="黑体"/>
          <w:color w:val="auto"/>
          <w:szCs w:val="21"/>
        </w:rPr>
      </w:pPr>
      <w:r>
        <w:rPr>
          <w:rFonts w:hint="eastAsia" w:ascii="黑体" w:hAnsi="黑体" w:eastAsia="黑体"/>
          <w:color w:val="auto"/>
          <w:szCs w:val="21"/>
        </w:rPr>
        <w:t>2.我方在收到索赔通知及相关证明材料后，在</w:t>
      </w:r>
      <w:r>
        <w:rPr>
          <w:rFonts w:hint="eastAsia" w:ascii="黑体" w:hAnsi="黑体" w:eastAsia="黑体"/>
          <w:color w:val="auto"/>
          <w:szCs w:val="21"/>
          <w:u w:val="single"/>
        </w:rPr>
        <w:t xml:space="preserve">      </w:t>
      </w:r>
      <w:r>
        <w:rPr>
          <w:rFonts w:hint="eastAsia" w:ascii="黑体" w:hAnsi="黑体" w:eastAsia="黑体"/>
          <w:color w:val="auto"/>
          <w:szCs w:val="21"/>
        </w:rPr>
        <w:t>个工作日内进行审查，符合应承担保证责任情形的，我方应按照你方的要求代投标人向你方支付投标保证金。</w:t>
      </w:r>
    </w:p>
    <w:p>
      <w:pPr>
        <w:spacing w:line="360" w:lineRule="auto"/>
        <w:rPr>
          <w:rFonts w:ascii="黑体" w:hAnsi="黑体" w:eastAsia="黑体"/>
          <w:color w:val="auto"/>
          <w:szCs w:val="21"/>
        </w:rPr>
      </w:pPr>
      <w:r>
        <w:rPr>
          <w:rFonts w:hint="eastAsia" w:ascii="黑体" w:hAnsi="黑体" w:eastAsia="黑体"/>
          <w:color w:val="auto"/>
          <w:szCs w:val="21"/>
        </w:rPr>
        <w:t>四、保证责任的终止</w:t>
      </w:r>
    </w:p>
    <w:p>
      <w:pPr>
        <w:spacing w:line="360" w:lineRule="auto"/>
        <w:ind w:left="283" w:leftChars="135"/>
        <w:rPr>
          <w:rFonts w:ascii="黑体" w:hAnsi="黑体" w:eastAsia="黑体"/>
          <w:color w:val="auto"/>
          <w:szCs w:val="21"/>
        </w:rPr>
      </w:pPr>
      <w:r>
        <w:rPr>
          <w:rFonts w:hint="eastAsia" w:ascii="黑体" w:hAnsi="黑体" w:eastAsia="黑体"/>
          <w:color w:val="auto"/>
          <w:szCs w:val="21"/>
        </w:rPr>
        <w:t>1.保证期间届满你方未向我方书面主张保证责任的，自保证期间届满次日起，我方保证责任自动终止。</w:t>
      </w:r>
    </w:p>
    <w:p>
      <w:pPr>
        <w:spacing w:line="360" w:lineRule="auto"/>
        <w:ind w:left="283" w:leftChars="135"/>
        <w:rPr>
          <w:rFonts w:ascii="黑体" w:hAnsi="黑体" w:eastAsia="黑体"/>
          <w:color w:val="auto"/>
          <w:szCs w:val="21"/>
        </w:rPr>
      </w:pPr>
      <w:r>
        <w:rPr>
          <w:rFonts w:hint="eastAsia" w:ascii="黑体" w:hAnsi="黑体" w:eastAsia="黑体"/>
          <w:color w:val="auto"/>
          <w:szCs w:val="21"/>
        </w:rPr>
        <w:t>2.我方按照本保函向你贵方履行了保证责任后，自我方向你贵方支付款项(支付款项从我方账户划出)之日起,保证责任终止。</w:t>
      </w:r>
    </w:p>
    <w:p>
      <w:pPr>
        <w:spacing w:line="360" w:lineRule="auto"/>
        <w:ind w:left="283" w:leftChars="135"/>
        <w:rPr>
          <w:rFonts w:ascii="黑体" w:hAnsi="黑体" w:eastAsia="黑体"/>
          <w:color w:val="auto"/>
          <w:szCs w:val="21"/>
        </w:rPr>
      </w:pPr>
      <w:r>
        <w:rPr>
          <w:rFonts w:hint="eastAsia" w:ascii="黑体" w:hAnsi="黑体" w:eastAsia="黑体"/>
          <w:color w:val="auto"/>
          <w:szCs w:val="21"/>
        </w:rPr>
        <w:t>3.按照法律法规的规定或出现我方保证责任终止的其它情形的，我方在本保函项下的保证责任亦终止。</w:t>
      </w:r>
    </w:p>
    <w:p>
      <w:pPr>
        <w:spacing w:line="360" w:lineRule="auto"/>
        <w:rPr>
          <w:rFonts w:ascii="黑体" w:hAnsi="黑体" w:eastAsia="黑体"/>
          <w:color w:val="auto"/>
          <w:szCs w:val="21"/>
        </w:rPr>
      </w:pPr>
      <w:r>
        <w:rPr>
          <w:rFonts w:hint="eastAsia" w:ascii="黑体" w:hAnsi="黑体" w:eastAsia="黑体"/>
          <w:color w:val="auto"/>
          <w:szCs w:val="21"/>
        </w:rPr>
        <w:t>五、免责条款</w:t>
      </w:r>
    </w:p>
    <w:p>
      <w:pPr>
        <w:spacing w:line="360" w:lineRule="auto"/>
        <w:ind w:left="283" w:leftChars="135"/>
        <w:rPr>
          <w:rFonts w:ascii="黑体" w:hAnsi="黑体" w:eastAsia="黑体"/>
          <w:color w:val="auto"/>
          <w:szCs w:val="21"/>
        </w:rPr>
      </w:pPr>
      <w:r>
        <w:rPr>
          <w:rFonts w:hint="eastAsia" w:ascii="黑体" w:hAnsi="黑体" w:eastAsia="黑体"/>
          <w:color w:val="auto"/>
          <w:szCs w:val="21"/>
        </w:rPr>
        <w:t>1.依照法律规定或你方与投标人的另行约定，全部或者部分免除投标人投标保证金义务时，我方亦免除相应的保证责任。</w:t>
      </w:r>
    </w:p>
    <w:p>
      <w:pPr>
        <w:spacing w:line="360" w:lineRule="auto"/>
        <w:ind w:left="283" w:leftChars="135"/>
        <w:rPr>
          <w:rFonts w:ascii="黑体" w:hAnsi="黑体" w:eastAsia="黑体"/>
          <w:color w:val="auto"/>
          <w:szCs w:val="21"/>
        </w:rPr>
      </w:pPr>
      <w:r>
        <w:rPr>
          <w:rFonts w:hint="eastAsia" w:ascii="黑体" w:hAnsi="黑体" w:eastAsia="黑体"/>
          <w:color w:val="auto"/>
          <w:szCs w:val="21"/>
        </w:rPr>
        <w:t>2.因你方原因致使投标人发生本保函第一条第（一）款约定情形的，我方不承担保证责任。</w:t>
      </w:r>
    </w:p>
    <w:p>
      <w:pPr>
        <w:spacing w:line="360" w:lineRule="auto"/>
        <w:ind w:left="283" w:leftChars="135"/>
        <w:rPr>
          <w:rFonts w:ascii="黑体" w:hAnsi="黑体" w:eastAsia="黑体"/>
          <w:color w:val="auto"/>
          <w:szCs w:val="21"/>
        </w:rPr>
      </w:pPr>
      <w:r>
        <w:rPr>
          <w:rFonts w:hint="eastAsia" w:ascii="黑体" w:hAnsi="黑体" w:eastAsia="黑体"/>
          <w:color w:val="auto"/>
          <w:szCs w:val="21"/>
        </w:rPr>
        <w:t>3.因不可抗力造成投标人发生本保函第一条约定情形的，我方不承担保证责任。</w:t>
      </w:r>
    </w:p>
    <w:p>
      <w:pPr>
        <w:spacing w:line="360" w:lineRule="auto"/>
        <w:ind w:left="283" w:leftChars="135"/>
        <w:rPr>
          <w:rFonts w:ascii="黑体" w:hAnsi="黑体" w:eastAsia="黑体"/>
          <w:color w:val="auto"/>
          <w:szCs w:val="21"/>
        </w:rPr>
      </w:pPr>
      <w:r>
        <w:rPr>
          <w:rFonts w:hint="eastAsia" w:ascii="黑体" w:hAnsi="黑体" w:eastAsia="黑体"/>
          <w:color w:val="auto"/>
          <w:szCs w:val="21"/>
        </w:rPr>
        <w:t>4.你方或其他有权机关对招标文件进行任何澄清或修改，加重我方保证责任的，我方对加重部分不承担保证责任，但该澄清或修改经我方事先书面同意的除外。</w:t>
      </w:r>
    </w:p>
    <w:p>
      <w:pPr>
        <w:spacing w:line="360" w:lineRule="auto"/>
        <w:rPr>
          <w:rFonts w:ascii="黑体" w:hAnsi="黑体" w:eastAsia="黑体"/>
          <w:color w:val="auto"/>
          <w:szCs w:val="21"/>
        </w:rPr>
      </w:pPr>
      <w:r>
        <w:rPr>
          <w:rFonts w:hint="eastAsia" w:ascii="黑体" w:hAnsi="黑体" w:eastAsia="黑体"/>
          <w:color w:val="auto"/>
          <w:szCs w:val="21"/>
        </w:rPr>
        <w:t>六、争议的解决</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因本保函发生的纠纷，由你我双方协商解决，协商不成的，通过诉讼程序解决,诉讼管辖地法院为</w:t>
      </w:r>
      <w:r>
        <w:rPr>
          <w:rFonts w:hint="eastAsia" w:ascii="黑体" w:hAnsi="黑体" w:eastAsia="黑体"/>
          <w:color w:val="auto"/>
          <w:szCs w:val="21"/>
          <w:u w:val="single"/>
        </w:rPr>
        <w:t xml:space="preserve">           </w:t>
      </w:r>
      <w:r>
        <w:rPr>
          <w:rFonts w:hint="eastAsia" w:ascii="黑体" w:hAnsi="黑体" w:eastAsia="黑体"/>
          <w:color w:val="auto"/>
          <w:szCs w:val="21"/>
        </w:rPr>
        <w:t>法院。</w:t>
      </w:r>
    </w:p>
    <w:p>
      <w:pPr>
        <w:spacing w:line="360" w:lineRule="auto"/>
        <w:rPr>
          <w:rFonts w:ascii="黑体" w:hAnsi="黑体" w:eastAsia="黑体"/>
          <w:color w:val="auto"/>
          <w:szCs w:val="21"/>
        </w:rPr>
      </w:pPr>
      <w:r>
        <w:rPr>
          <w:rFonts w:hint="eastAsia" w:ascii="黑体" w:hAnsi="黑体" w:eastAsia="黑体"/>
          <w:color w:val="auto"/>
          <w:szCs w:val="21"/>
        </w:rPr>
        <w:t>七、保函的生效</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本保函自我方加盖公章之日起生效。</w:t>
      </w:r>
    </w:p>
    <w:p>
      <w:pPr>
        <w:spacing w:before="936" w:beforeLines="300" w:line="360" w:lineRule="auto"/>
        <w:jc w:val="right"/>
        <w:rPr>
          <w:rFonts w:ascii="黑体" w:hAnsi="黑体" w:eastAsia="黑体"/>
          <w:color w:val="auto"/>
          <w:szCs w:val="21"/>
        </w:rPr>
      </w:pPr>
      <w:r>
        <w:rPr>
          <w:rFonts w:hint="eastAsia" w:ascii="黑体" w:hAnsi="黑体" w:eastAsia="黑体"/>
          <w:color w:val="auto"/>
          <w:szCs w:val="21"/>
        </w:rPr>
        <w:t>保证人：(公章)</w:t>
      </w:r>
    </w:p>
    <w:p>
      <w:pPr>
        <w:spacing w:line="360" w:lineRule="auto"/>
        <w:jc w:val="right"/>
        <w:rPr>
          <w:rFonts w:ascii="黑体" w:hAnsi="黑体" w:eastAsia="黑体"/>
          <w:color w:val="auto"/>
          <w:szCs w:val="21"/>
        </w:rPr>
      </w:pPr>
      <w:r>
        <w:rPr>
          <w:rFonts w:hint="eastAsia" w:ascii="黑体" w:hAnsi="黑体" w:eastAsia="黑体"/>
          <w:color w:val="auto"/>
          <w:szCs w:val="21"/>
        </w:rPr>
        <w:t>年   月   日</w:t>
      </w:r>
    </w:p>
    <w:p>
      <w:pPr>
        <w:rPr>
          <w:color w:val="auto"/>
        </w:rPr>
      </w:pPr>
    </w:p>
    <w:p>
      <w:pPr>
        <w:pageBreakBefore/>
        <w:spacing w:before="312" w:beforeLines="100" w:after="312" w:afterLines="100" w:line="360" w:lineRule="auto"/>
        <w:jc w:val="center"/>
        <w:rPr>
          <w:rFonts w:ascii="黑体" w:hAnsi="黑体" w:eastAsia="黑体"/>
          <w:b/>
          <w:color w:val="auto"/>
          <w:spacing w:val="20"/>
          <w:sz w:val="30"/>
          <w:szCs w:val="30"/>
        </w:rPr>
      </w:pPr>
      <w:r>
        <w:rPr>
          <w:rFonts w:hint="eastAsia" w:ascii="黑体" w:hAnsi="黑体" w:eastAsia="黑体"/>
          <w:b/>
          <w:color w:val="auto"/>
          <w:spacing w:val="20"/>
          <w:sz w:val="30"/>
          <w:szCs w:val="30"/>
        </w:rPr>
        <w:t>政府采购履约担保</w:t>
      </w:r>
    </w:p>
    <w:p>
      <w:pPr>
        <w:spacing w:line="360" w:lineRule="auto"/>
        <w:ind w:firstLine="6261" w:firstLineChars="2970"/>
        <w:rPr>
          <w:rFonts w:ascii="黑体" w:hAnsi="黑体" w:eastAsia="黑体"/>
          <w:b/>
          <w:color w:val="auto"/>
          <w:szCs w:val="21"/>
        </w:rPr>
      </w:pPr>
      <w:r>
        <w:rPr>
          <w:rFonts w:hint="eastAsia" w:ascii="黑体" w:hAnsi="黑体" w:eastAsia="黑体"/>
          <w:b/>
          <w:color w:val="auto"/>
          <w:szCs w:val="21"/>
        </w:rPr>
        <w:t>编号：</w:t>
      </w:r>
    </w:p>
    <w:p>
      <w:pPr>
        <w:spacing w:line="360" w:lineRule="auto"/>
        <w:rPr>
          <w:rFonts w:ascii="黑体" w:hAnsi="黑体" w:eastAsia="黑体"/>
          <w:color w:val="auto"/>
          <w:szCs w:val="21"/>
        </w:rPr>
      </w:pPr>
      <w:r>
        <w:rPr>
          <w:rFonts w:hint="eastAsia" w:ascii="黑体" w:hAnsi="黑体" w:eastAsia="黑体"/>
          <w:color w:val="auto"/>
          <w:szCs w:val="21"/>
          <w:u w:val="single"/>
        </w:rPr>
        <w:t xml:space="preserve">                 </w:t>
      </w:r>
      <w:r>
        <w:rPr>
          <w:rFonts w:hint="eastAsia" w:ascii="黑体" w:hAnsi="黑体" w:eastAsia="黑体"/>
          <w:color w:val="auto"/>
          <w:szCs w:val="21"/>
        </w:rPr>
        <w:t>(采购人)：</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鉴于你方与</w:t>
      </w:r>
      <w:r>
        <w:rPr>
          <w:rFonts w:hint="eastAsia" w:ascii="黑体" w:hAnsi="黑体" w:eastAsia="黑体"/>
          <w:color w:val="auto"/>
          <w:szCs w:val="21"/>
          <w:u w:val="single"/>
        </w:rPr>
        <w:t xml:space="preserve">                      </w:t>
      </w:r>
      <w:r>
        <w:rPr>
          <w:rFonts w:hint="eastAsia" w:ascii="黑体" w:hAnsi="黑体" w:eastAsia="黑体"/>
          <w:color w:val="auto"/>
          <w:szCs w:val="21"/>
        </w:rPr>
        <w:t>（以下简称供应商）于</w:t>
      </w:r>
      <w:r>
        <w:rPr>
          <w:rFonts w:hint="eastAsia" w:ascii="黑体" w:hAnsi="黑体" w:eastAsia="黑体"/>
          <w:color w:val="auto"/>
          <w:szCs w:val="21"/>
          <w:u w:val="single"/>
        </w:rPr>
        <w:t xml:space="preserve">    </w:t>
      </w:r>
      <w:r>
        <w:rPr>
          <w:rFonts w:hint="eastAsia" w:ascii="黑体" w:hAnsi="黑体" w:eastAsia="黑体"/>
          <w:color w:val="auto"/>
          <w:szCs w:val="21"/>
        </w:rPr>
        <w:t>年</w:t>
      </w:r>
      <w:r>
        <w:rPr>
          <w:rFonts w:hint="eastAsia" w:ascii="黑体" w:hAnsi="黑体" w:eastAsia="黑体"/>
          <w:color w:val="auto"/>
          <w:szCs w:val="21"/>
          <w:u w:val="single"/>
        </w:rPr>
        <w:t xml:space="preserve">   </w:t>
      </w:r>
      <w:r>
        <w:rPr>
          <w:rFonts w:hint="eastAsia" w:ascii="黑体" w:hAnsi="黑体" w:eastAsia="黑体"/>
          <w:color w:val="auto"/>
          <w:szCs w:val="21"/>
        </w:rPr>
        <w:t>月</w:t>
      </w:r>
      <w:r>
        <w:rPr>
          <w:rFonts w:hint="eastAsia" w:ascii="黑体" w:hAnsi="黑体" w:eastAsia="黑体"/>
          <w:color w:val="auto"/>
          <w:szCs w:val="21"/>
          <w:u w:val="single"/>
        </w:rPr>
        <w:t xml:space="preserve">   </w:t>
      </w:r>
      <w:r>
        <w:rPr>
          <w:rFonts w:hint="eastAsia" w:ascii="黑体" w:hAnsi="黑体" w:eastAsia="黑体"/>
          <w:color w:val="auto"/>
          <w:szCs w:val="21"/>
        </w:rPr>
        <w:t>日 自签定编号为</w:t>
      </w:r>
      <w:r>
        <w:rPr>
          <w:rFonts w:hint="eastAsia" w:ascii="黑体" w:hAnsi="黑体" w:eastAsia="黑体"/>
          <w:color w:val="auto"/>
          <w:szCs w:val="21"/>
          <w:u w:val="single"/>
        </w:rPr>
        <w:t xml:space="preserve">             </w:t>
      </w:r>
      <w:r>
        <w:rPr>
          <w:rFonts w:hint="eastAsia" w:ascii="黑体" w:hAnsi="黑体" w:eastAsia="黑体"/>
          <w:color w:val="auto"/>
          <w:szCs w:val="21"/>
        </w:rPr>
        <w:t>的《</w:t>
      </w:r>
      <w:r>
        <w:rPr>
          <w:rFonts w:hint="eastAsia" w:ascii="黑体" w:hAnsi="黑体" w:eastAsia="黑体"/>
          <w:color w:val="auto"/>
          <w:szCs w:val="21"/>
          <w:u w:val="single"/>
        </w:rPr>
        <w:t xml:space="preserve">                  </w:t>
      </w:r>
      <w:r>
        <w:rPr>
          <w:rFonts w:hint="eastAsia" w:ascii="黑体" w:hAnsi="黑体" w:eastAsia="黑体"/>
          <w:color w:val="auto"/>
          <w:szCs w:val="21"/>
        </w:rPr>
        <w:t>政府采购合同》 (以下简称主合同)，且依据该合同的约定，供应商应在</w:t>
      </w:r>
      <w:r>
        <w:rPr>
          <w:rFonts w:hint="eastAsia" w:ascii="黑体" w:hAnsi="黑体" w:eastAsia="黑体"/>
          <w:color w:val="auto"/>
          <w:szCs w:val="21"/>
          <w:u w:val="single"/>
        </w:rPr>
        <w:t xml:space="preserve">       </w:t>
      </w:r>
      <w:r>
        <w:rPr>
          <w:rFonts w:hint="eastAsia" w:ascii="黑体" w:hAnsi="黑体" w:eastAsia="黑体"/>
          <w:color w:val="auto"/>
          <w:szCs w:val="21"/>
        </w:rPr>
        <w:t>年</w:t>
      </w:r>
      <w:r>
        <w:rPr>
          <w:rFonts w:hint="eastAsia" w:ascii="黑体" w:hAnsi="黑体" w:eastAsia="黑体"/>
          <w:color w:val="auto"/>
          <w:szCs w:val="21"/>
          <w:u w:val="single"/>
        </w:rPr>
        <w:t xml:space="preserve">   </w:t>
      </w:r>
      <w:r>
        <w:rPr>
          <w:rFonts w:hint="eastAsia" w:ascii="黑体" w:hAnsi="黑体" w:eastAsia="黑体"/>
          <w:color w:val="auto"/>
          <w:szCs w:val="21"/>
        </w:rPr>
        <w:t>月</w:t>
      </w:r>
      <w:r>
        <w:rPr>
          <w:rFonts w:hint="eastAsia" w:ascii="黑体" w:hAnsi="黑体" w:eastAsia="黑体"/>
          <w:color w:val="auto"/>
          <w:szCs w:val="21"/>
          <w:u w:val="single"/>
        </w:rPr>
        <w:t xml:space="preserve">   </w:t>
      </w:r>
      <w:r>
        <w:rPr>
          <w:rFonts w:hint="eastAsia" w:ascii="黑体" w:hAnsi="黑体" w:eastAsia="黑体"/>
          <w:color w:val="auto"/>
          <w:szCs w:val="21"/>
        </w:rPr>
        <w:t>日前向你方交纳履约保证金，且可以履约担保函的形式交纳厦约保证金。应供应商的申请，我方以保证的方式向你方提供如下履约保证金担保：</w:t>
      </w:r>
    </w:p>
    <w:p>
      <w:pPr>
        <w:spacing w:line="360" w:lineRule="auto"/>
        <w:rPr>
          <w:rFonts w:ascii="黑体" w:hAnsi="黑体" w:eastAsia="黑体"/>
          <w:color w:val="auto"/>
          <w:szCs w:val="21"/>
        </w:rPr>
      </w:pPr>
      <w:r>
        <w:rPr>
          <w:rFonts w:hint="eastAsia" w:ascii="黑体" w:hAnsi="黑体" w:eastAsia="黑体"/>
          <w:color w:val="auto"/>
          <w:szCs w:val="21"/>
        </w:rPr>
        <w:t>一、保证责任的情形及保证金额</w:t>
      </w:r>
    </w:p>
    <w:p>
      <w:pPr>
        <w:spacing w:line="360" w:lineRule="auto"/>
        <w:ind w:left="141" w:leftChars="67"/>
        <w:rPr>
          <w:rFonts w:ascii="黑体" w:hAnsi="黑体" w:eastAsia="黑体"/>
          <w:color w:val="auto"/>
          <w:szCs w:val="21"/>
        </w:rPr>
      </w:pPr>
      <w:r>
        <w:rPr>
          <w:rFonts w:hint="eastAsia" w:ascii="黑体" w:hAnsi="黑体" w:eastAsia="黑体"/>
          <w:color w:val="auto"/>
          <w:szCs w:val="21"/>
        </w:rPr>
        <w:t>（一）在供应商出现下列情形之一时，我方承担保证责任：</w:t>
      </w:r>
    </w:p>
    <w:p>
      <w:pPr>
        <w:spacing w:line="360" w:lineRule="auto"/>
        <w:ind w:left="283" w:leftChars="135"/>
        <w:rPr>
          <w:rFonts w:ascii="黑体" w:hAnsi="黑体" w:eastAsia="黑体"/>
          <w:color w:val="auto"/>
          <w:szCs w:val="21"/>
        </w:rPr>
      </w:pPr>
      <w:r>
        <w:rPr>
          <w:rFonts w:hint="eastAsia" w:ascii="黑体" w:hAnsi="黑体" w:eastAsia="黑体"/>
          <w:color w:val="auto"/>
          <w:szCs w:val="21"/>
        </w:rPr>
        <w:t>1.将中标项目转让给他人，或者在投标文件中未说明，且未经采购招标机构人同意,将中标项目分包给他人的；</w:t>
      </w:r>
    </w:p>
    <w:p>
      <w:pPr>
        <w:spacing w:line="360" w:lineRule="auto"/>
        <w:ind w:left="283" w:leftChars="135"/>
        <w:rPr>
          <w:rFonts w:ascii="黑体" w:hAnsi="黑体" w:eastAsia="黑体"/>
          <w:color w:val="auto"/>
          <w:szCs w:val="21"/>
        </w:rPr>
      </w:pPr>
      <w:r>
        <w:rPr>
          <w:rFonts w:hint="eastAsia" w:ascii="黑体" w:hAnsi="黑体" w:eastAsia="黑体"/>
          <w:color w:val="auto"/>
          <w:szCs w:val="21"/>
        </w:rPr>
        <w:t>2.主合同约定的应当缴约履约保证金的情形</w:t>
      </w:r>
    </w:p>
    <w:p>
      <w:pPr>
        <w:spacing w:line="360" w:lineRule="auto"/>
        <w:ind w:left="283" w:leftChars="135"/>
        <w:rPr>
          <w:rFonts w:ascii="黑体" w:hAnsi="黑体" w:eastAsia="黑体"/>
          <w:color w:val="auto"/>
          <w:szCs w:val="21"/>
        </w:rPr>
      </w:pPr>
      <w:r>
        <w:rPr>
          <w:rFonts w:hint="eastAsia" w:ascii="黑体" w:hAnsi="黑体" w:eastAsia="黑体"/>
          <w:color w:val="auto"/>
          <w:szCs w:val="21"/>
        </w:rPr>
        <w:t>(1)未按主合同约定的质量、数量和期限供应货物/提供服务/完成工程的；</w:t>
      </w:r>
    </w:p>
    <w:p>
      <w:pPr>
        <w:spacing w:line="360" w:lineRule="auto"/>
        <w:ind w:left="283" w:leftChars="135"/>
        <w:rPr>
          <w:rFonts w:ascii="黑体" w:hAnsi="黑体" w:eastAsia="黑体"/>
          <w:color w:val="auto"/>
          <w:szCs w:val="21"/>
        </w:rPr>
      </w:pPr>
      <w:r>
        <w:rPr>
          <w:rFonts w:hint="eastAsia" w:ascii="黑体" w:hAnsi="黑体" w:eastAsia="黑体"/>
          <w:color w:val="auto"/>
          <w:szCs w:val="21"/>
        </w:rPr>
        <w:t>(2)</w:t>
      </w:r>
      <w:r>
        <w:rPr>
          <w:rFonts w:hint="eastAsia" w:ascii="黑体" w:hAnsi="黑体" w:eastAsia="黑体"/>
          <w:color w:val="auto"/>
          <w:szCs w:val="21"/>
          <w:u w:val="single"/>
        </w:rPr>
        <w:t xml:space="preserve">                                                            。</w:t>
      </w:r>
    </w:p>
    <w:p>
      <w:pPr>
        <w:spacing w:line="360" w:lineRule="auto"/>
        <w:ind w:left="283" w:leftChars="135"/>
        <w:rPr>
          <w:rFonts w:ascii="黑体" w:hAnsi="黑体" w:eastAsia="黑体"/>
          <w:color w:val="auto"/>
          <w:szCs w:val="21"/>
        </w:rPr>
      </w:pPr>
      <w:r>
        <w:rPr>
          <w:rFonts w:hint="eastAsia" w:ascii="黑体" w:hAnsi="黑体" w:eastAsia="黑体"/>
          <w:color w:val="auto"/>
          <w:szCs w:val="21"/>
        </w:rPr>
        <w:t>(二)我方的保证范围是主合同约定的合同价款总额的</w:t>
      </w:r>
      <w:r>
        <w:rPr>
          <w:rFonts w:hint="eastAsia" w:ascii="黑体" w:hAnsi="黑体" w:eastAsia="黑体"/>
          <w:color w:val="auto"/>
          <w:szCs w:val="21"/>
          <w:u w:val="single"/>
        </w:rPr>
        <w:t xml:space="preserve">      </w:t>
      </w:r>
      <w:r>
        <w:rPr>
          <w:rFonts w:hint="eastAsia" w:ascii="黑体" w:hAnsi="黑体" w:eastAsia="黑体"/>
          <w:color w:val="auto"/>
          <w:szCs w:val="21"/>
        </w:rPr>
        <w:t>%数额为</w:t>
      </w:r>
      <w:r>
        <w:rPr>
          <w:rFonts w:hint="eastAsia" w:ascii="黑体" w:hAnsi="黑体" w:eastAsia="黑体"/>
          <w:color w:val="auto"/>
          <w:szCs w:val="21"/>
          <w:u w:val="single"/>
        </w:rPr>
        <w:t xml:space="preserve">        </w:t>
      </w:r>
      <w:r>
        <w:rPr>
          <w:rFonts w:hint="eastAsia" w:ascii="黑体" w:hAnsi="黑体" w:eastAsia="黑体"/>
          <w:color w:val="auto"/>
          <w:szCs w:val="21"/>
        </w:rPr>
        <w:t>元(大写：</w:t>
      </w:r>
      <w:r>
        <w:rPr>
          <w:rFonts w:hint="eastAsia" w:ascii="黑体" w:hAnsi="黑体" w:eastAsia="黑体"/>
          <w:color w:val="auto"/>
          <w:szCs w:val="21"/>
          <w:u w:val="single"/>
        </w:rPr>
        <w:t xml:space="preserve">          </w:t>
      </w:r>
      <w:r>
        <w:rPr>
          <w:rFonts w:hint="eastAsia" w:ascii="黑体" w:hAnsi="黑体" w:eastAsia="黑体"/>
          <w:color w:val="auto"/>
          <w:szCs w:val="21"/>
        </w:rPr>
        <w:t>)，币种为</w:t>
      </w:r>
      <w:r>
        <w:rPr>
          <w:rFonts w:hint="eastAsia" w:ascii="黑体" w:hAnsi="黑体" w:eastAsia="黑体"/>
          <w:color w:val="auto"/>
          <w:szCs w:val="21"/>
          <w:u w:val="single"/>
        </w:rPr>
        <w:t xml:space="preserve">                。</w:t>
      </w:r>
      <w:r>
        <w:rPr>
          <w:rFonts w:hint="eastAsia" w:ascii="黑体" w:hAnsi="黑体" w:eastAsia="黑体"/>
          <w:color w:val="auto"/>
          <w:szCs w:val="21"/>
        </w:rPr>
        <w:t>（即主合同履约保证金金额）</w:t>
      </w:r>
    </w:p>
    <w:p>
      <w:pPr>
        <w:spacing w:line="360" w:lineRule="auto"/>
        <w:rPr>
          <w:rFonts w:ascii="黑体" w:hAnsi="黑体" w:eastAsia="黑体"/>
          <w:color w:val="auto"/>
          <w:szCs w:val="21"/>
        </w:rPr>
      </w:pPr>
      <w:r>
        <w:rPr>
          <w:rFonts w:hint="eastAsia" w:ascii="黑体" w:hAnsi="黑体" w:eastAsia="黑体"/>
          <w:color w:val="auto"/>
          <w:szCs w:val="21"/>
        </w:rPr>
        <w:t>二、保证的方式及保证期间</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我方保证的方式为：连带责任保证。</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我方保证的期间为：自本合同生效之日起至供应商按照主合同约定的供货/完工期限届满后</w:t>
      </w:r>
      <w:r>
        <w:rPr>
          <w:rFonts w:hint="eastAsia" w:ascii="黑体" w:hAnsi="黑体" w:eastAsia="黑体"/>
          <w:color w:val="auto"/>
          <w:szCs w:val="21"/>
          <w:u w:val="single"/>
        </w:rPr>
        <w:t xml:space="preserve">    </w:t>
      </w:r>
      <w:r>
        <w:rPr>
          <w:rFonts w:hint="eastAsia" w:ascii="黑体" w:hAnsi="黑体" w:eastAsia="黑体"/>
          <w:color w:val="auto"/>
          <w:szCs w:val="21"/>
        </w:rPr>
        <w:t>日内。</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如果供应商未按主合同约定向贵方供应货物/提供服务/完成工程的，由我方在保证金额内向你方支付上述款项。</w:t>
      </w:r>
    </w:p>
    <w:p>
      <w:pPr>
        <w:spacing w:line="360" w:lineRule="auto"/>
        <w:rPr>
          <w:rFonts w:ascii="黑体" w:hAnsi="黑体" w:eastAsia="黑体"/>
          <w:color w:val="auto"/>
          <w:szCs w:val="21"/>
        </w:rPr>
      </w:pPr>
      <w:r>
        <w:rPr>
          <w:rFonts w:hint="eastAsia" w:ascii="黑体" w:hAnsi="黑体" w:eastAsia="黑体"/>
          <w:color w:val="auto"/>
          <w:szCs w:val="21"/>
        </w:rPr>
        <w:t>三、承担保证责任的程序</w:t>
      </w:r>
    </w:p>
    <w:p>
      <w:pPr>
        <w:spacing w:line="360" w:lineRule="auto"/>
        <w:ind w:left="283" w:leftChars="135"/>
        <w:rPr>
          <w:rFonts w:ascii="黑体" w:hAnsi="黑体" w:eastAsia="黑体"/>
          <w:color w:val="auto"/>
          <w:szCs w:val="21"/>
        </w:rPr>
      </w:pPr>
      <w:r>
        <w:rPr>
          <w:rFonts w:hint="eastAsia" w:ascii="黑体" w:hAnsi="黑体" w:eastAsia="黑体"/>
          <w:color w:val="auto"/>
          <w:szCs w:val="21"/>
        </w:rPr>
        <w:t>1.你方要求我方承担保证责任的，应在本保函保证期间内向我方发出书面索赔通知，索赔通知应写明要求索赔的金额，支付款项应到达的账号并附有证明供应商违约事实的证明材料。</w:t>
      </w:r>
    </w:p>
    <w:p>
      <w:pPr>
        <w:spacing w:line="360" w:lineRule="auto"/>
        <w:ind w:left="283" w:leftChars="135"/>
        <w:rPr>
          <w:rFonts w:ascii="黑体" w:hAnsi="黑体" w:eastAsia="黑体"/>
          <w:color w:val="auto"/>
          <w:szCs w:val="21"/>
        </w:rPr>
      </w:pPr>
      <w:r>
        <w:rPr>
          <w:rFonts w:hint="eastAsia" w:ascii="黑体" w:hAnsi="黑体" w:eastAsia="黑体"/>
          <w:color w:val="auto"/>
          <w:szCs w:val="21"/>
        </w:rPr>
        <w:t>如果你方与供应商因货物质量问题产生争议，你方还需同时提供</w:t>
      </w:r>
      <w:r>
        <w:rPr>
          <w:rFonts w:hint="eastAsia" w:ascii="黑体" w:hAnsi="黑体" w:eastAsia="黑体"/>
          <w:color w:val="auto"/>
          <w:szCs w:val="21"/>
          <w:u w:val="single"/>
        </w:rPr>
        <w:t xml:space="preserve">          </w:t>
      </w:r>
      <w:r>
        <w:rPr>
          <w:rFonts w:hint="eastAsia" w:ascii="黑体" w:hAnsi="黑体" w:eastAsia="黑体"/>
          <w:color w:val="auto"/>
          <w:szCs w:val="21"/>
        </w:rPr>
        <w:t>部门出具的质量检测报告，或经诉讼(仲裁)程序裁决后的裁决书、调解书，本保证人即按照检测结果或裁决书、调解书决定是否承担保证责任。</w:t>
      </w:r>
    </w:p>
    <w:p>
      <w:pPr>
        <w:spacing w:line="360" w:lineRule="auto"/>
        <w:ind w:left="283" w:leftChars="135"/>
        <w:rPr>
          <w:rFonts w:ascii="黑体" w:hAnsi="黑体" w:eastAsia="黑体"/>
          <w:color w:val="auto"/>
          <w:szCs w:val="21"/>
        </w:rPr>
      </w:pPr>
      <w:r>
        <w:rPr>
          <w:rFonts w:hint="eastAsia" w:ascii="黑体" w:hAnsi="黑体" w:eastAsia="黑体"/>
          <w:color w:val="auto"/>
          <w:szCs w:val="21"/>
        </w:rPr>
        <w:t>2.我方收到你方的书面索赔通知及相应证明材料，在</w:t>
      </w:r>
      <w:r>
        <w:rPr>
          <w:rFonts w:hint="eastAsia" w:ascii="黑体" w:hAnsi="黑体" w:eastAsia="黑体"/>
          <w:color w:val="auto"/>
          <w:szCs w:val="21"/>
          <w:u w:val="single"/>
        </w:rPr>
        <w:t xml:space="preserve">     </w:t>
      </w:r>
      <w:r>
        <w:rPr>
          <w:rFonts w:hint="eastAsia" w:ascii="黑体" w:hAnsi="黑体" w:eastAsia="黑体"/>
          <w:color w:val="auto"/>
          <w:szCs w:val="21"/>
        </w:rPr>
        <w:t>工作日内进行核定后按照本保函的承诺承担保证责任。</w:t>
      </w:r>
    </w:p>
    <w:p>
      <w:pPr>
        <w:spacing w:line="360" w:lineRule="auto"/>
        <w:rPr>
          <w:rFonts w:ascii="黑体" w:hAnsi="黑体" w:eastAsia="黑体"/>
          <w:color w:val="auto"/>
          <w:szCs w:val="21"/>
        </w:rPr>
      </w:pPr>
      <w:r>
        <w:rPr>
          <w:rFonts w:hint="eastAsia" w:ascii="黑体" w:hAnsi="黑体" w:eastAsia="黑体"/>
          <w:color w:val="auto"/>
          <w:szCs w:val="21"/>
        </w:rPr>
        <w:t>四、保证责任的终止</w:t>
      </w:r>
    </w:p>
    <w:p>
      <w:pPr>
        <w:spacing w:line="360" w:lineRule="auto"/>
        <w:ind w:left="281" w:leftChars="134"/>
        <w:rPr>
          <w:rFonts w:ascii="黑体" w:hAnsi="黑体" w:eastAsia="黑体"/>
          <w:color w:val="auto"/>
          <w:szCs w:val="21"/>
        </w:rPr>
      </w:pPr>
      <w:r>
        <w:rPr>
          <w:rFonts w:hint="eastAsia" w:ascii="黑体" w:hAnsi="黑体" w:eastAsia="黑体"/>
          <w:color w:val="auto"/>
          <w:szCs w:val="21"/>
        </w:rPr>
        <w:t>1.保证期间届满你方未向我方书面主张保证责任的，自保证期间届满次日超，我方保证责任自动终止。保证期间届满前，主合同约定的货物\工程\服务全部验收合格的，自验收合格日起，我方保证责任自动终止。</w:t>
      </w:r>
    </w:p>
    <w:p>
      <w:pPr>
        <w:spacing w:line="360" w:lineRule="auto"/>
        <w:ind w:left="281" w:leftChars="134"/>
        <w:rPr>
          <w:rFonts w:ascii="黑体" w:hAnsi="黑体" w:eastAsia="黑体"/>
          <w:color w:val="auto"/>
          <w:szCs w:val="21"/>
        </w:rPr>
      </w:pPr>
      <w:r>
        <w:rPr>
          <w:rFonts w:hint="eastAsia" w:ascii="黑体" w:hAnsi="黑体" w:eastAsia="黑体"/>
          <w:color w:val="auto"/>
          <w:szCs w:val="21"/>
        </w:rPr>
        <w:t>2.我方按照本保函向你方履行了保证责任后，自我方向你方支付款项(支付款项从我方账户划出)之日起，保证责任即终止。</w:t>
      </w:r>
    </w:p>
    <w:p>
      <w:pPr>
        <w:spacing w:line="360" w:lineRule="auto"/>
        <w:ind w:left="281" w:leftChars="134"/>
        <w:rPr>
          <w:rFonts w:ascii="黑体" w:hAnsi="黑体" w:eastAsia="黑体"/>
          <w:color w:val="auto"/>
          <w:szCs w:val="21"/>
        </w:rPr>
      </w:pPr>
      <w:r>
        <w:rPr>
          <w:rFonts w:hint="eastAsia" w:ascii="黑体" w:hAnsi="黑体" w:eastAsia="黑体"/>
          <w:color w:val="auto"/>
          <w:szCs w:val="21"/>
        </w:rPr>
        <w:t>3.按照法律法规的规定或出现应终止我方保证责任的其它情形的，我方在本保函项下的保证责任亦终止。</w:t>
      </w:r>
    </w:p>
    <w:p>
      <w:pPr>
        <w:spacing w:line="360" w:lineRule="auto"/>
        <w:ind w:left="281" w:leftChars="134"/>
        <w:rPr>
          <w:rFonts w:ascii="黑体" w:hAnsi="黑体" w:eastAsia="黑体"/>
          <w:color w:val="auto"/>
          <w:szCs w:val="21"/>
        </w:rPr>
      </w:pPr>
      <w:r>
        <w:rPr>
          <w:rFonts w:hint="eastAsia" w:ascii="黑体" w:hAnsi="黑体" w:eastAsia="黑体"/>
          <w:color w:val="auto"/>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rPr>
          <w:rFonts w:ascii="黑体" w:hAnsi="黑体" w:eastAsia="黑体"/>
          <w:color w:val="auto"/>
          <w:szCs w:val="21"/>
        </w:rPr>
      </w:pPr>
      <w:r>
        <w:rPr>
          <w:rFonts w:hint="eastAsia" w:ascii="黑体" w:hAnsi="黑体" w:eastAsia="黑体"/>
          <w:color w:val="auto"/>
          <w:szCs w:val="21"/>
        </w:rPr>
        <w:t>五,免责条款</w:t>
      </w:r>
    </w:p>
    <w:p>
      <w:pPr>
        <w:spacing w:line="360" w:lineRule="auto"/>
        <w:ind w:left="283" w:leftChars="135"/>
        <w:rPr>
          <w:rFonts w:ascii="黑体" w:hAnsi="黑体" w:eastAsia="黑体"/>
          <w:color w:val="auto"/>
          <w:szCs w:val="21"/>
        </w:rPr>
      </w:pPr>
      <w:r>
        <w:rPr>
          <w:rFonts w:hint="eastAsia" w:ascii="黑体" w:hAnsi="黑体" w:eastAsia="黑体"/>
          <w:color w:val="auto"/>
          <w:szCs w:val="21"/>
        </w:rPr>
        <w:t>1.因你方违反主合同约定致使供应商不能履行义务的，我方不承担保证责任。</w:t>
      </w:r>
    </w:p>
    <w:p>
      <w:pPr>
        <w:spacing w:line="360" w:lineRule="auto"/>
        <w:ind w:left="283" w:leftChars="135"/>
        <w:rPr>
          <w:rFonts w:ascii="黑体" w:hAnsi="黑体" w:eastAsia="黑体"/>
          <w:color w:val="auto"/>
          <w:szCs w:val="21"/>
        </w:rPr>
      </w:pPr>
      <w:r>
        <w:rPr>
          <w:rFonts w:hint="eastAsia" w:ascii="黑体" w:hAnsi="黑体" w:eastAsia="黑体"/>
          <w:color w:val="auto"/>
          <w:szCs w:val="21"/>
        </w:rPr>
        <w:t>2.依照法律法规的规定或你方与供应商的另行约定,全部或者部分免除供应商应缴纳的保证金义务的，我方亦免除相应的保证责任。</w:t>
      </w:r>
    </w:p>
    <w:p>
      <w:pPr>
        <w:spacing w:line="360" w:lineRule="auto"/>
        <w:ind w:left="283" w:leftChars="135"/>
        <w:rPr>
          <w:rFonts w:ascii="黑体" w:hAnsi="黑体" w:eastAsia="黑体"/>
          <w:color w:val="auto"/>
          <w:szCs w:val="21"/>
        </w:rPr>
      </w:pPr>
      <w:r>
        <w:rPr>
          <w:rFonts w:hint="eastAsia" w:ascii="黑体" w:hAnsi="黑体" w:eastAsia="黑体"/>
          <w:color w:val="auto"/>
          <w:szCs w:val="21"/>
        </w:rPr>
        <w:t>3.因不可抗力造成供应商不能履行供货义务的，我方不承担保证责任。</w:t>
      </w:r>
    </w:p>
    <w:p>
      <w:pPr>
        <w:spacing w:line="360" w:lineRule="auto"/>
        <w:rPr>
          <w:rFonts w:ascii="黑体" w:hAnsi="黑体" w:eastAsia="黑体"/>
          <w:color w:val="auto"/>
          <w:szCs w:val="21"/>
        </w:rPr>
      </w:pPr>
      <w:r>
        <w:rPr>
          <w:rFonts w:hint="eastAsia" w:ascii="黑体" w:hAnsi="黑体" w:eastAsia="黑体"/>
          <w:color w:val="auto"/>
          <w:szCs w:val="21"/>
        </w:rPr>
        <w:t>六、争议的解决</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因本保函发生的纠纷,由你我双方协商解决，协商不成的，通过诉讼程序解决，诉讼管辖地法院为</w:t>
      </w:r>
      <w:r>
        <w:rPr>
          <w:rFonts w:hint="eastAsia" w:ascii="黑体" w:hAnsi="黑体" w:eastAsia="黑体"/>
          <w:color w:val="auto"/>
          <w:szCs w:val="21"/>
          <w:u w:val="single"/>
        </w:rPr>
        <w:t xml:space="preserve">               </w:t>
      </w:r>
      <w:r>
        <w:rPr>
          <w:rFonts w:hint="eastAsia" w:ascii="黑体" w:hAnsi="黑体" w:eastAsia="黑体"/>
          <w:color w:val="auto"/>
          <w:szCs w:val="21"/>
        </w:rPr>
        <w:t>法院。</w:t>
      </w:r>
    </w:p>
    <w:p>
      <w:pPr>
        <w:spacing w:line="360" w:lineRule="auto"/>
        <w:rPr>
          <w:rFonts w:ascii="黑体" w:hAnsi="黑体" w:eastAsia="黑体"/>
          <w:color w:val="auto"/>
          <w:szCs w:val="21"/>
        </w:rPr>
      </w:pPr>
      <w:r>
        <w:rPr>
          <w:rFonts w:hint="eastAsia" w:ascii="黑体" w:hAnsi="黑体" w:eastAsia="黑体"/>
          <w:color w:val="auto"/>
          <w:szCs w:val="21"/>
        </w:rPr>
        <w:t>七、保函的生效</w:t>
      </w:r>
    </w:p>
    <w:p>
      <w:pPr>
        <w:spacing w:line="360" w:lineRule="auto"/>
        <w:ind w:firstLine="420" w:firstLineChars="200"/>
        <w:rPr>
          <w:rFonts w:ascii="黑体" w:hAnsi="黑体" w:eastAsia="黑体"/>
          <w:color w:val="auto"/>
          <w:szCs w:val="21"/>
        </w:rPr>
      </w:pPr>
      <w:r>
        <w:rPr>
          <w:rFonts w:hint="eastAsia" w:ascii="黑体" w:hAnsi="黑体" w:eastAsia="黑体"/>
          <w:color w:val="auto"/>
          <w:szCs w:val="21"/>
        </w:rPr>
        <w:t>本保函自我方加盖公章之日起生效。</w:t>
      </w:r>
    </w:p>
    <w:p>
      <w:pPr>
        <w:spacing w:before="780" w:beforeLines="250" w:line="360" w:lineRule="auto"/>
        <w:jc w:val="right"/>
        <w:rPr>
          <w:rFonts w:ascii="黑体" w:hAnsi="黑体" w:eastAsia="黑体"/>
          <w:color w:val="auto"/>
          <w:szCs w:val="21"/>
        </w:rPr>
      </w:pPr>
      <w:r>
        <w:rPr>
          <w:rFonts w:hint="eastAsia" w:ascii="黑体" w:hAnsi="黑体" w:eastAsia="黑体"/>
          <w:color w:val="auto"/>
          <w:szCs w:val="21"/>
        </w:rPr>
        <w:t>保证人：(公章)</w:t>
      </w:r>
    </w:p>
    <w:p>
      <w:pPr>
        <w:spacing w:line="360" w:lineRule="auto"/>
        <w:ind w:firstLine="420" w:firstLineChars="200"/>
        <w:jc w:val="right"/>
        <w:rPr>
          <w:rFonts w:ascii="黑体" w:hAnsi="黑体" w:eastAsia="黑体"/>
          <w:color w:val="auto"/>
          <w:szCs w:val="21"/>
        </w:rPr>
      </w:pPr>
      <w:r>
        <w:rPr>
          <w:rFonts w:hint="eastAsia" w:ascii="黑体" w:hAnsi="黑体" w:eastAsia="黑体"/>
          <w:color w:val="auto"/>
          <w:szCs w:val="21"/>
        </w:rPr>
        <w:t>年   月   日</w:t>
      </w:r>
    </w:p>
    <w:p>
      <w:pPr>
        <w:rPr>
          <w:color w:val="auto"/>
        </w:rPr>
      </w:pPr>
    </w:p>
    <w:p>
      <w:pPr>
        <w:spacing w:line="360" w:lineRule="auto"/>
        <w:rPr>
          <w:rFonts w:ascii="黑体" w:hAnsi="黑体" w:eastAsia="黑体"/>
          <w:color w:val="auto"/>
        </w:rPr>
      </w:pPr>
    </w:p>
    <w:bookmarkEnd w:id="65"/>
    <w:p>
      <w:pPr>
        <w:spacing w:line="360" w:lineRule="auto"/>
        <w:rPr>
          <w:rFonts w:ascii="黑体" w:hAnsi="黑体" w:eastAsia="黑体"/>
          <w:color w:val="auto"/>
        </w:rPr>
      </w:pPr>
    </w:p>
    <w:p>
      <w:pPr>
        <w:pStyle w:val="3"/>
        <w:keepNext w:val="0"/>
        <w:keepLines w:val="0"/>
        <w:pageBreakBefore/>
        <w:numPr>
          <w:ilvl w:val="0"/>
          <w:numId w:val="93"/>
        </w:numPr>
        <w:tabs>
          <w:tab w:val="left" w:pos="284"/>
        </w:tabs>
        <w:spacing w:line="360" w:lineRule="auto"/>
        <w:jc w:val="left"/>
        <w:rPr>
          <w:rStyle w:val="23"/>
          <w:rFonts w:ascii="黑体" w:hAnsi="黑体" w:eastAsia="黑体"/>
          <w:b/>
          <w:bCs w:val="0"/>
          <w:color w:val="auto"/>
          <w:spacing w:val="12"/>
          <w:sz w:val="21"/>
          <w:szCs w:val="21"/>
        </w:rPr>
      </w:pPr>
      <w:bookmarkStart w:id="120" w:name="_Toc90980580"/>
      <w:r>
        <w:rPr>
          <w:rStyle w:val="23"/>
          <w:rFonts w:hint="eastAsia" w:ascii="黑体" w:hAnsi="黑体" w:eastAsia="黑体"/>
          <w:b/>
          <w:bCs w:val="0"/>
          <w:color w:val="auto"/>
          <w:spacing w:val="12"/>
          <w:sz w:val="21"/>
          <w:szCs w:val="21"/>
        </w:rPr>
        <w:t>唱标信封格式</w:t>
      </w:r>
      <w:bookmarkEnd w:id="120"/>
    </w:p>
    <w:p>
      <w:pPr>
        <w:spacing w:line="360" w:lineRule="auto"/>
        <w:jc w:val="center"/>
        <w:rPr>
          <w:rFonts w:ascii="黑体" w:hAnsi="黑体" w:eastAsia="黑体"/>
          <w:bCs/>
          <w:color w:val="auto"/>
          <w:sz w:val="50"/>
          <w:szCs w:val="50"/>
        </w:rPr>
      </w:pPr>
    </w:p>
    <w:p>
      <w:pPr>
        <w:spacing w:before="468" w:beforeLines="150" w:after="780" w:afterLines="250" w:line="360" w:lineRule="auto"/>
        <w:jc w:val="center"/>
        <w:rPr>
          <w:rFonts w:ascii="黑体" w:hAnsi="黑体" w:eastAsia="黑体"/>
          <w:bCs/>
          <w:color w:val="auto"/>
          <w:sz w:val="50"/>
          <w:szCs w:val="50"/>
        </w:rPr>
      </w:pPr>
      <w:r>
        <w:rPr>
          <w:rFonts w:hint="eastAsia" w:ascii="黑体" w:hAnsi="黑体" w:eastAsia="黑体"/>
          <w:bCs/>
          <w:color w:val="auto"/>
          <w:sz w:val="50"/>
          <w:szCs w:val="50"/>
        </w:rPr>
        <w:t>东莞市大岭山森林公园2023年食堂承包服务项目</w:t>
      </w:r>
    </w:p>
    <w:p>
      <w:pPr>
        <w:spacing w:line="360" w:lineRule="auto"/>
        <w:rPr>
          <w:rFonts w:ascii="黑体" w:hAnsi="黑体" w:eastAsia="黑体"/>
          <w:b/>
          <w:color w:val="auto"/>
          <w:szCs w:val="21"/>
        </w:rPr>
      </w:pPr>
    </w:p>
    <w:p>
      <w:pPr>
        <w:spacing w:line="360" w:lineRule="auto"/>
        <w:jc w:val="center"/>
        <w:rPr>
          <w:rFonts w:ascii="黑体" w:hAnsi="黑体" w:eastAsia="黑体"/>
          <w:b/>
          <w:color w:val="auto"/>
          <w:szCs w:val="21"/>
        </w:rPr>
      </w:pPr>
      <w:r>
        <w:rPr>
          <w:rFonts w:hint="eastAsia" w:ascii="黑体" w:hAnsi="黑体" w:eastAsia="黑体"/>
          <w:b/>
          <w:color w:val="auto"/>
          <w:szCs w:val="21"/>
        </w:rPr>
        <w:t>（项目编号：</w:t>
      </w:r>
      <w:r>
        <w:rPr>
          <w:rFonts w:ascii="黑体" w:hAnsi="黑体" w:eastAsia="黑体"/>
          <w:b/>
          <w:color w:val="auto"/>
          <w:szCs w:val="21"/>
          <w:u w:val="single"/>
        </w:rPr>
        <w:t xml:space="preserve">             </w:t>
      </w:r>
      <w:r>
        <w:rPr>
          <w:rFonts w:hint="eastAsia" w:ascii="黑体" w:hAnsi="黑体" w:eastAsia="黑体"/>
          <w:b/>
          <w:color w:val="auto"/>
          <w:szCs w:val="21"/>
        </w:rPr>
        <w:t>）</w:t>
      </w:r>
    </w:p>
    <w:p>
      <w:pPr>
        <w:spacing w:before="1404" w:beforeLines="450" w:line="360" w:lineRule="auto"/>
        <w:jc w:val="center"/>
        <w:rPr>
          <w:rFonts w:ascii="黑体" w:hAnsi="黑体" w:eastAsia="黑体"/>
          <w:b/>
          <w:color w:val="auto"/>
          <w:spacing w:val="60"/>
          <w:sz w:val="72"/>
          <w:szCs w:val="72"/>
        </w:rPr>
      </w:pPr>
      <w:r>
        <w:rPr>
          <w:rFonts w:hint="eastAsia" w:ascii="黑体" w:hAnsi="黑体" w:eastAsia="黑体"/>
          <w:b/>
          <w:color w:val="auto"/>
          <w:spacing w:val="60"/>
          <w:sz w:val="72"/>
          <w:szCs w:val="72"/>
        </w:rPr>
        <w:t>唱标信封</w:t>
      </w:r>
    </w:p>
    <w:p>
      <w:pPr>
        <w:spacing w:after="2028" w:afterLines="650" w:line="360" w:lineRule="auto"/>
        <w:jc w:val="center"/>
        <w:rPr>
          <w:rFonts w:ascii="黑体" w:hAnsi="黑体" w:eastAsia="黑体"/>
          <w:b/>
          <w:color w:val="auto"/>
          <w:szCs w:val="21"/>
        </w:rPr>
      </w:pPr>
      <w:r>
        <w:rPr>
          <w:rFonts w:hint="eastAsia" w:ascii="黑体" w:hAnsi="黑体" w:eastAsia="黑体"/>
          <w:b/>
          <w:color w:val="auto"/>
          <w:szCs w:val="21"/>
        </w:rPr>
        <w:t>（封面格式仅供参考）</w:t>
      </w:r>
    </w:p>
    <w:tbl>
      <w:tblPr>
        <w:tblStyle w:val="21"/>
        <w:tblW w:w="418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5"/>
        <w:gridCol w:w="5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1421" w:type="pct"/>
            <w:vAlign w:val="center"/>
          </w:tcPr>
          <w:p>
            <w:pPr>
              <w:spacing w:line="360" w:lineRule="auto"/>
              <w:jc w:val="right"/>
              <w:rPr>
                <w:rFonts w:ascii="黑体" w:hAnsi="黑体" w:eastAsia="黑体"/>
                <w:color w:val="auto"/>
                <w:sz w:val="24"/>
                <w:szCs w:val="24"/>
              </w:rPr>
            </w:pPr>
            <w:r>
              <w:rPr>
                <w:rFonts w:hint="eastAsia" w:ascii="黑体" w:hAnsi="黑体" w:eastAsia="黑体"/>
                <w:color w:val="auto"/>
                <w:sz w:val="24"/>
                <w:szCs w:val="24"/>
              </w:rPr>
              <w:t>投标人名称：</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421" w:type="pct"/>
            <w:vAlign w:val="center"/>
          </w:tcPr>
          <w:p>
            <w:pPr>
              <w:spacing w:line="360" w:lineRule="auto"/>
              <w:jc w:val="right"/>
              <w:rPr>
                <w:rFonts w:ascii="黑体" w:hAnsi="黑体" w:eastAsia="黑体"/>
                <w:color w:val="auto"/>
                <w:sz w:val="24"/>
                <w:szCs w:val="24"/>
              </w:rPr>
            </w:pPr>
            <w:r>
              <w:rPr>
                <w:rFonts w:hint="eastAsia" w:ascii="黑体" w:hAnsi="黑体" w:eastAsia="黑体"/>
                <w:color w:val="auto"/>
                <w:sz w:val="24"/>
                <w:szCs w:val="24"/>
              </w:rPr>
              <w:t>投标人地址：</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421" w:type="pct"/>
            <w:vAlign w:val="center"/>
          </w:tcPr>
          <w:p>
            <w:pPr>
              <w:spacing w:line="360" w:lineRule="auto"/>
              <w:jc w:val="right"/>
              <w:rPr>
                <w:rFonts w:ascii="黑体" w:hAnsi="黑体" w:eastAsia="黑体"/>
                <w:color w:val="auto"/>
                <w:spacing w:val="-10"/>
                <w:sz w:val="24"/>
                <w:szCs w:val="24"/>
              </w:rPr>
            </w:pPr>
            <w:r>
              <w:rPr>
                <w:rFonts w:hint="eastAsia" w:ascii="黑体" w:hAnsi="黑体" w:eastAsia="黑体"/>
                <w:color w:val="auto"/>
                <w:sz w:val="24"/>
                <w:szCs w:val="24"/>
              </w:rPr>
              <w:t>投标联系人</w:t>
            </w:r>
            <w:r>
              <w:rPr>
                <w:rFonts w:hint="eastAsia" w:ascii="黑体" w:hAnsi="黑体" w:eastAsia="黑体"/>
                <w:color w:val="auto"/>
                <w:spacing w:val="-10"/>
                <w:sz w:val="24"/>
                <w:szCs w:val="24"/>
              </w:rPr>
              <w:t>：</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421" w:type="pct"/>
            <w:vAlign w:val="center"/>
          </w:tcPr>
          <w:p>
            <w:pPr>
              <w:tabs>
                <w:tab w:val="left" w:pos="170"/>
              </w:tabs>
              <w:spacing w:line="360" w:lineRule="auto"/>
              <w:jc w:val="right"/>
              <w:rPr>
                <w:rFonts w:ascii="黑体" w:hAnsi="黑体" w:eastAsia="黑体"/>
                <w:color w:val="auto"/>
                <w:sz w:val="24"/>
                <w:szCs w:val="24"/>
              </w:rPr>
            </w:pPr>
            <w:r>
              <w:rPr>
                <w:rFonts w:hint="eastAsia" w:ascii="黑体" w:hAnsi="黑体" w:eastAsia="黑体"/>
                <w:color w:val="auto"/>
                <w:spacing w:val="24"/>
                <w:sz w:val="24"/>
                <w:szCs w:val="24"/>
              </w:rPr>
              <w:t>联系电话</w:t>
            </w:r>
            <w:r>
              <w:rPr>
                <w:rFonts w:hint="eastAsia" w:ascii="黑体" w:hAnsi="黑体" w:eastAsia="黑体"/>
                <w:color w:val="auto"/>
                <w:sz w:val="24"/>
                <w:szCs w:val="24"/>
              </w:rPr>
              <w:t>：</w:t>
            </w:r>
          </w:p>
        </w:tc>
        <w:tc>
          <w:tcPr>
            <w:tcW w:w="3579" w:type="pct"/>
            <w:vAlign w:val="center"/>
          </w:tcPr>
          <w:p>
            <w:pPr>
              <w:spacing w:line="360" w:lineRule="auto"/>
              <w:jc w:val="left"/>
              <w:rPr>
                <w:rFonts w:ascii="黑体" w:hAnsi="黑体" w:eastAsia="黑体"/>
                <w:color w:val="auto"/>
                <w:sz w:val="24"/>
                <w:szCs w:val="24"/>
                <w:u w:val="single"/>
              </w:rPr>
            </w:pPr>
            <w:r>
              <w:rPr>
                <w:rFonts w:ascii="黑体" w:hAnsi="黑体" w:eastAsia="黑体"/>
                <w:color w:val="auto"/>
                <w:sz w:val="24"/>
                <w:szCs w:val="24"/>
                <w:u w:val="single"/>
              </w:rPr>
              <w:t xml:space="preserve">                                       </w:t>
            </w:r>
          </w:p>
        </w:tc>
      </w:tr>
    </w:tbl>
    <w:p>
      <w:pPr>
        <w:spacing w:before="468" w:beforeLines="150" w:line="600" w:lineRule="exact"/>
        <w:jc w:val="center"/>
        <w:rPr>
          <w:rFonts w:ascii="黑体" w:hAnsi="黑体" w:eastAsia="黑体"/>
          <w:color w:val="auto"/>
        </w:rPr>
      </w:pPr>
      <w:r>
        <w:rPr>
          <w:rFonts w:hint="eastAsia" w:ascii="黑体" w:hAnsi="黑体" w:eastAsia="黑体"/>
          <w:b/>
          <w:color w:val="auto"/>
          <w:spacing w:val="40"/>
          <w:sz w:val="24"/>
          <w:szCs w:val="24"/>
        </w:rPr>
        <w:t>日期：</w:t>
      </w:r>
      <w:r>
        <w:rPr>
          <w:rFonts w:hint="eastAsia" w:ascii="黑体" w:hAnsi="黑体" w:eastAsia="黑体"/>
          <w:b/>
          <w:color w:val="auto"/>
          <w:spacing w:val="20"/>
          <w:szCs w:val="21"/>
        </w:rPr>
        <w:t xml:space="preserve">    </w:t>
      </w:r>
      <w:r>
        <w:rPr>
          <w:rFonts w:hint="eastAsia" w:ascii="黑体" w:hAnsi="黑体" w:eastAsia="黑体"/>
          <w:b/>
          <w:color w:val="auto"/>
          <w:spacing w:val="40"/>
          <w:sz w:val="24"/>
          <w:szCs w:val="24"/>
        </w:rPr>
        <w:t xml:space="preserve">年 </w:t>
      </w:r>
      <w:r>
        <w:rPr>
          <w:rFonts w:ascii="黑体" w:hAnsi="黑体" w:eastAsia="黑体"/>
          <w:b/>
          <w:color w:val="auto"/>
          <w:spacing w:val="40"/>
          <w:sz w:val="24"/>
          <w:szCs w:val="24"/>
        </w:rPr>
        <w:t xml:space="preserve"> </w:t>
      </w:r>
      <w:r>
        <w:rPr>
          <w:rFonts w:hint="eastAsia" w:ascii="黑体" w:hAnsi="黑体" w:eastAsia="黑体"/>
          <w:b/>
          <w:color w:val="auto"/>
          <w:spacing w:val="40"/>
          <w:sz w:val="24"/>
          <w:szCs w:val="24"/>
        </w:rPr>
        <w:t xml:space="preserve">月 </w:t>
      </w:r>
      <w:r>
        <w:rPr>
          <w:rFonts w:ascii="黑体" w:hAnsi="黑体" w:eastAsia="黑体"/>
          <w:b/>
          <w:color w:val="auto"/>
          <w:spacing w:val="40"/>
          <w:sz w:val="24"/>
          <w:szCs w:val="24"/>
        </w:rPr>
        <w:t xml:space="preserve"> </w:t>
      </w:r>
      <w:r>
        <w:rPr>
          <w:rFonts w:hint="eastAsia" w:ascii="黑体" w:hAnsi="黑体" w:eastAsia="黑体"/>
          <w:b/>
          <w:color w:val="auto"/>
          <w:spacing w:val="40"/>
          <w:sz w:val="24"/>
          <w:szCs w:val="24"/>
        </w:rPr>
        <w:t>日</w:t>
      </w:r>
    </w:p>
    <w:p>
      <w:pPr>
        <w:pStyle w:val="30"/>
        <w:numPr>
          <w:ilvl w:val="0"/>
          <w:numId w:val="105"/>
        </w:numPr>
        <w:spacing w:before="312" w:beforeLines="100" w:after="312" w:afterLines="100" w:line="360" w:lineRule="auto"/>
        <w:ind w:firstLineChars="0"/>
        <w:jc w:val="left"/>
        <w:rPr>
          <w:rFonts w:ascii="黑体" w:hAnsi="黑体" w:eastAsia="黑体"/>
          <w:b/>
          <w:color w:val="auto"/>
          <w:spacing w:val="20"/>
          <w:sz w:val="28"/>
          <w:szCs w:val="28"/>
        </w:rPr>
      </w:pPr>
      <w:r>
        <w:rPr>
          <w:rFonts w:hint="eastAsia" w:ascii="黑体" w:hAnsi="黑体" w:eastAsia="黑体"/>
          <w:b/>
          <w:color w:val="auto"/>
          <w:spacing w:val="20"/>
          <w:sz w:val="28"/>
          <w:szCs w:val="28"/>
        </w:rPr>
        <w:t>唱标信封内装：</w:t>
      </w:r>
    </w:p>
    <w:p>
      <w:pPr>
        <w:pStyle w:val="30"/>
        <w:numPr>
          <w:ilvl w:val="0"/>
          <w:numId w:val="106"/>
        </w:numPr>
        <w:spacing w:line="360" w:lineRule="auto"/>
        <w:ind w:firstLineChars="0"/>
        <w:rPr>
          <w:rFonts w:ascii="黑体" w:hAnsi="黑体" w:eastAsia="黑体"/>
          <w:color w:val="auto"/>
          <w:szCs w:val="21"/>
        </w:rPr>
      </w:pPr>
      <w:r>
        <w:rPr>
          <w:rFonts w:hint="eastAsia" w:ascii="黑体" w:hAnsi="黑体" w:eastAsia="黑体"/>
          <w:color w:val="auto"/>
          <w:szCs w:val="21"/>
        </w:rPr>
        <w:t>开标一览表加盖投标人公章；</w:t>
      </w:r>
    </w:p>
    <w:p>
      <w:pPr>
        <w:pStyle w:val="30"/>
        <w:numPr>
          <w:ilvl w:val="0"/>
          <w:numId w:val="106"/>
        </w:numPr>
        <w:spacing w:line="360" w:lineRule="auto"/>
        <w:ind w:firstLineChars="0"/>
        <w:rPr>
          <w:rFonts w:ascii="黑体" w:hAnsi="黑体" w:eastAsia="黑体"/>
          <w:color w:val="auto"/>
          <w:szCs w:val="21"/>
        </w:rPr>
      </w:pPr>
      <w:r>
        <w:rPr>
          <w:rFonts w:hint="eastAsia" w:ascii="黑体" w:hAnsi="黑体" w:eastAsia="黑体"/>
          <w:color w:val="auto"/>
          <w:szCs w:val="21"/>
        </w:rPr>
        <w:t>投标明细报价表加盖投标人公章；</w:t>
      </w:r>
    </w:p>
    <w:p>
      <w:pPr>
        <w:pStyle w:val="30"/>
        <w:numPr>
          <w:ilvl w:val="0"/>
          <w:numId w:val="106"/>
        </w:numPr>
        <w:spacing w:line="360" w:lineRule="auto"/>
        <w:ind w:firstLineChars="0"/>
        <w:rPr>
          <w:rFonts w:ascii="黑体" w:hAnsi="黑体" w:eastAsia="黑体"/>
          <w:color w:val="auto"/>
          <w:szCs w:val="21"/>
        </w:rPr>
      </w:pPr>
      <w:r>
        <w:rPr>
          <w:rFonts w:hint="eastAsia" w:ascii="黑体" w:hAnsi="黑体" w:eastAsia="黑体"/>
          <w:color w:val="auto"/>
          <w:szCs w:val="21"/>
        </w:rPr>
        <w:t>法定代表人证明书或法定代表人授权委托书加盖投标人公章；</w:t>
      </w:r>
    </w:p>
    <w:p>
      <w:pPr>
        <w:pStyle w:val="30"/>
        <w:numPr>
          <w:ilvl w:val="0"/>
          <w:numId w:val="106"/>
        </w:numPr>
        <w:spacing w:line="360" w:lineRule="auto"/>
        <w:ind w:firstLineChars="0"/>
        <w:rPr>
          <w:rFonts w:ascii="黑体" w:hAnsi="黑体" w:eastAsia="黑体"/>
          <w:color w:val="auto"/>
          <w:szCs w:val="21"/>
        </w:rPr>
      </w:pPr>
      <w:r>
        <w:rPr>
          <w:rFonts w:hint="eastAsia" w:ascii="黑体" w:hAnsi="黑体" w:eastAsia="黑体"/>
          <w:color w:val="auto"/>
          <w:szCs w:val="21"/>
        </w:rPr>
        <w:t>投标保证金汇入情况说明加盖投标人公章或政府采购投标担保函递交情况说明加盖投标人公章；</w:t>
      </w:r>
    </w:p>
    <w:p>
      <w:pPr>
        <w:pStyle w:val="30"/>
        <w:numPr>
          <w:ilvl w:val="0"/>
          <w:numId w:val="106"/>
        </w:numPr>
        <w:spacing w:line="360" w:lineRule="auto"/>
        <w:ind w:firstLineChars="0"/>
        <w:rPr>
          <w:rFonts w:ascii="黑体" w:hAnsi="黑体" w:eastAsia="黑体"/>
          <w:color w:val="auto"/>
          <w:szCs w:val="21"/>
        </w:rPr>
      </w:pPr>
      <w:r>
        <w:rPr>
          <w:rFonts w:hint="eastAsia" w:ascii="黑体" w:hAnsi="黑体" w:eastAsia="黑体"/>
          <w:color w:val="auto"/>
          <w:szCs w:val="21"/>
        </w:rPr>
        <w:t>银行汇款凭证加盖投标人公章或《政府采购投标担保函》原件；</w:t>
      </w:r>
    </w:p>
    <w:p>
      <w:pPr>
        <w:pStyle w:val="30"/>
        <w:numPr>
          <w:ilvl w:val="0"/>
          <w:numId w:val="106"/>
        </w:numPr>
        <w:spacing w:line="360" w:lineRule="auto"/>
        <w:ind w:firstLineChars="0"/>
        <w:rPr>
          <w:rFonts w:ascii="黑体" w:hAnsi="黑体" w:eastAsia="黑体"/>
          <w:color w:val="auto"/>
          <w:szCs w:val="21"/>
        </w:rPr>
      </w:pPr>
      <w:r>
        <w:rPr>
          <w:rFonts w:hint="eastAsia" w:ascii="黑体" w:hAnsi="黑体" w:eastAsia="黑体"/>
          <w:color w:val="auto"/>
          <w:szCs w:val="21"/>
        </w:rPr>
        <w:t>电子文件（</w:t>
      </w:r>
      <w:r>
        <w:rPr>
          <w:rFonts w:ascii="黑体" w:hAnsi="黑体" w:eastAsia="黑体"/>
          <w:color w:val="auto"/>
          <w:szCs w:val="21"/>
        </w:rPr>
        <w:t>CD-R光盘或</w:t>
      </w:r>
      <w:r>
        <w:rPr>
          <w:rFonts w:hint="eastAsia" w:ascii="黑体" w:hAnsi="黑体" w:eastAsia="黑体"/>
          <w:color w:val="auto"/>
          <w:szCs w:val="21"/>
        </w:rPr>
        <w:t>U</w:t>
      </w:r>
      <w:r>
        <w:rPr>
          <w:rFonts w:ascii="黑体" w:hAnsi="黑体" w:eastAsia="黑体"/>
          <w:color w:val="auto"/>
          <w:szCs w:val="21"/>
        </w:rPr>
        <w:t>盘）；</w:t>
      </w:r>
    </w:p>
    <w:p>
      <w:pPr>
        <w:pStyle w:val="30"/>
        <w:numPr>
          <w:ilvl w:val="0"/>
          <w:numId w:val="106"/>
        </w:numPr>
        <w:spacing w:line="360" w:lineRule="auto"/>
        <w:ind w:firstLineChars="0"/>
        <w:rPr>
          <w:rFonts w:ascii="黑体" w:hAnsi="黑体" w:eastAsia="黑体"/>
          <w:color w:val="auto"/>
          <w:szCs w:val="21"/>
        </w:rPr>
      </w:pPr>
      <w:r>
        <w:rPr>
          <w:rFonts w:hint="eastAsia" w:ascii="黑体" w:hAnsi="黑体" w:eastAsia="黑体"/>
          <w:bCs/>
          <w:color w:val="auto"/>
          <w:szCs w:val="21"/>
        </w:rPr>
        <w:t>其他格式（如有）</w:t>
      </w:r>
      <w:r>
        <w:rPr>
          <w:rFonts w:hint="eastAsia" w:ascii="黑体" w:hAnsi="黑体" w:eastAsia="黑体"/>
          <w:color w:val="auto"/>
          <w:szCs w:val="21"/>
        </w:rPr>
        <w:t>。</w:t>
      </w:r>
    </w:p>
    <w:p>
      <w:pPr>
        <w:spacing w:line="360" w:lineRule="auto"/>
        <w:rPr>
          <w:rFonts w:ascii="黑体" w:hAnsi="黑体" w:eastAsia="黑体"/>
          <w:color w:val="auto"/>
        </w:rPr>
      </w:pPr>
    </w:p>
    <w:sectPr>
      <w:headerReference r:id="rId3" w:type="default"/>
      <w:footerReference r:id="rId4" w:type="default"/>
      <w:pgSz w:w="11906" w:h="16838"/>
      <w:pgMar w:top="1521" w:right="1558" w:bottom="993" w:left="1797" w:header="851" w:footer="68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5469"/>
    </w:sdtPr>
    <w:sdtContent>
      <w:p>
        <w:pPr>
          <w:pStyle w:val="14"/>
          <w:jc w:val="center"/>
        </w:pPr>
        <w:r>
          <w:fldChar w:fldCharType="begin"/>
        </w:r>
        <w:r>
          <w:instrText xml:space="preserve"> PAGE   \* MERGEFORMAT </w:instrText>
        </w:r>
        <w:r>
          <w:fldChar w:fldCharType="separate"/>
        </w:r>
        <w:r>
          <w:rPr>
            <w:lang w:val="zh-CN"/>
          </w:rPr>
          <w:t>7</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黑体" w:hAnsi="黑体" w:eastAsia="黑体"/>
        <w:color w:val="FF0000"/>
      </w:rPr>
    </w:pPr>
    <w:r>
      <w:rPr>
        <w:rFonts w:hint="eastAsia" w:ascii="黑体" w:hAnsi="黑体" w:eastAsia="黑体"/>
        <w:sz w:val="21"/>
        <w:szCs w:val="21"/>
      </w:rPr>
      <w:drawing>
        <wp:inline distT="0" distB="0" distL="0" distR="0">
          <wp:extent cx="835660" cy="253365"/>
          <wp:effectExtent l="19050" t="0" r="2323" b="0"/>
          <wp:docPr id="4" name="图片 4" descr="F:\东莞分公司（内部综合）\东莞分公司（各类事项表格）\东莞分公司（LOGO）\有德横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东莞分公司（内部综合）\东莞分公司（各类事项表格）\东莞分公司（LOGO）\有德横向LOGO.jpg"/>
                  <pic:cNvPicPr>
                    <a:picLocks noChangeAspect="1" noChangeArrowheads="1"/>
                  </pic:cNvPicPr>
                </pic:nvPicPr>
                <pic:blipFill>
                  <a:blip r:embed="rId1"/>
                  <a:srcRect/>
                  <a:stretch>
                    <a:fillRect/>
                  </a:stretch>
                </pic:blipFill>
                <pic:spPr>
                  <a:xfrm>
                    <a:off x="0" y="0"/>
                    <a:ext cx="844330" cy="256246"/>
                  </a:xfrm>
                  <a:prstGeom prst="rect">
                    <a:avLst/>
                  </a:prstGeom>
                  <a:noFill/>
                  <a:ln w="9525">
                    <a:noFill/>
                    <a:miter lim="800000"/>
                    <a:headEnd/>
                    <a:tailEnd/>
                  </a:ln>
                </pic:spPr>
              </pic:pic>
            </a:graphicData>
          </a:graphic>
        </wp:inline>
      </w:drawing>
    </w:r>
    <w:r>
      <w:rPr>
        <w:rFonts w:hint="eastAsia" w:ascii="黑体" w:hAnsi="黑体" w:eastAsia="黑体"/>
        <w:sz w:val="21"/>
        <w:szCs w:val="21"/>
      </w:rPr>
      <w:t xml:space="preserve">                                   </w:t>
    </w:r>
    <w:r>
      <w:rPr>
        <w:rFonts w:hint="eastAsia" w:ascii="黑体" w:hAnsi="黑体" w:eastAsia="黑体"/>
        <w:color w:val="FF0000"/>
        <w:sz w:val="21"/>
        <w:szCs w:val="21"/>
      </w:rPr>
      <w:t xml:space="preserve">         </w:t>
    </w:r>
    <w:r>
      <w:rPr>
        <w:rFonts w:ascii="黑体" w:hAnsi="黑体" w:eastAsia="黑体"/>
        <w:color w:val="FF0000"/>
        <w:sz w:val="21"/>
        <w:szCs w:val="21"/>
      </w:rPr>
      <w:t xml:space="preserve">   </w:t>
    </w:r>
    <w:r>
      <w:rPr>
        <w:rFonts w:hint="eastAsia" w:ascii="黑体" w:hAnsi="黑体" w:eastAsia="黑体"/>
        <w:color w:val="FF0000"/>
        <w:sz w:val="21"/>
        <w:szCs w:val="21"/>
      </w:rPr>
      <w:t xml:space="preserve"> </w:t>
    </w:r>
    <w:r>
      <w:rPr>
        <w:rFonts w:hint="eastAsia" w:ascii="黑体" w:hAnsi="黑体" w:eastAsia="黑体"/>
        <w:color w:val="FF0000"/>
      </w:rPr>
      <w:t>广东有德招标采购有限公司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C3880"/>
    <w:multiLevelType w:val="singleLevel"/>
    <w:tmpl w:val="A05C3880"/>
    <w:lvl w:ilvl="0" w:tentative="0">
      <w:start w:val="1"/>
      <w:numFmt w:val="decimal"/>
      <w:suff w:val="nothing"/>
      <w:lvlText w:val="（%1）"/>
      <w:lvlJc w:val="left"/>
    </w:lvl>
  </w:abstractNum>
  <w:abstractNum w:abstractNumId="1">
    <w:nsid w:val="B94FF68E"/>
    <w:multiLevelType w:val="multilevel"/>
    <w:tmpl w:val="B94FF68E"/>
    <w:lvl w:ilvl="0" w:tentative="0">
      <w:start w:val="1"/>
      <w:numFmt w:val="decimal"/>
      <w:lvlText w:val="%1"/>
      <w:lvlJc w:val="left"/>
      <w:pPr>
        <w:tabs>
          <w:tab w:val="left" w:pos="420"/>
        </w:tabs>
        <w:ind w:left="420" w:hanging="420"/>
      </w:pPr>
      <w:rPr>
        <w:rFonts w:hint="eastAsia"/>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9"/>
    <w:multiLevelType w:val="multilevel"/>
    <w:tmpl w:val="00000009"/>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7"/>
    <w:multiLevelType w:val="multilevel"/>
    <w:tmpl w:val="0000001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21"/>
    <w:multiLevelType w:val="multilevel"/>
    <w:tmpl w:val="000000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2F"/>
    <w:multiLevelType w:val="multilevel"/>
    <w:tmpl w:val="0000002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34"/>
    <w:multiLevelType w:val="multilevel"/>
    <w:tmpl w:val="0000003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4F"/>
    <w:multiLevelType w:val="multilevel"/>
    <w:tmpl w:val="000000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65"/>
    <w:multiLevelType w:val="multilevel"/>
    <w:tmpl w:val="0000006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6F"/>
    <w:multiLevelType w:val="multilevel"/>
    <w:tmpl w:val="0000006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1136BFA"/>
    <w:multiLevelType w:val="multilevel"/>
    <w:tmpl w:val="01136B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038A63D2"/>
    <w:multiLevelType w:val="multilevel"/>
    <w:tmpl w:val="038A63D2"/>
    <w:lvl w:ilvl="0" w:tentative="0">
      <w:start w:val="29"/>
      <w:numFmt w:val="decimal"/>
      <w:lvlText w:val="%1"/>
      <w:lvlJc w:val="left"/>
      <w:pPr>
        <w:ind w:left="425" w:hanging="425"/>
      </w:pPr>
      <w:rPr>
        <w:rFonts w:hint="eastAsia"/>
        <w:b/>
        <w:i w:val="0"/>
        <w:color w:val="auto"/>
        <w:sz w:val="21"/>
      </w:rPr>
    </w:lvl>
    <w:lvl w:ilvl="1" w:tentative="0">
      <w:start w:val="1"/>
      <w:numFmt w:val="decimal"/>
      <w:lvlText w:val="%1.%2"/>
      <w:lvlJc w:val="left"/>
      <w:pPr>
        <w:ind w:left="567" w:hanging="567"/>
      </w:pPr>
      <w:rPr>
        <w:rFonts w:hint="eastAsia"/>
        <w:b w:val="0"/>
      </w:rPr>
    </w:lvl>
    <w:lvl w:ilvl="2" w:tentative="0">
      <w:start w:val="1"/>
      <w:numFmt w:val="decimal"/>
      <w:lvlText w:val="%1.2.%3"/>
      <w:lvlJc w:val="left"/>
      <w:pPr>
        <w:ind w:left="709" w:hanging="709"/>
      </w:pPr>
      <w:rPr>
        <w:rFonts w:hint="eastAsia"/>
      </w:rPr>
    </w:lvl>
    <w:lvl w:ilvl="3" w:tentative="0">
      <w:start w:val="1"/>
      <w:numFmt w:val="decimal"/>
      <w:lvlText w:val="%1.3.%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
    <w:nsid w:val="040A34B3"/>
    <w:multiLevelType w:val="multilevel"/>
    <w:tmpl w:val="040A34B3"/>
    <w:lvl w:ilvl="0" w:tentative="0">
      <w:start w:val="1"/>
      <w:numFmt w:val="decimal"/>
      <w:lvlText w:val="14.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43631BE"/>
    <w:multiLevelType w:val="multilevel"/>
    <w:tmpl w:val="043631BE"/>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5523C1C"/>
    <w:multiLevelType w:val="multilevel"/>
    <w:tmpl w:val="05523C1C"/>
    <w:lvl w:ilvl="0" w:tentative="0">
      <w:start w:val="10"/>
      <w:numFmt w:val="decimal"/>
      <w:lvlText w:val="%1"/>
      <w:lvlJc w:val="left"/>
      <w:pPr>
        <w:ind w:left="425" w:hanging="425"/>
      </w:pPr>
      <w:rPr>
        <w:rFonts w:hint="eastAsia"/>
      </w:rPr>
    </w:lvl>
    <w:lvl w:ilvl="1" w:tentative="0">
      <w:start w:val="1"/>
      <w:numFmt w:val="decimal"/>
      <w:lvlText w:val="11.%2"/>
      <w:lvlJc w:val="left"/>
      <w:pPr>
        <w:ind w:left="567" w:hanging="567"/>
      </w:pPr>
      <w:rPr>
        <w:rFonts w:hint="eastAsia"/>
      </w:rPr>
    </w:lvl>
    <w:lvl w:ilvl="2" w:tentative="0">
      <w:start w:val="1"/>
      <w:numFmt w:val="decimal"/>
      <w:lvlText w:val="8.3.%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5">
    <w:nsid w:val="08AF46D7"/>
    <w:multiLevelType w:val="multilevel"/>
    <w:tmpl w:val="08AF46D7"/>
    <w:lvl w:ilvl="0" w:tentative="0">
      <w:start w:val="1"/>
      <w:numFmt w:val="decimal"/>
      <w:lvlText w:val="3.%1"/>
      <w:lvlJc w:val="left"/>
      <w:pPr>
        <w:ind w:left="94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A9528F9"/>
    <w:multiLevelType w:val="multilevel"/>
    <w:tmpl w:val="0A9528F9"/>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B5D1CF6"/>
    <w:multiLevelType w:val="multilevel"/>
    <w:tmpl w:val="0B5D1CF6"/>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EE76AD9"/>
    <w:multiLevelType w:val="multilevel"/>
    <w:tmpl w:val="0EE76AD9"/>
    <w:lvl w:ilvl="0" w:tentative="0">
      <w:start w:val="1"/>
      <w:numFmt w:val="decimal"/>
      <w:lvlText w:val="%1"/>
      <w:lvlJc w:val="left"/>
      <w:pPr>
        <w:ind w:left="420" w:hanging="420"/>
      </w:pPr>
      <w:rPr>
        <w:rFonts w:hint="eastAsia"/>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0FE07D7"/>
    <w:multiLevelType w:val="multilevel"/>
    <w:tmpl w:val="10FE07D7"/>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76E0134"/>
    <w:multiLevelType w:val="multilevel"/>
    <w:tmpl w:val="176E0134"/>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83154B4"/>
    <w:multiLevelType w:val="multilevel"/>
    <w:tmpl w:val="183154B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9CD77AF"/>
    <w:multiLevelType w:val="multilevel"/>
    <w:tmpl w:val="19CD77AF"/>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A600377"/>
    <w:multiLevelType w:val="multilevel"/>
    <w:tmpl w:val="1A600377"/>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A973E3B"/>
    <w:multiLevelType w:val="multilevel"/>
    <w:tmpl w:val="1A973E3B"/>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C4E0595"/>
    <w:multiLevelType w:val="multilevel"/>
    <w:tmpl w:val="1C4E05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1DA21561"/>
    <w:multiLevelType w:val="multilevel"/>
    <w:tmpl w:val="1DA21561"/>
    <w:lvl w:ilvl="0" w:tentative="0">
      <w:start w:val="29"/>
      <w:numFmt w:val="decimal"/>
      <w:lvlText w:val="%1"/>
      <w:lvlJc w:val="left"/>
      <w:pPr>
        <w:ind w:left="425" w:hanging="425"/>
      </w:pPr>
      <w:rPr>
        <w:rFonts w:hint="eastAsia"/>
      </w:rPr>
    </w:lvl>
    <w:lvl w:ilvl="1" w:tentative="0">
      <w:start w:val="3"/>
      <w:numFmt w:val="decimal"/>
      <w:lvlText w:val="%1.%2"/>
      <w:lvlJc w:val="left"/>
      <w:pPr>
        <w:ind w:left="567" w:hanging="567"/>
      </w:pPr>
      <w:rPr>
        <w:rFonts w:hint="eastAsia"/>
      </w:rPr>
    </w:lvl>
    <w:lvl w:ilvl="2" w:tentative="0">
      <w:start w:val="1"/>
      <w:numFmt w:val="decimal"/>
      <w:lvlText w:val="30.2.%3"/>
      <w:lvlJc w:val="left"/>
      <w:pPr>
        <w:ind w:left="709" w:hanging="709"/>
      </w:pPr>
      <w:rPr>
        <w:rFonts w:hint="eastAsia"/>
      </w:rPr>
    </w:lvl>
    <w:lvl w:ilvl="3" w:tentative="0">
      <w:start w:val="1"/>
      <w:numFmt w:val="decimal"/>
      <w:lvlText w:val="30.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7">
    <w:nsid w:val="1E0E2DA0"/>
    <w:multiLevelType w:val="multilevel"/>
    <w:tmpl w:val="1E0E2DA0"/>
    <w:lvl w:ilvl="0" w:tentative="0">
      <w:start w:val="1"/>
      <w:numFmt w:val="decimal"/>
      <w:lvlText w:val="%1"/>
      <w:lvlJc w:val="left"/>
      <w:pPr>
        <w:ind w:left="425" w:hanging="425"/>
      </w:pPr>
      <w:rPr>
        <w:rFonts w:hint="eastAsia"/>
        <w:b/>
        <w:i w:val="0"/>
        <w:color w:val="auto"/>
        <w:sz w:val="21"/>
      </w:rPr>
    </w:lvl>
    <w:lvl w:ilvl="1" w:tentative="0">
      <w:start w:val="1"/>
      <w:numFmt w:val="decimal"/>
      <w:lvlText w:val="29.%2"/>
      <w:lvlJc w:val="left"/>
      <w:pPr>
        <w:ind w:left="567" w:hanging="567"/>
      </w:pPr>
      <w:rPr>
        <w:rFonts w:hint="eastAsia"/>
        <w:b/>
        <w:bCs w:val="0"/>
        <w:color w:val="auto"/>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8">
    <w:nsid w:val="1F1F0EBB"/>
    <w:multiLevelType w:val="multilevel"/>
    <w:tmpl w:val="1F1F0EBB"/>
    <w:lvl w:ilvl="0" w:tentative="0">
      <w:start w:val="1"/>
      <w:numFmt w:val="decimal"/>
      <w:lvlText w:val="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2C938AD"/>
    <w:multiLevelType w:val="multilevel"/>
    <w:tmpl w:val="22C938AD"/>
    <w:lvl w:ilvl="0" w:tentative="0">
      <w:start w:val="10"/>
      <w:numFmt w:val="decimal"/>
      <w:lvlText w:val="%1"/>
      <w:lvlJc w:val="left"/>
      <w:pPr>
        <w:ind w:left="425" w:hanging="425"/>
      </w:pPr>
      <w:rPr>
        <w:rFonts w:hint="eastAsia"/>
      </w:rPr>
    </w:lvl>
    <w:lvl w:ilvl="1" w:tentative="0">
      <w:start w:val="1"/>
      <w:numFmt w:val="decimal"/>
      <w:lvlText w:val="8.%2"/>
      <w:lvlJc w:val="left"/>
      <w:pPr>
        <w:ind w:left="567" w:hanging="567"/>
      </w:pPr>
      <w:rPr>
        <w:rFonts w:hint="eastAsia"/>
        <w:b/>
      </w:rPr>
    </w:lvl>
    <w:lvl w:ilvl="2" w:tentative="0">
      <w:start w:val="3"/>
      <w:numFmt w:val="decimal"/>
      <w:lvlText w:val="%1.4.%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0">
    <w:nsid w:val="25321F35"/>
    <w:multiLevelType w:val="multilevel"/>
    <w:tmpl w:val="25321F35"/>
    <w:lvl w:ilvl="0" w:tentative="0">
      <w:start w:val="1"/>
      <w:numFmt w:val="decimal"/>
      <w:lvlText w:val="%1."/>
      <w:lvlJc w:val="lef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1">
    <w:nsid w:val="25F566EF"/>
    <w:multiLevelType w:val="multilevel"/>
    <w:tmpl w:val="25F566EF"/>
    <w:lvl w:ilvl="0" w:tentative="0">
      <w:start w:val="11"/>
      <w:numFmt w:val="decimal"/>
      <w:lvlText w:val="%1"/>
      <w:lvlJc w:val="left"/>
      <w:pPr>
        <w:ind w:left="425" w:hanging="425"/>
      </w:pPr>
      <w:rPr>
        <w:rFonts w:hint="eastAsia"/>
      </w:rPr>
    </w:lvl>
    <w:lvl w:ilvl="1" w:tentative="0">
      <w:start w:val="2"/>
      <w:numFmt w:val="decimal"/>
      <w:lvlText w:val="%1.%2"/>
      <w:lvlJc w:val="left"/>
      <w:pPr>
        <w:ind w:left="567" w:hanging="567"/>
      </w:pPr>
      <w:rPr>
        <w:rFonts w:hint="eastAsia"/>
      </w:rPr>
    </w:lvl>
    <w:lvl w:ilvl="2" w:tentative="0">
      <w:start w:val="1"/>
      <w:numFmt w:val="decimal"/>
      <w:lvlText w:val="12.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2">
    <w:nsid w:val="2A0C4E10"/>
    <w:multiLevelType w:val="multilevel"/>
    <w:tmpl w:val="2A0C4E10"/>
    <w:lvl w:ilvl="0" w:tentative="0">
      <w:start w:val="1"/>
      <w:numFmt w:val="decimal"/>
      <w:lvlText w:val="%1"/>
      <w:lvlJc w:val="left"/>
      <w:pPr>
        <w:ind w:left="420" w:hanging="420"/>
      </w:pPr>
      <w:rPr>
        <w:rFonts w:hint="eastAsia"/>
        <w:b w:val="0"/>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A16535C"/>
    <w:multiLevelType w:val="multilevel"/>
    <w:tmpl w:val="2A16535C"/>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B1320B6"/>
    <w:multiLevelType w:val="multilevel"/>
    <w:tmpl w:val="2B1320B6"/>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B8721E3"/>
    <w:multiLevelType w:val="multilevel"/>
    <w:tmpl w:val="2B8721E3"/>
    <w:lvl w:ilvl="0" w:tentative="0">
      <w:start w:val="29"/>
      <w:numFmt w:val="decimal"/>
      <w:lvlText w:val="%1"/>
      <w:lvlJc w:val="left"/>
      <w:pPr>
        <w:ind w:left="425" w:hanging="425"/>
      </w:pPr>
      <w:rPr>
        <w:rFonts w:hint="eastAsia"/>
      </w:rPr>
    </w:lvl>
    <w:lvl w:ilvl="1" w:tentative="0">
      <w:start w:val="3"/>
      <w:numFmt w:val="decimal"/>
      <w:lvlText w:val="%1.%2"/>
      <w:lvlJc w:val="left"/>
      <w:pPr>
        <w:ind w:left="567" w:hanging="567"/>
      </w:pPr>
      <w:rPr>
        <w:rFonts w:hint="eastAsia"/>
      </w:rPr>
    </w:lvl>
    <w:lvl w:ilvl="2" w:tentative="0">
      <w:start w:val="1"/>
      <w:numFmt w:val="decimal"/>
      <w:lvlText w:val="30.%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6">
    <w:nsid w:val="2C2B1E1F"/>
    <w:multiLevelType w:val="multilevel"/>
    <w:tmpl w:val="2C2B1E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2E8F60A7"/>
    <w:multiLevelType w:val="multilevel"/>
    <w:tmpl w:val="2E8F60A7"/>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2F8426FB"/>
    <w:multiLevelType w:val="multilevel"/>
    <w:tmpl w:val="2F8426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FF332FE"/>
    <w:multiLevelType w:val="multilevel"/>
    <w:tmpl w:val="2FF332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32A23873"/>
    <w:multiLevelType w:val="multilevel"/>
    <w:tmpl w:val="32A23873"/>
    <w:lvl w:ilvl="0" w:tentative="0">
      <w:start w:val="1"/>
      <w:numFmt w:val="decimal"/>
      <w:lvlText w:val="1.%1"/>
      <w:lvlJc w:val="left"/>
      <w:pPr>
        <w:ind w:left="420" w:hanging="420"/>
      </w:pPr>
      <w:rPr>
        <w:rFonts w:hint="eastAsia"/>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2BF1864"/>
    <w:multiLevelType w:val="multilevel"/>
    <w:tmpl w:val="32BF1864"/>
    <w:lvl w:ilvl="0" w:tentative="0">
      <w:start w:val="1"/>
      <w:numFmt w:val="chineseCountingThousand"/>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46F47EE"/>
    <w:multiLevelType w:val="multilevel"/>
    <w:tmpl w:val="346F47E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34CE7977"/>
    <w:multiLevelType w:val="multilevel"/>
    <w:tmpl w:val="34CE7977"/>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5EA1EC4"/>
    <w:multiLevelType w:val="multilevel"/>
    <w:tmpl w:val="35EA1EC4"/>
    <w:lvl w:ilvl="0" w:tentative="0">
      <w:start w:val="1"/>
      <w:numFmt w:val="chineseCountingThousand"/>
      <w:lvlText w:val="%1 "/>
      <w:lvlJc w:val="left"/>
      <w:pPr>
        <w:ind w:left="420" w:hanging="420"/>
      </w:pPr>
      <w:rPr>
        <w:rFonts w:hint="eastAsia"/>
        <w:b/>
        <w:i w:val="0"/>
        <w:color w:val="auto"/>
        <w:sz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6603967"/>
    <w:multiLevelType w:val="multilevel"/>
    <w:tmpl w:val="36603967"/>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A1627FA"/>
    <w:multiLevelType w:val="multilevel"/>
    <w:tmpl w:val="3A1627FA"/>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B2E0CA7"/>
    <w:multiLevelType w:val="multilevel"/>
    <w:tmpl w:val="3B2E0CA7"/>
    <w:lvl w:ilvl="0" w:tentative="0">
      <w:start w:val="1"/>
      <w:numFmt w:val="decimal"/>
      <w:lvlText w:val="%1"/>
      <w:lvlJc w:val="left"/>
      <w:pPr>
        <w:ind w:left="420" w:hanging="420"/>
      </w:pPr>
      <w:rPr>
        <w:rFonts w:hint="eastAsia"/>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3B5D1229"/>
    <w:multiLevelType w:val="multilevel"/>
    <w:tmpl w:val="3B5D1229"/>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3BFF7564"/>
    <w:multiLevelType w:val="multilevel"/>
    <w:tmpl w:val="3BFF7564"/>
    <w:lvl w:ilvl="0" w:tentative="0">
      <w:start w:val="1"/>
      <w:numFmt w:val="decimal"/>
      <w:lvlText w:val="%1"/>
      <w:lvlJc w:val="left"/>
      <w:pPr>
        <w:ind w:left="425" w:hanging="425"/>
      </w:pPr>
      <w:rPr>
        <w:rFonts w:hint="eastAsia"/>
      </w:rPr>
    </w:lvl>
    <w:lvl w:ilvl="1" w:tentative="0">
      <w:start w:val="2"/>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0">
    <w:nsid w:val="3E7B3266"/>
    <w:multiLevelType w:val="multilevel"/>
    <w:tmpl w:val="3E7B3266"/>
    <w:lvl w:ilvl="0" w:tentative="0">
      <w:start w:val="1"/>
      <w:numFmt w:val="decimal"/>
      <w:lvlText w:val="3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3EDA68BD"/>
    <w:multiLevelType w:val="multilevel"/>
    <w:tmpl w:val="3EDA68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426A2696"/>
    <w:multiLevelType w:val="multilevel"/>
    <w:tmpl w:val="426A2696"/>
    <w:lvl w:ilvl="0" w:tentative="0">
      <w:start w:val="13"/>
      <w:numFmt w:val="decimal"/>
      <w:lvlText w:val="%1"/>
      <w:lvlJc w:val="left"/>
      <w:pPr>
        <w:ind w:left="425" w:hanging="425"/>
      </w:pPr>
      <w:rPr>
        <w:rFonts w:hint="eastAsia"/>
      </w:rPr>
    </w:lvl>
    <w:lvl w:ilvl="1" w:tentative="0">
      <w:start w:val="1"/>
      <w:numFmt w:val="decimal"/>
      <w:lvlText w:val="10.%2"/>
      <w:lvlJc w:val="left"/>
      <w:pPr>
        <w:ind w:left="567" w:hanging="567"/>
      </w:pPr>
      <w:rPr>
        <w:rFonts w:hint="eastAsia"/>
      </w:rPr>
    </w:lvl>
    <w:lvl w:ilvl="2" w:tentative="0">
      <w:start w:val="3"/>
      <w:numFmt w:val="decimal"/>
      <w:lvlText w:val="%1.2.1"/>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3">
    <w:nsid w:val="44A4036E"/>
    <w:multiLevelType w:val="multilevel"/>
    <w:tmpl w:val="44A4036E"/>
    <w:lvl w:ilvl="0" w:tentative="0">
      <w:start w:val="11"/>
      <w:numFmt w:val="decimal"/>
      <w:lvlText w:val="%1"/>
      <w:lvlJc w:val="left"/>
      <w:pPr>
        <w:ind w:left="425" w:hanging="425"/>
      </w:pPr>
      <w:rPr>
        <w:rFonts w:hint="eastAsia"/>
      </w:rPr>
    </w:lvl>
    <w:lvl w:ilvl="1" w:tentative="0">
      <w:start w:val="1"/>
      <w:numFmt w:val="decimal"/>
      <w:lvlText w:val="11.%2"/>
      <w:lvlJc w:val="left"/>
      <w:pPr>
        <w:ind w:left="567" w:hanging="567"/>
      </w:pPr>
      <w:rPr>
        <w:rFonts w:hint="eastAsia"/>
      </w:rPr>
    </w:lvl>
    <w:lvl w:ilvl="2" w:tentative="0">
      <w:start w:val="1"/>
      <w:numFmt w:val="decimal"/>
      <w:lvlText w:val="8.1.%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4">
    <w:nsid w:val="45B9030C"/>
    <w:multiLevelType w:val="multilevel"/>
    <w:tmpl w:val="45B9030C"/>
    <w:lvl w:ilvl="0" w:tentative="0">
      <w:start w:val="1"/>
      <w:numFmt w:val="decimal"/>
      <w:lvlText w:val="%1"/>
      <w:lvlJc w:val="left"/>
      <w:pPr>
        <w:ind w:left="420" w:hanging="420"/>
      </w:pPr>
      <w:rPr>
        <w:rFonts w:hint="eastAsia"/>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482F7A7A"/>
    <w:multiLevelType w:val="multilevel"/>
    <w:tmpl w:val="482F7A7A"/>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48785470"/>
    <w:multiLevelType w:val="multilevel"/>
    <w:tmpl w:val="48785470"/>
    <w:lvl w:ilvl="0" w:tentative="0">
      <w:start w:val="1"/>
      <w:numFmt w:val="decimal"/>
      <w:lvlText w:val="8.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49FB7819"/>
    <w:multiLevelType w:val="multilevel"/>
    <w:tmpl w:val="49FB78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4A804453"/>
    <w:multiLevelType w:val="multilevel"/>
    <w:tmpl w:val="4A804453"/>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4AD52286"/>
    <w:multiLevelType w:val="multilevel"/>
    <w:tmpl w:val="4AD52286"/>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4AE21275"/>
    <w:multiLevelType w:val="multilevel"/>
    <w:tmpl w:val="4AE21275"/>
    <w:lvl w:ilvl="0" w:tentative="0">
      <w:start w:val="8"/>
      <w:numFmt w:val="decimal"/>
      <w:lvlText w:val="%1"/>
      <w:lvlJc w:val="left"/>
      <w:pPr>
        <w:ind w:left="425" w:hanging="425"/>
      </w:pPr>
      <w:rPr>
        <w:rFonts w:hint="eastAsia"/>
      </w:rPr>
    </w:lvl>
    <w:lvl w:ilvl="1" w:tentative="0">
      <w:start w:val="1"/>
      <w:numFmt w:val="decimal"/>
      <w:lvlText w:val="6.%2"/>
      <w:lvlJc w:val="left"/>
      <w:pPr>
        <w:ind w:left="567" w:hanging="567"/>
      </w:pPr>
      <w:rPr>
        <w:rFonts w:hint="eastAsia"/>
      </w:rPr>
    </w:lvl>
    <w:lvl w:ilvl="2" w:tentative="0">
      <w:start w:val="3"/>
      <w:numFmt w:val="decimal"/>
      <w:lvlText w:val="%1.4.%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1">
    <w:nsid w:val="4BAE0827"/>
    <w:multiLevelType w:val="multilevel"/>
    <w:tmpl w:val="4BAE08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508B3CA1"/>
    <w:multiLevelType w:val="multilevel"/>
    <w:tmpl w:val="508B3C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51062AD7"/>
    <w:multiLevelType w:val="multilevel"/>
    <w:tmpl w:val="51062AD7"/>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51502957"/>
    <w:multiLevelType w:val="multilevel"/>
    <w:tmpl w:val="51502957"/>
    <w:lvl w:ilvl="0" w:tentative="0">
      <w:start w:val="18"/>
      <w:numFmt w:val="decimal"/>
      <w:lvlText w:val="%1"/>
      <w:lvlJc w:val="left"/>
      <w:pPr>
        <w:ind w:left="425" w:hanging="425"/>
      </w:pPr>
      <w:rPr>
        <w:rFonts w:hint="eastAsia"/>
      </w:rPr>
    </w:lvl>
    <w:lvl w:ilvl="1" w:tentative="0">
      <w:start w:val="3"/>
      <w:numFmt w:val="decimal"/>
      <w:lvlText w:val="%1.%2"/>
      <w:lvlJc w:val="left"/>
      <w:pPr>
        <w:ind w:left="567" w:hanging="567"/>
      </w:pPr>
      <w:rPr>
        <w:rFonts w:hint="eastAsia"/>
      </w:rPr>
    </w:lvl>
    <w:lvl w:ilvl="2" w:tentative="0">
      <w:start w:val="1"/>
      <w:numFmt w:val="decimal"/>
      <w:lvlText w:val="19.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5">
    <w:nsid w:val="52BA71BE"/>
    <w:multiLevelType w:val="multilevel"/>
    <w:tmpl w:val="52BA71BE"/>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3.%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6">
    <w:nsid w:val="52CF0B72"/>
    <w:multiLevelType w:val="multilevel"/>
    <w:tmpl w:val="52CF0B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7">
    <w:nsid w:val="53331BC6"/>
    <w:multiLevelType w:val="multilevel"/>
    <w:tmpl w:val="53331BC6"/>
    <w:lvl w:ilvl="0" w:tentative="0">
      <w:start w:val="3"/>
      <w:numFmt w:val="decimal"/>
      <w:lvlText w:val="%1"/>
      <w:lvlJc w:val="left"/>
      <w:pPr>
        <w:ind w:left="425" w:hanging="425"/>
      </w:pPr>
      <w:rPr>
        <w:rFonts w:hint="eastAsia"/>
      </w:rPr>
    </w:lvl>
    <w:lvl w:ilvl="1" w:tentative="0">
      <w:start w:val="1"/>
      <w:numFmt w:val="decimal"/>
      <w:lvlText w:val="3.%2"/>
      <w:lvlJc w:val="left"/>
      <w:pPr>
        <w:ind w:left="567" w:hanging="567"/>
      </w:pPr>
      <w:rPr>
        <w:rFonts w:hint="eastAsia"/>
      </w:rPr>
    </w:lvl>
    <w:lvl w:ilvl="2" w:tentative="0">
      <w:start w:val="3"/>
      <w:numFmt w:val="decimal"/>
      <w:lvlText w:val="%1.4.%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8">
    <w:nsid w:val="537A3F02"/>
    <w:multiLevelType w:val="multilevel"/>
    <w:tmpl w:val="537A3F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54F200C9"/>
    <w:multiLevelType w:val="multilevel"/>
    <w:tmpl w:val="54F200C9"/>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55CF31B5"/>
    <w:multiLevelType w:val="multilevel"/>
    <w:tmpl w:val="55CF31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55E32074"/>
    <w:multiLevelType w:val="multilevel"/>
    <w:tmpl w:val="55E320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57E64E5F"/>
    <w:multiLevelType w:val="multilevel"/>
    <w:tmpl w:val="57E64E5F"/>
    <w:lvl w:ilvl="0" w:tentative="0">
      <w:start w:val="1"/>
      <w:numFmt w:val="decimal"/>
      <w:lvlText w:val="%1"/>
      <w:lvlJc w:val="left"/>
      <w:pPr>
        <w:ind w:left="420" w:hanging="420"/>
      </w:pPr>
      <w:rPr>
        <w:rFonts w:hint="eastAsia"/>
        <w:b/>
        <w:i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58643DD7"/>
    <w:multiLevelType w:val="multilevel"/>
    <w:tmpl w:val="58643DD7"/>
    <w:lvl w:ilvl="0" w:tentative="0">
      <w:start w:val="1"/>
      <w:numFmt w:val="decimal"/>
      <w:lvlText w:val="17.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58B02883"/>
    <w:multiLevelType w:val="multilevel"/>
    <w:tmpl w:val="58B0288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58DC2BF5"/>
    <w:multiLevelType w:val="multilevel"/>
    <w:tmpl w:val="58DC2BF5"/>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592B198C"/>
    <w:multiLevelType w:val="multilevel"/>
    <w:tmpl w:val="592B198C"/>
    <w:lvl w:ilvl="0" w:tentative="0">
      <w:start w:val="1"/>
      <w:numFmt w:val="chineseCountingThousand"/>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59D633E9"/>
    <w:multiLevelType w:val="multilevel"/>
    <w:tmpl w:val="59D633E9"/>
    <w:lvl w:ilvl="0" w:tentative="0">
      <w:start w:val="5"/>
      <w:numFmt w:val="decimal"/>
      <w:lvlText w:val="%1"/>
      <w:lvlJc w:val="left"/>
      <w:pPr>
        <w:ind w:left="425" w:hanging="425"/>
      </w:pPr>
      <w:rPr>
        <w:rFonts w:hint="eastAsia"/>
        <w:b/>
        <w:i w:val="0"/>
        <w:color w:val="auto"/>
        <w:sz w:val="21"/>
      </w:rPr>
    </w:lvl>
    <w:lvl w:ilvl="1" w:tentative="0">
      <w:start w:val="1"/>
      <w:numFmt w:val="none"/>
      <w:lvlText w:val="5.3.1"/>
      <w:lvlJc w:val="left"/>
      <w:pPr>
        <w:ind w:left="567" w:hanging="567"/>
      </w:pPr>
      <w:rPr>
        <w:rFonts w:hint="eastAsia"/>
        <w:b w:val="0"/>
      </w:rPr>
    </w:lvl>
    <w:lvl w:ilvl="2" w:tentative="0">
      <w:start w:val="1"/>
      <w:numFmt w:val="decimal"/>
      <w:lvlText w:val="6.3.%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8">
    <w:nsid w:val="5C0E4467"/>
    <w:multiLevelType w:val="multilevel"/>
    <w:tmpl w:val="5C0E4467"/>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5FD40241"/>
    <w:multiLevelType w:val="multilevel"/>
    <w:tmpl w:val="5FD40241"/>
    <w:lvl w:ilvl="0" w:tentative="0">
      <w:start w:val="1"/>
      <w:numFmt w:val="decimal"/>
      <w:lvlText w:val="17.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61636B35"/>
    <w:multiLevelType w:val="multilevel"/>
    <w:tmpl w:val="61636B35"/>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62A80407"/>
    <w:multiLevelType w:val="multilevel"/>
    <w:tmpl w:val="62A80407"/>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63173248"/>
    <w:multiLevelType w:val="multilevel"/>
    <w:tmpl w:val="63173248"/>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63BC7DAF"/>
    <w:multiLevelType w:val="multilevel"/>
    <w:tmpl w:val="63BC7D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65715ED9"/>
    <w:multiLevelType w:val="multilevel"/>
    <w:tmpl w:val="65715E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65C87B74"/>
    <w:multiLevelType w:val="multilevel"/>
    <w:tmpl w:val="65C87B74"/>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67F55E3A"/>
    <w:multiLevelType w:val="multilevel"/>
    <w:tmpl w:val="67F55E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69D42D90"/>
    <w:multiLevelType w:val="multilevel"/>
    <w:tmpl w:val="69D42D90"/>
    <w:lvl w:ilvl="0" w:tentative="0">
      <w:start w:val="1"/>
      <w:numFmt w:val="decimal"/>
      <w:lvlText w:val="%1"/>
      <w:lvlJc w:val="left"/>
      <w:pPr>
        <w:ind w:left="420" w:hanging="420"/>
      </w:pPr>
      <w:rPr>
        <w:rFonts w:hint="eastAsia"/>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6A2271FD"/>
    <w:multiLevelType w:val="multilevel"/>
    <w:tmpl w:val="6A2271FD"/>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6A242754"/>
    <w:multiLevelType w:val="multilevel"/>
    <w:tmpl w:val="6A2427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6BCC430F"/>
    <w:multiLevelType w:val="multilevel"/>
    <w:tmpl w:val="6BCC43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1">
    <w:nsid w:val="708621A4"/>
    <w:multiLevelType w:val="multilevel"/>
    <w:tmpl w:val="708621A4"/>
    <w:lvl w:ilvl="0" w:tentative="0">
      <w:start w:val="1"/>
      <w:numFmt w:val="decimal"/>
      <w:lvlText w:val="3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71580BEF"/>
    <w:multiLevelType w:val="multilevel"/>
    <w:tmpl w:val="71580BEF"/>
    <w:lvl w:ilvl="0" w:tentative="0">
      <w:start w:val="30"/>
      <w:numFmt w:val="decimal"/>
      <w:lvlText w:val="%1"/>
      <w:lvlJc w:val="left"/>
      <w:pPr>
        <w:ind w:left="425" w:hanging="425"/>
      </w:pPr>
      <w:rPr>
        <w:rFonts w:hint="eastAsia"/>
        <w:b/>
        <w:i w:val="0"/>
        <w:color w:val="auto"/>
        <w:sz w:val="21"/>
      </w:rPr>
    </w:lvl>
    <w:lvl w:ilvl="1" w:tentative="0">
      <w:start w:val="4"/>
      <w:numFmt w:val="decimal"/>
      <w:lvlText w:val="%1.%2"/>
      <w:lvlJc w:val="left"/>
      <w:pPr>
        <w:ind w:left="567" w:hanging="567"/>
      </w:pPr>
      <w:rPr>
        <w:rFonts w:hint="eastAsia"/>
        <w:b w: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3">
    <w:nsid w:val="7264255B"/>
    <w:multiLevelType w:val="multilevel"/>
    <w:tmpl w:val="7264255B"/>
    <w:lvl w:ilvl="0" w:tentative="0">
      <w:start w:val="1"/>
      <w:numFmt w:val="chineseCountingThousand"/>
      <w:lvlText w:val="(%1)"/>
      <w:lvlJc w:val="left"/>
      <w:pPr>
        <w:ind w:left="420" w:hanging="420"/>
      </w:pPr>
      <w:rPr>
        <w:rFonts w:hint="eastAsia"/>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728821B6"/>
    <w:multiLevelType w:val="multilevel"/>
    <w:tmpl w:val="728821B6"/>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72E62A6A"/>
    <w:multiLevelType w:val="multilevel"/>
    <w:tmpl w:val="72E62A6A"/>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761A1D84"/>
    <w:multiLevelType w:val="multilevel"/>
    <w:tmpl w:val="761A1D84"/>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76C06892"/>
    <w:multiLevelType w:val="multilevel"/>
    <w:tmpl w:val="76C06892"/>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7A1B3571"/>
    <w:multiLevelType w:val="multilevel"/>
    <w:tmpl w:val="7A1B3571"/>
    <w:lvl w:ilvl="0" w:tentative="0">
      <w:start w:val="11"/>
      <w:numFmt w:val="decimal"/>
      <w:lvlText w:val="%1"/>
      <w:lvlJc w:val="left"/>
      <w:pPr>
        <w:ind w:left="425" w:hanging="425"/>
      </w:pPr>
      <w:rPr>
        <w:rFonts w:hint="eastAsia"/>
      </w:rPr>
    </w:lvl>
    <w:lvl w:ilvl="1" w:tentative="0">
      <w:start w:val="1"/>
      <w:numFmt w:val="decimal"/>
      <w:lvlText w:val="11.%2"/>
      <w:lvlJc w:val="left"/>
      <w:pPr>
        <w:ind w:left="567" w:hanging="567"/>
      </w:pPr>
      <w:rPr>
        <w:rFonts w:hint="eastAsia"/>
      </w:rPr>
    </w:lvl>
    <w:lvl w:ilvl="2" w:tentative="0">
      <w:start w:val="1"/>
      <w:numFmt w:val="decimal"/>
      <w:lvlText w:val="8.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9">
    <w:nsid w:val="7BA40B41"/>
    <w:multiLevelType w:val="multilevel"/>
    <w:tmpl w:val="7BA40B41"/>
    <w:lvl w:ilvl="0" w:tentative="0">
      <w:start w:val="29"/>
      <w:numFmt w:val="decimal"/>
      <w:lvlText w:val="%1"/>
      <w:lvlJc w:val="left"/>
      <w:pPr>
        <w:ind w:left="425" w:hanging="425"/>
      </w:pPr>
      <w:rPr>
        <w:rFonts w:hint="eastAsia"/>
      </w:rPr>
    </w:lvl>
    <w:lvl w:ilvl="1" w:tentative="0">
      <w:start w:val="3"/>
      <w:numFmt w:val="decimal"/>
      <w:lvlText w:val="%1.%2"/>
      <w:lvlJc w:val="left"/>
      <w:pPr>
        <w:ind w:left="567" w:hanging="567"/>
      </w:pPr>
      <w:rPr>
        <w:rFonts w:hint="eastAsia"/>
      </w:rPr>
    </w:lvl>
    <w:lvl w:ilvl="2" w:tentative="0">
      <w:start w:val="1"/>
      <w:numFmt w:val="decimal"/>
      <w:lvlText w:val="30.1.%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0">
    <w:nsid w:val="7C2C7A19"/>
    <w:multiLevelType w:val="multilevel"/>
    <w:tmpl w:val="7C2C7A19"/>
    <w:lvl w:ilvl="0" w:tentative="0">
      <w:start w:val="1"/>
      <w:numFmt w:val="decimal"/>
      <w:lvlText w:val="%1"/>
      <w:lvlJc w:val="left"/>
      <w:pPr>
        <w:ind w:left="420" w:hanging="420"/>
      </w:pPr>
      <w:rPr>
        <w:rFonts w:hint="eastAsia"/>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7C9C2E3E"/>
    <w:multiLevelType w:val="multilevel"/>
    <w:tmpl w:val="7C9C2E3E"/>
    <w:lvl w:ilvl="0" w:tentative="0">
      <w:start w:val="2"/>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3"/>
      <w:numFmt w:val="decimal"/>
      <w:lvlText w:val="%1.4.%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2">
    <w:nsid w:val="7D4753CF"/>
    <w:multiLevelType w:val="multilevel"/>
    <w:tmpl w:val="7D4753C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7D823685"/>
    <w:multiLevelType w:val="multilevel"/>
    <w:tmpl w:val="7D823685"/>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7E8F7E29"/>
    <w:multiLevelType w:val="multilevel"/>
    <w:tmpl w:val="7E8F7E29"/>
    <w:lvl w:ilvl="0" w:tentative="0">
      <w:start w:val="1"/>
      <w:numFmt w:val="decimal"/>
      <w:lvlText w:val="3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7FEF4FD5"/>
    <w:multiLevelType w:val="multilevel"/>
    <w:tmpl w:val="7FEF4FD5"/>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2"/>
  </w:num>
  <w:num w:numId="2">
    <w:abstractNumId w:val="44"/>
  </w:num>
  <w:num w:numId="3">
    <w:abstractNumId w:val="30"/>
  </w:num>
  <w:num w:numId="4">
    <w:abstractNumId w:val="0"/>
  </w:num>
  <w:num w:numId="5">
    <w:abstractNumId w:val="18"/>
  </w:num>
  <w:num w:numId="6">
    <w:abstractNumId w:val="40"/>
  </w:num>
  <w:num w:numId="7">
    <w:abstractNumId w:val="1"/>
  </w:num>
  <w:num w:numId="8">
    <w:abstractNumId w:val="100"/>
  </w:num>
  <w:num w:numId="9">
    <w:abstractNumId w:val="102"/>
  </w:num>
  <w:num w:numId="10">
    <w:abstractNumId w:val="41"/>
  </w:num>
  <w:num w:numId="11">
    <w:abstractNumId w:val="27"/>
  </w:num>
  <w:num w:numId="12">
    <w:abstractNumId w:val="78"/>
  </w:num>
  <w:num w:numId="13">
    <w:abstractNumId w:val="15"/>
  </w:num>
  <w:num w:numId="14">
    <w:abstractNumId w:val="23"/>
  </w:num>
  <w:num w:numId="15">
    <w:abstractNumId w:val="82"/>
  </w:num>
  <w:num w:numId="16">
    <w:abstractNumId w:val="58"/>
  </w:num>
  <w:num w:numId="17">
    <w:abstractNumId w:val="77"/>
  </w:num>
  <w:num w:numId="18">
    <w:abstractNumId w:val="94"/>
  </w:num>
  <w:num w:numId="19">
    <w:abstractNumId w:val="55"/>
  </w:num>
  <w:num w:numId="20">
    <w:abstractNumId w:val="95"/>
  </w:num>
  <w:num w:numId="21">
    <w:abstractNumId w:val="75"/>
  </w:num>
  <w:num w:numId="22">
    <w:abstractNumId w:val="17"/>
  </w:num>
  <w:num w:numId="23">
    <w:abstractNumId w:val="105"/>
  </w:num>
  <w:num w:numId="24">
    <w:abstractNumId w:val="31"/>
  </w:num>
  <w:num w:numId="25">
    <w:abstractNumId w:val="48"/>
  </w:num>
  <w:num w:numId="26">
    <w:abstractNumId w:val="16"/>
  </w:num>
  <w:num w:numId="27">
    <w:abstractNumId w:val="12"/>
  </w:num>
  <w:num w:numId="28">
    <w:abstractNumId w:val="81"/>
  </w:num>
  <w:num w:numId="29">
    <w:abstractNumId w:val="96"/>
  </w:num>
  <w:num w:numId="30">
    <w:abstractNumId w:val="97"/>
  </w:num>
  <w:num w:numId="31">
    <w:abstractNumId w:val="79"/>
  </w:num>
  <w:num w:numId="32">
    <w:abstractNumId w:val="73"/>
  </w:num>
  <w:num w:numId="33">
    <w:abstractNumId w:val="33"/>
  </w:num>
  <w:num w:numId="34">
    <w:abstractNumId w:val="24"/>
  </w:num>
  <w:num w:numId="35">
    <w:abstractNumId w:val="64"/>
  </w:num>
  <w:num w:numId="36">
    <w:abstractNumId w:val="21"/>
  </w:num>
  <w:num w:numId="37">
    <w:abstractNumId w:val="20"/>
  </w:num>
  <w:num w:numId="38">
    <w:abstractNumId w:val="59"/>
  </w:num>
  <w:num w:numId="39">
    <w:abstractNumId w:val="63"/>
  </w:num>
  <w:num w:numId="40">
    <w:abstractNumId w:val="85"/>
  </w:num>
  <w:num w:numId="41">
    <w:abstractNumId w:val="34"/>
  </w:num>
  <w:num w:numId="42">
    <w:abstractNumId w:val="19"/>
  </w:num>
  <w:num w:numId="43">
    <w:abstractNumId w:val="69"/>
  </w:num>
  <w:num w:numId="44">
    <w:abstractNumId w:val="13"/>
  </w:num>
  <w:num w:numId="45">
    <w:abstractNumId w:val="37"/>
  </w:num>
  <w:num w:numId="46">
    <w:abstractNumId w:val="11"/>
  </w:num>
  <w:num w:numId="47">
    <w:abstractNumId w:val="22"/>
  </w:num>
  <w:num w:numId="48">
    <w:abstractNumId w:val="99"/>
  </w:num>
  <w:num w:numId="49">
    <w:abstractNumId w:val="26"/>
  </w:num>
  <w:num w:numId="50">
    <w:abstractNumId w:val="35"/>
  </w:num>
  <w:num w:numId="51">
    <w:abstractNumId w:val="92"/>
  </w:num>
  <w:num w:numId="52">
    <w:abstractNumId w:val="88"/>
  </w:num>
  <w:num w:numId="53">
    <w:abstractNumId w:val="45"/>
  </w:num>
  <w:num w:numId="54">
    <w:abstractNumId w:val="61"/>
  </w:num>
  <w:num w:numId="55">
    <w:abstractNumId w:val="104"/>
  </w:num>
  <w:num w:numId="56">
    <w:abstractNumId w:val="28"/>
  </w:num>
  <w:num w:numId="57">
    <w:abstractNumId w:val="50"/>
  </w:num>
  <w:num w:numId="58">
    <w:abstractNumId w:val="91"/>
  </w:num>
  <w:num w:numId="59">
    <w:abstractNumId w:val="43"/>
  </w:num>
  <w:num w:numId="60">
    <w:abstractNumId w:val="76"/>
  </w:num>
  <w:num w:numId="61">
    <w:abstractNumId w:val="72"/>
  </w:num>
  <w:num w:numId="62">
    <w:abstractNumId w:val="65"/>
  </w:num>
  <w:num w:numId="63">
    <w:abstractNumId w:val="49"/>
  </w:num>
  <w:num w:numId="64">
    <w:abstractNumId w:val="101"/>
  </w:num>
  <w:num w:numId="65">
    <w:abstractNumId w:val="80"/>
  </w:num>
  <w:num w:numId="66">
    <w:abstractNumId w:val="67"/>
  </w:num>
  <w:num w:numId="67">
    <w:abstractNumId w:val="60"/>
  </w:num>
  <w:num w:numId="68">
    <w:abstractNumId w:val="29"/>
  </w:num>
  <w:num w:numId="69">
    <w:abstractNumId w:val="53"/>
  </w:num>
  <w:num w:numId="70">
    <w:abstractNumId w:val="98"/>
  </w:num>
  <w:num w:numId="71">
    <w:abstractNumId w:val="14"/>
  </w:num>
  <w:num w:numId="72">
    <w:abstractNumId w:val="56"/>
  </w:num>
  <w:num w:numId="73">
    <w:abstractNumId w:val="66"/>
  </w:num>
  <w:num w:numId="74">
    <w:abstractNumId w:val="52"/>
  </w:num>
  <w:num w:numId="75">
    <w:abstractNumId w:val="90"/>
  </w:num>
  <w:num w:numId="76">
    <w:abstractNumId w:val="25"/>
  </w:num>
  <w:num w:numId="77">
    <w:abstractNumId w:val="5"/>
  </w:num>
  <w:num w:numId="78">
    <w:abstractNumId w:val="3"/>
  </w:num>
  <w:num w:numId="79">
    <w:abstractNumId w:val="9"/>
  </w:num>
  <w:num w:numId="80">
    <w:abstractNumId w:val="54"/>
  </w:num>
  <w:num w:numId="81">
    <w:abstractNumId w:val="89"/>
  </w:num>
  <w:num w:numId="82">
    <w:abstractNumId w:val="62"/>
  </w:num>
  <w:num w:numId="83">
    <w:abstractNumId w:val="2"/>
  </w:num>
  <w:num w:numId="84">
    <w:abstractNumId w:val="4"/>
  </w:num>
  <w:num w:numId="85">
    <w:abstractNumId w:val="8"/>
  </w:num>
  <w:num w:numId="86">
    <w:abstractNumId w:val="32"/>
  </w:num>
  <w:num w:numId="87">
    <w:abstractNumId w:val="47"/>
  </w:num>
  <w:num w:numId="88">
    <w:abstractNumId w:val="87"/>
  </w:num>
  <w:num w:numId="89">
    <w:abstractNumId w:val="6"/>
  </w:num>
  <w:num w:numId="90">
    <w:abstractNumId w:val="7"/>
  </w:num>
  <w:num w:numId="91">
    <w:abstractNumId w:val="10"/>
  </w:num>
  <w:num w:numId="92">
    <w:abstractNumId w:val="74"/>
  </w:num>
  <w:num w:numId="93">
    <w:abstractNumId w:val="68"/>
  </w:num>
  <w:num w:numId="94">
    <w:abstractNumId w:val="36"/>
  </w:num>
  <w:num w:numId="95">
    <w:abstractNumId w:val="84"/>
  </w:num>
  <w:num w:numId="96">
    <w:abstractNumId w:val="86"/>
  </w:num>
  <w:num w:numId="97">
    <w:abstractNumId w:val="83"/>
  </w:num>
  <w:num w:numId="98">
    <w:abstractNumId w:val="38"/>
  </w:num>
  <w:num w:numId="99">
    <w:abstractNumId w:val="93"/>
  </w:num>
  <w:num w:numId="100">
    <w:abstractNumId w:val="46"/>
  </w:num>
  <w:num w:numId="101">
    <w:abstractNumId w:val="103"/>
  </w:num>
  <w:num w:numId="102">
    <w:abstractNumId w:val="57"/>
  </w:num>
  <w:num w:numId="103">
    <w:abstractNumId w:val="51"/>
  </w:num>
  <w:num w:numId="104">
    <w:abstractNumId w:val="70"/>
  </w:num>
  <w:num w:numId="105">
    <w:abstractNumId w:val="39"/>
  </w:num>
  <w:num w:numId="106">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3MzRmNWE5YTU4NjhhNTQ3ZTQ0Y2E1Y2E4MmQyZGQifQ=="/>
  </w:docVars>
  <w:rsids>
    <w:rsidRoot w:val="00113B06"/>
    <w:rsid w:val="000003F9"/>
    <w:rsid w:val="00001F97"/>
    <w:rsid w:val="00002932"/>
    <w:rsid w:val="00002B11"/>
    <w:rsid w:val="00002E7B"/>
    <w:rsid w:val="00003266"/>
    <w:rsid w:val="00003270"/>
    <w:rsid w:val="00003C75"/>
    <w:rsid w:val="000047C9"/>
    <w:rsid w:val="0000569B"/>
    <w:rsid w:val="0000591B"/>
    <w:rsid w:val="00005D02"/>
    <w:rsid w:val="0000736C"/>
    <w:rsid w:val="00007AFD"/>
    <w:rsid w:val="000100E9"/>
    <w:rsid w:val="0001065E"/>
    <w:rsid w:val="00010679"/>
    <w:rsid w:val="00011C70"/>
    <w:rsid w:val="0001212F"/>
    <w:rsid w:val="00012350"/>
    <w:rsid w:val="00012887"/>
    <w:rsid w:val="000129CC"/>
    <w:rsid w:val="000132B0"/>
    <w:rsid w:val="00013C52"/>
    <w:rsid w:val="00013F69"/>
    <w:rsid w:val="00014FD9"/>
    <w:rsid w:val="000155C8"/>
    <w:rsid w:val="0001578E"/>
    <w:rsid w:val="000163DA"/>
    <w:rsid w:val="00016A0A"/>
    <w:rsid w:val="00017A0F"/>
    <w:rsid w:val="00017A69"/>
    <w:rsid w:val="0002022E"/>
    <w:rsid w:val="00020A70"/>
    <w:rsid w:val="00020E65"/>
    <w:rsid w:val="00021869"/>
    <w:rsid w:val="00022516"/>
    <w:rsid w:val="00023D47"/>
    <w:rsid w:val="00023E8B"/>
    <w:rsid w:val="0002428A"/>
    <w:rsid w:val="0002432C"/>
    <w:rsid w:val="00024720"/>
    <w:rsid w:val="00025686"/>
    <w:rsid w:val="00025BA4"/>
    <w:rsid w:val="00025EC9"/>
    <w:rsid w:val="000262C8"/>
    <w:rsid w:val="000274FC"/>
    <w:rsid w:val="00032773"/>
    <w:rsid w:val="000329D9"/>
    <w:rsid w:val="000338CE"/>
    <w:rsid w:val="00033A70"/>
    <w:rsid w:val="00034A59"/>
    <w:rsid w:val="00034B87"/>
    <w:rsid w:val="0003507B"/>
    <w:rsid w:val="0003526D"/>
    <w:rsid w:val="00035599"/>
    <w:rsid w:val="00036B6D"/>
    <w:rsid w:val="00036DF6"/>
    <w:rsid w:val="0004007C"/>
    <w:rsid w:val="00040EF7"/>
    <w:rsid w:val="00041895"/>
    <w:rsid w:val="00041A8A"/>
    <w:rsid w:val="00042437"/>
    <w:rsid w:val="00042B14"/>
    <w:rsid w:val="0004306E"/>
    <w:rsid w:val="000431F9"/>
    <w:rsid w:val="00043882"/>
    <w:rsid w:val="0004426E"/>
    <w:rsid w:val="000445A8"/>
    <w:rsid w:val="0004489A"/>
    <w:rsid w:val="00046138"/>
    <w:rsid w:val="00047632"/>
    <w:rsid w:val="00047959"/>
    <w:rsid w:val="000500B4"/>
    <w:rsid w:val="000504E2"/>
    <w:rsid w:val="00050CF5"/>
    <w:rsid w:val="00051B0A"/>
    <w:rsid w:val="000527EE"/>
    <w:rsid w:val="0005311F"/>
    <w:rsid w:val="00053409"/>
    <w:rsid w:val="00053536"/>
    <w:rsid w:val="00053CF7"/>
    <w:rsid w:val="0005542F"/>
    <w:rsid w:val="00055623"/>
    <w:rsid w:val="00055C02"/>
    <w:rsid w:val="00056198"/>
    <w:rsid w:val="0005685F"/>
    <w:rsid w:val="000569AD"/>
    <w:rsid w:val="00056A46"/>
    <w:rsid w:val="00056DF4"/>
    <w:rsid w:val="00057891"/>
    <w:rsid w:val="00057A49"/>
    <w:rsid w:val="000611E2"/>
    <w:rsid w:val="0006230A"/>
    <w:rsid w:val="00063E88"/>
    <w:rsid w:val="000642C3"/>
    <w:rsid w:val="000647C7"/>
    <w:rsid w:val="000647F9"/>
    <w:rsid w:val="00064C24"/>
    <w:rsid w:val="00065C3D"/>
    <w:rsid w:val="00065E30"/>
    <w:rsid w:val="00067EA1"/>
    <w:rsid w:val="00070C6C"/>
    <w:rsid w:val="00071077"/>
    <w:rsid w:val="0007138C"/>
    <w:rsid w:val="000714D9"/>
    <w:rsid w:val="00071BBD"/>
    <w:rsid w:val="0007298C"/>
    <w:rsid w:val="00073109"/>
    <w:rsid w:val="0007397B"/>
    <w:rsid w:val="00073BAC"/>
    <w:rsid w:val="00074C07"/>
    <w:rsid w:val="0007527F"/>
    <w:rsid w:val="00075F80"/>
    <w:rsid w:val="00077996"/>
    <w:rsid w:val="00077E5C"/>
    <w:rsid w:val="000801BF"/>
    <w:rsid w:val="000806B8"/>
    <w:rsid w:val="0008077E"/>
    <w:rsid w:val="00080905"/>
    <w:rsid w:val="00080AD6"/>
    <w:rsid w:val="00080FAB"/>
    <w:rsid w:val="0008149C"/>
    <w:rsid w:val="000815EF"/>
    <w:rsid w:val="00081949"/>
    <w:rsid w:val="00081DE6"/>
    <w:rsid w:val="00081FD7"/>
    <w:rsid w:val="00084527"/>
    <w:rsid w:val="00084E44"/>
    <w:rsid w:val="000852B5"/>
    <w:rsid w:val="00085AB9"/>
    <w:rsid w:val="00085BA3"/>
    <w:rsid w:val="00086FA0"/>
    <w:rsid w:val="000900E1"/>
    <w:rsid w:val="0009074A"/>
    <w:rsid w:val="00091A52"/>
    <w:rsid w:val="00091FAD"/>
    <w:rsid w:val="00092D1E"/>
    <w:rsid w:val="00092D68"/>
    <w:rsid w:val="00092E16"/>
    <w:rsid w:val="00093733"/>
    <w:rsid w:val="00093820"/>
    <w:rsid w:val="00094D9E"/>
    <w:rsid w:val="00094E0E"/>
    <w:rsid w:val="00095543"/>
    <w:rsid w:val="00095955"/>
    <w:rsid w:val="000959C1"/>
    <w:rsid w:val="000963E9"/>
    <w:rsid w:val="000972D0"/>
    <w:rsid w:val="00097AD4"/>
    <w:rsid w:val="00097BB6"/>
    <w:rsid w:val="000A03C5"/>
    <w:rsid w:val="000A04F5"/>
    <w:rsid w:val="000A08A8"/>
    <w:rsid w:val="000A0BCA"/>
    <w:rsid w:val="000A0CC5"/>
    <w:rsid w:val="000A1CAB"/>
    <w:rsid w:val="000A23C1"/>
    <w:rsid w:val="000A23F0"/>
    <w:rsid w:val="000A25AB"/>
    <w:rsid w:val="000A265E"/>
    <w:rsid w:val="000A2680"/>
    <w:rsid w:val="000A2C5A"/>
    <w:rsid w:val="000A3213"/>
    <w:rsid w:val="000A58FA"/>
    <w:rsid w:val="000A607E"/>
    <w:rsid w:val="000A6863"/>
    <w:rsid w:val="000A69B0"/>
    <w:rsid w:val="000A70DF"/>
    <w:rsid w:val="000A74D7"/>
    <w:rsid w:val="000A7FB6"/>
    <w:rsid w:val="000B0F74"/>
    <w:rsid w:val="000B1390"/>
    <w:rsid w:val="000B1392"/>
    <w:rsid w:val="000B144C"/>
    <w:rsid w:val="000B1DAF"/>
    <w:rsid w:val="000B1E77"/>
    <w:rsid w:val="000B262E"/>
    <w:rsid w:val="000B2764"/>
    <w:rsid w:val="000B2938"/>
    <w:rsid w:val="000B31F5"/>
    <w:rsid w:val="000B3561"/>
    <w:rsid w:val="000B3DF5"/>
    <w:rsid w:val="000B3FB3"/>
    <w:rsid w:val="000B4A00"/>
    <w:rsid w:val="000B4B82"/>
    <w:rsid w:val="000B4BC4"/>
    <w:rsid w:val="000B526B"/>
    <w:rsid w:val="000B5EE4"/>
    <w:rsid w:val="000B6B90"/>
    <w:rsid w:val="000B6FC4"/>
    <w:rsid w:val="000B7383"/>
    <w:rsid w:val="000B7C39"/>
    <w:rsid w:val="000C00D1"/>
    <w:rsid w:val="000C08ED"/>
    <w:rsid w:val="000C0DE5"/>
    <w:rsid w:val="000C1825"/>
    <w:rsid w:val="000C2830"/>
    <w:rsid w:val="000C2A31"/>
    <w:rsid w:val="000C2D6A"/>
    <w:rsid w:val="000C5349"/>
    <w:rsid w:val="000C6825"/>
    <w:rsid w:val="000C68BB"/>
    <w:rsid w:val="000C6999"/>
    <w:rsid w:val="000C794C"/>
    <w:rsid w:val="000D07B5"/>
    <w:rsid w:val="000D0B4B"/>
    <w:rsid w:val="000D0F8D"/>
    <w:rsid w:val="000D15BF"/>
    <w:rsid w:val="000D2E90"/>
    <w:rsid w:val="000D35C4"/>
    <w:rsid w:val="000D3BBD"/>
    <w:rsid w:val="000D557C"/>
    <w:rsid w:val="000D6325"/>
    <w:rsid w:val="000D6972"/>
    <w:rsid w:val="000D6CD5"/>
    <w:rsid w:val="000D739B"/>
    <w:rsid w:val="000D74C5"/>
    <w:rsid w:val="000D775F"/>
    <w:rsid w:val="000D7760"/>
    <w:rsid w:val="000D780C"/>
    <w:rsid w:val="000D7E59"/>
    <w:rsid w:val="000D7EA9"/>
    <w:rsid w:val="000E015F"/>
    <w:rsid w:val="000E07AC"/>
    <w:rsid w:val="000E203E"/>
    <w:rsid w:val="000E2612"/>
    <w:rsid w:val="000E2CA1"/>
    <w:rsid w:val="000E2ED0"/>
    <w:rsid w:val="000E32B6"/>
    <w:rsid w:val="000E3365"/>
    <w:rsid w:val="000E3C2F"/>
    <w:rsid w:val="000E4F35"/>
    <w:rsid w:val="000E5389"/>
    <w:rsid w:val="000E5D11"/>
    <w:rsid w:val="000E5DB4"/>
    <w:rsid w:val="000E72C8"/>
    <w:rsid w:val="000E7361"/>
    <w:rsid w:val="000E78A6"/>
    <w:rsid w:val="000F07C3"/>
    <w:rsid w:val="000F1889"/>
    <w:rsid w:val="000F1995"/>
    <w:rsid w:val="000F1D0D"/>
    <w:rsid w:val="000F22ED"/>
    <w:rsid w:val="000F2CF4"/>
    <w:rsid w:val="000F2D20"/>
    <w:rsid w:val="000F33B5"/>
    <w:rsid w:val="000F345D"/>
    <w:rsid w:val="000F4431"/>
    <w:rsid w:val="000F47AB"/>
    <w:rsid w:val="000F5DEF"/>
    <w:rsid w:val="000F6D8A"/>
    <w:rsid w:val="000F75BE"/>
    <w:rsid w:val="000F7A57"/>
    <w:rsid w:val="00100361"/>
    <w:rsid w:val="00100683"/>
    <w:rsid w:val="0010105C"/>
    <w:rsid w:val="0010114C"/>
    <w:rsid w:val="00101869"/>
    <w:rsid w:val="00101A88"/>
    <w:rsid w:val="00101CF4"/>
    <w:rsid w:val="00101E31"/>
    <w:rsid w:val="001033B6"/>
    <w:rsid w:val="001034F2"/>
    <w:rsid w:val="00106979"/>
    <w:rsid w:val="00106BE0"/>
    <w:rsid w:val="001071E3"/>
    <w:rsid w:val="00107643"/>
    <w:rsid w:val="00107A76"/>
    <w:rsid w:val="0011039A"/>
    <w:rsid w:val="001103D0"/>
    <w:rsid w:val="00111143"/>
    <w:rsid w:val="001114DA"/>
    <w:rsid w:val="00111726"/>
    <w:rsid w:val="0011264A"/>
    <w:rsid w:val="00112CD1"/>
    <w:rsid w:val="00112D11"/>
    <w:rsid w:val="0011304C"/>
    <w:rsid w:val="001136AE"/>
    <w:rsid w:val="00113B06"/>
    <w:rsid w:val="00114454"/>
    <w:rsid w:val="001144BF"/>
    <w:rsid w:val="001158FA"/>
    <w:rsid w:val="00115CFE"/>
    <w:rsid w:val="001165DE"/>
    <w:rsid w:val="001170E9"/>
    <w:rsid w:val="00120AFE"/>
    <w:rsid w:val="00120EB5"/>
    <w:rsid w:val="0012116F"/>
    <w:rsid w:val="00121E2B"/>
    <w:rsid w:val="00122058"/>
    <w:rsid w:val="0012389E"/>
    <w:rsid w:val="00125CD6"/>
    <w:rsid w:val="00130D4F"/>
    <w:rsid w:val="00131000"/>
    <w:rsid w:val="00132476"/>
    <w:rsid w:val="0013349D"/>
    <w:rsid w:val="00133F8B"/>
    <w:rsid w:val="00134A82"/>
    <w:rsid w:val="00134B18"/>
    <w:rsid w:val="00134C2C"/>
    <w:rsid w:val="00134C66"/>
    <w:rsid w:val="00135634"/>
    <w:rsid w:val="001357A4"/>
    <w:rsid w:val="00135FE9"/>
    <w:rsid w:val="001370F0"/>
    <w:rsid w:val="00141848"/>
    <w:rsid w:val="00142323"/>
    <w:rsid w:val="001424FB"/>
    <w:rsid w:val="001437CB"/>
    <w:rsid w:val="00143A7D"/>
    <w:rsid w:val="00143C09"/>
    <w:rsid w:val="00143C47"/>
    <w:rsid w:val="00144242"/>
    <w:rsid w:val="00145567"/>
    <w:rsid w:val="00145E3F"/>
    <w:rsid w:val="001465A5"/>
    <w:rsid w:val="001470A4"/>
    <w:rsid w:val="00150234"/>
    <w:rsid w:val="00150C6F"/>
    <w:rsid w:val="001514DC"/>
    <w:rsid w:val="00151976"/>
    <w:rsid w:val="00151A3C"/>
    <w:rsid w:val="00151D66"/>
    <w:rsid w:val="00153C2C"/>
    <w:rsid w:val="00153E9A"/>
    <w:rsid w:val="00154445"/>
    <w:rsid w:val="00154D5B"/>
    <w:rsid w:val="001551DD"/>
    <w:rsid w:val="00156336"/>
    <w:rsid w:val="00156355"/>
    <w:rsid w:val="00160209"/>
    <w:rsid w:val="0016042C"/>
    <w:rsid w:val="0016044E"/>
    <w:rsid w:val="00160475"/>
    <w:rsid w:val="00161EE8"/>
    <w:rsid w:val="001624FF"/>
    <w:rsid w:val="00162DC0"/>
    <w:rsid w:val="00163179"/>
    <w:rsid w:val="00163810"/>
    <w:rsid w:val="00163B71"/>
    <w:rsid w:val="00166DCE"/>
    <w:rsid w:val="00167FE2"/>
    <w:rsid w:val="00171882"/>
    <w:rsid w:val="001721B7"/>
    <w:rsid w:val="0017294B"/>
    <w:rsid w:val="001729CC"/>
    <w:rsid w:val="00173C77"/>
    <w:rsid w:val="001747FB"/>
    <w:rsid w:val="001754CC"/>
    <w:rsid w:val="001754F0"/>
    <w:rsid w:val="00175D4E"/>
    <w:rsid w:val="00175DA9"/>
    <w:rsid w:val="00175FD5"/>
    <w:rsid w:val="001772E3"/>
    <w:rsid w:val="00177B0F"/>
    <w:rsid w:val="00177C63"/>
    <w:rsid w:val="00177CCE"/>
    <w:rsid w:val="001802F0"/>
    <w:rsid w:val="0018082A"/>
    <w:rsid w:val="0018096A"/>
    <w:rsid w:val="00180B97"/>
    <w:rsid w:val="001819A8"/>
    <w:rsid w:val="00182072"/>
    <w:rsid w:val="001821C9"/>
    <w:rsid w:val="001825C9"/>
    <w:rsid w:val="00183C32"/>
    <w:rsid w:val="0018408E"/>
    <w:rsid w:val="00184637"/>
    <w:rsid w:val="0018482A"/>
    <w:rsid w:val="00187F02"/>
    <w:rsid w:val="00190A98"/>
    <w:rsid w:val="00190F74"/>
    <w:rsid w:val="00191E78"/>
    <w:rsid w:val="00192955"/>
    <w:rsid w:val="00192CDF"/>
    <w:rsid w:val="001933AA"/>
    <w:rsid w:val="0019398D"/>
    <w:rsid w:val="00194B7C"/>
    <w:rsid w:val="00194F0E"/>
    <w:rsid w:val="001952DB"/>
    <w:rsid w:val="001953FB"/>
    <w:rsid w:val="00195ED0"/>
    <w:rsid w:val="00196D21"/>
    <w:rsid w:val="001A0F34"/>
    <w:rsid w:val="001A1A00"/>
    <w:rsid w:val="001A2059"/>
    <w:rsid w:val="001A23EE"/>
    <w:rsid w:val="001A241E"/>
    <w:rsid w:val="001A336E"/>
    <w:rsid w:val="001A3FD4"/>
    <w:rsid w:val="001A4243"/>
    <w:rsid w:val="001A4347"/>
    <w:rsid w:val="001A45CD"/>
    <w:rsid w:val="001A4746"/>
    <w:rsid w:val="001A49B7"/>
    <w:rsid w:val="001A57E8"/>
    <w:rsid w:val="001A6433"/>
    <w:rsid w:val="001A6DF8"/>
    <w:rsid w:val="001A6FD4"/>
    <w:rsid w:val="001A7604"/>
    <w:rsid w:val="001A7B69"/>
    <w:rsid w:val="001A7C33"/>
    <w:rsid w:val="001B0384"/>
    <w:rsid w:val="001B0F54"/>
    <w:rsid w:val="001B0F69"/>
    <w:rsid w:val="001B111C"/>
    <w:rsid w:val="001B21E6"/>
    <w:rsid w:val="001B2313"/>
    <w:rsid w:val="001B31F4"/>
    <w:rsid w:val="001B40EE"/>
    <w:rsid w:val="001B5098"/>
    <w:rsid w:val="001B538C"/>
    <w:rsid w:val="001B59A7"/>
    <w:rsid w:val="001B5EB0"/>
    <w:rsid w:val="001B617D"/>
    <w:rsid w:val="001B65B2"/>
    <w:rsid w:val="001B6BE1"/>
    <w:rsid w:val="001B6EFA"/>
    <w:rsid w:val="001B7206"/>
    <w:rsid w:val="001B7CB7"/>
    <w:rsid w:val="001B7D53"/>
    <w:rsid w:val="001C0FF2"/>
    <w:rsid w:val="001C24A2"/>
    <w:rsid w:val="001C2B7A"/>
    <w:rsid w:val="001C3417"/>
    <w:rsid w:val="001C3AEF"/>
    <w:rsid w:val="001C43B5"/>
    <w:rsid w:val="001C59C0"/>
    <w:rsid w:val="001C5C11"/>
    <w:rsid w:val="001C6D02"/>
    <w:rsid w:val="001C700E"/>
    <w:rsid w:val="001C747C"/>
    <w:rsid w:val="001C7550"/>
    <w:rsid w:val="001C79CC"/>
    <w:rsid w:val="001D20A2"/>
    <w:rsid w:val="001D2383"/>
    <w:rsid w:val="001D23D5"/>
    <w:rsid w:val="001D2542"/>
    <w:rsid w:val="001D321C"/>
    <w:rsid w:val="001D3F56"/>
    <w:rsid w:val="001D423C"/>
    <w:rsid w:val="001D4D1A"/>
    <w:rsid w:val="001D58DC"/>
    <w:rsid w:val="001D6369"/>
    <w:rsid w:val="001D6CB4"/>
    <w:rsid w:val="001D7096"/>
    <w:rsid w:val="001D70AB"/>
    <w:rsid w:val="001D70E2"/>
    <w:rsid w:val="001D7F3B"/>
    <w:rsid w:val="001E1320"/>
    <w:rsid w:val="001E1953"/>
    <w:rsid w:val="001E2190"/>
    <w:rsid w:val="001E2261"/>
    <w:rsid w:val="001E237E"/>
    <w:rsid w:val="001E302A"/>
    <w:rsid w:val="001E38C2"/>
    <w:rsid w:val="001E4B2A"/>
    <w:rsid w:val="001E59B6"/>
    <w:rsid w:val="001E5D22"/>
    <w:rsid w:val="001E6196"/>
    <w:rsid w:val="001E70BE"/>
    <w:rsid w:val="001E7316"/>
    <w:rsid w:val="001F0A03"/>
    <w:rsid w:val="001F0E98"/>
    <w:rsid w:val="001F132E"/>
    <w:rsid w:val="001F23D8"/>
    <w:rsid w:val="001F2462"/>
    <w:rsid w:val="001F286A"/>
    <w:rsid w:val="001F31F7"/>
    <w:rsid w:val="001F3E3E"/>
    <w:rsid w:val="001F4EFE"/>
    <w:rsid w:val="001F57E3"/>
    <w:rsid w:val="001F6059"/>
    <w:rsid w:val="001F6582"/>
    <w:rsid w:val="001F6EE7"/>
    <w:rsid w:val="001F737C"/>
    <w:rsid w:val="001F73CE"/>
    <w:rsid w:val="001F7963"/>
    <w:rsid w:val="001F7C7E"/>
    <w:rsid w:val="00200527"/>
    <w:rsid w:val="00200C6B"/>
    <w:rsid w:val="00201183"/>
    <w:rsid w:val="00201240"/>
    <w:rsid w:val="0020139E"/>
    <w:rsid w:val="0020144A"/>
    <w:rsid w:val="0020271E"/>
    <w:rsid w:val="00202DB5"/>
    <w:rsid w:val="00204087"/>
    <w:rsid w:val="0020462F"/>
    <w:rsid w:val="0020658C"/>
    <w:rsid w:val="002066DD"/>
    <w:rsid w:val="00206B08"/>
    <w:rsid w:val="00207447"/>
    <w:rsid w:val="002075E1"/>
    <w:rsid w:val="00207CE2"/>
    <w:rsid w:val="00207CFF"/>
    <w:rsid w:val="00207EAC"/>
    <w:rsid w:val="00207EDC"/>
    <w:rsid w:val="0021027F"/>
    <w:rsid w:val="00210456"/>
    <w:rsid w:val="0021053E"/>
    <w:rsid w:val="00210BA4"/>
    <w:rsid w:val="00211218"/>
    <w:rsid w:val="0021121D"/>
    <w:rsid w:val="00211865"/>
    <w:rsid w:val="00211FC9"/>
    <w:rsid w:val="00212AFA"/>
    <w:rsid w:val="00212FC2"/>
    <w:rsid w:val="0021302A"/>
    <w:rsid w:val="00214707"/>
    <w:rsid w:val="00214A72"/>
    <w:rsid w:val="00215084"/>
    <w:rsid w:val="00221055"/>
    <w:rsid w:val="0022195F"/>
    <w:rsid w:val="00221A11"/>
    <w:rsid w:val="002220BC"/>
    <w:rsid w:val="00222411"/>
    <w:rsid w:val="00222690"/>
    <w:rsid w:val="00225376"/>
    <w:rsid w:val="002254FC"/>
    <w:rsid w:val="0022562B"/>
    <w:rsid w:val="00225737"/>
    <w:rsid w:val="0022611D"/>
    <w:rsid w:val="002261D4"/>
    <w:rsid w:val="002263E9"/>
    <w:rsid w:val="00226858"/>
    <w:rsid w:val="002268A7"/>
    <w:rsid w:val="002269B6"/>
    <w:rsid w:val="00226B98"/>
    <w:rsid w:val="00227078"/>
    <w:rsid w:val="002271C8"/>
    <w:rsid w:val="00227640"/>
    <w:rsid w:val="00227C6A"/>
    <w:rsid w:val="002307B1"/>
    <w:rsid w:val="00230C32"/>
    <w:rsid w:val="00230D95"/>
    <w:rsid w:val="00231176"/>
    <w:rsid w:val="00232622"/>
    <w:rsid w:val="00233096"/>
    <w:rsid w:val="002337A9"/>
    <w:rsid w:val="002338E9"/>
    <w:rsid w:val="00234854"/>
    <w:rsid w:val="00234A4F"/>
    <w:rsid w:val="00235A7E"/>
    <w:rsid w:val="00236077"/>
    <w:rsid w:val="00236F48"/>
    <w:rsid w:val="002370E3"/>
    <w:rsid w:val="0024025C"/>
    <w:rsid w:val="002403BF"/>
    <w:rsid w:val="00240C44"/>
    <w:rsid w:val="002410D8"/>
    <w:rsid w:val="002416A8"/>
    <w:rsid w:val="00241D1D"/>
    <w:rsid w:val="002421C0"/>
    <w:rsid w:val="002423DF"/>
    <w:rsid w:val="00242F8C"/>
    <w:rsid w:val="00243C71"/>
    <w:rsid w:val="00243F51"/>
    <w:rsid w:val="0024507E"/>
    <w:rsid w:val="00246E57"/>
    <w:rsid w:val="00246E8A"/>
    <w:rsid w:val="00250236"/>
    <w:rsid w:val="00250717"/>
    <w:rsid w:val="0025077D"/>
    <w:rsid w:val="002507E3"/>
    <w:rsid w:val="00250EAB"/>
    <w:rsid w:val="00251207"/>
    <w:rsid w:val="0025154B"/>
    <w:rsid w:val="002515E8"/>
    <w:rsid w:val="0025164E"/>
    <w:rsid w:val="00251C83"/>
    <w:rsid w:val="00253370"/>
    <w:rsid w:val="00253546"/>
    <w:rsid w:val="00254329"/>
    <w:rsid w:val="002554DC"/>
    <w:rsid w:val="00255559"/>
    <w:rsid w:val="00255947"/>
    <w:rsid w:val="00255A4A"/>
    <w:rsid w:val="00255D3D"/>
    <w:rsid w:val="00256603"/>
    <w:rsid w:val="0025726A"/>
    <w:rsid w:val="00260D2A"/>
    <w:rsid w:val="002613ED"/>
    <w:rsid w:val="002615A1"/>
    <w:rsid w:val="00261617"/>
    <w:rsid w:val="00261A39"/>
    <w:rsid w:val="0026201B"/>
    <w:rsid w:val="0026213E"/>
    <w:rsid w:val="0026286F"/>
    <w:rsid w:val="002634D2"/>
    <w:rsid w:val="00263550"/>
    <w:rsid w:val="0026533C"/>
    <w:rsid w:val="00265BCE"/>
    <w:rsid w:val="002663F6"/>
    <w:rsid w:val="00266BBB"/>
    <w:rsid w:val="00266BE7"/>
    <w:rsid w:val="0026704D"/>
    <w:rsid w:val="00267C4F"/>
    <w:rsid w:val="002701BD"/>
    <w:rsid w:val="00270447"/>
    <w:rsid w:val="00270594"/>
    <w:rsid w:val="00270822"/>
    <w:rsid w:val="00270C0F"/>
    <w:rsid w:val="00270F9F"/>
    <w:rsid w:val="0027137A"/>
    <w:rsid w:val="002714B0"/>
    <w:rsid w:val="0027168B"/>
    <w:rsid w:val="0027195E"/>
    <w:rsid w:val="00271EB5"/>
    <w:rsid w:val="00272522"/>
    <w:rsid w:val="00272D6E"/>
    <w:rsid w:val="00272F44"/>
    <w:rsid w:val="002733A0"/>
    <w:rsid w:val="00275549"/>
    <w:rsid w:val="00276B74"/>
    <w:rsid w:val="0027765F"/>
    <w:rsid w:val="00277CC1"/>
    <w:rsid w:val="00280439"/>
    <w:rsid w:val="0028083D"/>
    <w:rsid w:val="00281353"/>
    <w:rsid w:val="002825E2"/>
    <w:rsid w:val="00283352"/>
    <w:rsid w:val="0028420E"/>
    <w:rsid w:val="00284A19"/>
    <w:rsid w:val="00285A9C"/>
    <w:rsid w:val="00286319"/>
    <w:rsid w:val="002867E0"/>
    <w:rsid w:val="0028687B"/>
    <w:rsid w:val="00290C97"/>
    <w:rsid w:val="0029144F"/>
    <w:rsid w:val="00291911"/>
    <w:rsid w:val="00292448"/>
    <w:rsid w:val="002927E9"/>
    <w:rsid w:val="00292AD3"/>
    <w:rsid w:val="002932A0"/>
    <w:rsid w:val="0029349C"/>
    <w:rsid w:val="00293CDA"/>
    <w:rsid w:val="00293D3E"/>
    <w:rsid w:val="00294D11"/>
    <w:rsid w:val="002963B4"/>
    <w:rsid w:val="002965DD"/>
    <w:rsid w:val="0029694E"/>
    <w:rsid w:val="00296B5C"/>
    <w:rsid w:val="002A0127"/>
    <w:rsid w:val="002A0904"/>
    <w:rsid w:val="002A1678"/>
    <w:rsid w:val="002A178D"/>
    <w:rsid w:val="002A1796"/>
    <w:rsid w:val="002A2871"/>
    <w:rsid w:val="002A4CF8"/>
    <w:rsid w:val="002A4FF9"/>
    <w:rsid w:val="002A5140"/>
    <w:rsid w:val="002A51D4"/>
    <w:rsid w:val="002A6416"/>
    <w:rsid w:val="002A66DA"/>
    <w:rsid w:val="002A6A9C"/>
    <w:rsid w:val="002A76C8"/>
    <w:rsid w:val="002A7850"/>
    <w:rsid w:val="002A7AD7"/>
    <w:rsid w:val="002A7B49"/>
    <w:rsid w:val="002B0BA7"/>
    <w:rsid w:val="002B0DFA"/>
    <w:rsid w:val="002B0EB2"/>
    <w:rsid w:val="002B262B"/>
    <w:rsid w:val="002B3425"/>
    <w:rsid w:val="002B3C61"/>
    <w:rsid w:val="002B4174"/>
    <w:rsid w:val="002B5493"/>
    <w:rsid w:val="002B70E8"/>
    <w:rsid w:val="002B73B0"/>
    <w:rsid w:val="002B7942"/>
    <w:rsid w:val="002C0A98"/>
    <w:rsid w:val="002C0BCC"/>
    <w:rsid w:val="002C11CB"/>
    <w:rsid w:val="002C25D7"/>
    <w:rsid w:val="002C27B7"/>
    <w:rsid w:val="002C2940"/>
    <w:rsid w:val="002C2BC6"/>
    <w:rsid w:val="002C3064"/>
    <w:rsid w:val="002C36D9"/>
    <w:rsid w:val="002C6B61"/>
    <w:rsid w:val="002C6CCF"/>
    <w:rsid w:val="002C6FEB"/>
    <w:rsid w:val="002C7DB0"/>
    <w:rsid w:val="002C7E0E"/>
    <w:rsid w:val="002D0038"/>
    <w:rsid w:val="002D0053"/>
    <w:rsid w:val="002D0672"/>
    <w:rsid w:val="002D0793"/>
    <w:rsid w:val="002D273A"/>
    <w:rsid w:val="002D2BAA"/>
    <w:rsid w:val="002D34D6"/>
    <w:rsid w:val="002D375C"/>
    <w:rsid w:val="002D3C57"/>
    <w:rsid w:val="002D3E94"/>
    <w:rsid w:val="002D3F17"/>
    <w:rsid w:val="002D49E7"/>
    <w:rsid w:val="002D4E71"/>
    <w:rsid w:val="002D4EFB"/>
    <w:rsid w:val="002D4F22"/>
    <w:rsid w:val="002D6273"/>
    <w:rsid w:val="002D6E10"/>
    <w:rsid w:val="002D6ECF"/>
    <w:rsid w:val="002E076A"/>
    <w:rsid w:val="002E0A8F"/>
    <w:rsid w:val="002E3B14"/>
    <w:rsid w:val="002E3DA8"/>
    <w:rsid w:val="002E3F27"/>
    <w:rsid w:val="002E3FDD"/>
    <w:rsid w:val="002E4973"/>
    <w:rsid w:val="002E4A46"/>
    <w:rsid w:val="002E5CA5"/>
    <w:rsid w:val="002E65A1"/>
    <w:rsid w:val="002E666B"/>
    <w:rsid w:val="002E7B2E"/>
    <w:rsid w:val="002F00FF"/>
    <w:rsid w:val="002F0156"/>
    <w:rsid w:val="002F0FDD"/>
    <w:rsid w:val="002F169E"/>
    <w:rsid w:val="002F177C"/>
    <w:rsid w:val="002F28A1"/>
    <w:rsid w:val="002F3E5C"/>
    <w:rsid w:val="002F43D6"/>
    <w:rsid w:val="002F463C"/>
    <w:rsid w:val="002F49B3"/>
    <w:rsid w:val="002F4AFD"/>
    <w:rsid w:val="002F55D5"/>
    <w:rsid w:val="002F6227"/>
    <w:rsid w:val="002F63CD"/>
    <w:rsid w:val="002F7012"/>
    <w:rsid w:val="002F715F"/>
    <w:rsid w:val="002F7181"/>
    <w:rsid w:val="002F7736"/>
    <w:rsid w:val="00300674"/>
    <w:rsid w:val="00300896"/>
    <w:rsid w:val="00300F8B"/>
    <w:rsid w:val="00301175"/>
    <w:rsid w:val="003027F7"/>
    <w:rsid w:val="003029DC"/>
    <w:rsid w:val="00302AC7"/>
    <w:rsid w:val="003030D3"/>
    <w:rsid w:val="0030340C"/>
    <w:rsid w:val="00303F40"/>
    <w:rsid w:val="00304D6F"/>
    <w:rsid w:val="00304EE5"/>
    <w:rsid w:val="003056CA"/>
    <w:rsid w:val="003063BE"/>
    <w:rsid w:val="0030754A"/>
    <w:rsid w:val="00311093"/>
    <w:rsid w:val="00311207"/>
    <w:rsid w:val="00312452"/>
    <w:rsid w:val="00312EF0"/>
    <w:rsid w:val="00314E00"/>
    <w:rsid w:val="003151FD"/>
    <w:rsid w:val="00315BFE"/>
    <w:rsid w:val="00315FC8"/>
    <w:rsid w:val="003164D9"/>
    <w:rsid w:val="00317027"/>
    <w:rsid w:val="00320076"/>
    <w:rsid w:val="003201B1"/>
    <w:rsid w:val="003203E9"/>
    <w:rsid w:val="00321E22"/>
    <w:rsid w:val="003220D4"/>
    <w:rsid w:val="003223A6"/>
    <w:rsid w:val="00322462"/>
    <w:rsid w:val="0032257F"/>
    <w:rsid w:val="00323CEA"/>
    <w:rsid w:val="00324245"/>
    <w:rsid w:val="00324BCF"/>
    <w:rsid w:val="00324C44"/>
    <w:rsid w:val="00324DFE"/>
    <w:rsid w:val="003257E5"/>
    <w:rsid w:val="0032684F"/>
    <w:rsid w:val="00326AAF"/>
    <w:rsid w:val="00326F02"/>
    <w:rsid w:val="00327402"/>
    <w:rsid w:val="00327730"/>
    <w:rsid w:val="0033094A"/>
    <w:rsid w:val="00330952"/>
    <w:rsid w:val="0033104E"/>
    <w:rsid w:val="0033256A"/>
    <w:rsid w:val="00333077"/>
    <w:rsid w:val="0033398E"/>
    <w:rsid w:val="00334009"/>
    <w:rsid w:val="0033468A"/>
    <w:rsid w:val="003346D6"/>
    <w:rsid w:val="003351E2"/>
    <w:rsid w:val="003351E6"/>
    <w:rsid w:val="00335EDC"/>
    <w:rsid w:val="00336528"/>
    <w:rsid w:val="00337356"/>
    <w:rsid w:val="00337FCB"/>
    <w:rsid w:val="00340560"/>
    <w:rsid w:val="00340EE3"/>
    <w:rsid w:val="00341014"/>
    <w:rsid w:val="003415CF"/>
    <w:rsid w:val="0034231A"/>
    <w:rsid w:val="0034249B"/>
    <w:rsid w:val="003427D9"/>
    <w:rsid w:val="00342D43"/>
    <w:rsid w:val="00344A03"/>
    <w:rsid w:val="0034530A"/>
    <w:rsid w:val="00345C3E"/>
    <w:rsid w:val="0034634B"/>
    <w:rsid w:val="003475BB"/>
    <w:rsid w:val="003478BB"/>
    <w:rsid w:val="00347EB2"/>
    <w:rsid w:val="0035009D"/>
    <w:rsid w:val="00350258"/>
    <w:rsid w:val="0035054D"/>
    <w:rsid w:val="003505F6"/>
    <w:rsid w:val="003513E7"/>
    <w:rsid w:val="00351B28"/>
    <w:rsid w:val="00351DDD"/>
    <w:rsid w:val="00351F0E"/>
    <w:rsid w:val="0035253A"/>
    <w:rsid w:val="00352A72"/>
    <w:rsid w:val="003530D5"/>
    <w:rsid w:val="00353B26"/>
    <w:rsid w:val="00353B32"/>
    <w:rsid w:val="00353BF5"/>
    <w:rsid w:val="00354383"/>
    <w:rsid w:val="00354DEB"/>
    <w:rsid w:val="0035513C"/>
    <w:rsid w:val="00355C6C"/>
    <w:rsid w:val="00356107"/>
    <w:rsid w:val="003563ED"/>
    <w:rsid w:val="00356963"/>
    <w:rsid w:val="00357221"/>
    <w:rsid w:val="003577B3"/>
    <w:rsid w:val="00357D5D"/>
    <w:rsid w:val="00360498"/>
    <w:rsid w:val="00360BC9"/>
    <w:rsid w:val="0036107A"/>
    <w:rsid w:val="00361298"/>
    <w:rsid w:val="003613BD"/>
    <w:rsid w:val="003617CE"/>
    <w:rsid w:val="00361888"/>
    <w:rsid w:val="003618FB"/>
    <w:rsid w:val="00361AFD"/>
    <w:rsid w:val="0036274B"/>
    <w:rsid w:val="00362EA1"/>
    <w:rsid w:val="00363141"/>
    <w:rsid w:val="003632F2"/>
    <w:rsid w:val="003637FF"/>
    <w:rsid w:val="003650F2"/>
    <w:rsid w:val="0036547F"/>
    <w:rsid w:val="0036647B"/>
    <w:rsid w:val="0036695F"/>
    <w:rsid w:val="00367098"/>
    <w:rsid w:val="003674F1"/>
    <w:rsid w:val="003718E2"/>
    <w:rsid w:val="003723C0"/>
    <w:rsid w:val="003729AC"/>
    <w:rsid w:val="00373BDD"/>
    <w:rsid w:val="00373CCB"/>
    <w:rsid w:val="0037429D"/>
    <w:rsid w:val="00375540"/>
    <w:rsid w:val="00375CEB"/>
    <w:rsid w:val="003761CC"/>
    <w:rsid w:val="00376254"/>
    <w:rsid w:val="00376792"/>
    <w:rsid w:val="00376B66"/>
    <w:rsid w:val="00380D37"/>
    <w:rsid w:val="003813B5"/>
    <w:rsid w:val="00381706"/>
    <w:rsid w:val="00381BDA"/>
    <w:rsid w:val="003820D6"/>
    <w:rsid w:val="00382C8B"/>
    <w:rsid w:val="00382DDB"/>
    <w:rsid w:val="003839BF"/>
    <w:rsid w:val="00383B66"/>
    <w:rsid w:val="00384036"/>
    <w:rsid w:val="003840CB"/>
    <w:rsid w:val="00384B72"/>
    <w:rsid w:val="00384FA7"/>
    <w:rsid w:val="00384FB4"/>
    <w:rsid w:val="0038567D"/>
    <w:rsid w:val="00385946"/>
    <w:rsid w:val="00385B2C"/>
    <w:rsid w:val="00386439"/>
    <w:rsid w:val="00387503"/>
    <w:rsid w:val="00387CCC"/>
    <w:rsid w:val="003908CE"/>
    <w:rsid w:val="0039092A"/>
    <w:rsid w:val="0039209A"/>
    <w:rsid w:val="003920BC"/>
    <w:rsid w:val="0039310D"/>
    <w:rsid w:val="00394B59"/>
    <w:rsid w:val="00396815"/>
    <w:rsid w:val="00396F97"/>
    <w:rsid w:val="00397524"/>
    <w:rsid w:val="003A0597"/>
    <w:rsid w:val="003A060B"/>
    <w:rsid w:val="003A0760"/>
    <w:rsid w:val="003A0C5B"/>
    <w:rsid w:val="003A138D"/>
    <w:rsid w:val="003A23EE"/>
    <w:rsid w:val="003A286E"/>
    <w:rsid w:val="003A2CA7"/>
    <w:rsid w:val="003A3B91"/>
    <w:rsid w:val="003A3DE5"/>
    <w:rsid w:val="003A492B"/>
    <w:rsid w:val="003A4A7D"/>
    <w:rsid w:val="003A56A8"/>
    <w:rsid w:val="003A5B1D"/>
    <w:rsid w:val="003A5F4A"/>
    <w:rsid w:val="003A5F9C"/>
    <w:rsid w:val="003A6D39"/>
    <w:rsid w:val="003A71C5"/>
    <w:rsid w:val="003A7E49"/>
    <w:rsid w:val="003B0308"/>
    <w:rsid w:val="003B0A92"/>
    <w:rsid w:val="003B0C54"/>
    <w:rsid w:val="003B0CA0"/>
    <w:rsid w:val="003B0E33"/>
    <w:rsid w:val="003B1B0F"/>
    <w:rsid w:val="003B1DB4"/>
    <w:rsid w:val="003B3051"/>
    <w:rsid w:val="003B4B26"/>
    <w:rsid w:val="003B50E7"/>
    <w:rsid w:val="003B53B8"/>
    <w:rsid w:val="003B5491"/>
    <w:rsid w:val="003B6F1D"/>
    <w:rsid w:val="003C04D2"/>
    <w:rsid w:val="003C096C"/>
    <w:rsid w:val="003C13B1"/>
    <w:rsid w:val="003C16A4"/>
    <w:rsid w:val="003C1977"/>
    <w:rsid w:val="003C1E05"/>
    <w:rsid w:val="003C1E48"/>
    <w:rsid w:val="003C22CA"/>
    <w:rsid w:val="003C26CF"/>
    <w:rsid w:val="003C2EDD"/>
    <w:rsid w:val="003C3367"/>
    <w:rsid w:val="003C40FB"/>
    <w:rsid w:val="003C4C7E"/>
    <w:rsid w:val="003C584D"/>
    <w:rsid w:val="003C6811"/>
    <w:rsid w:val="003C6AF7"/>
    <w:rsid w:val="003C6E30"/>
    <w:rsid w:val="003C7489"/>
    <w:rsid w:val="003C787B"/>
    <w:rsid w:val="003C7BA3"/>
    <w:rsid w:val="003C7C73"/>
    <w:rsid w:val="003D033E"/>
    <w:rsid w:val="003D06A7"/>
    <w:rsid w:val="003D0E64"/>
    <w:rsid w:val="003D0FCD"/>
    <w:rsid w:val="003D1B8C"/>
    <w:rsid w:val="003D2164"/>
    <w:rsid w:val="003D31D5"/>
    <w:rsid w:val="003D49A7"/>
    <w:rsid w:val="003D4E7C"/>
    <w:rsid w:val="003D5200"/>
    <w:rsid w:val="003D5F39"/>
    <w:rsid w:val="003D6BB8"/>
    <w:rsid w:val="003D70C1"/>
    <w:rsid w:val="003D713B"/>
    <w:rsid w:val="003D7B40"/>
    <w:rsid w:val="003E12D0"/>
    <w:rsid w:val="003E1BA6"/>
    <w:rsid w:val="003E1C1E"/>
    <w:rsid w:val="003E23A2"/>
    <w:rsid w:val="003E267F"/>
    <w:rsid w:val="003E2BD3"/>
    <w:rsid w:val="003E2E55"/>
    <w:rsid w:val="003E341C"/>
    <w:rsid w:val="003E356D"/>
    <w:rsid w:val="003E3D8A"/>
    <w:rsid w:val="003E41E6"/>
    <w:rsid w:val="003E51A3"/>
    <w:rsid w:val="003E64EE"/>
    <w:rsid w:val="003E753A"/>
    <w:rsid w:val="003E7944"/>
    <w:rsid w:val="003F0666"/>
    <w:rsid w:val="003F2351"/>
    <w:rsid w:val="003F23EF"/>
    <w:rsid w:val="003F270C"/>
    <w:rsid w:val="003F2DE4"/>
    <w:rsid w:val="003F39A7"/>
    <w:rsid w:val="003F3C8B"/>
    <w:rsid w:val="003F47B6"/>
    <w:rsid w:val="003F5009"/>
    <w:rsid w:val="003F55D5"/>
    <w:rsid w:val="003F59F6"/>
    <w:rsid w:val="003F5C83"/>
    <w:rsid w:val="003F678D"/>
    <w:rsid w:val="003F6AD6"/>
    <w:rsid w:val="003F6BE1"/>
    <w:rsid w:val="003F799D"/>
    <w:rsid w:val="0040021D"/>
    <w:rsid w:val="00400222"/>
    <w:rsid w:val="00400F10"/>
    <w:rsid w:val="00400F6E"/>
    <w:rsid w:val="004011DB"/>
    <w:rsid w:val="00401722"/>
    <w:rsid w:val="004022B2"/>
    <w:rsid w:val="004045B1"/>
    <w:rsid w:val="00404FAE"/>
    <w:rsid w:val="00406B91"/>
    <w:rsid w:val="00406D1A"/>
    <w:rsid w:val="00407F51"/>
    <w:rsid w:val="00410584"/>
    <w:rsid w:val="00410C1B"/>
    <w:rsid w:val="00410DC2"/>
    <w:rsid w:val="00411222"/>
    <w:rsid w:val="00412252"/>
    <w:rsid w:val="004122F9"/>
    <w:rsid w:val="00412A24"/>
    <w:rsid w:val="00412A29"/>
    <w:rsid w:val="00413E83"/>
    <w:rsid w:val="004144D6"/>
    <w:rsid w:val="004158B3"/>
    <w:rsid w:val="00416AAB"/>
    <w:rsid w:val="004173BA"/>
    <w:rsid w:val="004176B6"/>
    <w:rsid w:val="00417CA2"/>
    <w:rsid w:val="00417EDD"/>
    <w:rsid w:val="0042082F"/>
    <w:rsid w:val="00420C78"/>
    <w:rsid w:val="00421109"/>
    <w:rsid w:val="00421463"/>
    <w:rsid w:val="00421A9F"/>
    <w:rsid w:val="0042493E"/>
    <w:rsid w:val="00424959"/>
    <w:rsid w:val="004250EE"/>
    <w:rsid w:val="004253C7"/>
    <w:rsid w:val="004260A6"/>
    <w:rsid w:val="00426631"/>
    <w:rsid w:val="004267CA"/>
    <w:rsid w:val="00426FE4"/>
    <w:rsid w:val="004272A4"/>
    <w:rsid w:val="00427CAD"/>
    <w:rsid w:val="0043018B"/>
    <w:rsid w:val="004306CD"/>
    <w:rsid w:val="00431246"/>
    <w:rsid w:val="0043147B"/>
    <w:rsid w:val="004328D8"/>
    <w:rsid w:val="00433B49"/>
    <w:rsid w:val="00436F5C"/>
    <w:rsid w:val="00437329"/>
    <w:rsid w:val="00437B94"/>
    <w:rsid w:val="00437B9B"/>
    <w:rsid w:val="00437C98"/>
    <w:rsid w:val="0044009B"/>
    <w:rsid w:val="00440380"/>
    <w:rsid w:val="00441324"/>
    <w:rsid w:val="00441EBE"/>
    <w:rsid w:val="0044212F"/>
    <w:rsid w:val="0044336F"/>
    <w:rsid w:val="0044440C"/>
    <w:rsid w:val="004455CF"/>
    <w:rsid w:val="00445C46"/>
    <w:rsid w:val="00445C8E"/>
    <w:rsid w:val="00446610"/>
    <w:rsid w:val="00447802"/>
    <w:rsid w:val="00447D12"/>
    <w:rsid w:val="00450A37"/>
    <w:rsid w:val="00450C87"/>
    <w:rsid w:val="00451639"/>
    <w:rsid w:val="00452328"/>
    <w:rsid w:val="00452A3B"/>
    <w:rsid w:val="00452CCA"/>
    <w:rsid w:val="0045345C"/>
    <w:rsid w:val="0045484C"/>
    <w:rsid w:val="00455341"/>
    <w:rsid w:val="004554ED"/>
    <w:rsid w:val="00455BB9"/>
    <w:rsid w:val="00455C02"/>
    <w:rsid w:val="00455E0C"/>
    <w:rsid w:val="00456D92"/>
    <w:rsid w:val="00457946"/>
    <w:rsid w:val="00460526"/>
    <w:rsid w:val="00460D5A"/>
    <w:rsid w:val="00460D81"/>
    <w:rsid w:val="0046106D"/>
    <w:rsid w:val="004617D3"/>
    <w:rsid w:val="00461E39"/>
    <w:rsid w:val="00462064"/>
    <w:rsid w:val="004626B9"/>
    <w:rsid w:val="00463E78"/>
    <w:rsid w:val="0046459B"/>
    <w:rsid w:val="00464A24"/>
    <w:rsid w:val="00464A80"/>
    <w:rsid w:val="00464E84"/>
    <w:rsid w:val="00464F1F"/>
    <w:rsid w:val="00465FC5"/>
    <w:rsid w:val="00466001"/>
    <w:rsid w:val="00467062"/>
    <w:rsid w:val="004713AF"/>
    <w:rsid w:val="00472258"/>
    <w:rsid w:val="00472E95"/>
    <w:rsid w:val="00473178"/>
    <w:rsid w:val="00473AFD"/>
    <w:rsid w:val="00476377"/>
    <w:rsid w:val="0047690C"/>
    <w:rsid w:val="004769F0"/>
    <w:rsid w:val="00476F3A"/>
    <w:rsid w:val="004772FE"/>
    <w:rsid w:val="00477986"/>
    <w:rsid w:val="004803A7"/>
    <w:rsid w:val="00480513"/>
    <w:rsid w:val="00480990"/>
    <w:rsid w:val="00480DAD"/>
    <w:rsid w:val="00480F40"/>
    <w:rsid w:val="004810B1"/>
    <w:rsid w:val="004812DD"/>
    <w:rsid w:val="0048182D"/>
    <w:rsid w:val="00481DF1"/>
    <w:rsid w:val="00482590"/>
    <w:rsid w:val="004826C7"/>
    <w:rsid w:val="00482E60"/>
    <w:rsid w:val="0048430C"/>
    <w:rsid w:val="00484759"/>
    <w:rsid w:val="00484D8A"/>
    <w:rsid w:val="00486658"/>
    <w:rsid w:val="00486C65"/>
    <w:rsid w:val="00486D90"/>
    <w:rsid w:val="004871E2"/>
    <w:rsid w:val="00487858"/>
    <w:rsid w:val="00487E4F"/>
    <w:rsid w:val="00487E6F"/>
    <w:rsid w:val="00487FDB"/>
    <w:rsid w:val="004901E8"/>
    <w:rsid w:val="0049115A"/>
    <w:rsid w:val="00491581"/>
    <w:rsid w:val="004925A6"/>
    <w:rsid w:val="00492B9D"/>
    <w:rsid w:val="00492C1D"/>
    <w:rsid w:val="00492E1B"/>
    <w:rsid w:val="004932FC"/>
    <w:rsid w:val="00493322"/>
    <w:rsid w:val="0049356E"/>
    <w:rsid w:val="00493924"/>
    <w:rsid w:val="004943D5"/>
    <w:rsid w:val="00494B02"/>
    <w:rsid w:val="00494C7E"/>
    <w:rsid w:val="00494FE2"/>
    <w:rsid w:val="00494FF1"/>
    <w:rsid w:val="004956BA"/>
    <w:rsid w:val="00495FA0"/>
    <w:rsid w:val="00496011"/>
    <w:rsid w:val="0049722C"/>
    <w:rsid w:val="0049747B"/>
    <w:rsid w:val="004975AF"/>
    <w:rsid w:val="004A05B1"/>
    <w:rsid w:val="004A06B4"/>
    <w:rsid w:val="004A07AC"/>
    <w:rsid w:val="004A11CF"/>
    <w:rsid w:val="004A2A57"/>
    <w:rsid w:val="004A2F57"/>
    <w:rsid w:val="004A3FFD"/>
    <w:rsid w:val="004A4473"/>
    <w:rsid w:val="004A5056"/>
    <w:rsid w:val="004A56D4"/>
    <w:rsid w:val="004A5B63"/>
    <w:rsid w:val="004A68C7"/>
    <w:rsid w:val="004A7430"/>
    <w:rsid w:val="004B007C"/>
    <w:rsid w:val="004B01C5"/>
    <w:rsid w:val="004B06B0"/>
    <w:rsid w:val="004B0B1F"/>
    <w:rsid w:val="004B0F0F"/>
    <w:rsid w:val="004B115C"/>
    <w:rsid w:val="004B136F"/>
    <w:rsid w:val="004B1658"/>
    <w:rsid w:val="004B165B"/>
    <w:rsid w:val="004B2716"/>
    <w:rsid w:val="004B2EAA"/>
    <w:rsid w:val="004B3A10"/>
    <w:rsid w:val="004B3A2E"/>
    <w:rsid w:val="004B3C31"/>
    <w:rsid w:val="004B4A56"/>
    <w:rsid w:val="004B4FA3"/>
    <w:rsid w:val="004B50B0"/>
    <w:rsid w:val="004B67F4"/>
    <w:rsid w:val="004B6F18"/>
    <w:rsid w:val="004B73DF"/>
    <w:rsid w:val="004B7BD3"/>
    <w:rsid w:val="004B7CB7"/>
    <w:rsid w:val="004B7E72"/>
    <w:rsid w:val="004C013C"/>
    <w:rsid w:val="004C0C5C"/>
    <w:rsid w:val="004C23B4"/>
    <w:rsid w:val="004C24DE"/>
    <w:rsid w:val="004C2FFB"/>
    <w:rsid w:val="004C3445"/>
    <w:rsid w:val="004C40BC"/>
    <w:rsid w:val="004C451F"/>
    <w:rsid w:val="004C4BA2"/>
    <w:rsid w:val="004C4D5A"/>
    <w:rsid w:val="004C509C"/>
    <w:rsid w:val="004C60BA"/>
    <w:rsid w:val="004C61D4"/>
    <w:rsid w:val="004C63B9"/>
    <w:rsid w:val="004C6897"/>
    <w:rsid w:val="004C6D0E"/>
    <w:rsid w:val="004C71BC"/>
    <w:rsid w:val="004D06E6"/>
    <w:rsid w:val="004D0719"/>
    <w:rsid w:val="004D0FC5"/>
    <w:rsid w:val="004D1E12"/>
    <w:rsid w:val="004D23D9"/>
    <w:rsid w:val="004D3B88"/>
    <w:rsid w:val="004D3E10"/>
    <w:rsid w:val="004D40E5"/>
    <w:rsid w:val="004D479D"/>
    <w:rsid w:val="004D535C"/>
    <w:rsid w:val="004D6002"/>
    <w:rsid w:val="004D6CD0"/>
    <w:rsid w:val="004D6F95"/>
    <w:rsid w:val="004D7AF4"/>
    <w:rsid w:val="004E034A"/>
    <w:rsid w:val="004E0AE1"/>
    <w:rsid w:val="004E13FC"/>
    <w:rsid w:val="004E149F"/>
    <w:rsid w:val="004E217C"/>
    <w:rsid w:val="004E2380"/>
    <w:rsid w:val="004E2432"/>
    <w:rsid w:val="004E277F"/>
    <w:rsid w:val="004E35E1"/>
    <w:rsid w:val="004E3A63"/>
    <w:rsid w:val="004E3BEB"/>
    <w:rsid w:val="004E3FD5"/>
    <w:rsid w:val="004E427D"/>
    <w:rsid w:val="004E44D7"/>
    <w:rsid w:val="004E4656"/>
    <w:rsid w:val="004E5168"/>
    <w:rsid w:val="004E5326"/>
    <w:rsid w:val="004E6576"/>
    <w:rsid w:val="004E7D05"/>
    <w:rsid w:val="004E7D75"/>
    <w:rsid w:val="004F1DEC"/>
    <w:rsid w:val="004F2B73"/>
    <w:rsid w:val="004F2E1C"/>
    <w:rsid w:val="004F32AF"/>
    <w:rsid w:val="004F3D71"/>
    <w:rsid w:val="004F508B"/>
    <w:rsid w:val="004F5AE2"/>
    <w:rsid w:val="004F5D57"/>
    <w:rsid w:val="004F614A"/>
    <w:rsid w:val="004F6680"/>
    <w:rsid w:val="004F6DBE"/>
    <w:rsid w:val="004F740A"/>
    <w:rsid w:val="004F7D80"/>
    <w:rsid w:val="004F7E8F"/>
    <w:rsid w:val="00500663"/>
    <w:rsid w:val="005006FC"/>
    <w:rsid w:val="00500DB4"/>
    <w:rsid w:val="00501B34"/>
    <w:rsid w:val="00501C0F"/>
    <w:rsid w:val="0050228A"/>
    <w:rsid w:val="0050339C"/>
    <w:rsid w:val="005034DF"/>
    <w:rsid w:val="0050363D"/>
    <w:rsid w:val="005037EE"/>
    <w:rsid w:val="005053BB"/>
    <w:rsid w:val="00505515"/>
    <w:rsid w:val="005076C0"/>
    <w:rsid w:val="005105B8"/>
    <w:rsid w:val="00511572"/>
    <w:rsid w:val="00511CCC"/>
    <w:rsid w:val="00513488"/>
    <w:rsid w:val="0051363C"/>
    <w:rsid w:val="005147BF"/>
    <w:rsid w:val="00515645"/>
    <w:rsid w:val="005159F7"/>
    <w:rsid w:val="00515E10"/>
    <w:rsid w:val="00520382"/>
    <w:rsid w:val="005203FF"/>
    <w:rsid w:val="0052084E"/>
    <w:rsid w:val="00520A68"/>
    <w:rsid w:val="005215D5"/>
    <w:rsid w:val="0052164C"/>
    <w:rsid w:val="0052170B"/>
    <w:rsid w:val="00521DDD"/>
    <w:rsid w:val="00522169"/>
    <w:rsid w:val="00522BFC"/>
    <w:rsid w:val="00523E15"/>
    <w:rsid w:val="00525ADF"/>
    <w:rsid w:val="00525E80"/>
    <w:rsid w:val="005261ED"/>
    <w:rsid w:val="00526D52"/>
    <w:rsid w:val="00527C39"/>
    <w:rsid w:val="00527EFF"/>
    <w:rsid w:val="00532154"/>
    <w:rsid w:val="0053220B"/>
    <w:rsid w:val="00532922"/>
    <w:rsid w:val="00533A50"/>
    <w:rsid w:val="00533CF1"/>
    <w:rsid w:val="0053475A"/>
    <w:rsid w:val="00534AD1"/>
    <w:rsid w:val="00535081"/>
    <w:rsid w:val="005358F9"/>
    <w:rsid w:val="00535B87"/>
    <w:rsid w:val="00536ADB"/>
    <w:rsid w:val="00536C4F"/>
    <w:rsid w:val="00536F4A"/>
    <w:rsid w:val="005373D6"/>
    <w:rsid w:val="005377D9"/>
    <w:rsid w:val="00540A75"/>
    <w:rsid w:val="00540DB1"/>
    <w:rsid w:val="0054108A"/>
    <w:rsid w:val="0054122E"/>
    <w:rsid w:val="0054135B"/>
    <w:rsid w:val="00541490"/>
    <w:rsid w:val="005418D8"/>
    <w:rsid w:val="005418E3"/>
    <w:rsid w:val="00541D1D"/>
    <w:rsid w:val="005428E6"/>
    <w:rsid w:val="00542C53"/>
    <w:rsid w:val="00543871"/>
    <w:rsid w:val="00544487"/>
    <w:rsid w:val="00544CC3"/>
    <w:rsid w:val="00545188"/>
    <w:rsid w:val="0054598B"/>
    <w:rsid w:val="00546581"/>
    <w:rsid w:val="00547523"/>
    <w:rsid w:val="0055026E"/>
    <w:rsid w:val="00550E27"/>
    <w:rsid w:val="005514F5"/>
    <w:rsid w:val="00551C4F"/>
    <w:rsid w:val="00551F90"/>
    <w:rsid w:val="005526F6"/>
    <w:rsid w:val="005530E8"/>
    <w:rsid w:val="005535A1"/>
    <w:rsid w:val="00553E91"/>
    <w:rsid w:val="00554724"/>
    <w:rsid w:val="00554B5E"/>
    <w:rsid w:val="00555336"/>
    <w:rsid w:val="00555854"/>
    <w:rsid w:val="00555B78"/>
    <w:rsid w:val="00555CF4"/>
    <w:rsid w:val="005571E1"/>
    <w:rsid w:val="00557256"/>
    <w:rsid w:val="00557344"/>
    <w:rsid w:val="00557A9A"/>
    <w:rsid w:val="00557B0B"/>
    <w:rsid w:val="00557CB4"/>
    <w:rsid w:val="00560893"/>
    <w:rsid w:val="0056102C"/>
    <w:rsid w:val="005625F3"/>
    <w:rsid w:val="00562EA1"/>
    <w:rsid w:val="00563146"/>
    <w:rsid w:val="00563514"/>
    <w:rsid w:val="005635B3"/>
    <w:rsid w:val="0056368B"/>
    <w:rsid w:val="005654B3"/>
    <w:rsid w:val="00565EF6"/>
    <w:rsid w:val="005664D6"/>
    <w:rsid w:val="00566D9C"/>
    <w:rsid w:val="00567610"/>
    <w:rsid w:val="00567FF2"/>
    <w:rsid w:val="005703CB"/>
    <w:rsid w:val="00570431"/>
    <w:rsid w:val="005709F3"/>
    <w:rsid w:val="00570AC3"/>
    <w:rsid w:val="00570B54"/>
    <w:rsid w:val="00571582"/>
    <w:rsid w:val="00571684"/>
    <w:rsid w:val="005716CB"/>
    <w:rsid w:val="0057349F"/>
    <w:rsid w:val="00573C15"/>
    <w:rsid w:val="00574817"/>
    <w:rsid w:val="005748DB"/>
    <w:rsid w:val="00575D45"/>
    <w:rsid w:val="00577649"/>
    <w:rsid w:val="00577702"/>
    <w:rsid w:val="00577FEC"/>
    <w:rsid w:val="0058029D"/>
    <w:rsid w:val="005814EE"/>
    <w:rsid w:val="00581698"/>
    <w:rsid w:val="00581D9E"/>
    <w:rsid w:val="00582F75"/>
    <w:rsid w:val="005830B1"/>
    <w:rsid w:val="005838D2"/>
    <w:rsid w:val="00584379"/>
    <w:rsid w:val="00585750"/>
    <w:rsid w:val="00585CB6"/>
    <w:rsid w:val="00585E85"/>
    <w:rsid w:val="00585F59"/>
    <w:rsid w:val="0058616A"/>
    <w:rsid w:val="005861D3"/>
    <w:rsid w:val="00586F98"/>
    <w:rsid w:val="00587037"/>
    <w:rsid w:val="0058786A"/>
    <w:rsid w:val="00590F47"/>
    <w:rsid w:val="00591E25"/>
    <w:rsid w:val="0059261F"/>
    <w:rsid w:val="00593334"/>
    <w:rsid w:val="00593C15"/>
    <w:rsid w:val="0059471F"/>
    <w:rsid w:val="00594E97"/>
    <w:rsid w:val="00595B5B"/>
    <w:rsid w:val="005978DE"/>
    <w:rsid w:val="005A0239"/>
    <w:rsid w:val="005A03CF"/>
    <w:rsid w:val="005A041A"/>
    <w:rsid w:val="005A0F2A"/>
    <w:rsid w:val="005A1277"/>
    <w:rsid w:val="005A14DF"/>
    <w:rsid w:val="005A1980"/>
    <w:rsid w:val="005A2075"/>
    <w:rsid w:val="005A21D7"/>
    <w:rsid w:val="005A2968"/>
    <w:rsid w:val="005A29BB"/>
    <w:rsid w:val="005A32EC"/>
    <w:rsid w:val="005A35F4"/>
    <w:rsid w:val="005A4475"/>
    <w:rsid w:val="005A46AE"/>
    <w:rsid w:val="005A48DB"/>
    <w:rsid w:val="005A4D74"/>
    <w:rsid w:val="005A4EF5"/>
    <w:rsid w:val="005A5961"/>
    <w:rsid w:val="005A5DFF"/>
    <w:rsid w:val="005A61EB"/>
    <w:rsid w:val="005A791B"/>
    <w:rsid w:val="005A7CC8"/>
    <w:rsid w:val="005B0B40"/>
    <w:rsid w:val="005B0BD1"/>
    <w:rsid w:val="005B103E"/>
    <w:rsid w:val="005B1A3B"/>
    <w:rsid w:val="005B1F35"/>
    <w:rsid w:val="005B2024"/>
    <w:rsid w:val="005B2735"/>
    <w:rsid w:val="005B29C2"/>
    <w:rsid w:val="005B2AE0"/>
    <w:rsid w:val="005B31B6"/>
    <w:rsid w:val="005B3A48"/>
    <w:rsid w:val="005B3EA6"/>
    <w:rsid w:val="005B408B"/>
    <w:rsid w:val="005B40AD"/>
    <w:rsid w:val="005B5115"/>
    <w:rsid w:val="005B5E6B"/>
    <w:rsid w:val="005B5FC4"/>
    <w:rsid w:val="005B60D3"/>
    <w:rsid w:val="005B7E7C"/>
    <w:rsid w:val="005C006E"/>
    <w:rsid w:val="005C0816"/>
    <w:rsid w:val="005C10E0"/>
    <w:rsid w:val="005C149F"/>
    <w:rsid w:val="005C1776"/>
    <w:rsid w:val="005C1FAE"/>
    <w:rsid w:val="005C2D73"/>
    <w:rsid w:val="005C2F0E"/>
    <w:rsid w:val="005C3DCF"/>
    <w:rsid w:val="005C4038"/>
    <w:rsid w:val="005C42C9"/>
    <w:rsid w:val="005C42F5"/>
    <w:rsid w:val="005C4772"/>
    <w:rsid w:val="005C57B0"/>
    <w:rsid w:val="005C5C22"/>
    <w:rsid w:val="005C5DAC"/>
    <w:rsid w:val="005C6195"/>
    <w:rsid w:val="005C6284"/>
    <w:rsid w:val="005C6B5B"/>
    <w:rsid w:val="005C6DDB"/>
    <w:rsid w:val="005C76F8"/>
    <w:rsid w:val="005C7D42"/>
    <w:rsid w:val="005D0E45"/>
    <w:rsid w:val="005D0E4B"/>
    <w:rsid w:val="005D0EC4"/>
    <w:rsid w:val="005D1A1A"/>
    <w:rsid w:val="005D1EB5"/>
    <w:rsid w:val="005D1ED8"/>
    <w:rsid w:val="005D31FE"/>
    <w:rsid w:val="005D3C12"/>
    <w:rsid w:val="005D40E6"/>
    <w:rsid w:val="005D4685"/>
    <w:rsid w:val="005D4961"/>
    <w:rsid w:val="005D62F5"/>
    <w:rsid w:val="005D6999"/>
    <w:rsid w:val="005D6B24"/>
    <w:rsid w:val="005D7D69"/>
    <w:rsid w:val="005E0C14"/>
    <w:rsid w:val="005E1779"/>
    <w:rsid w:val="005E2659"/>
    <w:rsid w:val="005E310E"/>
    <w:rsid w:val="005E35A3"/>
    <w:rsid w:val="005E3731"/>
    <w:rsid w:val="005E3977"/>
    <w:rsid w:val="005E4669"/>
    <w:rsid w:val="005E5013"/>
    <w:rsid w:val="005E50F0"/>
    <w:rsid w:val="005E50F1"/>
    <w:rsid w:val="005E6B5D"/>
    <w:rsid w:val="005E6B87"/>
    <w:rsid w:val="005E7159"/>
    <w:rsid w:val="005E75C4"/>
    <w:rsid w:val="005F0EE9"/>
    <w:rsid w:val="005F11CC"/>
    <w:rsid w:val="005F2121"/>
    <w:rsid w:val="005F27AD"/>
    <w:rsid w:val="005F2C74"/>
    <w:rsid w:val="005F30B5"/>
    <w:rsid w:val="005F34D0"/>
    <w:rsid w:val="005F3C70"/>
    <w:rsid w:val="005F3F99"/>
    <w:rsid w:val="005F62A3"/>
    <w:rsid w:val="006000F1"/>
    <w:rsid w:val="00601749"/>
    <w:rsid w:val="00601D40"/>
    <w:rsid w:val="00602457"/>
    <w:rsid w:val="00604305"/>
    <w:rsid w:val="00604640"/>
    <w:rsid w:val="006048BC"/>
    <w:rsid w:val="00604977"/>
    <w:rsid w:val="00605674"/>
    <w:rsid w:val="0060578F"/>
    <w:rsid w:val="00605C67"/>
    <w:rsid w:val="00605F0E"/>
    <w:rsid w:val="0060635A"/>
    <w:rsid w:val="00606577"/>
    <w:rsid w:val="006065DC"/>
    <w:rsid w:val="006069AC"/>
    <w:rsid w:val="006077EA"/>
    <w:rsid w:val="00610A6C"/>
    <w:rsid w:val="00610D57"/>
    <w:rsid w:val="00610DCE"/>
    <w:rsid w:val="00611BED"/>
    <w:rsid w:val="00611D71"/>
    <w:rsid w:val="006122CF"/>
    <w:rsid w:val="00612321"/>
    <w:rsid w:val="0061488B"/>
    <w:rsid w:val="00614C35"/>
    <w:rsid w:val="006156BD"/>
    <w:rsid w:val="00615A52"/>
    <w:rsid w:val="00616F9A"/>
    <w:rsid w:val="00617636"/>
    <w:rsid w:val="00620975"/>
    <w:rsid w:val="00621742"/>
    <w:rsid w:val="0062195D"/>
    <w:rsid w:val="00621BFC"/>
    <w:rsid w:val="00622F77"/>
    <w:rsid w:val="00623101"/>
    <w:rsid w:val="00623FBC"/>
    <w:rsid w:val="006241E0"/>
    <w:rsid w:val="00624EDB"/>
    <w:rsid w:val="006259C6"/>
    <w:rsid w:val="00625DF2"/>
    <w:rsid w:val="00626AE8"/>
    <w:rsid w:val="00627CDB"/>
    <w:rsid w:val="00627D7A"/>
    <w:rsid w:val="0063044C"/>
    <w:rsid w:val="00630A55"/>
    <w:rsid w:val="00630FB3"/>
    <w:rsid w:val="00631115"/>
    <w:rsid w:val="0063227D"/>
    <w:rsid w:val="006325FC"/>
    <w:rsid w:val="00632707"/>
    <w:rsid w:val="006333E0"/>
    <w:rsid w:val="0063403F"/>
    <w:rsid w:val="006343EE"/>
    <w:rsid w:val="00634B9A"/>
    <w:rsid w:val="006356BC"/>
    <w:rsid w:val="00636C8D"/>
    <w:rsid w:val="0063703D"/>
    <w:rsid w:val="006375F9"/>
    <w:rsid w:val="00640D62"/>
    <w:rsid w:val="00640F46"/>
    <w:rsid w:val="00641D61"/>
    <w:rsid w:val="00641ECA"/>
    <w:rsid w:val="00642680"/>
    <w:rsid w:val="006428CE"/>
    <w:rsid w:val="00642B6A"/>
    <w:rsid w:val="00643170"/>
    <w:rsid w:val="006433C6"/>
    <w:rsid w:val="0064490B"/>
    <w:rsid w:val="00645020"/>
    <w:rsid w:val="00645525"/>
    <w:rsid w:val="006458E6"/>
    <w:rsid w:val="00645D63"/>
    <w:rsid w:val="00646825"/>
    <w:rsid w:val="00646BCA"/>
    <w:rsid w:val="006479E0"/>
    <w:rsid w:val="00647D47"/>
    <w:rsid w:val="00647EE7"/>
    <w:rsid w:val="00650261"/>
    <w:rsid w:val="00650417"/>
    <w:rsid w:val="006505A6"/>
    <w:rsid w:val="00650730"/>
    <w:rsid w:val="00651444"/>
    <w:rsid w:val="006515E3"/>
    <w:rsid w:val="00651636"/>
    <w:rsid w:val="00651E07"/>
    <w:rsid w:val="00651E6A"/>
    <w:rsid w:val="006535D3"/>
    <w:rsid w:val="00653649"/>
    <w:rsid w:val="006536F5"/>
    <w:rsid w:val="00655663"/>
    <w:rsid w:val="00656FA5"/>
    <w:rsid w:val="0065703D"/>
    <w:rsid w:val="00657CEB"/>
    <w:rsid w:val="00657CFA"/>
    <w:rsid w:val="0066034A"/>
    <w:rsid w:val="0066089F"/>
    <w:rsid w:val="00660EEB"/>
    <w:rsid w:val="00661541"/>
    <w:rsid w:val="00661BE5"/>
    <w:rsid w:val="00662314"/>
    <w:rsid w:val="0066241F"/>
    <w:rsid w:val="0066381F"/>
    <w:rsid w:val="00663A5A"/>
    <w:rsid w:val="00663E07"/>
    <w:rsid w:val="006643AE"/>
    <w:rsid w:val="006649F6"/>
    <w:rsid w:val="00664C78"/>
    <w:rsid w:val="0066511E"/>
    <w:rsid w:val="006653D5"/>
    <w:rsid w:val="00665654"/>
    <w:rsid w:val="00665AE4"/>
    <w:rsid w:val="00666190"/>
    <w:rsid w:val="00666388"/>
    <w:rsid w:val="00666466"/>
    <w:rsid w:val="00666C33"/>
    <w:rsid w:val="00666C48"/>
    <w:rsid w:val="00666D3B"/>
    <w:rsid w:val="00667649"/>
    <w:rsid w:val="00667DA6"/>
    <w:rsid w:val="00667E29"/>
    <w:rsid w:val="00670BC9"/>
    <w:rsid w:val="00671301"/>
    <w:rsid w:val="00671BE1"/>
    <w:rsid w:val="00672906"/>
    <w:rsid w:val="006757BF"/>
    <w:rsid w:val="00675970"/>
    <w:rsid w:val="006773F6"/>
    <w:rsid w:val="0067779F"/>
    <w:rsid w:val="00680163"/>
    <w:rsid w:val="0068108E"/>
    <w:rsid w:val="006810E5"/>
    <w:rsid w:val="006813A2"/>
    <w:rsid w:val="0068196C"/>
    <w:rsid w:val="00681AE5"/>
    <w:rsid w:val="00681AFE"/>
    <w:rsid w:val="006828F7"/>
    <w:rsid w:val="00683B34"/>
    <w:rsid w:val="00683E19"/>
    <w:rsid w:val="00684C76"/>
    <w:rsid w:val="00684E24"/>
    <w:rsid w:val="00686A5C"/>
    <w:rsid w:val="00686C78"/>
    <w:rsid w:val="00687CA7"/>
    <w:rsid w:val="0069075C"/>
    <w:rsid w:val="00690B26"/>
    <w:rsid w:val="00690BDC"/>
    <w:rsid w:val="00690E1D"/>
    <w:rsid w:val="006922B2"/>
    <w:rsid w:val="00692E47"/>
    <w:rsid w:val="00692FA6"/>
    <w:rsid w:val="006933FC"/>
    <w:rsid w:val="006933FE"/>
    <w:rsid w:val="00693498"/>
    <w:rsid w:val="006946A9"/>
    <w:rsid w:val="006948F1"/>
    <w:rsid w:val="00694EE7"/>
    <w:rsid w:val="00696069"/>
    <w:rsid w:val="00696081"/>
    <w:rsid w:val="0069629C"/>
    <w:rsid w:val="00696436"/>
    <w:rsid w:val="00696D7F"/>
    <w:rsid w:val="0069743F"/>
    <w:rsid w:val="00697B3C"/>
    <w:rsid w:val="00697EE8"/>
    <w:rsid w:val="006A01D3"/>
    <w:rsid w:val="006A0507"/>
    <w:rsid w:val="006A0721"/>
    <w:rsid w:val="006A0A5C"/>
    <w:rsid w:val="006A0C72"/>
    <w:rsid w:val="006A1B77"/>
    <w:rsid w:val="006A1BCD"/>
    <w:rsid w:val="006A3568"/>
    <w:rsid w:val="006A3CB2"/>
    <w:rsid w:val="006A54F7"/>
    <w:rsid w:val="006A5B2C"/>
    <w:rsid w:val="006A7A57"/>
    <w:rsid w:val="006B0946"/>
    <w:rsid w:val="006B1015"/>
    <w:rsid w:val="006B1D3E"/>
    <w:rsid w:val="006B2401"/>
    <w:rsid w:val="006B24B4"/>
    <w:rsid w:val="006B29F0"/>
    <w:rsid w:val="006B2F90"/>
    <w:rsid w:val="006B3048"/>
    <w:rsid w:val="006B312A"/>
    <w:rsid w:val="006B36FC"/>
    <w:rsid w:val="006B54E4"/>
    <w:rsid w:val="006B56F1"/>
    <w:rsid w:val="006B64C3"/>
    <w:rsid w:val="006B6841"/>
    <w:rsid w:val="006B695C"/>
    <w:rsid w:val="006B7286"/>
    <w:rsid w:val="006B7AD6"/>
    <w:rsid w:val="006B7C65"/>
    <w:rsid w:val="006C021F"/>
    <w:rsid w:val="006C0486"/>
    <w:rsid w:val="006C068F"/>
    <w:rsid w:val="006C0B1F"/>
    <w:rsid w:val="006C1924"/>
    <w:rsid w:val="006C1E47"/>
    <w:rsid w:val="006C2248"/>
    <w:rsid w:val="006C2533"/>
    <w:rsid w:val="006C33FC"/>
    <w:rsid w:val="006C3416"/>
    <w:rsid w:val="006C4FF6"/>
    <w:rsid w:val="006C5680"/>
    <w:rsid w:val="006C652A"/>
    <w:rsid w:val="006C684E"/>
    <w:rsid w:val="006C76CB"/>
    <w:rsid w:val="006D043F"/>
    <w:rsid w:val="006D067B"/>
    <w:rsid w:val="006D13B1"/>
    <w:rsid w:val="006D178E"/>
    <w:rsid w:val="006D1C37"/>
    <w:rsid w:val="006D1F2C"/>
    <w:rsid w:val="006D23F3"/>
    <w:rsid w:val="006D2709"/>
    <w:rsid w:val="006D29B1"/>
    <w:rsid w:val="006D2BAA"/>
    <w:rsid w:val="006D2E74"/>
    <w:rsid w:val="006D2F4B"/>
    <w:rsid w:val="006D311C"/>
    <w:rsid w:val="006D3CDA"/>
    <w:rsid w:val="006D512C"/>
    <w:rsid w:val="006D5397"/>
    <w:rsid w:val="006D5E8B"/>
    <w:rsid w:val="006D5EA4"/>
    <w:rsid w:val="006D66CC"/>
    <w:rsid w:val="006D75C8"/>
    <w:rsid w:val="006D7679"/>
    <w:rsid w:val="006E0C09"/>
    <w:rsid w:val="006E1174"/>
    <w:rsid w:val="006E1A75"/>
    <w:rsid w:val="006E2A1C"/>
    <w:rsid w:val="006E2C09"/>
    <w:rsid w:val="006E3226"/>
    <w:rsid w:val="006E32A1"/>
    <w:rsid w:val="006E3981"/>
    <w:rsid w:val="006E3F4B"/>
    <w:rsid w:val="006E4DE0"/>
    <w:rsid w:val="006E583C"/>
    <w:rsid w:val="006E5886"/>
    <w:rsid w:val="006E670F"/>
    <w:rsid w:val="006E7345"/>
    <w:rsid w:val="006F0E20"/>
    <w:rsid w:val="006F183B"/>
    <w:rsid w:val="006F190F"/>
    <w:rsid w:val="006F208F"/>
    <w:rsid w:val="006F3621"/>
    <w:rsid w:val="006F3988"/>
    <w:rsid w:val="006F3D8D"/>
    <w:rsid w:val="006F3DD0"/>
    <w:rsid w:val="006F41D5"/>
    <w:rsid w:val="006F46C5"/>
    <w:rsid w:val="006F5389"/>
    <w:rsid w:val="006F5A04"/>
    <w:rsid w:val="006F73BC"/>
    <w:rsid w:val="00700BDB"/>
    <w:rsid w:val="00701400"/>
    <w:rsid w:val="0070239A"/>
    <w:rsid w:val="00702A5E"/>
    <w:rsid w:val="00702BD0"/>
    <w:rsid w:val="00703408"/>
    <w:rsid w:val="00703666"/>
    <w:rsid w:val="00704DFA"/>
    <w:rsid w:val="00704F6D"/>
    <w:rsid w:val="00705959"/>
    <w:rsid w:val="0070737A"/>
    <w:rsid w:val="007075C5"/>
    <w:rsid w:val="00707D80"/>
    <w:rsid w:val="00707F07"/>
    <w:rsid w:val="0071021F"/>
    <w:rsid w:val="00710936"/>
    <w:rsid w:val="007117A0"/>
    <w:rsid w:val="00712D41"/>
    <w:rsid w:val="007134C0"/>
    <w:rsid w:val="007137A6"/>
    <w:rsid w:val="00714643"/>
    <w:rsid w:val="007148A4"/>
    <w:rsid w:val="0071509B"/>
    <w:rsid w:val="007150AC"/>
    <w:rsid w:val="00715311"/>
    <w:rsid w:val="007156D8"/>
    <w:rsid w:val="00715C8D"/>
    <w:rsid w:val="00716215"/>
    <w:rsid w:val="00716896"/>
    <w:rsid w:val="00716C67"/>
    <w:rsid w:val="00721121"/>
    <w:rsid w:val="00721C60"/>
    <w:rsid w:val="00721E72"/>
    <w:rsid w:val="00722BD5"/>
    <w:rsid w:val="00722F54"/>
    <w:rsid w:val="0072392A"/>
    <w:rsid w:val="007251C4"/>
    <w:rsid w:val="0072521A"/>
    <w:rsid w:val="00725B93"/>
    <w:rsid w:val="00725E2A"/>
    <w:rsid w:val="00726176"/>
    <w:rsid w:val="007262FC"/>
    <w:rsid w:val="00727321"/>
    <w:rsid w:val="00727537"/>
    <w:rsid w:val="00727716"/>
    <w:rsid w:val="00727BA1"/>
    <w:rsid w:val="0073015C"/>
    <w:rsid w:val="00730CBE"/>
    <w:rsid w:val="0073137F"/>
    <w:rsid w:val="00731436"/>
    <w:rsid w:val="00732B6C"/>
    <w:rsid w:val="00732C26"/>
    <w:rsid w:val="00733418"/>
    <w:rsid w:val="00733622"/>
    <w:rsid w:val="007342BF"/>
    <w:rsid w:val="0073475F"/>
    <w:rsid w:val="00735F3D"/>
    <w:rsid w:val="0073666A"/>
    <w:rsid w:val="00736B8B"/>
    <w:rsid w:val="00737D81"/>
    <w:rsid w:val="007403D2"/>
    <w:rsid w:val="00740BC4"/>
    <w:rsid w:val="00740E44"/>
    <w:rsid w:val="007429AC"/>
    <w:rsid w:val="00742A23"/>
    <w:rsid w:val="0074359E"/>
    <w:rsid w:val="00743F9A"/>
    <w:rsid w:val="00744092"/>
    <w:rsid w:val="00744555"/>
    <w:rsid w:val="00745175"/>
    <w:rsid w:val="00746B8F"/>
    <w:rsid w:val="00746CBE"/>
    <w:rsid w:val="00746EA6"/>
    <w:rsid w:val="00747E43"/>
    <w:rsid w:val="00747EE6"/>
    <w:rsid w:val="00747FAB"/>
    <w:rsid w:val="007500D4"/>
    <w:rsid w:val="0075084B"/>
    <w:rsid w:val="00750CCE"/>
    <w:rsid w:val="00751848"/>
    <w:rsid w:val="0075241F"/>
    <w:rsid w:val="007542B3"/>
    <w:rsid w:val="0075508C"/>
    <w:rsid w:val="007554DD"/>
    <w:rsid w:val="00755788"/>
    <w:rsid w:val="007558CD"/>
    <w:rsid w:val="00756074"/>
    <w:rsid w:val="00757581"/>
    <w:rsid w:val="00757879"/>
    <w:rsid w:val="007606BD"/>
    <w:rsid w:val="0076089C"/>
    <w:rsid w:val="007611DF"/>
    <w:rsid w:val="0076130D"/>
    <w:rsid w:val="0076197B"/>
    <w:rsid w:val="00762396"/>
    <w:rsid w:val="00762754"/>
    <w:rsid w:val="00762B40"/>
    <w:rsid w:val="007632B5"/>
    <w:rsid w:val="00763310"/>
    <w:rsid w:val="00764839"/>
    <w:rsid w:val="00764919"/>
    <w:rsid w:val="0076573A"/>
    <w:rsid w:val="0076582D"/>
    <w:rsid w:val="0076592A"/>
    <w:rsid w:val="00766719"/>
    <w:rsid w:val="00766B0E"/>
    <w:rsid w:val="007679EE"/>
    <w:rsid w:val="00770025"/>
    <w:rsid w:val="0077037D"/>
    <w:rsid w:val="00770B62"/>
    <w:rsid w:val="00770FCF"/>
    <w:rsid w:val="0077184D"/>
    <w:rsid w:val="0077194E"/>
    <w:rsid w:val="00771CE2"/>
    <w:rsid w:val="00772C38"/>
    <w:rsid w:val="00772F75"/>
    <w:rsid w:val="00773A7E"/>
    <w:rsid w:val="007746D4"/>
    <w:rsid w:val="00774F01"/>
    <w:rsid w:val="007750CB"/>
    <w:rsid w:val="00775686"/>
    <w:rsid w:val="00775B8E"/>
    <w:rsid w:val="007765AF"/>
    <w:rsid w:val="0077760A"/>
    <w:rsid w:val="00777FBA"/>
    <w:rsid w:val="00780828"/>
    <w:rsid w:val="007811F8"/>
    <w:rsid w:val="007812E9"/>
    <w:rsid w:val="00781631"/>
    <w:rsid w:val="00781D94"/>
    <w:rsid w:val="00781DE5"/>
    <w:rsid w:val="00783EEF"/>
    <w:rsid w:val="0078414B"/>
    <w:rsid w:val="00784616"/>
    <w:rsid w:val="0078481B"/>
    <w:rsid w:val="00785663"/>
    <w:rsid w:val="00785AD3"/>
    <w:rsid w:val="007868C5"/>
    <w:rsid w:val="0078754F"/>
    <w:rsid w:val="0078792E"/>
    <w:rsid w:val="00790BF9"/>
    <w:rsid w:val="00790E82"/>
    <w:rsid w:val="00791D93"/>
    <w:rsid w:val="0079218A"/>
    <w:rsid w:val="007921D3"/>
    <w:rsid w:val="00792652"/>
    <w:rsid w:val="00792D84"/>
    <w:rsid w:val="007933D0"/>
    <w:rsid w:val="00793D61"/>
    <w:rsid w:val="00794388"/>
    <w:rsid w:val="00794A7A"/>
    <w:rsid w:val="00794CF3"/>
    <w:rsid w:val="007956B1"/>
    <w:rsid w:val="0079579F"/>
    <w:rsid w:val="0079590A"/>
    <w:rsid w:val="00795D0C"/>
    <w:rsid w:val="00795DB8"/>
    <w:rsid w:val="00796811"/>
    <w:rsid w:val="00797307"/>
    <w:rsid w:val="007A0F11"/>
    <w:rsid w:val="007A1DA0"/>
    <w:rsid w:val="007A1F7C"/>
    <w:rsid w:val="007A24D3"/>
    <w:rsid w:val="007A3709"/>
    <w:rsid w:val="007A3D5F"/>
    <w:rsid w:val="007A41F0"/>
    <w:rsid w:val="007A4384"/>
    <w:rsid w:val="007A444D"/>
    <w:rsid w:val="007A47A0"/>
    <w:rsid w:val="007A4843"/>
    <w:rsid w:val="007A5C24"/>
    <w:rsid w:val="007A6167"/>
    <w:rsid w:val="007A73FB"/>
    <w:rsid w:val="007A772B"/>
    <w:rsid w:val="007A7E95"/>
    <w:rsid w:val="007A7FA1"/>
    <w:rsid w:val="007A7FE1"/>
    <w:rsid w:val="007B0423"/>
    <w:rsid w:val="007B0F82"/>
    <w:rsid w:val="007B1828"/>
    <w:rsid w:val="007B1F93"/>
    <w:rsid w:val="007B2693"/>
    <w:rsid w:val="007B2926"/>
    <w:rsid w:val="007B2CDF"/>
    <w:rsid w:val="007B3789"/>
    <w:rsid w:val="007B3D00"/>
    <w:rsid w:val="007B427E"/>
    <w:rsid w:val="007B4C16"/>
    <w:rsid w:val="007B4D0F"/>
    <w:rsid w:val="007B53A2"/>
    <w:rsid w:val="007B55A9"/>
    <w:rsid w:val="007B5ADF"/>
    <w:rsid w:val="007B5AEE"/>
    <w:rsid w:val="007B6106"/>
    <w:rsid w:val="007B62C6"/>
    <w:rsid w:val="007B665D"/>
    <w:rsid w:val="007B667F"/>
    <w:rsid w:val="007B67C5"/>
    <w:rsid w:val="007B6999"/>
    <w:rsid w:val="007B69E6"/>
    <w:rsid w:val="007B706D"/>
    <w:rsid w:val="007B794F"/>
    <w:rsid w:val="007C012B"/>
    <w:rsid w:val="007C02ED"/>
    <w:rsid w:val="007C035E"/>
    <w:rsid w:val="007C0E5C"/>
    <w:rsid w:val="007C0FC1"/>
    <w:rsid w:val="007C151D"/>
    <w:rsid w:val="007C1A23"/>
    <w:rsid w:val="007C1AA7"/>
    <w:rsid w:val="007C2119"/>
    <w:rsid w:val="007C2499"/>
    <w:rsid w:val="007C24B4"/>
    <w:rsid w:val="007C26D5"/>
    <w:rsid w:val="007C4A64"/>
    <w:rsid w:val="007C5FA2"/>
    <w:rsid w:val="007C6574"/>
    <w:rsid w:val="007C6635"/>
    <w:rsid w:val="007C7551"/>
    <w:rsid w:val="007D1124"/>
    <w:rsid w:val="007D2CD3"/>
    <w:rsid w:val="007D2DD6"/>
    <w:rsid w:val="007D4062"/>
    <w:rsid w:val="007D42B0"/>
    <w:rsid w:val="007D4334"/>
    <w:rsid w:val="007D469E"/>
    <w:rsid w:val="007D522F"/>
    <w:rsid w:val="007D5329"/>
    <w:rsid w:val="007D5E57"/>
    <w:rsid w:val="007D6AB8"/>
    <w:rsid w:val="007D6FAE"/>
    <w:rsid w:val="007D7038"/>
    <w:rsid w:val="007D75D0"/>
    <w:rsid w:val="007D75ED"/>
    <w:rsid w:val="007D7DE3"/>
    <w:rsid w:val="007E0051"/>
    <w:rsid w:val="007E00DC"/>
    <w:rsid w:val="007E020B"/>
    <w:rsid w:val="007E1104"/>
    <w:rsid w:val="007E2158"/>
    <w:rsid w:val="007E2260"/>
    <w:rsid w:val="007E2E32"/>
    <w:rsid w:val="007E36B0"/>
    <w:rsid w:val="007E4022"/>
    <w:rsid w:val="007E4A47"/>
    <w:rsid w:val="007E4FC0"/>
    <w:rsid w:val="007E516A"/>
    <w:rsid w:val="007E570D"/>
    <w:rsid w:val="007E60A0"/>
    <w:rsid w:val="007E68B8"/>
    <w:rsid w:val="007E745B"/>
    <w:rsid w:val="007F10E0"/>
    <w:rsid w:val="007F118D"/>
    <w:rsid w:val="007F19D7"/>
    <w:rsid w:val="007F1D03"/>
    <w:rsid w:val="007F2431"/>
    <w:rsid w:val="007F2821"/>
    <w:rsid w:val="007F282E"/>
    <w:rsid w:val="007F287A"/>
    <w:rsid w:val="007F2AF5"/>
    <w:rsid w:val="007F2D79"/>
    <w:rsid w:val="007F44E1"/>
    <w:rsid w:val="007F4769"/>
    <w:rsid w:val="007F4B97"/>
    <w:rsid w:val="007F5EE7"/>
    <w:rsid w:val="007F6A5A"/>
    <w:rsid w:val="007F6EB5"/>
    <w:rsid w:val="007F6FED"/>
    <w:rsid w:val="007F746D"/>
    <w:rsid w:val="007F77E4"/>
    <w:rsid w:val="007F7904"/>
    <w:rsid w:val="007F7964"/>
    <w:rsid w:val="008007D9"/>
    <w:rsid w:val="00803105"/>
    <w:rsid w:val="008038D1"/>
    <w:rsid w:val="00804732"/>
    <w:rsid w:val="00804D49"/>
    <w:rsid w:val="00804DB0"/>
    <w:rsid w:val="00804E26"/>
    <w:rsid w:val="00805A33"/>
    <w:rsid w:val="0080625E"/>
    <w:rsid w:val="00806314"/>
    <w:rsid w:val="008067F0"/>
    <w:rsid w:val="00806866"/>
    <w:rsid w:val="008074E0"/>
    <w:rsid w:val="00810E56"/>
    <w:rsid w:val="00812058"/>
    <w:rsid w:val="00813087"/>
    <w:rsid w:val="008135FB"/>
    <w:rsid w:val="008138F7"/>
    <w:rsid w:val="00813951"/>
    <w:rsid w:val="00813C06"/>
    <w:rsid w:val="00813F8B"/>
    <w:rsid w:val="00814590"/>
    <w:rsid w:val="0081492C"/>
    <w:rsid w:val="00815512"/>
    <w:rsid w:val="00816B1C"/>
    <w:rsid w:val="00816E01"/>
    <w:rsid w:val="0081798F"/>
    <w:rsid w:val="00820EEB"/>
    <w:rsid w:val="00820EF8"/>
    <w:rsid w:val="00821D32"/>
    <w:rsid w:val="00821FD9"/>
    <w:rsid w:val="008222BE"/>
    <w:rsid w:val="00822B83"/>
    <w:rsid w:val="00822BCF"/>
    <w:rsid w:val="008234BE"/>
    <w:rsid w:val="00823C5F"/>
    <w:rsid w:val="00824B02"/>
    <w:rsid w:val="0082613C"/>
    <w:rsid w:val="00826F29"/>
    <w:rsid w:val="00827D47"/>
    <w:rsid w:val="008300FD"/>
    <w:rsid w:val="00830F5D"/>
    <w:rsid w:val="008310D3"/>
    <w:rsid w:val="0083115B"/>
    <w:rsid w:val="0083122F"/>
    <w:rsid w:val="0083151A"/>
    <w:rsid w:val="00831B9B"/>
    <w:rsid w:val="00831E9B"/>
    <w:rsid w:val="0083240C"/>
    <w:rsid w:val="00832491"/>
    <w:rsid w:val="00832530"/>
    <w:rsid w:val="008335C3"/>
    <w:rsid w:val="008338B5"/>
    <w:rsid w:val="00833922"/>
    <w:rsid w:val="00833E73"/>
    <w:rsid w:val="00834499"/>
    <w:rsid w:val="00834520"/>
    <w:rsid w:val="00835C05"/>
    <w:rsid w:val="008371A2"/>
    <w:rsid w:val="0083752C"/>
    <w:rsid w:val="00840371"/>
    <w:rsid w:val="0084141C"/>
    <w:rsid w:val="008415DA"/>
    <w:rsid w:val="008416A3"/>
    <w:rsid w:val="0084189F"/>
    <w:rsid w:val="0084219D"/>
    <w:rsid w:val="0084321A"/>
    <w:rsid w:val="0084339B"/>
    <w:rsid w:val="00844EBA"/>
    <w:rsid w:val="00845079"/>
    <w:rsid w:val="00845301"/>
    <w:rsid w:val="0084561B"/>
    <w:rsid w:val="00845960"/>
    <w:rsid w:val="008468C9"/>
    <w:rsid w:val="00847557"/>
    <w:rsid w:val="00850624"/>
    <w:rsid w:val="00850C87"/>
    <w:rsid w:val="008512E7"/>
    <w:rsid w:val="008514F1"/>
    <w:rsid w:val="00851AFB"/>
    <w:rsid w:val="00851D91"/>
    <w:rsid w:val="008524E7"/>
    <w:rsid w:val="00852806"/>
    <w:rsid w:val="00852846"/>
    <w:rsid w:val="00854856"/>
    <w:rsid w:val="008549CD"/>
    <w:rsid w:val="0085505C"/>
    <w:rsid w:val="008559EF"/>
    <w:rsid w:val="00856273"/>
    <w:rsid w:val="008573A8"/>
    <w:rsid w:val="00857D67"/>
    <w:rsid w:val="00857ECB"/>
    <w:rsid w:val="008607F8"/>
    <w:rsid w:val="00861397"/>
    <w:rsid w:val="00861973"/>
    <w:rsid w:val="008619CD"/>
    <w:rsid w:val="00861A28"/>
    <w:rsid w:val="00861A4C"/>
    <w:rsid w:val="00861A73"/>
    <w:rsid w:val="00861EBE"/>
    <w:rsid w:val="008627FF"/>
    <w:rsid w:val="00863C7C"/>
    <w:rsid w:val="00863D85"/>
    <w:rsid w:val="00863F5A"/>
    <w:rsid w:val="008642DD"/>
    <w:rsid w:val="0086496C"/>
    <w:rsid w:val="00865208"/>
    <w:rsid w:val="00865F07"/>
    <w:rsid w:val="008661CC"/>
    <w:rsid w:val="008662A7"/>
    <w:rsid w:val="00867483"/>
    <w:rsid w:val="008675C5"/>
    <w:rsid w:val="0087022C"/>
    <w:rsid w:val="0087102A"/>
    <w:rsid w:val="008728E5"/>
    <w:rsid w:val="00873C32"/>
    <w:rsid w:val="0087405A"/>
    <w:rsid w:val="008745A4"/>
    <w:rsid w:val="008752ED"/>
    <w:rsid w:val="008762DD"/>
    <w:rsid w:val="00876303"/>
    <w:rsid w:val="00876825"/>
    <w:rsid w:val="00877686"/>
    <w:rsid w:val="00877B01"/>
    <w:rsid w:val="00877E08"/>
    <w:rsid w:val="008806C6"/>
    <w:rsid w:val="0088097E"/>
    <w:rsid w:val="00880A1E"/>
    <w:rsid w:val="00882B3D"/>
    <w:rsid w:val="00882D1F"/>
    <w:rsid w:val="00883F90"/>
    <w:rsid w:val="00886679"/>
    <w:rsid w:val="00886B47"/>
    <w:rsid w:val="0088770C"/>
    <w:rsid w:val="00887AE8"/>
    <w:rsid w:val="00890467"/>
    <w:rsid w:val="008907BD"/>
    <w:rsid w:val="00890F8D"/>
    <w:rsid w:val="00891285"/>
    <w:rsid w:val="00891958"/>
    <w:rsid w:val="00891E34"/>
    <w:rsid w:val="008928FE"/>
    <w:rsid w:val="0089293A"/>
    <w:rsid w:val="00892BAB"/>
    <w:rsid w:val="00892C92"/>
    <w:rsid w:val="00892E4C"/>
    <w:rsid w:val="00892F9F"/>
    <w:rsid w:val="0089326D"/>
    <w:rsid w:val="0089420D"/>
    <w:rsid w:val="00894407"/>
    <w:rsid w:val="008946F7"/>
    <w:rsid w:val="00894D6F"/>
    <w:rsid w:val="0089619B"/>
    <w:rsid w:val="00896B70"/>
    <w:rsid w:val="00896BA3"/>
    <w:rsid w:val="0089709D"/>
    <w:rsid w:val="008978C8"/>
    <w:rsid w:val="00897917"/>
    <w:rsid w:val="008A08F8"/>
    <w:rsid w:val="008A0B74"/>
    <w:rsid w:val="008A0EFC"/>
    <w:rsid w:val="008A1144"/>
    <w:rsid w:val="008A17A6"/>
    <w:rsid w:val="008A1AA2"/>
    <w:rsid w:val="008A1AE4"/>
    <w:rsid w:val="008A1C56"/>
    <w:rsid w:val="008A231F"/>
    <w:rsid w:val="008A235F"/>
    <w:rsid w:val="008A23E2"/>
    <w:rsid w:val="008A257D"/>
    <w:rsid w:val="008A27D4"/>
    <w:rsid w:val="008A3000"/>
    <w:rsid w:val="008A3A67"/>
    <w:rsid w:val="008A3A78"/>
    <w:rsid w:val="008A4086"/>
    <w:rsid w:val="008A42E6"/>
    <w:rsid w:val="008A4902"/>
    <w:rsid w:val="008A7950"/>
    <w:rsid w:val="008B03E2"/>
    <w:rsid w:val="008B05C5"/>
    <w:rsid w:val="008B0824"/>
    <w:rsid w:val="008B0EC4"/>
    <w:rsid w:val="008B410D"/>
    <w:rsid w:val="008B5E05"/>
    <w:rsid w:val="008B7345"/>
    <w:rsid w:val="008B7C63"/>
    <w:rsid w:val="008B7DAD"/>
    <w:rsid w:val="008C0007"/>
    <w:rsid w:val="008C0349"/>
    <w:rsid w:val="008C0FDD"/>
    <w:rsid w:val="008C104F"/>
    <w:rsid w:val="008C12EA"/>
    <w:rsid w:val="008C16F4"/>
    <w:rsid w:val="008C34FC"/>
    <w:rsid w:val="008C387F"/>
    <w:rsid w:val="008C44CE"/>
    <w:rsid w:val="008C4A0E"/>
    <w:rsid w:val="008C5288"/>
    <w:rsid w:val="008C59C7"/>
    <w:rsid w:val="008C5CCC"/>
    <w:rsid w:val="008C5F47"/>
    <w:rsid w:val="008C5FE6"/>
    <w:rsid w:val="008C6326"/>
    <w:rsid w:val="008C6530"/>
    <w:rsid w:val="008D00ED"/>
    <w:rsid w:val="008D0A63"/>
    <w:rsid w:val="008D2B29"/>
    <w:rsid w:val="008D2CB1"/>
    <w:rsid w:val="008D2F94"/>
    <w:rsid w:val="008D34D5"/>
    <w:rsid w:val="008D3D28"/>
    <w:rsid w:val="008D48A5"/>
    <w:rsid w:val="008D4A67"/>
    <w:rsid w:val="008D4FBB"/>
    <w:rsid w:val="008D5339"/>
    <w:rsid w:val="008D6B16"/>
    <w:rsid w:val="008D724F"/>
    <w:rsid w:val="008D7A9D"/>
    <w:rsid w:val="008E0974"/>
    <w:rsid w:val="008E0EAE"/>
    <w:rsid w:val="008E1130"/>
    <w:rsid w:val="008E1B2C"/>
    <w:rsid w:val="008E2259"/>
    <w:rsid w:val="008E2502"/>
    <w:rsid w:val="008E2F09"/>
    <w:rsid w:val="008E36C4"/>
    <w:rsid w:val="008E3F72"/>
    <w:rsid w:val="008E431C"/>
    <w:rsid w:val="008E4B9D"/>
    <w:rsid w:val="008E4FE7"/>
    <w:rsid w:val="008E50E6"/>
    <w:rsid w:val="008E5547"/>
    <w:rsid w:val="008E5E69"/>
    <w:rsid w:val="008E6D54"/>
    <w:rsid w:val="008E6E39"/>
    <w:rsid w:val="008E7502"/>
    <w:rsid w:val="008E78E5"/>
    <w:rsid w:val="008E796B"/>
    <w:rsid w:val="008E7BEE"/>
    <w:rsid w:val="008F08A8"/>
    <w:rsid w:val="008F1998"/>
    <w:rsid w:val="008F22BF"/>
    <w:rsid w:val="008F4B9A"/>
    <w:rsid w:val="008F4D79"/>
    <w:rsid w:val="008F5DA9"/>
    <w:rsid w:val="008F686D"/>
    <w:rsid w:val="008F6892"/>
    <w:rsid w:val="008F6985"/>
    <w:rsid w:val="008F7066"/>
    <w:rsid w:val="008F77FD"/>
    <w:rsid w:val="008F7995"/>
    <w:rsid w:val="008F7E88"/>
    <w:rsid w:val="00900904"/>
    <w:rsid w:val="0090128F"/>
    <w:rsid w:val="00901C97"/>
    <w:rsid w:val="00902526"/>
    <w:rsid w:val="00903358"/>
    <w:rsid w:val="00903819"/>
    <w:rsid w:val="0090418D"/>
    <w:rsid w:val="00904ACB"/>
    <w:rsid w:val="00905120"/>
    <w:rsid w:val="0090513D"/>
    <w:rsid w:val="00905269"/>
    <w:rsid w:val="00905419"/>
    <w:rsid w:val="00905AD6"/>
    <w:rsid w:val="00905E82"/>
    <w:rsid w:val="00906027"/>
    <w:rsid w:val="009074E0"/>
    <w:rsid w:val="00907506"/>
    <w:rsid w:val="00907812"/>
    <w:rsid w:val="0090781A"/>
    <w:rsid w:val="0091002E"/>
    <w:rsid w:val="0091052A"/>
    <w:rsid w:val="00910F16"/>
    <w:rsid w:val="00911898"/>
    <w:rsid w:val="00911A93"/>
    <w:rsid w:val="00913861"/>
    <w:rsid w:val="009138E2"/>
    <w:rsid w:val="00913B86"/>
    <w:rsid w:val="009141E4"/>
    <w:rsid w:val="00914222"/>
    <w:rsid w:val="00914574"/>
    <w:rsid w:val="0091462C"/>
    <w:rsid w:val="00914B53"/>
    <w:rsid w:val="009156EF"/>
    <w:rsid w:val="00916008"/>
    <w:rsid w:val="00916343"/>
    <w:rsid w:val="00916766"/>
    <w:rsid w:val="00917A60"/>
    <w:rsid w:val="00920921"/>
    <w:rsid w:val="00920B77"/>
    <w:rsid w:val="00921364"/>
    <w:rsid w:val="00921983"/>
    <w:rsid w:val="00921A0C"/>
    <w:rsid w:val="00921D2A"/>
    <w:rsid w:val="0092258F"/>
    <w:rsid w:val="00922C91"/>
    <w:rsid w:val="00922D13"/>
    <w:rsid w:val="0092315F"/>
    <w:rsid w:val="00923889"/>
    <w:rsid w:val="00924A74"/>
    <w:rsid w:val="009251C8"/>
    <w:rsid w:val="00925C46"/>
    <w:rsid w:val="00926120"/>
    <w:rsid w:val="00926798"/>
    <w:rsid w:val="00927636"/>
    <w:rsid w:val="0092798F"/>
    <w:rsid w:val="00927D56"/>
    <w:rsid w:val="00927DBA"/>
    <w:rsid w:val="00930250"/>
    <w:rsid w:val="009304D1"/>
    <w:rsid w:val="00930E61"/>
    <w:rsid w:val="00931503"/>
    <w:rsid w:val="009319F8"/>
    <w:rsid w:val="00931EC4"/>
    <w:rsid w:val="009321ED"/>
    <w:rsid w:val="00932B66"/>
    <w:rsid w:val="0093329B"/>
    <w:rsid w:val="00934410"/>
    <w:rsid w:val="009362E3"/>
    <w:rsid w:val="0093696D"/>
    <w:rsid w:val="00937639"/>
    <w:rsid w:val="0094121F"/>
    <w:rsid w:val="0094156E"/>
    <w:rsid w:val="00941CF5"/>
    <w:rsid w:val="00942786"/>
    <w:rsid w:val="0094398F"/>
    <w:rsid w:val="00943A9A"/>
    <w:rsid w:val="00945187"/>
    <w:rsid w:val="00945C2F"/>
    <w:rsid w:val="00946A15"/>
    <w:rsid w:val="00946C16"/>
    <w:rsid w:val="00947008"/>
    <w:rsid w:val="00947EBD"/>
    <w:rsid w:val="0095050F"/>
    <w:rsid w:val="00951B2D"/>
    <w:rsid w:val="00951CCB"/>
    <w:rsid w:val="009520B1"/>
    <w:rsid w:val="0095278B"/>
    <w:rsid w:val="0095481B"/>
    <w:rsid w:val="00955C76"/>
    <w:rsid w:val="00955CA3"/>
    <w:rsid w:val="00955F5B"/>
    <w:rsid w:val="00956D16"/>
    <w:rsid w:val="00956E3F"/>
    <w:rsid w:val="0095754A"/>
    <w:rsid w:val="0095755B"/>
    <w:rsid w:val="009578E4"/>
    <w:rsid w:val="00960B5B"/>
    <w:rsid w:val="00961BB3"/>
    <w:rsid w:val="00961D12"/>
    <w:rsid w:val="009620AC"/>
    <w:rsid w:val="009630BF"/>
    <w:rsid w:val="00963A3D"/>
    <w:rsid w:val="009655B2"/>
    <w:rsid w:val="00965B7D"/>
    <w:rsid w:val="00967456"/>
    <w:rsid w:val="00967869"/>
    <w:rsid w:val="0097036E"/>
    <w:rsid w:val="00970507"/>
    <w:rsid w:val="00970EA1"/>
    <w:rsid w:val="00971010"/>
    <w:rsid w:val="00971024"/>
    <w:rsid w:val="00971378"/>
    <w:rsid w:val="009714BD"/>
    <w:rsid w:val="00971DB8"/>
    <w:rsid w:val="00972779"/>
    <w:rsid w:val="00973011"/>
    <w:rsid w:val="0097330C"/>
    <w:rsid w:val="0097412F"/>
    <w:rsid w:val="00974980"/>
    <w:rsid w:val="009753FC"/>
    <w:rsid w:val="00975515"/>
    <w:rsid w:val="009762CF"/>
    <w:rsid w:val="00976EA2"/>
    <w:rsid w:val="00980E6E"/>
    <w:rsid w:val="00981CA5"/>
    <w:rsid w:val="00981CD9"/>
    <w:rsid w:val="00981E90"/>
    <w:rsid w:val="00982264"/>
    <w:rsid w:val="00982BDC"/>
    <w:rsid w:val="00983FB9"/>
    <w:rsid w:val="009848EF"/>
    <w:rsid w:val="009849C2"/>
    <w:rsid w:val="00984E84"/>
    <w:rsid w:val="0098514A"/>
    <w:rsid w:val="009852FA"/>
    <w:rsid w:val="00985362"/>
    <w:rsid w:val="00986835"/>
    <w:rsid w:val="00986BA4"/>
    <w:rsid w:val="00986D0F"/>
    <w:rsid w:val="0098734A"/>
    <w:rsid w:val="00987BE2"/>
    <w:rsid w:val="0099035E"/>
    <w:rsid w:val="009905FD"/>
    <w:rsid w:val="0099150E"/>
    <w:rsid w:val="00991AF9"/>
    <w:rsid w:val="00991B2B"/>
    <w:rsid w:val="0099300D"/>
    <w:rsid w:val="009935F3"/>
    <w:rsid w:val="0099367C"/>
    <w:rsid w:val="00993D53"/>
    <w:rsid w:val="00993E38"/>
    <w:rsid w:val="00993EAA"/>
    <w:rsid w:val="00993EBE"/>
    <w:rsid w:val="00994071"/>
    <w:rsid w:val="00994281"/>
    <w:rsid w:val="0099589F"/>
    <w:rsid w:val="00995D51"/>
    <w:rsid w:val="0099646A"/>
    <w:rsid w:val="00996BFB"/>
    <w:rsid w:val="00997813"/>
    <w:rsid w:val="009A109F"/>
    <w:rsid w:val="009A1109"/>
    <w:rsid w:val="009A2148"/>
    <w:rsid w:val="009A292E"/>
    <w:rsid w:val="009A46EE"/>
    <w:rsid w:val="009A61D6"/>
    <w:rsid w:val="009A6C1A"/>
    <w:rsid w:val="009A7C43"/>
    <w:rsid w:val="009A7E12"/>
    <w:rsid w:val="009A7E16"/>
    <w:rsid w:val="009B07AF"/>
    <w:rsid w:val="009B0B54"/>
    <w:rsid w:val="009B18A3"/>
    <w:rsid w:val="009B1D36"/>
    <w:rsid w:val="009B205B"/>
    <w:rsid w:val="009B22EC"/>
    <w:rsid w:val="009B2A8B"/>
    <w:rsid w:val="009B2D99"/>
    <w:rsid w:val="009B3DDE"/>
    <w:rsid w:val="009B42EE"/>
    <w:rsid w:val="009B4BB3"/>
    <w:rsid w:val="009B5FC6"/>
    <w:rsid w:val="009B6694"/>
    <w:rsid w:val="009B6962"/>
    <w:rsid w:val="009B72F5"/>
    <w:rsid w:val="009C09C9"/>
    <w:rsid w:val="009C0E09"/>
    <w:rsid w:val="009C18B7"/>
    <w:rsid w:val="009C2142"/>
    <w:rsid w:val="009C2302"/>
    <w:rsid w:val="009C29A5"/>
    <w:rsid w:val="009C2D85"/>
    <w:rsid w:val="009C3869"/>
    <w:rsid w:val="009C3920"/>
    <w:rsid w:val="009C49E6"/>
    <w:rsid w:val="009C4A45"/>
    <w:rsid w:val="009C5A6A"/>
    <w:rsid w:val="009C6125"/>
    <w:rsid w:val="009C6149"/>
    <w:rsid w:val="009C625D"/>
    <w:rsid w:val="009C6271"/>
    <w:rsid w:val="009C6EFB"/>
    <w:rsid w:val="009C751D"/>
    <w:rsid w:val="009C775F"/>
    <w:rsid w:val="009C7D0F"/>
    <w:rsid w:val="009D0DCE"/>
    <w:rsid w:val="009D2006"/>
    <w:rsid w:val="009D265B"/>
    <w:rsid w:val="009D2B7D"/>
    <w:rsid w:val="009D2FC3"/>
    <w:rsid w:val="009D3785"/>
    <w:rsid w:val="009D398D"/>
    <w:rsid w:val="009D4BEE"/>
    <w:rsid w:val="009D65FB"/>
    <w:rsid w:val="009D6806"/>
    <w:rsid w:val="009D688D"/>
    <w:rsid w:val="009D705A"/>
    <w:rsid w:val="009E0BD0"/>
    <w:rsid w:val="009E13C3"/>
    <w:rsid w:val="009E232C"/>
    <w:rsid w:val="009E2504"/>
    <w:rsid w:val="009E2628"/>
    <w:rsid w:val="009E2C5D"/>
    <w:rsid w:val="009E3647"/>
    <w:rsid w:val="009E3B36"/>
    <w:rsid w:val="009E4E97"/>
    <w:rsid w:val="009E5BA7"/>
    <w:rsid w:val="009E6197"/>
    <w:rsid w:val="009E71FC"/>
    <w:rsid w:val="009E7870"/>
    <w:rsid w:val="009E7AB0"/>
    <w:rsid w:val="009E7C3A"/>
    <w:rsid w:val="009E7E64"/>
    <w:rsid w:val="009F1112"/>
    <w:rsid w:val="009F1F04"/>
    <w:rsid w:val="009F260A"/>
    <w:rsid w:val="009F30C8"/>
    <w:rsid w:val="009F3B64"/>
    <w:rsid w:val="009F41C3"/>
    <w:rsid w:val="009F5394"/>
    <w:rsid w:val="009F6A56"/>
    <w:rsid w:val="009F6CBE"/>
    <w:rsid w:val="009F6D66"/>
    <w:rsid w:val="009F7003"/>
    <w:rsid w:val="009F7889"/>
    <w:rsid w:val="009F7934"/>
    <w:rsid w:val="00A0004C"/>
    <w:rsid w:val="00A008BF"/>
    <w:rsid w:val="00A01437"/>
    <w:rsid w:val="00A0239E"/>
    <w:rsid w:val="00A0353A"/>
    <w:rsid w:val="00A03B5A"/>
    <w:rsid w:val="00A040EF"/>
    <w:rsid w:val="00A04694"/>
    <w:rsid w:val="00A04B9A"/>
    <w:rsid w:val="00A05461"/>
    <w:rsid w:val="00A055C1"/>
    <w:rsid w:val="00A05D17"/>
    <w:rsid w:val="00A05FF4"/>
    <w:rsid w:val="00A06044"/>
    <w:rsid w:val="00A06E2D"/>
    <w:rsid w:val="00A07169"/>
    <w:rsid w:val="00A07423"/>
    <w:rsid w:val="00A10619"/>
    <w:rsid w:val="00A133F1"/>
    <w:rsid w:val="00A13E3F"/>
    <w:rsid w:val="00A14049"/>
    <w:rsid w:val="00A14276"/>
    <w:rsid w:val="00A149FF"/>
    <w:rsid w:val="00A15C4D"/>
    <w:rsid w:val="00A16150"/>
    <w:rsid w:val="00A164FD"/>
    <w:rsid w:val="00A2018E"/>
    <w:rsid w:val="00A2028A"/>
    <w:rsid w:val="00A21218"/>
    <w:rsid w:val="00A2243F"/>
    <w:rsid w:val="00A225DC"/>
    <w:rsid w:val="00A23916"/>
    <w:rsid w:val="00A23EDF"/>
    <w:rsid w:val="00A2423A"/>
    <w:rsid w:val="00A244C6"/>
    <w:rsid w:val="00A24CAD"/>
    <w:rsid w:val="00A267E4"/>
    <w:rsid w:val="00A27139"/>
    <w:rsid w:val="00A27783"/>
    <w:rsid w:val="00A3093F"/>
    <w:rsid w:val="00A31060"/>
    <w:rsid w:val="00A31114"/>
    <w:rsid w:val="00A31CAE"/>
    <w:rsid w:val="00A31CFE"/>
    <w:rsid w:val="00A31E9D"/>
    <w:rsid w:val="00A3264D"/>
    <w:rsid w:val="00A32EC6"/>
    <w:rsid w:val="00A32FB7"/>
    <w:rsid w:val="00A341F3"/>
    <w:rsid w:val="00A35F58"/>
    <w:rsid w:val="00A36A42"/>
    <w:rsid w:val="00A379D0"/>
    <w:rsid w:val="00A4004F"/>
    <w:rsid w:val="00A40B0C"/>
    <w:rsid w:val="00A40B69"/>
    <w:rsid w:val="00A4138A"/>
    <w:rsid w:val="00A41C14"/>
    <w:rsid w:val="00A41ECD"/>
    <w:rsid w:val="00A42ADC"/>
    <w:rsid w:val="00A431ED"/>
    <w:rsid w:val="00A439F6"/>
    <w:rsid w:val="00A43ECE"/>
    <w:rsid w:val="00A442BD"/>
    <w:rsid w:val="00A4430C"/>
    <w:rsid w:val="00A45430"/>
    <w:rsid w:val="00A4660D"/>
    <w:rsid w:val="00A473EB"/>
    <w:rsid w:val="00A47485"/>
    <w:rsid w:val="00A5060D"/>
    <w:rsid w:val="00A50D71"/>
    <w:rsid w:val="00A51BEC"/>
    <w:rsid w:val="00A5234C"/>
    <w:rsid w:val="00A52ACC"/>
    <w:rsid w:val="00A53497"/>
    <w:rsid w:val="00A53F95"/>
    <w:rsid w:val="00A53FCC"/>
    <w:rsid w:val="00A54070"/>
    <w:rsid w:val="00A54148"/>
    <w:rsid w:val="00A543CE"/>
    <w:rsid w:val="00A54448"/>
    <w:rsid w:val="00A54475"/>
    <w:rsid w:val="00A55967"/>
    <w:rsid w:val="00A55B06"/>
    <w:rsid w:val="00A56850"/>
    <w:rsid w:val="00A609C8"/>
    <w:rsid w:val="00A60C75"/>
    <w:rsid w:val="00A611CE"/>
    <w:rsid w:val="00A61338"/>
    <w:rsid w:val="00A629A4"/>
    <w:rsid w:val="00A62BF4"/>
    <w:rsid w:val="00A62FC9"/>
    <w:rsid w:val="00A63B6C"/>
    <w:rsid w:val="00A648AE"/>
    <w:rsid w:val="00A64BC9"/>
    <w:rsid w:val="00A658C2"/>
    <w:rsid w:val="00A675F7"/>
    <w:rsid w:val="00A67F5D"/>
    <w:rsid w:val="00A70FAD"/>
    <w:rsid w:val="00A71604"/>
    <w:rsid w:val="00A7289F"/>
    <w:rsid w:val="00A72A2F"/>
    <w:rsid w:val="00A741DC"/>
    <w:rsid w:val="00A7460D"/>
    <w:rsid w:val="00A74DC9"/>
    <w:rsid w:val="00A76408"/>
    <w:rsid w:val="00A76444"/>
    <w:rsid w:val="00A76880"/>
    <w:rsid w:val="00A77061"/>
    <w:rsid w:val="00A81883"/>
    <w:rsid w:val="00A8204D"/>
    <w:rsid w:val="00A8245A"/>
    <w:rsid w:val="00A82C7C"/>
    <w:rsid w:val="00A82CE6"/>
    <w:rsid w:val="00A82D07"/>
    <w:rsid w:val="00A8300D"/>
    <w:rsid w:val="00A836DB"/>
    <w:rsid w:val="00A83A1F"/>
    <w:rsid w:val="00A83EAD"/>
    <w:rsid w:val="00A84955"/>
    <w:rsid w:val="00A851D0"/>
    <w:rsid w:val="00A853D4"/>
    <w:rsid w:val="00A856B3"/>
    <w:rsid w:val="00A869D9"/>
    <w:rsid w:val="00A8704B"/>
    <w:rsid w:val="00A8757D"/>
    <w:rsid w:val="00A9028C"/>
    <w:rsid w:val="00A9048D"/>
    <w:rsid w:val="00A904CE"/>
    <w:rsid w:val="00A904D2"/>
    <w:rsid w:val="00A90D6E"/>
    <w:rsid w:val="00A90F6F"/>
    <w:rsid w:val="00A918E3"/>
    <w:rsid w:val="00A91FCD"/>
    <w:rsid w:val="00A922CA"/>
    <w:rsid w:val="00A92EF1"/>
    <w:rsid w:val="00A9438D"/>
    <w:rsid w:val="00A9519D"/>
    <w:rsid w:val="00A9584A"/>
    <w:rsid w:val="00A96DD7"/>
    <w:rsid w:val="00A9734F"/>
    <w:rsid w:val="00A97967"/>
    <w:rsid w:val="00A97D7D"/>
    <w:rsid w:val="00AA0814"/>
    <w:rsid w:val="00AA136E"/>
    <w:rsid w:val="00AA228C"/>
    <w:rsid w:val="00AA2304"/>
    <w:rsid w:val="00AA2EAF"/>
    <w:rsid w:val="00AA2F84"/>
    <w:rsid w:val="00AA37F6"/>
    <w:rsid w:val="00AA3948"/>
    <w:rsid w:val="00AA3CD8"/>
    <w:rsid w:val="00AA400E"/>
    <w:rsid w:val="00AA40F3"/>
    <w:rsid w:val="00AA492F"/>
    <w:rsid w:val="00AA4FC9"/>
    <w:rsid w:val="00AA5F73"/>
    <w:rsid w:val="00AA619A"/>
    <w:rsid w:val="00AA69ED"/>
    <w:rsid w:val="00AA72EF"/>
    <w:rsid w:val="00AA7582"/>
    <w:rsid w:val="00AB02F1"/>
    <w:rsid w:val="00AB13C3"/>
    <w:rsid w:val="00AB1462"/>
    <w:rsid w:val="00AB271D"/>
    <w:rsid w:val="00AB30C7"/>
    <w:rsid w:val="00AB493A"/>
    <w:rsid w:val="00AB7060"/>
    <w:rsid w:val="00AB7176"/>
    <w:rsid w:val="00AB7C47"/>
    <w:rsid w:val="00AC0B1D"/>
    <w:rsid w:val="00AC10B1"/>
    <w:rsid w:val="00AC150B"/>
    <w:rsid w:val="00AC1DB2"/>
    <w:rsid w:val="00AC22D5"/>
    <w:rsid w:val="00AC2B73"/>
    <w:rsid w:val="00AC389F"/>
    <w:rsid w:val="00AC3C0F"/>
    <w:rsid w:val="00AC3E9C"/>
    <w:rsid w:val="00AC402A"/>
    <w:rsid w:val="00AC4044"/>
    <w:rsid w:val="00AC460A"/>
    <w:rsid w:val="00AC4DFF"/>
    <w:rsid w:val="00AC5141"/>
    <w:rsid w:val="00AC559D"/>
    <w:rsid w:val="00AC62CE"/>
    <w:rsid w:val="00AC69AA"/>
    <w:rsid w:val="00AC72F2"/>
    <w:rsid w:val="00AC75D1"/>
    <w:rsid w:val="00AD0948"/>
    <w:rsid w:val="00AD0C8A"/>
    <w:rsid w:val="00AD1491"/>
    <w:rsid w:val="00AD1D8C"/>
    <w:rsid w:val="00AD1F78"/>
    <w:rsid w:val="00AD2662"/>
    <w:rsid w:val="00AD3A57"/>
    <w:rsid w:val="00AD4B55"/>
    <w:rsid w:val="00AD4E16"/>
    <w:rsid w:val="00AD6166"/>
    <w:rsid w:val="00AD61F9"/>
    <w:rsid w:val="00AD67A9"/>
    <w:rsid w:val="00AD6C7F"/>
    <w:rsid w:val="00AE16EC"/>
    <w:rsid w:val="00AE1F77"/>
    <w:rsid w:val="00AE248A"/>
    <w:rsid w:val="00AE3072"/>
    <w:rsid w:val="00AE37FE"/>
    <w:rsid w:val="00AE3BF7"/>
    <w:rsid w:val="00AE4142"/>
    <w:rsid w:val="00AE4415"/>
    <w:rsid w:val="00AE458A"/>
    <w:rsid w:val="00AE4D6D"/>
    <w:rsid w:val="00AE4DF8"/>
    <w:rsid w:val="00AE4FE6"/>
    <w:rsid w:val="00AE63AE"/>
    <w:rsid w:val="00AE6937"/>
    <w:rsid w:val="00AE7048"/>
    <w:rsid w:val="00AE70AC"/>
    <w:rsid w:val="00AE7922"/>
    <w:rsid w:val="00AE7B17"/>
    <w:rsid w:val="00AE7FE8"/>
    <w:rsid w:val="00AF02DB"/>
    <w:rsid w:val="00AF2775"/>
    <w:rsid w:val="00AF2962"/>
    <w:rsid w:val="00AF2E7F"/>
    <w:rsid w:val="00AF30FE"/>
    <w:rsid w:val="00AF3206"/>
    <w:rsid w:val="00AF3AB8"/>
    <w:rsid w:val="00AF3D45"/>
    <w:rsid w:val="00AF3EE9"/>
    <w:rsid w:val="00AF4D73"/>
    <w:rsid w:val="00AF52AF"/>
    <w:rsid w:val="00AF5A7A"/>
    <w:rsid w:val="00AF6107"/>
    <w:rsid w:val="00AF6164"/>
    <w:rsid w:val="00AF6512"/>
    <w:rsid w:val="00AF662F"/>
    <w:rsid w:val="00AF6874"/>
    <w:rsid w:val="00B00319"/>
    <w:rsid w:val="00B007DE"/>
    <w:rsid w:val="00B01500"/>
    <w:rsid w:val="00B016C6"/>
    <w:rsid w:val="00B020A9"/>
    <w:rsid w:val="00B023CB"/>
    <w:rsid w:val="00B02A70"/>
    <w:rsid w:val="00B02C38"/>
    <w:rsid w:val="00B03181"/>
    <w:rsid w:val="00B032EC"/>
    <w:rsid w:val="00B035D8"/>
    <w:rsid w:val="00B0551E"/>
    <w:rsid w:val="00B05540"/>
    <w:rsid w:val="00B06C9C"/>
    <w:rsid w:val="00B07650"/>
    <w:rsid w:val="00B10272"/>
    <w:rsid w:val="00B10357"/>
    <w:rsid w:val="00B10C56"/>
    <w:rsid w:val="00B10C72"/>
    <w:rsid w:val="00B10D00"/>
    <w:rsid w:val="00B10DC2"/>
    <w:rsid w:val="00B112AC"/>
    <w:rsid w:val="00B11C26"/>
    <w:rsid w:val="00B11ED9"/>
    <w:rsid w:val="00B124A1"/>
    <w:rsid w:val="00B12C4B"/>
    <w:rsid w:val="00B133FF"/>
    <w:rsid w:val="00B144E2"/>
    <w:rsid w:val="00B14B38"/>
    <w:rsid w:val="00B15341"/>
    <w:rsid w:val="00B15501"/>
    <w:rsid w:val="00B16FC8"/>
    <w:rsid w:val="00B17E7D"/>
    <w:rsid w:val="00B17F65"/>
    <w:rsid w:val="00B202D1"/>
    <w:rsid w:val="00B20F7B"/>
    <w:rsid w:val="00B21392"/>
    <w:rsid w:val="00B2289F"/>
    <w:rsid w:val="00B23BE0"/>
    <w:rsid w:val="00B24237"/>
    <w:rsid w:val="00B242AF"/>
    <w:rsid w:val="00B24548"/>
    <w:rsid w:val="00B24968"/>
    <w:rsid w:val="00B25183"/>
    <w:rsid w:val="00B26086"/>
    <w:rsid w:val="00B2687E"/>
    <w:rsid w:val="00B26D3F"/>
    <w:rsid w:val="00B26E2C"/>
    <w:rsid w:val="00B26ECF"/>
    <w:rsid w:val="00B27BD4"/>
    <w:rsid w:val="00B27E7E"/>
    <w:rsid w:val="00B301EB"/>
    <w:rsid w:val="00B30523"/>
    <w:rsid w:val="00B305F9"/>
    <w:rsid w:val="00B307CB"/>
    <w:rsid w:val="00B30AA5"/>
    <w:rsid w:val="00B30B52"/>
    <w:rsid w:val="00B30E68"/>
    <w:rsid w:val="00B30FAC"/>
    <w:rsid w:val="00B31094"/>
    <w:rsid w:val="00B3130A"/>
    <w:rsid w:val="00B3151A"/>
    <w:rsid w:val="00B31C33"/>
    <w:rsid w:val="00B31F51"/>
    <w:rsid w:val="00B31FB5"/>
    <w:rsid w:val="00B320CB"/>
    <w:rsid w:val="00B3250A"/>
    <w:rsid w:val="00B342A6"/>
    <w:rsid w:val="00B344E2"/>
    <w:rsid w:val="00B3503E"/>
    <w:rsid w:val="00B3508A"/>
    <w:rsid w:val="00B362D5"/>
    <w:rsid w:val="00B36559"/>
    <w:rsid w:val="00B36774"/>
    <w:rsid w:val="00B3686C"/>
    <w:rsid w:val="00B36FB1"/>
    <w:rsid w:val="00B3752D"/>
    <w:rsid w:val="00B375ED"/>
    <w:rsid w:val="00B401B5"/>
    <w:rsid w:val="00B4042D"/>
    <w:rsid w:val="00B416C4"/>
    <w:rsid w:val="00B4176C"/>
    <w:rsid w:val="00B42AE8"/>
    <w:rsid w:val="00B42F47"/>
    <w:rsid w:val="00B431E5"/>
    <w:rsid w:val="00B43567"/>
    <w:rsid w:val="00B4371A"/>
    <w:rsid w:val="00B43AD6"/>
    <w:rsid w:val="00B44530"/>
    <w:rsid w:val="00B44A85"/>
    <w:rsid w:val="00B4624E"/>
    <w:rsid w:val="00B4707E"/>
    <w:rsid w:val="00B47991"/>
    <w:rsid w:val="00B47A1D"/>
    <w:rsid w:val="00B47BAF"/>
    <w:rsid w:val="00B5060A"/>
    <w:rsid w:val="00B506BD"/>
    <w:rsid w:val="00B508A8"/>
    <w:rsid w:val="00B51645"/>
    <w:rsid w:val="00B521E0"/>
    <w:rsid w:val="00B52583"/>
    <w:rsid w:val="00B53881"/>
    <w:rsid w:val="00B55CFE"/>
    <w:rsid w:val="00B566DD"/>
    <w:rsid w:val="00B569DD"/>
    <w:rsid w:val="00B56ABA"/>
    <w:rsid w:val="00B572D9"/>
    <w:rsid w:val="00B60182"/>
    <w:rsid w:val="00B605F8"/>
    <w:rsid w:val="00B60694"/>
    <w:rsid w:val="00B610BA"/>
    <w:rsid w:val="00B613C0"/>
    <w:rsid w:val="00B61890"/>
    <w:rsid w:val="00B619BE"/>
    <w:rsid w:val="00B62ECE"/>
    <w:rsid w:val="00B64A17"/>
    <w:rsid w:val="00B65A44"/>
    <w:rsid w:val="00B65A76"/>
    <w:rsid w:val="00B65BDF"/>
    <w:rsid w:val="00B65F6D"/>
    <w:rsid w:val="00B65F7A"/>
    <w:rsid w:val="00B65FD7"/>
    <w:rsid w:val="00B6637E"/>
    <w:rsid w:val="00B666F9"/>
    <w:rsid w:val="00B66817"/>
    <w:rsid w:val="00B677F5"/>
    <w:rsid w:val="00B67BB7"/>
    <w:rsid w:val="00B70576"/>
    <w:rsid w:val="00B705A3"/>
    <w:rsid w:val="00B727C7"/>
    <w:rsid w:val="00B72D19"/>
    <w:rsid w:val="00B72FA6"/>
    <w:rsid w:val="00B732B3"/>
    <w:rsid w:val="00B73555"/>
    <w:rsid w:val="00B74C50"/>
    <w:rsid w:val="00B75D67"/>
    <w:rsid w:val="00B76785"/>
    <w:rsid w:val="00B77E4C"/>
    <w:rsid w:val="00B80289"/>
    <w:rsid w:val="00B805EC"/>
    <w:rsid w:val="00B80961"/>
    <w:rsid w:val="00B8187E"/>
    <w:rsid w:val="00B81C70"/>
    <w:rsid w:val="00B82057"/>
    <w:rsid w:val="00B82455"/>
    <w:rsid w:val="00B8292B"/>
    <w:rsid w:val="00B82BEF"/>
    <w:rsid w:val="00B82CF2"/>
    <w:rsid w:val="00B82F0C"/>
    <w:rsid w:val="00B83F21"/>
    <w:rsid w:val="00B84DD3"/>
    <w:rsid w:val="00B8542C"/>
    <w:rsid w:val="00B85604"/>
    <w:rsid w:val="00B85E16"/>
    <w:rsid w:val="00B86738"/>
    <w:rsid w:val="00B87402"/>
    <w:rsid w:val="00B90343"/>
    <w:rsid w:val="00B90D65"/>
    <w:rsid w:val="00B90F9E"/>
    <w:rsid w:val="00B9186E"/>
    <w:rsid w:val="00B91976"/>
    <w:rsid w:val="00B91A3D"/>
    <w:rsid w:val="00B92360"/>
    <w:rsid w:val="00B9288C"/>
    <w:rsid w:val="00B92894"/>
    <w:rsid w:val="00B93625"/>
    <w:rsid w:val="00B93E8E"/>
    <w:rsid w:val="00B949EC"/>
    <w:rsid w:val="00B950F0"/>
    <w:rsid w:val="00B95AE2"/>
    <w:rsid w:val="00B95CFA"/>
    <w:rsid w:val="00B95F03"/>
    <w:rsid w:val="00B96C7E"/>
    <w:rsid w:val="00B974A0"/>
    <w:rsid w:val="00BA230C"/>
    <w:rsid w:val="00BA2EAA"/>
    <w:rsid w:val="00BA34B7"/>
    <w:rsid w:val="00BA34DA"/>
    <w:rsid w:val="00BA35F1"/>
    <w:rsid w:val="00BA46CA"/>
    <w:rsid w:val="00BA5302"/>
    <w:rsid w:val="00BA5821"/>
    <w:rsid w:val="00BA7627"/>
    <w:rsid w:val="00BA7658"/>
    <w:rsid w:val="00BA7B03"/>
    <w:rsid w:val="00BB02BC"/>
    <w:rsid w:val="00BB0B31"/>
    <w:rsid w:val="00BB0EEB"/>
    <w:rsid w:val="00BB1081"/>
    <w:rsid w:val="00BB1291"/>
    <w:rsid w:val="00BB17AA"/>
    <w:rsid w:val="00BB2B3D"/>
    <w:rsid w:val="00BB3B00"/>
    <w:rsid w:val="00BB3FDD"/>
    <w:rsid w:val="00BB468F"/>
    <w:rsid w:val="00BB58D5"/>
    <w:rsid w:val="00BB5BF2"/>
    <w:rsid w:val="00BB5E2F"/>
    <w:rsid w:val="00BB5ED9"/>
    <w:rsid w:val="00BB65B6"/>
    <w:rsid w:val="00BB67B7"/>
    <w:rsid w:val="00BB6D6D"/>
    <w:rsid w:val="00BB71CC"/>
    <w:rsid w:val="00BB789D"/>
    <w:rsid w:val="00BB79B3"/>
    <w:rsid w:val="00BC020C"/>
    <w:rsid w:val="00BC0A59"/>
    <w:rsid w:val="00BC0D72"/>
    <w:rsid w:val="00BC0DF4"/>
    <w:rsid w:val="00BC1147"/>
    <w:rsid w:val="00BC4467"/>
    <w:rsid w:val="00BC4BA0"/>
    <w:rsid w:val="00BC50CB"/>
    <w:rsid w:val="00BC569B"/>
    <w:rsid w:val="00BC59AA"/>
    <w:rsid w:val="00BC6ABF"/>
    <w:rsid w:val="00BC7B21"/>
    <w:rsid w:val="00BC7BA6"/>
    <w:rsid w:val="00BC7BB3"/>
    <w:rsid w:val="00BD04D5"/>
    <w:rsid w:val="00BD0BAB"/>
    <w:rsid w:val="00BD1853"/>
    <w:rsid w:val="00BD1857"/>
    <w:rsid w:val="00BD28F8"/>
    <w:rsid w:val="00BD295B"/>
    <w:rsid w:val="00BD2994"/>
    <w:rsid w:val="00BD3A1B"/>
    <w:rsid w:val="00BD3E33"/>
    <w:rsid w:val="00BD3FE5"/>
    <w:rsid w:val="00BD4044"/>
    <w:rsid w:val="00BD4943"/>
    <w:rsid w:val="00BD615D"/>
    <w:rsid w:val="00BD7063"/>
    <w:rsid w:val="00BD7268"/>
    <w:rsid w:val="00BD7270"/>
    <w:rsid w:val="00BD7D82"/>
    <w:rsid w:val="00BE070E"/>
    <w:rsid w:val="00BE0D02"/>
    <w:rsid w:val="00BE19BC"/>
    <w:rsid w:val="00BE1D05"/>
    <w:rsid w:val="00BE1E31"/>
    <w:rsid w:val="00BE1E47"/>
    <w:rsid w:val="00BE2598"/>
    <w:rsid w:val="00BE29E4"/>
    <w:rsid w:val="00BE2F33"/>
    <w:rsid w:val="00BE2F3E"/>
    <w:rsid w:val="00BE3C4B"/>
    <w:rsid w:val="00BE3CEA"/>
    <w:rsid w:val="00BE4E62"/>
    <w:rsid w:val="00BE4FEB"/>
    <w:rsid w:val="00BE5495"/>
    <w:rsid w:val="00BE63D1"/>
    <w:rsid w:val="00BE6C4E"/>
    <w:rsid w:val="00BE6CBF"/>
    <w:rsid w:val="00BE759D"/>
    <w:rsid w:val="00BF0645"/>
    <w:rsid w:val="00BF08EB"/>
    <w:rsid w:val="00BF0C47"/>
    <w:rsid w:val="00BF1741"/>
    <w:rsid w:val="00BF2275"/>
    <w:rsid w:val="00BF2B26"/>
    <w:rsid w:val="00BF4698"/>
    <w:rsid w:val="00BF59FF"/>
    <w:rsid w:val="00BF6934"/>
    <w:rsid w:val="00BF6A3A"/>
    <w:rsid w:val="00BF6A4C"/>
    <w:rsid w:val="00BF6FAC"/>
    <w:rsid w:val="00BF7692"/>
    <w:rsid w:val="00BF7F05"/>
    <w:rsid w:val="00C0053C"/>
    <w:rsid w:val="00C00626"/>
    <w:rsid w:val="00C01623"/>
    <w:rsid w:val="00C01E94"/>
    <w:rsid w:val="00C02011"/>
    <w:rsid w:val="00C0231A"/>
    <w:rsid w:val="00C02519"/>
    <w:rsid w:val="00C025E6"/>
    <w:rsid w:val="00C03109"/>
    <w:rsid w:val="00C036D0"/>
    <w:rsid w:val="00C037C7"/>
    <w:rsid w:val="00C04121"/>
    <w:rsid w:val="00C04227"/>
    <w:rsid w:val="00C04957"/>
    <w:rsid w:val="00C05DC6"/>
    <w:rsid w:val="00C069FB"/>
    <w:rsid w:val="00C06BEA"/>
    <w:rsid w:val="00C06D98"/>
    <w:rsid w:val="00C07759"/>
    <w:rsid w:val="00C07F76"/>
    <w:rsid w:val="00C1071A"/>
    <w:rsid w:val="00C10A48"/>
    <w:rsid w:val="00C11E5F"/>
    <w:rsid w:val="00C12481"/>
    <w:rsid w:val="00C12801"/>
    <w:rsid w:val="00C12C08"/>
    <w:rsid w:val="00C12D7D"/>
    <w:rsid w:val="00C13991"/>
    <w:rsid w:val="00C13C05"/>
    <w:rsid w:val="00C13C10"/>
    <w:rsid w:val="00C13E31"/>
    <w:rsid w:val="00C1459C"/>
    <w:rsid w:val="00C14CFE"/>
    <w:rsid w:val="00C1613F"/>
    <w:rsid w:val="00C1672A"/>
    <w:rsid w:val="00C16AB8"/>
    <w:rsid w:val="00C1753A"/>
    <w:rsid w:val="00C204A5"/>
    <w:rsid w:val="00C21592"/>
    <w:rsid w:val="00C218B2"/>
    <w:rsid w:val="00C21C39"/>
    <w:rsid w:val="00C21E64"/>
    <w:rsid w:val="00C2205A"/>
    <w:rsid w:val="00C2298A"/>
    <w:rsid w:val="00C22C52"/>
    <w:rsid w:val="00C23116"/>
    <w:rsid w:val="00C235C9"/>
    <w:rsid w:val="00C23A0C"/>
    <w:rsid w:val="00C23EDD"/>
    <w:rsid w:val="00C241DA"/>
    <w:rsid w:val="00C24500"/>
    <w:rsid w:val="00C25738"/>
    <w:rsid w:val="00C25750"/>
    <w:rsid w:val="00C25C6B"/>
    <w:rsid w:val="00C25E18"/>
    <w:rsid w:val="00C25F07"/>
    <w:rsid w:val="00C2660B"/>
    <w:rsid w:val="00C2665E"/>
    <w:rsid w:val="00C27369"/>
    <w:rsid w:val="00C30134"/>
    <w:rsid w:val="00C30150"/>
    <w:rsid w:val="00C3048D"/>
    <w:rsid w:val="00C30877"/>
    <w:rsid w:val="00C32D8D"/>
    <w:rsid w:val="00C32ED2"/>
    <w:rsid w:val="00C33889"/>
    <w:rsid w:val="00C33BE9"/>
    <w:rsid w:val="00C33E4A"/>
    <w:rsid w:val="00C34153"/>
    <w:rsid w:val="00C343BD"/>
    <w:rsid w:val="00C344E5"/>
    <w:rsid w:val="00C34D6E"/>
    <w:rsid w:val="00C3528F"/>
    <w:rsid w:val="00C35ED3"/>
    <w:rsid w:val="00C37BF1"/>
    <w:rsid w:val="00C41220"/>
    <w:rsid w:val="00C412CE"/>
    <w:rsid w:val="00C4239E"/>
    <w:rsid w:val="00C42710"/>
    <w:rsid w:val="00C42CA6"/>
    <w:rsid w:val="00C42F0C"/>
    <w:rsid w:val="00C44B0A"/>
    <w:rsid w:val="00C44F96"/>
    <w:rsid w:val="00C45108"/>
    <w:rsid w:val="00C45D9E"/>
    <w:rsid w:val="00C4620C"/>
    <w:rsid w:val="00C46651"/>
    <w:rsid w:val="00C46A0C"/>
    <w:rsid w:val="00C47E20"/>
    <w:rsid w:val="00C50552"/>
    <w:rsid w:val="00C513E5"/>
    <w:rsid w:val="00C51FFF"/>
    <w:rsid w:val="00C523C3"/>
    <w:rsid w:val="00C52BFA"/>
    <w:rsid w:val="00C52DD2"/>
    <w:rsid w:val="00C53055"/>
    <w:rsid w:val="00C53177"/>
    <w:rsid w:val="00C531FE"/>
    <w:rsid w:val="00C5377F"/>
    <w:rsid w:val="00C54D60"/>
    <w:rsid w:val="00C54F09"/>
    <w:rsid w:val="00C55201"/>
    <w:rsid w:val="00C5546E"/>
    <w:rsid w:val="00C554BA"/>
    <w:rsid w:val="00C554FA"/>
    <w:rsid w:val="00C55680"/>
    <w:rsid w:val="00C55E17"/>
    <w:rsid w:val="00C57A32"/>
    <w:rsid w:val="00C57E37"/>
    <w:rsid w:val="00C604A1"/>
    <w:rsid w:val="00C61162"/>
    <w:rsid w:val="00C6147C"/>
    <w:rsid w:val="00C62D65"/>
    <w:rsid w:val="00C63248"/>
    <w:rsid w:val="00C63632"/>
    <w:rsid w:val="00C63854"/>
    <w:rsid w:val="00C63D24"/>
    <w:rsid w:val="00C64566"/>
    <w:rsid w:val="00C646F2"/>
    <w:rsid w:val="00C6495F"/>
    <w:rsid w:val="00C64F3C"/>
    <w:rsid w:val="00C66225"/>
    <w:rsid w:val="00C66563"/>
    <w:rsid w:val="00C66BA0"/>
    <w:rsid w:val="00C66D5D"/>
    <w:rsid w:val="00C6709D"/>
    <w:rsid w:val="00C675C9"/>
    <w:rsid w:val="00C717E3"/>
    <w:rsid w:val="00C72084"/>
    <w:rsid w:val="00C72C1C"/>
    <w:rsid w:val="00C72E42"/>
    <w:rsid w:val="00C73327"/>
    <w:rsid w:val="00C739BF"/>
    <w:rsid w:val="00C74275"/>
    <w:rsid w:val="00C74CEA"/>
    <w:rsid w:val="00C75370"/>
    <w:rsid w:val="00C7550B"/>
    <w:rsid w:val="00C75D94"/>
    <w:rsid w:val="00C76296"/>
    <w:rsid w:val="00C76303"/>
    <w:rsid w:val="00C76947"/>
    <w:rsid w:val="00C77E9A"/>
    <w:rsid w:val="00C80285"/>
    <w:rsid w:val="00C80DE3"/>
    <w:rsid w:val="00C80F01"/>
    <w:rsid w:val="00C8170D"/>
    <w:rsid w:val="00C81948"/>
    <w:rsid w:val="00C819DF"/>
    <w:rsid w:val="00C81D7E"/>
    <w:rsid w:val="00C8296E"/>
    <w:rsid w:val="00C82D1B"/>
    <w:rsid w:val="00C83E11"/>
    <w:rsid w:val="00C84418"/>
    <w:rsid w:val="00C84737"/>
    <w:rsid w:val="00C84B89"/>
    <w:rsid w:val="00C85A3A"/>
    <w:rsid w:val="00C85CE4"/>
    <w:rsid w:val="00C8689C"/>
    <w:rsid w:val="00C86CC1"/>
    <w:rsid w:val="00C86E77"/>
    <w:rsid w:val="00C8711E"/>
    <w:rsid w:val="00C877BF"/>
    <w:rsid w:val="00C900EA"/>
    <w:rsid w:val="00C91A81"/>
    <w:rsid w:val="00C91E59"/>
    <w:rsid w:val="00C9206E"/>
    <w:rsid w:val="00C92702"/>
    <w:rsid w:val="00C92947"/>
    <w:rsid w:val="00C94892"/>
    <w:rsid w:val="00C948D1"/>
    <w:rsid w:val="00C94E8B"/>
    <w:rsid w:val="00C95170"/>
    <w:rsid w:val="00C9590D"/>
    <w:rsid w:val="00C961F6"/>
    <w:rsid w:val="00C96AC5"/>
    <w:rsid w:val="00C96F49"/>
    <w:rsid w:val="00C970AF"/>
    <w:rsid w:val="00C973C7"/>
    <w:rsid w:val="00C975B6"/>
    <w:rsid w:val="00C97981"/>
    <w:rsid w:val="00C97E3C"/>
    <w:rsid w:val="00C97EF1"/>
    <w:rsid w:val="00CA0969"/>
    <w:rsid w:val="00CA09BF"/>
    <w:rsid w:val="00CA22E1"/>
    <w:rsid w:val="00CA2BF7"/>
    <w:rsid w:val="00CA2E03"/>
    <w:rsid w:val="00CA3561"/>
    <w:rsid w:val="00CA3876"/>
    <w:rsid w:val="00CA48A5"/>
    <w:rsid w:val="00CA504A"/>
    <w:rsid w:val="00CA55A2"/>
    <w:rsid w:val="00CA5793"/>
    <w:rsid w:val="00CA598A"/>
    <w:rsid w:val="00CA5B7C"/>
    <w:rsid w:val="00CA5E19"/>
    <w:rsid w:val="00CA6779"/>
    <w:rsid w:val="00CA6CB9"/>
    <w:rsid w:val="00CA6DFD"/>
    <w:rsid w:val="00CA729D"/>
    <w:rsid w:val="00CB0F8B"/>
    <w:rsid w:val="00CB102D"/>
    <w:rsid w:val="00CB1701"/>
    <w:rsid w:val="00CB173F"/>
    <w:rsid w:val="00CB2F89"/>
    <w:rsid w:val="00CB733D"/>
    <w:rsid w:val="00CB7416"/>
    <w:rsid w:val="00CC03A9"/>
    <w:rsid w:val="00CC142C"/>
    <w:rsid w:val="00CC173E"/>
    <w:rsid w:val="00CC1775"/>
    <w:rsid w:val="00CC1933"/>
    <w:rsid w:val="00CC2414"/>
    <w:rsid w:val="00CC2682"/>
    <w:rsid w:val="00CC2959"/>
    <w:rsid w:val="00CC2986"/>
    <w:rsid w:val="00CC3D8A"/>
    <w:rsid w:val="00CC3DC9"/>
    <w:rsid w:val="00CC3E33"/>
    <w:rsid w:val="00CC4731"/>
    <w:rsid w:val="00CC61F4"/>
    <w:rsid w:val="00CC651D"/>
    <w:rsid w:val="00CC655C"/>
    <w:rsid w:val="00CC65AC"/>
    <w:rsid w:val="00CD07E2"/>
    <w:rsid w:val="00CD1AEF"/>
    <w:rsid w:val="00CD28C6"/>
    <w:rsid w:val="00CD4247"/>
    <w:rsid w:val="00CD4254"/>
    <w:rsid w:val="00CD4631"/>
    <w:rsid w:val="00CD6073"/>
    <w:rsid w:val="00CD6192"/>
    <w:rsid w:val="00CD6BD0"/>
    <w:rsid w:val="00CD73CF"/>
    <w:rsid w:val="00CD778C"/>
    <w:rsid w:val="00CE0159"/>
    <w:rsid w:val="00CE0358"/>
    <w:rsid w:val="00CE03A6"/>
    <w:rsid w:val="00CE0853"/>
    <w:rsid w:val="00CE092D"/>
    <w:rsid w:val="00CE0C53"/>
    <w:rsid w:val="00CE0CAA"/>
    <w:rsid w:val="00CE111B"/>
    <w:rsid w:val="00CE2810"/>
    <w:rsid w:val="00CE29DC"/>
    <w:rsid w:val="00CE3ADA"/>
    <w:rsid w:val="00CE3DBD"/>
    <w:rsid w:val="00CE5E19"/>
    <w:rsid w:val="00CE6306"/>
    <w:rsid w:val="00CE6844"/>
    <w:rsid w:val="00CE6917"/>
    <w:rsid w:val="00CE6EAF"/>
    <w:rsid w:val="00CE7CCB"/>
    <w:rsid w:val="00CF0281"/>
    <w:rsid w:val="00CF0ABD"/>
    <w:rsid w:val="00CF11A7"/>
    <w:rsid w:val="00CF169C"/>
    <w:rsid w:val="00CF19F9"/>
    <w:rsid w:val="00CF1A60"/>
    <w:rsid w:val="00CF2D8A"/>
    <w:rsid w:val="00CF3678"/>
    <w:rsid w:val="00CF38E1"/>
    <w:rsid w:val="00CF40EC"/>
    <w:rsid w:val="00CF569D"/>
    <w:rsid w:val="00CF58FA"/>
    <w:rsid w:val="00CF5DAE"/>
    <w:rsid w:val="00CF5E59"/>
    <w:rsid w:val="00CF60F2"/>
    <w:rsid w:val="00CF61BB"/>
    <w:rsid w:val="00CF691F"/>
    <w:rsid w:val="00CF6D49"/>
    <w:rsid w:val="00CF7085"/>
    <w:rsid w:val="00CF7093"/>
    <w:rsid w:val="00CF7F34"/>
    <w:rsid w:val="00D012C4"/>
    <w:rsid w:val="00D017A3"/>
    <w:rsid w:val="00D022E1"/>
    <w:rsid w:val="00D0238F"/>
    <w:rsid w:val="00D02AE6"/>
    <w:rsid w:val="00D02F23"/>
    <w:rsid w:val="00D02FAA"/>
    <w:rsid w:val="00D0487F"/>
    <w:rsid w:val="00D053E8"/>
    <w:rsid w:val="00D06569"/>
    <w:rsid w:val="00D067A8"/>
    <w:rsid w:val="00D068AF"/>
    <w:rsid w:val="00D10226"/>
    <w:rsid w:val="00D10A0C"/>
    <w:rsid w:val="00D10BEC"/>
    <w:rsid w:val="00D10C97"/>
    <w:rsid w:val="00D1104A"/>
    <w:rsid w:val="00D11CE3"/>
    <w:rsid w:val="00D11F6B"/>
    <w:rsid w:val="00D12899"/>
    <w:rsid w:val="00D134D7"/>
    <w:rsid w:val="00D13CFD"/>
    <w:rsid w:val="00D13D20"/>
    <w:rsid w:val="00D1419E"/>
    <w:rsid w:val="00D1458F"/>
    <w:rsid w:val="00D14962"/>
    <w:rsid w:val="00D149FF"/>
    <w:rsid w:val="00D15B39"/>
    <w:rsid w:val="00D164EC"/>
    <w:rsid w:val="00D1672C"/>
    <w:rsid w:val="00D17DDE"/>
    <w:rsid w:val="00D17FF4"/>
    <w:rsid w:val="00D204EB"/>
    <w:rsid w:val="00D2055E"/>
    <w:rsid w:val="00D2076B"/>
    <w:rsid w:val="00D21424"/>
    <w:rsid w:val="00D2223A"/>
    <w:rsid w:val="00D22382"/>
    <w:rsid w:val="00D2302C"/>
    <w:rsid w:val="00D23451"/>
    <w:rsid w:val="00D2443B"/>
    <w:rsid w:val="00D252C7"/>
    <w:rsid w:val="00D25456"/>
    <w:rsid w:val="00D25F43"/>
    <w:rsid w:val="00D274C9"/>
    <w:rsid w:val="00D27630"/>
    <w:rsid w:val="00D27A97"/>
    <w:rsid w:val="00D27F4F"/>
    <w:rsid w:val="00D302D0"/>
    <w:rsid w:val="00D30DEF"/>
    <w:rsid w:val="00D30FDC"/>
    <w:rsid w:val="00D318D6"/>
    <w:rsid w:val="00D321D5"/>
    <w:rsid w:val="00D32339"/>
    <w:rsid w:val="00D33A75"/>
    <w:rsid w:val="00D33D19"/>
    <w:rsid w:val="00D33D2C"/>
    <w:rsid w:val="00D34004"/>
    <w:rsid w:val="00D34699"/>
    <w:rsid w:val="00D347D0"/>
    <w:rsid w:val="00D34A99"/>
    <w:rsid w:val="00D34E05"/>
    <w:rsid w:val="00D35185"/>
    <w:rsid w:val="00D35215"/>
    <w:rsid w:val="00D3678A"/>
    <w:rsid w:val="00D3747B"/>
    <w:rsid w:val="00D37F5C"/>
    <w:rsid w:val="00D406FD"/>
    <w:rsid w:val="00D40C66"/>
    <w:rsid w:val="00D41514"/>
    <w:rsid w:val="00D41951"/>
    <w:rsid w:val="00D419FD"/>
    <w:rsid w:val="00D41FB1"/>
    <w:rsid w:val="00D420CB"/>
    <w:rsid w:val="00D421A9"/>
    <w:rsid w:val="00D42C57"/>
    <w:rsid w:val="00D436F0"/>
    <w:rsid w:val="00D437E8"/>
    <w:rsid w:val="00D43C9A"/>
    <w:rsid w:val="00D444E9"/>
    <w:rsid w:val="00D449DF"/>
    <w:rsid w:val="00D44B7F"/>
    <w:rsid w:val="00D453BC"/>
    <w:rsid w:val="00D4580A"/>
    <w:rsid w:val="00D45BA0"/>
    <w:rsid w:val="00D462EB"/>
    <w:rsid w:val="00D46AF2"/>
    <w:rsid w:val="00D501C1"/>
    <w:rsid w:val="00D50C1E"/>
    <w:rsid w:val="00D51FFB"/>
    <w:rsid w:val="00D52284"/>
    <w:rsid w:val="00D531B8"/>
    <w:rsid w:val="00D53608"/>
    <w:rsid w:val="00D54CFD"/>
    <w:rsid w:val="00D55113"/>
    <w:rsid w:val="00D55B25"/>
    <w:rsid w:val="00D55B61"/>
    <w:rsid w:val="00D56EF8"/>
    <w:rsid w:val="00D6046C"/>
    <w:rsid w:val="00D61A49"/>
    <w:rsid w:val="00D61C4D"/>
    <w:rsid w:val="00D622F1"/>
    <w:rsid w:val="00D62977"/>
    <w:rsid w:val="00D62D4E"/>
    <w:rsid w:val="00D62EE1"/>
    <w:rsid w:val="00D6310B"/>
    <w:rsid w:val="00D64CC0"/>
    <w:rsid w:val="00D65165"/>
    <w:rsid w:val="00D670A9"/>
    <w:rsid w:val="00D67559"/>
    <w:rsid w:val="00D67A03"/>
    <w:rsid w:val="00D67F30"/>
    <w:rsid w:val="00D70117"/>
    <w:rsid w:val="00D70348"/>
    <w:rsid w:val="00D703E8"/>
    <w:rsid w:val="00D704DD"/>
    <w:rsid w:val="00D7056E"/>
    <w:rsid w:val="00D70B76"/>
    <w:rsid w:val="00D70BCC"/>
    <w:rsid w:val="00D71357"/>
    <w:rsid w:val="00D713F2"/>
    <w:rsid w:val="00D716C0"/>
    <w:rsid w:val="00D71A61"/>
    <w:rsid w:val="00D72732"/>
    <w:rsid w:val="00D72DBD"/>
    <w:rsid w:val="00D7313E"/>
    <w:rsid w:val="00D73DD4"/>
    <w:rsid w:val="00D73F9F"/>
    <w:rsid w:val="00D74057"/>
    <w:rsid w:val="00D740B5"/>
    <w:rsid w:val="00D742D5"/>
    <w:rsid w:val="00D75001"/>
    <w:rsid w:val="00D75B27"/>
    <w:rsid w:val="00D76290"/>
    <w:rsid w:val="00D7683D"/>
    <w:rsid w:val="00D769FB"/>
    <w:rsid w:val="00D77B0E"/>
    <w:rsid w:val="00D8010F"/>
    <w:rsid w:val="00D808F8"/>
    <w:rsid w:val="00D820AD"/>
    <w:rsid w:val="00D82E5D"/>
    <w:rsid w:val="00D82F31"/>
    <w:rsid w:val="00D83471"/>
    <w:rsid w:val="00D8382B"/>
    <w:rsid w:val="00D83DEE"/>
    <w:rsid w:val="00D83EEC"/>
    <w:rsid w:val="00D849D2"/>
    <w:rsid w:val="00D84C00"/>
    <w:rsid w:val="00D8540D"/>
    <w:rsid w:val="00D859B2"/>
    <w:rsid w:val="00D8649F"/>
    <w:rsid w:val="00D867B9"/>
    <w:rsid w:val="00D86A80"/>
    <w:rsid w:val="00D86C6E"/>
    <w:rsid w:val="00D87B7E"/>
    <w:rsid w:val="00D90172"/>
    <w:rsid w:val="00D92DE4"/>
    <w:rsid w:val="00D93656"/>
    <w:rsid w:val="00D94136"/>
    <w:rsid w:val="00D9554B"/>
    <w:rsid w:val="00D95777"/>
    <w:rsid w:val="00D95894"/>
    <w:rsid w:val="00D95D44"/>
    <w:rsid w:val="00D967CA"/>
    <w:rsid w:val="00D96FA9"/>
    <w:rsid w:val="00D97338"/>
    <w:rsid w:val="00D97501"/>
    <w:rsid w:val="00DA06CB"/>
    <w:rsid w:val="00DA0794"/>
    <w:rsid w:val="00DA19EA"/>
    <w:rsid w:val="00DA1CB0"/>
    <w:rsid w:val="00DA3C69"/>
    <w:rsid w:val="00DA4206"/>
    <w:rsid w:val="00DA45E4"/>
    <w:rsid w:val="00DA46F4"/>
    <w:rsid w:val="00DA56C0"/>
    <w:rsid w:val="00DA61E3"/>
    <w:rsid w:val="00DA6300"/>
    <w:rsid w:val="00DA66B0"/>
    <w:rsid w:val="00DA7B35"/>
    <w:rsid w:val="00DB05F9"/>
    <w:rsid w:val="00DB2446"/>
    <w:rsid w:val="00DB2633"/>
    <w:rsid w:val="00DB493A"/>
    <w:rsid w:val="00DB4F50"/>
    <w:rsid w:val="00DB5001"/>
    <w:rsid w:val="00DB5D59"/>
    <w:rsid w:val="00DB6164"/>
    <w:rsid w:val="00DB6E35"/>
    <w:rsid w:val="00DB7504"/>
    <w:rsid w:val="00DB7BE1"/>
    <w:rsid w:val="00DB7C0E"/>
    <w:rsid w:val="00DB7E48"/>
    <w:rsid w:val="00DB7F14"/>
    <w:rsid w:val="00DC03EA"/>
    <w:rsid w:val="00DC04EA"/>
    <w:rsid w:val="00DC0589"/>
    <w:rsid w:val="00DC1421"/>
    <w:rsid w:val="00DC2BD1"/>
    <w:rsid w:val="00DC39C3"/>
    <w:rsid w:val="00DC532C"/>
    <w:rsid w:val="00DC5568"/>
    <w:rsid w:val="00DC5D55"/>
    <w:rsid w:val="00DC62A8"/>
    <w:rsid w:val="00DC64B8"/>
    <w:rsid w:val="00DC72BC"/>
    <w:rsid w:val="00DC733F"/>
    <w:rsid w:val="00DD0184"/>
    <w:rsid w:val="00DD03F9"/>
    <w:rsid w:val="00DD03FB"/>
    <w:rsid w:val="00DD0D60"/>
    <w:rsid w:val="00DD10D6"/>
    <w:rsid w:val="00DD19E8"/>
    <w:rsid w:val="00DD1B1A"/>
    <w:rsid w:val="00DD1BF4"/>
    <w:rsid w:val="00DD1D75"/>
    <w:rsid w:val="00DD1F7B"/>
    <w:rsid w:val="00DD2662"/>
    <w:rsid w:val="00DD2B7A"/>
    <w:rsid w:val="00DD3278"/>
    <w:rsid w:val="00DD34CF"/>
    <w:rsid w:val="00DD370B"/>
    <w:rsid w:val="00DD38CD"/>
    <w:rsid w:val="00DD38DC"/>
    <w:rsid w:val="00DD3DA4"/>
    <w:rsid w:val="00DD437E"/>
    <w:rsid w:val="00DD4EE7"/>
    <w:rsid w:val="00DD554B"/>
    <w:rsid w:val="00DD61FE"/>
    <w:rsid w:val="00DD62A7"/>
    <w:rsid w:val="00DD6B36"/>
    <w:rsid w:val="00DE0629"/>
    <w:rsid w:val="00DE1090"/>
    <w:rsid w:val="00DE1716"/>
    <w:rsid w:val="00DE26E1"/>
    <w:rsid w:val="00DE290C"/>
    <w:rsid w:val="00DE2B15"/>
    <w:rsid w:val="00DE2FF2"/>
    <w:rsid w:val="00DE3313"/>
    <w:rsid w:val="00DE3CB0"/>
    <w:rsid w:val="00DE3ECF"/>
    <w:rsid w:val="00DE49D4"/>
    <w:rsid w:val="00DE4BA1"/>
    <w:rsid w:val="00DE4EB2"/>
    <w:rsid w:val="00DE4ECB"/>
    <w:rsid w:val="00DE4F26"/>
    <w:rsid w:val="00DE596D"/>
    <w:rsid w:val="00DE60B6"/>
    <w:rsid w:val="00DE62A2"/>
    <w:rsid w:val="00DE6791"/>
    <w:rsid w:val="00DE6D48"/>
    <w:rsid w:val="00DE75DE"/>
    <w:rsid w:val="00DE77F0"/>
    <w:rsid w:val="00DE7816"/>
    <w:rsid w:val="00DF152B"/>
    <w:rsid w:val="00DF215B"/>
    <w:rsid w:val="00DF242D"/>
    <w:rsid w:val="00DF242E"/>
    <w:rsid w:val="00DF3051"/>
    <w:rsid w:val="00DF3576"/>
    <w:rsid w:val="00DF3BB4"/>
    <w:rsid w:val="00DF3C41"/>
    <w:rsid w:val="00DF4A3E"/>
    <w:rsid w:val="00DF4BA1"/>
    <w:rsid w:val="00DF4F71"/>
    <w:rsid w:val="00DF581A"/>
    <w:rsid w:val="00DF5E64"/>
    <w:rsid w:val="00DF61ED"/>
    <w:rsid w:val="00DF6AFA"/>
    <w:rsid w:val="00DF6FE2"/>
    <w:rsid w:val="00DF7609"/>
    <w:rsid w:val="00DF7850"/>
    <w:rsid w:val="00DF7E47"/>
    <w:rsid w:val="00E0051A"/>
    <w:rsid w:val="00E00883"/>
    <w:rsid w:val="00E0193E"/>
    <w:rsid w:val="00E02D42"/>
    <w:rsid w:val="00E035AD"/>
    <w:rsid w:val="00E05C4F"/>
    <w:rsid w:val="00E06848"/>
    <w:rsid w:val="00E06C71"/>
    <w:rsid w:val="00E1047D"/>
    <w:rsid w:val="00E1107E"/>
    <w:rsid w:val="00E11B0C"/>
    <w:rsid w:val="00E129F8"/>
    <w:rsid w:val="00E12F4E"/>
    <w:rsid w:val="00E13779"/>
    <w:rsid w:val="00E13A85"/>
    <w:rsid w:val="00E141DF"/>
    <w:rsid w:val="00E148EF"/>
    <w:rsid w:val="00E14AE5"/>
    <w:rsid w:val="00E1523E"/>
    <w:rsid w:val="00E1590F"/>
    <w:rsid w:val="00E16147"/>
    <w:rsid w:val="00E16368"/>
    <w:rsid w:val="00E16DBA"/>
    <w:rsid w:val="00E1779F"/>
    <w:rsid w:val="00E1794D"/>
    <w:rsid w:val="00E200E7"/>
    <w:rsid w:val="00E20187"/>
    <w:rsid w:val="00E202E0"/>
    <w:rsid w:val="00E20EDA"/>
    <w:rsid w:val="00E20FFA"/>
    <w:rsid w:val="00E21885"/>
    <w:rsid w:val="00E21F5A"/>
    <w:rsid w:val="00E221EC"/>
    <w:rsid w:val="00E230FF"/>
    <w:rsid w:val="00E23691"/>
    <w:rsid w:val="00E23D60"/>
    <w:rsid w:val="00E23FDC"/>
    <w:rsid w:val="00E245A0"/>
    <w:rsid w:val="00E2597D"/>
    <w:rsid w:val="00E25AB4"/>
    <w:rsid w:val="00E2604A"/>
    <w:rsid w:val="00E26C28"/>
    <w:rsid w:val="00E271F8"/>
    <w:rsid w:val="00E27254"/>
    <w:rsid w:val="00E27589"/>
    <w:rsid w:val="00E30C9F"/>
    <w:rsid w:val="00E30CD7"/>
    <w:rsid w:val="00E30FB9"/>
    <w:rsid w:val="00E31197"/>
    <w:rsid w:val="00E3147F"/>
    <w:rsid w:val="00E315F1"/>
    <w:rsid w:val="00E319B8"/>
    <w:rsid w:val="00E33454"/>
    <w:rsid w:val="00E3386F"/>
    <w:rsid w:val="00E33E51"/>
    <w:rsid w:val="00E34BFB"/>
    <w:rsid w:val="00E35098"/>
    <w:rsid w:val="00E35A09"/>
    <w:rsid w:val="00E35E6C"/>
    <w:rsid w:val="00E36EE6"/>
    <w:rsid w:val="00E40CB4"/>
    <w:rsid w:val="00E41AA9"/>
    <w:rsid w:val="00E41E94"/>
    <w:rsid w:val="00E42117"/>
    <w:rsid w:val="00E421FB"/>
    <w:rsid w:val="00E4241C"/>
    <w:rsid w:val="00E42637"/>
    <w:rsid w:val="00E42DF3"/>
    <w:rsid w:val="00E430F9"/>
    <w:rsid w:val="00E43D7E"/>
    <w:rsid w:val="00E43DAC"/>
    <w:rsid w:val="00E43EB7"/>
    <w:rsid w:val="00E43F18"/>
    <w:rsid w:val="00E44719"/>
    <w:rsid w:val="00E44905"/>
    <w:rsid w:val="00E45BDC"/>
    <w:rsid w:val="00E46CC6"/>
    <w:rsid w:val="00E51337"/>
    <w:rsid w:val="00E51A2E"/>
    <w:rsid w:val="00E51E85"/>
    <w:rsid w:val="00E52DD6"/>
    <w:rsid w:val="00E53048"/>
    <w:rsid w:val="00E53A6F"/>
    <w:rsid w:val="00E53AA7"/>
    <w:rsid w:val="00E53F88"/>
    <w:rsid w:val="00E5464D"/>
    <w:rsid w:val="00E54684"/>
    <w:rsid w:val="00E54A33"/>
    <w:rsid w:val="00E54DC4"/>
    <w:rsid w:val="00E55B99"/>
    <w:rsid w:val="00E56574"/>
    <w:rsid w:val="00E56CCD"/>
    <w:rsid w:val="00E5781B"/>
    <w:rsid w:val="00E61083"/>
    <w:rsid w:val="00E61533"/>
    <w:rsid w:val="00E6177C"/>
    <w:rsid w:val="00E6240D"/>
    <w:rsid w:val="00E62E4F"/>
    <w:rsid w:val="00E63B96"/>
    <w:rsid w:val="00E63BF7"/>
    <w:rsid w:val="00E640A4"/>
    <w:rsid w:val="00E641FC"/>
    <w:rsid w:val="00E644BE"/>
    <w:rsid w:val="00E64DD5"/>
    <w:rsid w:val="00E64F4C"/>
    <w:rsid w:val="00E6534D"/>
    <w:rsid w:val="00E657C1"/>
    <w:rsid w:val="00E6660C"/>
    <w:rsid w:val="00E66B46"/>
    <w:rsid w:val="00E66CEE"/>
    <w:rsid w:val="00E66EE0"/>
    <w:rsid w:val="00E66FCC"/>
    <w:rsid w:val="00E674C2"/>
    <w:rsid w:val="00E67B46"/>
    <w:rsid w:val="00E67CB5"/>
    <w:rsid w:val="00E67EDD"/>
    <w:rsid w:val="00E701F2"/>
    <w:rsid w:val="00E7135D"/>
    <w:rsid w:val="00E7255A"/>
    <w:rsid w:val="00E72860"/>
    <w:rsid w:val="00E7312C"/>
    <w:rsid w:val="00E7338B"/>
    <w:rsid w:val="00E7355E"/>
    <w:rsid w:val="00E741D0"/>
    <w:rsid w:val="00E75994"/>
    <w:rsid w:val="00E75AE0"/>
    <w:rsid w:val="00E76097"/>
    <w:rsid w:val="00E76C37"/>
    <w:rsid w:val="00E76DD6"/>
    <w:rsid w:val="00E773CD"/>
    <w:rsid w:val="00E800A3"/>
    <w:rsid w:val="00E8088F"/>
    <w:rsid w:val="00E80C7D"/>
    <w:rsid w:val="00E825F7"/>
    <w:rsid w:val="00E82677"/>
    <w:rsid w:val="00E82A41"/>
    <w:rsid w:val="00E83495"/>
    <w:rsid w:val="00E839A6"/>
    <w:rsid w:val="00E84C5D"/>
    <w:rsid w:val="00E85E7E"/>
    <w:rsid w:val="00E8606A"/>
    <w:rsid w:val="00E865E0"/>
    <w:rsid w:val="00E86CDD"/>
    <w:rsid w:val="00E86E99"/>
    <w:rsid w:val="00E87D7E"/>
    <w:rsid w:val="00E9016A"/>
    <w:rsid w:val="00E90C8D"/>
    <w:rsid w:val="00E91B3F"/>
    <w:rsid w:val="00E91DA6"/>
    <w:rsid w:val="00E91EE2"/>
    <w:rsid w:val="00E92E50"/>
    <w:rsid w:val="00E9330F"/>
    <w:rsid w:val="00E93ADA"/>
    <w:rsid w:val="00E94A80"/>
    <w:rsid w:val="00E94EC1"/>
    <w:rsid w:val="00E95153"/>
    <w:rsid w:val="00E95E9A"/>
    <w:rsid w:val="00E95F02"/>
    <w:rsid w:val="00E961BB"/>
    <w:rsid w:val="00E97445"/>
    <w:rsid w:val="00E97648"/>
    <w:rsid w:val="00E97C18"/>
    <w:rsid w:val="00EA0350"/>
    <w:rsid w:val="00EA0379"/>
    <w:rsid w:val="00EA17EA"/>
    <w:rsid w:val="00EA1ACE"/>
    <w:rsid w:val="00EA218E"/>
    <w:rsid w:val="00EA24CE"/>
    <w:rsid w:val="00EA3149"/>
    <w:rsid w:val="00EA33DD"/>
    <w:rsid w:val="00EA383A"/>
    <w:rsid w:val="00EA3AB4"/>
    <w:rsid w:val="00EA3AEB"/>
    <w:rsid w:val="00EA3F1E"/>
    <w:rsid w:val="00EA5656"/>
    <w:rsid w:val="00EA5C2A"/>
    <w:rsid w:val="00EA6026"/>
    <w:rsid w:val="00EA6128"/>
    <w:rsid w:val="00EA613F"/>
    <w:rsid w:val="00EA6CB5"/>
    <w:rsid w:val="00EA6F69"/>
    <w:rsid w:val="00EA7798"/>
    <w:rsid w:val="00EA7BA5"/>
    <w:rsid w:val="00EB090D"/>
    <w:rsid w:val="00EB09FB"/>
    <w:rsid w:val="00EB0A20"/>
    <w:rsid w:val="00EB116F"/>
    <w:rsid w:val="00EB1525"/>
    <w:rsid w:val="00EB2002"/>
    <w:rsid w:val="00EB23FC"/>
    <w:rsid w:val="00EB2B8A"/>
    <w:rsid w:val="00EB2DCB"/>
    <w:rsid w:val="00EB3017"/>
    <w:rsid w:val="00EB3DC5"/>
    <w:rsid w:val="00EB4B0A"/>
    <w:rsid w:val="00EB5162"/>
    <w:rsid w:val="00EB52C6"/>
    <w:rsid w:val="00EB55C7"/>
    <w:rsid w:val="00EB579D"/>
    <w:rsid w:val="00EB5C25"/>
    <w:rsid w:val="00EB6511"/>
    <w:rsid w:val="00EB665C"/>
    <w:rsid w:val="00EB7EDA"/>
    <w:rsid w:val="00EC0083"/>
    <w:rsid w:val="00EC035B"/>
    <w:rsid w:val="00EC0B8D"/>
    <w:rsid w:val="00EC13CB"/>
    <w:rsid w:val="00EC14BE"/>
    <w:rsid w:val="00EC1AFE"/>
    <w:rsid w:val="00EC20BB"/>
    <w:rsid w:val="00EC35E7"/>
    <w:rsid w:val="00EC3C22"/>
    <w:rsid w:val="00EC4F4B"/>
    <w:rsid w:val="00EC5719"/>
    <w:rsid w:val="00ED0937"/>
    <w:rsid w:val="00ED0B11"/>
    <w:rsid w:val="00ED16D8"/>
    <w:rsid w:val="00ED1A6E"/>
    <w:rsid w:val="00ED1E60"/>
    <w:rsid w:val="00ED229B"/>
    <w:rsid w:val="00ED2AD6"/>
    <w:rsid w:val="00ED34FB"/>
    <w:rsid w:val="00ED3582"/>
    <w:rsid w:val="00ED4319"/>
    <w:rsid w:val="00ED6334"/>
    <w:rsid w:val="00ED68DC"/>
    <w:rsid w:val="00ED6FF1"/>
    <w:rsid w:val="00ED73E7"/>
    <w:rsid w:val="00ED7FA4"/>
    <w:rsid w:val="00EE0C22"/>
    <w:rsid w:val="00EE0C49"/>
    <w:rsid w:val="00EE14F8"/>
    <w:rsid w:val="00EE22E8"/>
    <w:rsid w:val="00EE246F"/>
    <w:rsid w:val="00EE28A3"/>
    <w:rsid w:val="00EE28AB"/>
    <w:rsid w:val="00EE2EBF"/>
    <w:rsid w:val="00EE3375"/>
    <w:rsid w:val="00EE3FCA"/>
    <w:rsid w:val="00EE51AA"/>
    <w:rsid w:val="00EE6A55"/>
    <w:rsid w:val="00EE6E25"/>
    <w:rsid w:val="00EF09E0"/>
    <w:rsid w:val="00EF1240"/>
    <w:rsid w:val="00EF1C22"/>
    <w:rsid w:val="00EF238B"/>
    <w:rsid w:val="00EF2539"/>
    <w:rsid w:val="00EF2648"/>
    <w:rsid w:val="00EF2AA5"/>
    <w:rsid w:val="00EF3FF7"/>
    <w:rsid w:val="00EF43B7"/>
    <w:rsid w:val="00EF4401"/>
    <w:rsid w:val="00EF446B"/>
    <w:rsid w:val="00EF48A0"/>
    <w:rsid w:val="00EF567B"/>
    <w:rsid w:val="00EF591D"/>
    <w:rsid w:val="00EF6839"/>
    <w:rsid w:val="00EF7684"/>
    <w:rsid w:val="00F0025E"/>
    <w:rsid w:val="00F00719"/>
    <w:rsid w:val="00F00C84"/>
    <w:rsid w:val="00F00E96"/>
    <w:rsid w:val="00F034B1"/>
    <w:rsid w:val="00F03504"/>
    <w:rsid w:val="00F0455C"/>
    <w:rsid w:val="00F05481"/>
    <w:rsid w:val="00F05FA3"/>
    <w:rsid w:val="00F06390"/>
    <w:rsid w:val="00F06845"/>
    <w:rsid w:val="00F06904"/>
    <w:rsid w:val="00F1003F"/>
    <w:rsid w:val="00F10AF2"/>
    <w:rsid w:val="00F10B74"/>
    <w:rsid w:val="00F10D13"/>
    <w:rsid w:val="00F10E7E"/>
    <w:rsid w:val="00F11BBA"/>
    <w:rsid w:val="00F12DFB"/>
    <w:rsid w:val="00F12ED1"/>
    <w:rsid w:val="00F137F8"/>
    <w:rsid w:val="00F13D71"/>
    <w:rsid w:val="00F13E2A"/>
    <w:rsid w:val="00F142BC"/>
    <w:rsid w:val="00F14E8F"/>
    <w:rsid w:val="00F15140"/>
    <w:rsid w:val="00F154B8"/>
    <w:rsid w:val="00F160B9"/>
    <w:rsid w:val="00F16706"/>
    <w:rsid w:val="00F174A4"/>
    <w:rsid w:val="00F17E3D"/>
    <w:rsid w:val="00F17E3F"/>
    <w:rsid w:val="00F17E95"/>
    <w:rsid w:val="00F2040D"/>
    <w:rsid w:val="00F2162E"/>
    <w:rsid w:val="00F2196F"/>
    <w:rsid w:val="00F21986"/>
    <w:rsid w:val="00F222E7"/>
    <w:rsid w:val="00F22D34"/>
    <w:rsid w:val="00F22E61"/>
    <w:rsid w:val="00F24BD5"/>
    <w:rsid w:val="00F252FF"/>
    <w:rsid w:val="00F26439"/>
    <w:rsid w:val="00F266D8"/>
    <w:rsid w:val="00F27224"/>
    <w:rsid w:val="00F315AB"/>
    <w:rsid w:val="00F31832"/>
    <w:rsid w:val="00F31DEF"/>
    <w:rsid w:val="00F3235D"/>
    <w:rsid w:val="00F32AB2"/>
    <w:rsid w:val="00F3309A"/>
    <w:rsid w:val="00F33779"/>
    <w:rsid w:val="00F33A24"/>
    <w:rsid w:val="00F34091"/>
    <w:rsid w:val="00F35A83"/>
    <w:rsid w:val="00F362DE"/>
    <w:rsid w:val="00F365AC"/>
    <w:rsid w:val="00F36705"/>
    <w:rsid w:val="00F37CE7"/>
    <w:rsid w:val="00F37F57"/>
    <w:rsid w:val="00F40146"/>
    <w:rsid w:val="00F41301"/>
    <w:rsid w:val="00F41312"/>
    <w:rsid w:val="00F41394"/>
    <w:rsid w:val="00F417AF"/>
    <w:rsid w:val="00F41F6D"/>
    <w:rsid w:val="00F420BE"/>
    <w:rsid w:val="00F42822"/>
    <w:rsid w:val="00F4307D"/>
    <w:rsid w:val="00F4573B"/>
    <w:rsid w:val="00F45F47"/>
    <w:rsid w:val="00F45FDE"/>
    <w:rsid w:val="00F46797"/>
    <w:rsid w:val="00F47076"/>
    <w:rsid w:val="00F50397"/>
    <w:rsid w:val="00F50B34"/>
    <w:rsid w:val="00F50FB7"/>
    <w:rsid w:val="00F512DA"/>
    <w:rsid w:val="00F517E6"/>
    <w:rsid w:val="00F51994"/>
    <w:rsid w:val="00F51C00"/>
    <w:rsid w:val="00F52FFF"/>
    <w:rsid w:val="00F53521"/>
    <w:rsid w:val="00F54147"/>
    <w:rsid w:val="00F541CA"/>
    <w:rsid w:val="00F546D0"/>
    <w:rsid w:val="00F5515C"/>
    <w:rsid w:val="00F555F6"/>
    <w:rsid w:val="00F56166"/>
    <w:rsid w:val="00F56E8F"/>
    <w:rsid w:val="00F573C8"/>
    <w:rsid w:val="00F57A5E"/>
    <w:rsid w:val="00F57C10"/>
    <w:rsid w:val="00F60790"/>
    <w:rsid w:val="00F60F7F"/>
    <w:rsid w:val="00F61781"/>
    <w:rsid w:val="00F61BCE"/>
    <w:rsid w:val="00F62062"/>
    <w:rsid w:val="00F62666"/>
    <w:rsid w:val="00F62B9F"/>
    <w:rsid w:val="00F63731"/>
    <w:rsid w:val="00F64342"/>
    <w:rsid w:val="00F64F7A"/>
    <w:rsid w:val="00F6510F"/>
    <w:rsid w:val="00F65918"/>
    <w:rsid w:val="00F6641F"/>
    <w:rsid w:val="00F66DF6"/>
    <w:rsid w:val="00F670B9"/>
    <w:rsid w:val="00F67222"/>
    <w:rsid w:val="00F674EA"/>
    <w:rsid w:val="00F70BF6"/>
    <w:rsid w:val="00F7186A"/>
    <w:rsid w:val="00F71FF3"/>
    <w:rsid w:val="00F723C0"/>
    <w:rsid w:val="00F73FC1"/>
    <w:rsid w:val="00F75478"/>
    <w:rsid w:val="00F75E8B"/>
    <w:rsid w:val="00F76223"/>
    <w:rsid w:val="00F76644"/>
    <w:rsid w:val="00F7692C"/>
    <w:rsid w:val="00F76B60"/>
    <w:rsid w:val="00F76C0D"/>
    <w:rsid w:val="00F77440"/>
    <w:rsid w:val="00F777C3"/>
    <w:rsid w:val="00F77A04"/>
    <w:rsid w:val="00F800D5"/>
    <w:rsid w:val="00F802A1"/>
    <w:rsid w:val="00F8059F"/>
    <w:rsid w:val="00F8083C"/>
    <w:rsid w:val="00F809ED"/>
    <w:rsid w:val="00F80DB3"/>
    <w:rsid w:val="00F812B0"/>
    <w:rsid w:val="00F815D0"/>
    <w:rsid w:val="00F81A96"/>
    <w:rsid w:val="00F823A2"/>
    <w:rsid w:val="00F83315"/>
    <w:rsid w:val="00F833BE"/>
    <w:rsid w:val="00F834BD"/>
    <w:rsid w:val="00F842F0"/>
    <w:rsid w:val="00F84353"/>
    <w:rsid w:val="00F8487F"/>
    <w:rsid w:val="00F84D85"/>
    <w:rsid w:val="00F85AEC"/>
    <w:rsid w:val="00F87211"/>
    <w:rsid w:val="00F906FA"/>
    <w:rsid w:val="00F90D98"/>
    <w:rsid w:val="00F90F1A"/>
    <w:rsid w:val="00F912CA"/>
    <w:rsid w:val="00F92029"/>
    <w:rsid w:val="00F92045"/>
    <w:rsid w:val="00F92453"/>
    <w:rsid w:val="00F92462"/>
    <w:rsid w:val="00F92F53"/>
    <w:rsid w:val="00F931AA"/>
    <w:rsid w:val="00F93634"/>
    <w:rsid w:val="00F94C2F"/>
    <w:rsid w:val="00F94CD3"/>
    <w:rsid w:val="00F94EE1"/>
    <w:rsid w:val="00F95EF4"/>
    <w:rsid w:val="00F97089"/>
    <w:rsid w:val="00F97A11"/>
    <w:rsid w:val="00F97C97"/>
    <w:rsid w:val="00F97E95"/>
    <w:rsid w:val="00F97F4B"/>
    <w:rsid w:val="00FA0C67"/>
    <w:rsid w:val="00FA1D6D"/>
    <w:rsid w:val="00FA209D"/>
    <w:rsid w:val="00FA24A2"/>
    <w:rsid w:val="00FA2C3A"/>
    <w:rsid w:val="00FA3510"/>
    <w:rsid w:val="00FA3643"/>
    <w:rsid w:val="00FA3BD4"/>
    <w:rsid w:val="00FA419A"/>
    <w:rsid w:val="00FA5E32"/>
    <w:rsid w:val="00FA6291"/>
    <w:rsid w:val="00FA696F"/>
    <w:rsid w:val="00FA79EC"/>
    <w:rsid w:val="00FA7A36"/>
    <w:rsid w:val="00FA7B88"/>
    <w:rsid w:val="00FB0BFA"/>
    <w:rsid w:val="00FB10D4"/>
    <w:rsid w:val="00FB138A"/>
    <w:rsid w:val="00FB1D8D"/>
    <w:rsid w:val="00FB2907"/>
    <w:rsid w:val="00FB3CCB"/>
    <w:rsid w:val="00FB5EC1"/>
    <w:rsid w:val="00FB733D"/>
    <w:rsid w:val="00FB7BD2"/>
    <w:rsid w:val="00FC05E6"/>
    <w:rsid w:val="00FC06C8"/>
    <w:rsid w:val="00FC0886"/>
    <w:rsid w:val="00FC22C2"/>
    <w:rsid w:val="00FC256E"/>
    <w:rsid w:val="00FC2991"/>
    <w:rsid w:val="00FC29CC"/>
    <w:rsid w:val="00FC2F3C"/>
    <w:rsid w:val="00FC345B"/>
    <w:rsid w:val="00FC4053"/>
    <w:rsid w:val="00FC539F"/>
    <w:rsid w:val="00FC53F0"/>
    <w:rsid w:val="00FC5688"/>
    <w:rsid w:val="00FC6045"/>
    <w:rsid w:val="00FC61B7"/>
    <w:rsid w:val="00FC62CF"/>
    <w:rsid w:val="00FC7ECA"/>
    <w:rsid w:val="00FD020C"/>
    <w:rsid w:val="00FD03E3"/>
    <w:rsid w:val="00FD0843"/>
    <w:rsid w:val="00FD09B0"/>
    <w:rsid w:val="00FD0A70"/>
    <w:rsid w:val="00FD113C"/>
    <w:rsid w:val="00FD12AE"/>
    <w:rsid w:val="00FD18BA"/>
    <w:rsid w:val="00FD1DC5"/>
    <w:rsid w:val="00FD1F7E"/>
    <w:rsid w:val="00FD2FA4"/>
    <w:rsid w:val="00FD3EF8"/>
    <w:rsid w:val="00FD3FB7"/>
    <w:rsid w:val="00FD4D69"/>
    <w:rsid w:val="00FD4FB1"/>
    <w:rsid w:val="00FD6074"/>
    <w:rsid w:val="00FD6498"/>
    <w:rsid w:val="00FD708D"/>
    <w:rsid w:val="00FD7D75"/>
    <w:rsid w:val="00FD7DFA"/>
    <w:rsid w:val="00FE01AF"/>
    <w:rsid w:val="00FE07AD"/>
    <w:rsid w:val="00FE0D8C"/>
    <w:rsid w:val="00FE1B8C"/>
    <w:rsid w:val="00FE308B"/>
    <w:rsid w:val="00FE3B24"/>
    <w:rsid w:val="00FE40FD"/>
    <w:rsid w:val="00FE4E7F"/>
    <w:rsid w:val="00FE53AD"/>
    <w:rsid w:val="00FE5BF0"/>
    <w:rsid w:val="00FE764C"/>
    <w:rsid w:val="00FF1BD6"/>
    <w:rsid w:val="00FF1E71"/>
    <w:rsid w:val="00FF20D7"/>
    <w:rsid w:val="00FF24A1"/>
    <w:rsid w:val="00FF2CAB"/>
    <w:rsid w:val="00FF353D"/>
    <w:rsid w:val="00FF35F6"/>
    <w:rsid w:val="00FF4237"/>
    <w:rsid w:val="00FF4CD6"/>
    <w:rsid w:val="00FF5F03"/>
    <w:rsid w:val="00FF6B9A"/>
    <w:rsid w:val="00FF6E5F"/>
    <w:rsid w:val="00FF7F68"/>
    <w:rsid w:val="02C00D4F"/>
    <w:rsid w:val="0BDA11FD"/>
    <w:rsid w:val="0DDC749E"/>
    <w:rsid w:val="0F8A5CAB"/>
    <w:rsid w:val="117266E8"/>
    <w:rsid w:val="18AC1196"/>
    <w:rsid w:val="1B854F2C"/>
    <w:rsid w:val="1C4732C3"/>
    <w:rsid w:val="1D1A32EB"/>
    <w:rsid w:val="27834750"/>
    <w:rsid w:val="2B7E7FD8"/>
    <w:rsid w:val="2E3F6CE1"/>
    <w:rsid w:val="2F3D6081"/>
    <w:rsid w:val="30204B81"/>
    <w:rsid w:val="3D3E64A1"/>
    <w:rsid w:val="485C12DE"/>
    <w:rsid w:val="4CAC4C77"/>
    <w:rsid w:val="583648AB"/>
    <w:rsid w:val="5B6F6839"/>
    <w:rsid w:val="5C742DDD"/>
    <w:rsid w:val="5DC62E25"/>
    <w:rsid w:val="5E1E668F"/>
    <w:rsid w:val="5F33690A"/>
    <w:rsid w:val="687A681D"/>
    <w:rsid w:val="691D7D1A"/>
    <w:rsid w:val="6E663482"/>
    <w:rsid w:val="715C000E"/>
    <w:rsid w:val="728E6723"/>
    <w:rsid w:val="78070C70"/>
    <w:rsid w:val="786F4D57"/>
    <w:rsid w:val="79B6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Document Map"/>
    <w:basedOn w:val="1"/>
    <w:link w:val="56"/>
    <w:semiHidden/>
    <w:unhideWhenUsed/>
    <w:qFormat/>
    <w:uiPriority w:val="99"/>
    <w:rPr>
      <w:rFonts w:ascii="宋体" w:eastAsia="宋体"/>
      <w:sz w:val="18"/>
      <w:szCs w:val="18"/>
    </w:rPr>
  </w:style>
  <w:style w:type="paragraph" w:styleId="8">
    <w:name w:val="annotation text"/>
    <w:basedOn w:val="1"/>
    <w:link w:val="48"/>
    <w:unhideWhenUsed/>
    <w:qFormat/>
    <w:uiPriority w:val="0"/>
    <w:pPr>
      <w:jc w:val="left"/>
    </w:pPr>
  </w:style>
  <w:style w:type="paragraph" w:styleId="9">
    <w:name w:val="Body Text"/>
    <w:basedOn w:val="1"/>
    <w:link w:val="44"/>
    <w:qFormat/>
    <w:uiPriority w:val="0"/>
    <w:pPr>
      <w:spacing w:after="120"/>
    </w:pPr>
    <w:rPr>
      <w:rFonts w:ascii="Times New Roman" w:hAnsi="Times New Roman" w:eastAsia="宋体" w:cs="Times New Roman"/>
      <w:szCs w:val="24"/>
    </w:rPr>
  </w:style>
  <w:style w:type="paragraph" w:styleId="10">
    <w:name w:val="toc 3"/>
    <w:basedOn w:val="1"/>
    <w:next w:val="1"/>
    <w:unhideWhenUsed/>
    <w:qFormat/>
    <w:uiPriority w:val="39"/>
    <w:pPr>
      <w:widowControl/>
      <w:spacing w:after="100" w:line="276" w:lineRule="auto"/>
      <w:ind w:left="440"/>
      <w:jc w:val="left"/>
    </w:pPr>
    <w:rPr>
      <w:kern w:val="0"/>
      <w:sz w:val="22"/>
    </w:rPr>
  </w:style>
  <w:style w:type="paragraph" w:styleId="11">
    <w:name w:val="Plain Text"/>
    <w:basedOn w:val="1"/>
    <w:link w:val="39"/>
    <w:qFormat/>
    <w:uiPriority w:val="0"/>
    <w:rPr>
      <w:rFonts w:ascii="宋体" w:hAnsi="Courier New" w:eastAsia="宋体"/>
      <w:szCs w:val="24"/>
    </w:rPr>
  </w:style>
  <w:style w:type="paragraph" w:styleId="12">
    <w:name w:val="Date"/>
    <w:basedOn w:val="1"/>
    <w:next w:val="1"/>
    <w:link w:val="29"/>
    <w:unhideWhenUsed/>
    <w:qFormat/>
    <w:uiPriority w:val="0"/>
    <w:pPr>
      <w:ind w:left="100" w:leftChars="2500"/>
    </w:pPr>
  </w:style>
  <w:style w:type="paragraph" w:styleId="13">
    <w:name w:val="Balloon Text"/>
    <w:basedOn w:val="1"/>
    <w:link w:val="28"/>
    <w:semiHidden/>
    <w:unhideWhenUsed/>
    <w:qFormat/>
    <w:uiPriority w:val="99"/>
    <w:rPr>
      <w:sz w:val="18"/>
      <w:szCs w:val="18"/>
    </w:rPr>
  </w:style>
  <w:style w:type="paragraph" w:styleId="14">
    <w:name w:val="footer"/>
    <w:basedOn w:val="1"/>
    <w:link w:val="34"/>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tabs>
        <w:tab w:val="right" w:leader="dot" w:pos="8273"/>
      </w:tabs>
      <w:spacing w:line="360" w:lineRule="auto"/>
      <w:jc w:val="left"/>
    </w:pPr>
    <w:rPr>
      <w:rFonts w:eastAsia="黑体"/>
      <w:kern w:val="0"/>
      <w:sz w:val="22"/>
    </w:rPr>
  </w:style>
  <w:style w:type="paragraph" w:styleId="17">
    <w:name w:val="toc 2"/>
    <w:basedOn w:val="1"/>
    <w:next w:val="1"/>
    <w:unhideWhenUsed/>
    <w:qFormat/>
    <w:uiPriority w:val="39"/>
    <w:pPr>
      <w:widowControl/>
      <w:tabs>
        <w:tab w:val="left" w:pos="709"/>
        <w:tab w:val="right" w:leader="dot" w:pos="8302"/>
      </w:tabs>
      <w:spacing w:after="100" w:line="276" w:lineRule="auto"/>
      <w:ind w:left="220"/>
      <w:jc w:val="left"/>
    </w:pPr>
    <w:rPr>
      <w:kern w:val="0"/>
      <w:sz w:val="22"/>
    </w:rPr>
  </w:style>
  <w:style w:type="paragraph" w:styleId="18">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19">
    <w:name w:val="annotation subject"/>
    <w:basedOn w:val="8"/>
    <w:next w:val="8"/>
    <w:link w:val="49"/>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5">
    <w:name w:val="Emphasis"/>
    <w:basedOn w:val="22"/>
    <w:qFormat/>
    <w:uiPriority w:val="20"/>
    <w:rPr>
      <w:i/>
      <w:iCs/>
    </w:rPr>
  </w:style>
  <w:style w:type="character" w:styleId="26">
    <w:name w:val="Hyperlink"/>
    <w:qFormat/>
    <w:uiPriority w:val="99"/>
    <w:rPr>
      <w:color w:val="0000FF"/>
      <w:u w:val="single"/>
    </w:rPr>
  </w:style>
  <w:style w:type="character" w:styleId="27">
    <w:name w:val="annotation reference"/>
    <w:basedOn w:val="22"/>
    <w:unhideWhenUsed/>
    <w:qFormat/>
    <w:uiPriority w:val="0"/>
    <w:rPr>
      <w:sz w:val="21"/>
      <w:szCs w:val="21"/>
    </w:rPr>
  </w:style>
  <w:style w:type="character" w:customStyle="1" w:styleId="28">
    <w:name w:val="批注框文本 字符"/>
    <w:basedOn w:val="22"/>
    <w:link w:val="13"/>
    <w:semiHidden/>
    <w:qFormat/>
    <w:uiPriority w:val="99"/>
    <w:rPr>
      <w:sz w:val="18"/>
      <w:szCs w:val="18"/>
    </w:rPr>
  </w:style>
  <w:style w:type="character" w:customStyle="1" w:styleId="29">
    <w:name w:val="日期 字符"/>
    <w:basedOn w:val="22"/>
    <w:link w:val="12"/>
    <w:semiHidden/>
    <w:qFormat/>
    <w:uiPriority w:val="99"/>
  </w:style>
  <w:style w:type="paragraph" w:styleId="30">
    <w:name w:val="List Paragraph"/>
    <w:basedOn w:val="1"/>
    <w:link w:val="45"/>
    <w:qFormat/>
    <w:uiPriority w:val="34"/>
    <w:pPr>
      <w:ind w:firstLine="420" w:firstLineChars="200"/>
    </w:pPr>
  </w:style>
  <w:style w:type="character" w:customStyle="1" w:styleId="31">
    <w:name w:val="p141"/>
    <w:qFormat/>
    <w:uiPriority w:val="0"/>
    <w:rPr>
      <w:sz w:val="21"/>
      <w:szCs w:val="21"/>
    </w:rPr>
  </w:style>
  <w:style w:type="character" w:customStyle="1" w:styleId="32">
    <w:name w:val="标题 1 字符"/>
    <w:basedOn w:val="22"/>
    <w:link w:val="2"/>
    <w:qFormat/>
    <w:uiPriority w:val="9"/>
    <w:rPr>
      <w:b/>
      <w:bCs/>
      <w:kern w:val="44"/>
      <w:sz w:val="44"/>
      <w:szCs w:val="44"/>
    </w:rPr>
  </w:style>
  <w:style w:type="character" w:customStyle="1" w:styleId="33">
    <w:name w:val="页眉 字符"/>
    <w:basedOn w:val="22"/>
    <w:link w:val="15"/>
    <w:qFormat/>
    <w:uiPriority w:val="99"/>
    <w:rPr>
      <w:sz w:val="18"/>
      <w:szCs w:val="18"/>
    </w:rPr>
  </w:style>
  <w:style w:type="character" w:customStyle="1" w:styleId="34">
    <w:name w:val="页脚 字符"/>
    <w:basedOn w:val="22"/>
    <w:link w:val="14"/>
    <w:qFormat/>
    <w:uiPriority w:val="99"/>
    <w:rPr>
      <w:sz w:val="18"/>
      <w:szCs w:val="18"/>
    </w:rPr>
  </w:style>
  <w:style w:type="paragraph" w:customStyle="1" w:styleId="3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正文缩进2格"/>
    <w:basedOn w:val="1"/>
    <w:link w:val="37"/>
    <w:qFormat/>
    <w:uiPriority w:val="0"/>
    <w:pPr>
      <w:spacing w:line="600" w:lineRule="exact"/>
      <w:ind w:firstLine="639" w:firstLineChars="206"/>
    </w:pPr>
    <w:rPr>
      <w:rFonts w:ascii="仿宋_GB2312" w:hAnsi="宋体" w:eastAsia="仿宋_GB2312" w:cs="Times New Roman"/>
      <w:sz w:val="31"/>
      <w:szCs w:val="28"/>
    </w:rPr>
  </w:style>
  <w:style w:type="character" w:customStyle="1" w:styleId="37">
    <w:name w:val="正文缩进2格 Char"/>
    <w:link w:val="36"/>
    <w:qFormat/>
    <w:uiPriority w:val="0"/>
    <w:rPr>
      <w:rFonts w:ascii="仿宋_GB2312" w:hAnsi="宋体" w:eastAsia="仿宋_GB2312" w:cs="Times New Roman"/>
      <w:sz w:val="31"/>
      <w:szCs w:val="28"/>
    </w:rPr>
  </w:style>
  <w:style w:type="character" w:customStyle="1" w:styleId="38">
    <w:name w:val="标题 2 字符"/>
    <w:basedOn w:val="22"/>
    <w:link w:val="3"/>
    <w:qFormat/>
    <w:uiPriority w:val="9"/>
    <w:rPr>
      <w:rFonts w:asciiTheme="majorHAnsi" w:hAnsiTheme="majorHAnsi" w:eastAsiaTheme="majorEastAsia" w:cstheme="majorBidi"/>
      <w:b/>
      <w:bCs/>
      <w:sz w:val="32"/>
      <w:szCs w:val="32"/>
    </w:rPr>
  </w:style>
  <w:style w:type="character" w:customStyle="1" w:styleId="39">
    <w:name w:val="纯文本 字符"/>
    <w:basedOn w:val="22"/>
    <w:link w:val="11"/>
    <w:qFormat/>
    <w:uiPriority w:val="0"/>
    <w:rPr>
      <w:rFonts w:ascii="宋体" w:hAnsi="Courier New" w:eastAsia="宋体"/>
      <w:szCs w:val="24"/>
    </w:rPr>
  </w:style>
  <w:style w:type="character" w:customStyle="1" w:styleId="40">
    <w:name w:val="纯文本 Char"/>
    <w:basedOn w:val="22"/>
    <w:semiHidden/>
    <w:qFormat/>
    <w:uiPriority w:val="99"/>
    <w:rPr>
      <w:rFonts w:ascii="宋体" w:hAnsi="Courier New" w:eastAsia="宋体" w:cs="Courier New"/>
      <w:szCs w:val="21"/>
    </w:rPr>
  </w:style>
  <w:style w:type="character" w:customStyle="1" w:styleId="41">
    <w:name w:val="正文缩进2格 Char Char"/>
    <w:basedOn w:val="22"/>
    <w:qFormat/>
    <w:uiPriority w:val="0"/>
    <w:rPr>
      <w:rFonts w:ascii="仿宋_GB2312" w:hAnsi="宋体" w:eastAsia="仿宋_GB2312"/>
      <w:kern w:val="2"/>
      <w:sz w:val="31"/>
      <w:szCs w:val="28"/>
      <w:lang w:val="en-US" w:eastAsia="zh-CN" w:bidi="ar-SA"/>
    </w:rPr>
  </w:style>
  <w:style w:type="paragraph" w:customStyle="1" w:styleId="42">
    <w:name w:val="正文缩进4格"/>
    <w:basedOn w:val="36"/>
    <w:qFormat/>
    <w:uiPriority w:val="0"/>
    <w:pPr>
      <w:spacing w:line="340" w:lineRule="exact"/>
      <w:ind w:firstLine="315" w:firstLineChars="0"/>
    </w:pPr>
    <w:rPr>
      <w:rFonts w:ascii="宋体" w:eastAsia="宋体"/>
      <w:sz w:val="24"/>
      <w:szCs w:val="24"/>
    </w:rPr>
  </w:style>
  <w:style w:type="character" w:customStyle="1" w:styleId="43">
    <w:name w:val="正文文本 Char"/>
    <w:basedOn w:val="22"/>
    <w:semiHidden/>
    <w:qFormat/>
    <w:uiPriority w:val="99"/>
  </w:style>
  <w:style w:type="character" w:customStyle="1" w:styleId="44">
    <w:name w:val="正文文本 字符"/>
    <w:link w:val="9"/>
    <w:qFormat/>
    <w:uiPriority w:val="0"/>
    <w:rPr>
      <w:rFonts w:ascii="Times New Roman" w:hAnsi="Times New Roman" w:eastAsia="宋体" w:cs="Times New Roman"/>
      <w:szCs w:val="24"/>
    </w:rPr>
  </w:style>
  <w:style w:type="character" w:customStyle="1" w:styleId="45">
    <w:name w:val="列表段落 字符"/>
    <w:link w:val="30"/>
    <w:qFormat/>
    <w:uiPriority w:val="34"/>
  </w:style>
  <w:style w:type="character" w:customStyle="1" w:styleId="46">
    <w:name w:val="标题 3 字符"/>
    <w:basedOn w:val="22"/>
    <w:link w:val="4"/>
    <w:semiHidden/>
    <w:qFormat/>
    <w:uiPriority w:val="9"/>
    <w:rPr>
      <w:b/>
      <w:bCs/>
      <w:sz w:val="32"/>
      <w:szCs w:val="32"/>
    </w:rPr>
  </w:style>
  <w:style w:type="character" w:customStyle="1" w:styleId="47">
    <w:name w:val="标题 4 字符"/>
    <w:basedOn w:val="22"/>
    <w:link w:val="5"/>
    <w:semiHidden/>
    <w:qFormat/>
    <w:uiPriority w:val="9"/>
    <w:rPr>
      <w:rFonts w:asciiTheme="majorHAnsi" w:hAnsiTheme="majorHAnsi" w:eastAsiaTheme="majorEastAsia" w:cstheme="majorBidi"/>
      <w:b/>
      <w:bCs/>
      <w:sz w:val="28"/>
      <w:szCs w:val="28"/>
    </w:rPr>
  </w:style>
  <w:style w:type="character" w:customStyle="1" w:styleId="48">
    <w:name w:val="批注文字 字符"/>
    <w:basedOn w:val="22"/>
    <w:link w:val="8"/>
    <w:qFormat/>
    <w:uiPriority w:val="0"/>
  </w:style>
  <w:style w:type="character" w:customStyle="1" w:styleId="49">
    <w:name w:val="批注主题 字符"/>
    <w:basedOn w:val="48"/>
    <w:link w:val="19"/>
    <w:semiHidden/>
    <w:qFormat/>
    <w:uiPriority w:val="99"/>
    <w:rPr>
      <w:b/>
      <w:bCs/>
    </w:rPr>
  </w:style>
  <w:style w:type="paragraph" w:customStyle="1" w:styleId="50">
    <w:name w:val="保留正文"/>
    <w:basedOn w:val="9"/>
    <w:qFormat/>
    <w:uiPriority w:val="0"/>
    <w:pPr>
      <w:keepNext/>
      <w:spacing w:after="160"/>
    </w:pPr>
  </w:style>
  <w:style w:type="paragraph" w:customStyle="1" w:styleId="51">
    <w:name w:val="列出段落1"/>
    <w:basedOn w:val="1"/>
    <w:qFormat/>
    <w:uiPriority w:val="34"/>
    <w:pPr>
      <w:ind w:firstLine="420" w:firstLineChars="200"/>
    </w:pPr>
    <w:rPr>
      <w:rFonts w:ascii="Calibri" w:hAnsi="Calibri" w:eastAsia="宋体" w:cs="黑体"/>
    </w:rPr>
  </w:style>
  <w:style w:type="paragraph" w:customStyle="1" w:styleId="5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3">
    <w:name w:val="_Style 202"/>
    <w:basedOn w:val="1"/>
    <w:qFormat/>
    <w:uiPriority w:val="0"/>
    <w:pPr>
      <w:tabs>
        <w:tab w:val="left" w:pos="360"/>
      </w:tabs>
    </w:pPr>
    <w:rPr>
      <w:rFonts w:ascii="Times New Roman" w:hAnsi="Times New Roman" w:eastAsia="宋体" w:cs="Times New Roman"/>
      <w:szCs w:val="24"/>
    </w:rPr>
  </w:style>
  <w:style w:type="paragraph" w:customStyle="1" w:styleId="54">
    <w:name w:val="Char1 Char Char Char"/>
    <w:basedOn w:val="1"/>
    <w:qFormat/>
    <w:uiPriority w:val="0"/>
    <w:rPr>
      <w:rFonts w:ascii="黑体" w:hAnsi="Verdana" w:eastAsia="黑体" w:cs="Times New Roman"/>
      <w:kern w:val="0"/>
      <w:sz w:val="32"/>
      <w:szCs w:val="32"/>
      <w:lang w:eastAsia="en-US"/>
    </w:rPr>
  </w:style>
  <w:style w:type="paragraph" w:customStyle="1" w:styleId="55">
    <w:name w:val="1 Char Char Char Char"/>
    <w:basedOn w:val="1"/>
    <w:qFormat/>
    <w:uiPriority w:val="0"/>
    <w:pPr>
      <w:spacing w:after="160" w:line="240" w:lineRule="exact"/>
    </w:pPr>
    <w:rPr>
      <w:rFonts w:ascii="Times New Roman" w:hAnsi="Times New Roman" w:eastAsia="宋体" w:cs="Times New Roman"/>
      <w:szCs w:val="24"/>
    </w:rPr>
  </w:style>
  <w:style w:type="character" w:customStyle="1" w:styleId="56">
    <w:name w:val="文档结构图 字符"/>
    <w:basedOn w:val="22"/>
    <w:link w:val="7"/>
    <w:semiHidden/>
    <w:qFormat/>
    <w:uiPriority w:val="99"/>
    <w:rPr>
      <w:rFonts w:ascii="宋体" w:eastAsia="宋体"/>
      <w:sz w:val="18"/>
      <w:szCs w:val="18"/>
    </w:rPr>
  </w:style>
  <w:style w:type="paragraph" w:customStyle="1" w:styleId="57">
    <w:name w:val="样式4"/>
    <w:basedOn w:val="1"/>
    <w:qFormat/>
    <w:uiPriority w:val="0"/>
    <w:pPr>
      <w:tabs>
        <w:tab w:val="left" w:pos="2328"/>
      </w:tabs>
      <w:ind w:left="2328" w:hanging="708"/>
    </w:pPr>
    <w:rPr>
      <w:rFonts w:ascii="Times New Roman" w:hAnsi="Times New Roman" w:eastAsia="宋体" w:cs="Times New Roman"/>
      <w:szCs w:val="24"/>
    </w:rPr>
  </w:style>
  <w:style w:type="paragraph" w:customStyle="1" w:styleId="58">
    <w:name w:val="Char Char Char Char Char Char Char Char Char Char Char Char1 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character" w:customStyle="1" w:styleId="59">
    <w:name w:val="未处理的提及1"/>
    <w:basedOn w:val="22"/>
    <w:semiHidden/>
    <w:unhideWhenUsed/>
    <w:qFormat/>
    <w:uiPriority w:val="99"/>
    <w:rPr>
      <w:color w:val="605E5C"/>
      <w:shd w:val="clear" w:color="auto" w:fill="E1DFDD"/>
    </w:rPr>
  </w:style>
  <w:style w:type="character" w:customStyle="1" w:styleId="60">
    <w:name w:val="未处理的提及2"/>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068E-5C6D-46AC-95E2-8895F5528B8C}">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85</Pages>
  <Words>37428</Words>
  <Characters>38622</Characters>
  <Lines>345</Lines>
  <Paragraphs>97</Paragraphs>
  <TotalTime>84</TotalTime>
  <ScaleCrop>false</ScaleCrop>
  <LinksUpToDate>false</LinksUpToDate>
  <CharactersWithSpaces>44083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2022-11-22T04:01:00Z</dcterms:created>
  <dc:creator>YD-LING</dc:creator>
  <cp:lastModifiedBy>CBY</cp:lastModifiedBy>
  <cp:lastPrinted>2020-12-07T02:17:00Z</cp:lastPrinted>
  <dcterms:modified xsi:type="dcterms:W3CDTF">2022-12-05T05:54:44Z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5E6BBD5429D84C3B84A6D8F8140889ED</vt:lpwstr>
  </property>
</Properties>
</file>