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版本号：N510522202600012220260721002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2026年合江县垃圾填埋场渗滤液协同处置项目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N5105222026000122</w:t>
      </w:r>
    </w:p>
    <w:p>
      <w:pPr>
        <w:pStyle w:val="null3"/>
        <w:jc w:val="left"/>
        <w:outlineLvl w:val="2"/>
      </w:pPr>
      <w:r>
        <w:rPr>
          <w:rFonts w:ascii="仿宋_GB2312" w:hAnsi="仿宋_GB2312" w:cs="仿宋_GB2312" w:eastAsia="仿宋_GB2312"/>
          <w:sz w:val="28"/>
          <w:b/>
        </w:rPr>
        <w:t>合江县综合行政执法局</w:t>
      </w:r>
    </w:p>
    <w:p>
      <w:pPr>
        <w:pStyle w:val="null3"/>
        <w:jc w:val="center"/>
        <w:outlineLvl w:val="2"/>
      </w:pPr>
      <w:r>
        <w:rPr>
          <w:rFonts w:ascii="仿宋_GB2312" w:hAnsi="仿宋_GB2312" w:cs="仿宋_GB2312" w:eastAsia="仿宋_GB2312"/>
          <w:sz w:val="28"/>
          <w:b/>
        </w:rPr>
        <w:t>四川占川项目管理咨询有限公司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四川占川项目管理咨询有限公司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合江县综合行政执法局</w:t>
      </w:r>
      <w:r>
        <w:rPr>
          <w:rFonts w:ascii="仿宋_GB2312" w:hAnsi="仿宋_GB2312" w:cs="仿宋_GB2312" w:eastAsia="仿宋_GB2312"/>
        </w:rPr>
        <w:t xml:space="preserve"> 委托，拟对 </w:t>
      </w:r>
      <w:r>
        <w:rPr>
          <w:rFonts w:ascii="仿宋_GB2312" w:hAnsi="仿宋_GB2312" w:cs="仿宋_GB2312" w:eastAsia="仿宋_GB2312"/>
        </w:rPr>
        <w:t>2026年合江县垃圾填埋场渗滤液协同处置项目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泸州市合江县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N5105222026000122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2026年合江县垃圾填埋场渗滤液协同处置项目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合江县生活垃圾处理厂填埋场仍存有大量高浓度渗滤液废水需要处理，因雨季来临，急需采购设备处理量≥300m³/d的应急处理服务。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合江县综合行政执法局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四川省泸州市合江县建设路中段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15883046583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四川占川项目管理咨询有限公司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合江县荔城大道198号政务大楼14楼1408</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0830-5135885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否</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代理费用参照《招标代理服务收费管理暂行办法》（计价格[2002]1980号）文件规定（不足6000元按6000元计取），由成交供应商在领取成交通知书前一次性支付。账户名：四川占川项目管理咨询有限公司；开户行：泸州银行股份有限公司合江支行；账号：9200001492492779。</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合江县综合行政执法局</w:t>
      </w:r>
      <w:r>
        <w:rPr>
          <w:rFonts w:ascii="仿宋_GB2312" w:hAnsi="仿宋_GB2312" w:cs="仿宋_GB2312" w:eastAsia="仿宋_GB2312"/>
        </w:rPr>
        <w:t xml:space="preserve"> 和 </w:t>
      </w:r>
      <w:r>
        <w:rPr>
          <w:rFonts w:ascii="仿宋_GB2312" w:hAnsi="仿宋_GB2312" w:cs="仿宋_GB2312" w:eastAsia="仿宋_GB2312"/>
        </w:rPr>
        <w:t>四川占川项目管理咨询有限公司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合江县综合行政执法局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四川占川项目管理咨询有限公司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甲方应自乙方履行完合同义务之日起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按照采购合同、采购文件、响应文件的约定对供应商履约情况进行验收。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按照采购合同、采购文件、响应文件的约定对供应商履约情况进行验收。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 导意见》(财库【2016】205号)等政府采购相关法律法规的要求进行验收。①按照本项目采购文件中“技术、服务要求”及成交人响应文件进行验收。②按照本项目采购文件中“商务要求”及成交人响应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合江县综合行政执法局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四川占川项目管理咨询有限公司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四川占川项目管理咨询有限公司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联系人：魏先生</w:t>
      </w:r>
    </w:p>
    <w:p>
      <w:pPr>
        <w:pStyle w:val="null3"/>
        <w:jc w:val="left"/>
      </w:pPr>
      <w:r>
        <w:rPr>
          <w:rFonts w:ascii="仿宋_GB2312" w:hAnsi="仿宋_GB2312" w:cs="仿宋_GB2312" w:eastAsia="仿宋_GB2312"/>
        </w:rPr>
        <w:t>联系电话：15883046583</w:t>
      </w:r>
    </w:p>
    <w:p>
      <w:pPr>
        <w:pStyle w:val="null3"/>
        <w:jc w:val="left"/>
      </w:pPr>
      <w:r>
        <w:rPr>
          <w:rFonts w:ascii="仿宋_GB2312" w:hAnsi="仿宋_GB2312" w:cs="仿宋_GB2312" w:eastAsia="仿宋_GB2312"/>
        </w:rPr>
        <w:t>地址：四川省泸州市合江县建设路中段</w:t>
      </w:r>
    </w:p>
    <w:p>
      <w:pPr>
        <w:pStyle w:val="null3"/>
        <w:jc w:val="left"/>
      </w:pPr>
      <w:r>
        <w:rPr>
          <w:rFonts w:ascii="仿宋_GB2312" w:hAnsi="仿宋_GB2312" w:cs="仿宋_GB2312" w:eastAsia="仿宋_GB2312"/>
        </w:rPr>
        <w:t>邮编：646200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联系人：高先生</w:t>
      </w:r>
    </w:p>
    <w:p>
      <w:pPr>
        <w:pStyle w:val="null3"/>
        <w:jc w:val="left"/>
      </w:pPr>
      <w:r>
        <w:rPr>
          <w:rFonts w:ascii="仿宋_GB2312" w:hAnsi="仿宋_GB2312" w:cs="仿宋_GB2312" w:eastAsia="仿宋_GB2312"/>
        </w:rPr>
        <w:t>联系电话：0830-5135885</w:t>
      </w:r>
    </w:p>
    <w:p>
      <w:pPr>
        <w:pStyle w:val="null3"/>
        <w:jc w:val="left"/>
      </w:pPr>
      <w:r>
        <w:rPr>
          <w:rFonts w:ascii="仿宋_GB2312" w:hAnsi="仿宋_GB2312" w:cs="仿宋_GB2312" w:eastAsia="仿宋_GB2312"/>
        </w:rPr>
        <w:t>地址：合江县荔城大道198号政务大楼14楼1408</w:t>
      </w:r>
    </w:p>
    <w:p>
      <w:pPr>
        <w:pStyle w:val="null3"/>
        <w:jc w:val="left"/>
      </w:pPr>
      <w:r>
        <w:rPr>
          <w:rFonts w:ascii="仿宋_GB2312" w:hAnsi="仿宋_GB2312" w:cs="仿宋_GB2312" w:eastAsia="仿宋_GB2312"/>
        </w:rPr>
        <w:t>邮编：646200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1,900,000.00</w:t>
      </w:r>
    </w:p>
    <w:p>
      <w:pPr>
        <w:pStyle w:val="null3"/>
        <w:jc w:val="left"/>
      </w:pPr>
      <w:r>
        <w:rPr>
          <w:rFonts w:ascii="仿宋_GB2312" w:hAnsi="仿宋_GB2312" w:cs="仿宋_GB2312" w:eastAsia="仿宋_GB2312"/>
        </w:rPr>
        <w:t>采购包最高限价（元）: 1,900,000.00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C07019900 其他生态环境保护服务</w:t>
            </w:r>
          </w:p>
        </w:tc>
        <w:tc>
          <w:tcPr>
            <w:tcW w:type="dxa" w:w="821"/>
          </w:tcPr>
          <w:p>
            <w:pPr>
              <w:pStyle w:val="null3"/>
              <w:jc w:val="left"/>
            </w:pPr>
            <w:r>
              <w:rPr>
                <w:rFonts w:ascii="仿宋_GB2312" w:hAnsi="仿宋_GB2312" w:cs="仿宋_GB2312" w:eastAsia="仿宋_GB2312"/>
              </w:rPr>
              <w:t>2026年合江县垃圾填埋场渗滤液协同处置项目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2026年合江县垃圾填埋场渗滤液协同处置项目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下浮率</w:t>
            </w:r>
          </w:p>
        </w:tc>
        <w:tc>
          <w:tcPr>
            <w:tcW w:type="dxa" w:w="1466"/>
          </w:tcPr>
          <w:p>
            <w:pPr>
              <w:pStyle w:val="null3"/>
              <w:jc w:val="left"/>
            </w:pPr>
            <w:r>
              <w:rPr>
                <w:rFonts w:ascii="仿宋_GB2312" w:hAnsi="仿宋_GB2312" w:cs="仿宋_GB2312" w:eastAsia="仿宋_GB2312"/>
              </w:rPr>
              <w:t>本项目处置费单价不高于60元/m³ , 总价不超过1900000.00元；供应商根据项目实际情况进行下浮率报价。</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标的名称：2026年合江县垃圾填埋场渗滤液协同处置项目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20"/>
              <w:jc w:val="left"/>
            </w:pPr>
            <w:r>
              <w:rPr>
                <w:rFonts w:ascii="仿宋_GB2312" w:hAnsi="仿宋_GB2312" w:cs="仿宋_GB2312" w:eastAsia="仿宋_GB2312"/>
                <w:sz w:val="24"/>
              </w:rPr>
              <w:t>1.1</w:t>
            </w:r>
            <w:r>
              <w:rPr>
                <w:rFonts w:ascii="仿宋_GB2312" w:hAnsi="仿宋_GB2312" w:cs="仿宋_GB2312" w:eastAsia="仿宋_GB2312"/>
                <w:sz w:val="24"/>
              </w:rPr>
              <w:t>项目概述</w:t>
            </w:r>
            <w:r>
              <w:rPr>
                <w:rFonts w:ascii="仿宋_GB2312" w:hAnsi="仿宋_GB2312" w:cs="仿宋_GB2312" w:eastAsia="仿宋_GB2312"/>
                <w:sz w:val="24"/>
              </w:rPr>
              <w:t>：</w:t>
            </w:r>
            <w:r>
              <w:rPr>
                <w:rFonts w:ascii="仿宋_GB2312" w:hAnsi="仿宋_GB2312" w:cs="仿宋_GB2312" w:eastAsia="仿宋_GB2312"/>
                <w:sz w:val="24"/>
              </w:rPr>
              <w:t>合江县生活垃圾处理厂填埋场仍存有大量高浓度渗滤液废水需要处理，因雨季来临，急需采购设备处理量</w:t>
            </w:r>
            <w:r>
              <w:rPr>
                <w:rFonts w:ascii="仿宋_GB2312" w:hAnsi="仿宋_GB2312" w:cs="仿宋_GB2312" w:eastAsia="仿宋_GB2312"/>
                <w:sz w:val="24"/>
              </w:rPr>
              <w:t>≥300m³/d的应急处理服务。</w:t>
            </w:r>
          </w:p>
          <w:p>
            <w:pPr>
              <w:pStyle w:val="null3"/>
              <w:ind w:firstLine="420"/>
              <w:jc w:val="left"/>
            </w:pPr>
            <w:r>
              <w:rPr>
                <w:rFonts w:ascii="仿宋_GB2312" w:hAnsi="仿宋_GB2312" w:cs="仿宋_GB2312" w:eastAsia="仿宋_GB2312"/>
                <w:sz w:val="24"/>
              </w:rPr>
              <w:t>1.2渗滤液处置费单价（人民币）</w:t>
            </w:r>
            <w:r>
              <w:rPr>
                <w:rFonts w:ascii="仿宋_GB2312" w:hAnsi="仿宋_GB2312" w:cs="仿宋_GB2312" w:eastAsia="仿宋_GB2312"/>
                <w:sz w:val="24"/>
              </w:rPr>
              <w:t>：</w:t>
            </w:r>
            <w:r>
              <w:rPr>
                <w:rFonts w:ascii="仿宋_GB2312" w:hAnsi="仿宋_GB2312" w:cs="仿宋_GB2312" w:eastAsia="仿宋_GB2312"/>
                <w:sz w:val="24"/>
              </w:rPr>
              <w:t>单价不高于</w:t>
            </w:r>
            <w:r>
              <w:rPr>
                <w:rFonts w:ascii="仿宋_GB2312" w:hAnsi="仿宋_GB2312" w:cs="仿宋_GB2312" w:eastAsia="仿宋_GB2312"/>
                <w:sz w:val="24"/>
              </w:rPr>
              <w:t>60元/m³，总价不超过190万。</w:t>
            </w:r>
          </w:p>
          <w:p>
            <w:pPr>
              <w:pStyle w:val="null3"/>
              <w:ind w:firstLine="420"/>
              <w:jc w:val="left"/>
            </w:pPr>
            <w:r>
              <w:rPr>
                <w:rFonts w:ascii="仿宋_GB2312" w:hAnsi="仿宋_GB2312" w:cs="仿宋_GB2312" w:eastAsia="仿宋_GB2312"/>
                <w:sz w:val="24"/>
              </w:rPr>
              <w:t>1.3进水水质参数：</w:t>
            </w:r>
          </w:p>
          <w:tbl>
            <w:tblPr>
              <w:tblBorders>
                <w:top w:val="none" w:color="000000" w:sz="4"/>
                <w:left w:val="none" w:color="000000" w:sz="4"/>
                <w:bottom w:val="none" w:color="000000" w:sz="4"/>
                <w:right w:val="none" w:color="000000" w:sz="4"/>
                <w:insideH w:val="none"/>
                <w:insideV w:val="none"/>
              </w:tblBorders>
            </w:tblPr>
            <w:tblGrid>
              <w:gridCol w:w="610"/>
              <w:gridCol w:w="3562"/>
              <w:gridCol w:w="1404"/>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控制污染物</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浓度值</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色度（稀释倍数）</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≥4300</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化学需氧量（</w:t>
                  </w:r>
                  <w:r>
                    <w:rPr>
                      <w:rFonts w:ascii="仿宋_GB2312" w:hAnsi="仿宋_GB2312" w:cs="仿宋_GB2312" w:eastAsia="仿宋_GB2312"/>
                      <w:sz w:val="24"/>
                    </w:rPr>
                    <w:t>CODCr）（mg/L）</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≥6500</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生化需氧量（</w:t>
                  </w:r>
                  <w:r>
                    <w:rPr>
                      <w:rFonts w:ascii="仿宋_GB2312" w:hAnsi="仿宋_GB2312" w:cs="仿宋_GB2312" w:eastAsia="仿宋_GB2312"/>
                      <w:sz w:val="24"/>
                    </w:rPr>
                    <w:t>BOD5）（mg/L）</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≥1200</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悬浮物（</w:t>
                  </w:r>
                  <w:r>
                    <w:rPr>
                      <w:rFonts w:ascii="仿宋_GB2312" w:hAnsi="仿宋_GB2312" w:cs="仿宋_GB2312" w:eastAsia="仿宋_GB2312"/>
                      <w:sz w:val="24"/>
                    </w:rPr>
                    <w:t>mg/L）</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≥1660</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3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总氮（</w:t>
                  </w:r>
                  <w:r>
                    <w:rPr>
                      <w:rFonts w:ascii="仿宋_GB2312" w:hAnsi="仿宋_GB2312" w:cs="仿宋_GB2312" w:eastAsia="仿宋_GB2312"/>
                      <w:sz w:val="24"/>
                    </w:rPr>
                    <w:t>mg/L）</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≥3800</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3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氨氮（</w:t>
                  </w:r>
                  <w:r>
                    <w:rPr>
                      <w:rFonts w:ascii="仿宋_GB2312" w:hAnsi="仿宋_GB2312" w:cs="仿宋_GB2312" w:eastAsia="仿宋_GB2312"/>
                      <w:sz w:val="24"/>
                    </w:rPr>
                    <w:t>mg/L）</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≥3500</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3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总磷（</w:t>
                  </w:r>
                  <w:r>
                    <w:rPr>
                      <w:rFonts w:ascii="仿宋_GB2312" w:hAnsi="仿宋_GB2312" w:cs="仿宋_GB2312" w:eastAsia="仿宋_GB2312"/>
                      <w:sz w:val="24"/>
                    </w:rPr>
                    <w:t>mg/L）</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≥630</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3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电导率</w:t>
                  </w:r>
                  <w:r>
                    <w:rPr>
                      <w:rFonts w:ascii="仿宋_GB2312" w:hAnsi="仿宋_GB2312" w:cs="仿宋_GB2312" w:eastAsia="仿宋_GB2312"/>
                      <w:sz w:val="24"/>
                    </w:rPr>
                    <w:t>（</w:t>
                  </w:r>
                  <w:r>
                    <w:rPr>
                      <w:rFonts w:ascii="仿宋_GB2312" w:hAnsi="仿宋_GB2312" w:cs="仿宋_GB2312" w:eastAsia="仿宋_GB2312"/>
                      <w:sz w:val="24"/>
                    </w:rPr>
                    <w:t>us</w:t>
                  </w:r>
                  <w:r>
                    <w:rPr>
                      <w:rFonts w:ascii="仿宋_GB2312" w:hAnsi="仿宋_GB2312" w:cs="仿宋_GB2312" w:eastAsia="仿宋_GB2312"/>
                      <w:sz w:val="24"/>
                    </w:rPr>
                    <w:t>/</w:t>
                  </w:r>
                  <w:r>
                    <w:rPr>
                      <w:rFonts w:ascii="仿宋_GB2312" w:hAnsi="仿宋_GB2312" w:cs="仿宋_GB2312" w:eastAsia="仿宋_GB2312"/>
                      <w:sz w:val="24"/>
                    </w:rPr>
                    <w:t>cm</w:t>
                  </w:r>
                  <w:r>
                    <w:rPr>
                      <w:rFonts w:ascii="仿宋_GB2312" w:hAnsi="仿宋_GB2312" w:cs="仿宋_GB2312" w:eastAsia="仿宋_GB2312"/>
                      <w:sz w:val="24"/>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≥44000</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w:t>
                  </w:r>
                </w:p>
              </w:tc>
              <w:tc>
                <w:tcPr>
                  <w:tcW w:type="dxa" w:w="3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PH值</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≥8.5</w:t>
                  </w:r>
                </w:p>
              </w:tc>
            </w:tr>
          </w:tbl>
          <w:p>
            <w:pPr>
              <w:pStyle w:val="null3"/>
              <w:ind w:firstLine="420"/>
              <w:jc w:val="left"/>
            </w:pPr>
            <w:r>
              <w:rPr>
                <w:rFonts w:ascii="仿宋_GB2312" w:hAnsi="仿宋_GB2312" w:cs="仿宋_GB2312" w:eastAsia="仿宋_GB2312"/>
                <w:sz w:val="24"/>
              </w:rPr>
              <w:t>1.4</w:t>
            </w: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1.4.1</w:t>
            </w:r>
            <w:r>
              <w:rPr>
                <w:rFonts w:ascii="仿宋_GB2312" w:hAnsi="仿宋_GB2312" w:cs="仿宋_GB2312" w:eastAsia="仿宋_GB2312"/>
                <w:sz w:val="24"/>
              </w:rPr>
              <w:t>渗滤液实际处理能力</w:t>
            </w:r>
            <w:r>
              <w:rPr>
                <w:rFonts w:ascii="仿宋_GB2312" w:hAnsi="仿宋_GB2312" w:cs="仿宋_GB2312" w:eastAsia="仿宋_GB2312"/>
                <w:sz w:val="24"/>
              </w:rPr>
              <w:t>≥300m³/d；</w:t>
            </w:r>
          </w:p>
          <w:p>
            <w:pPr>
              <w:pStyle w:val="null3"/>
              <w:ind w:firstLine="480"/>
              <w:jc w:val="left"/>
            </w:pPr>
            <w:r>
              <w:rPr>
                <w:rFonts w:ascii="仿宋_GB2312" w:hAnsi="仿宋_GB2312" w:cs="仿宋_GB2312" w:eastAsia="仿宋_GB2312"/>
                <w:sz w:val="24"/>
              </w:rPr>
              <w:t>1.4.2</w:t>
            </w:r>
            <w:r>
              <w:rPr>
                <w:rFonts w:ascii="仿宋_GB2312" w:hAnsi="仿宋_GB2312" w:cs="仿宋_GB2312" w:eastAsia="仿宋_GB2312"/>
                <w:sz w:val="24"/>
              </w:rPr>
              <w:t>出水水质必须达到环保要求和现行国家标准，如遇国家或相关部门颁布新的排放标准或要求，成交供应商须及时对渗滤液处理系统进行调整或升级，以确保处理效果满足新的政策要求或标准。</w:t>
            </w:r>
            <w:r>
              <w:rPr>
                <w:rFonts w:ascii="仿宋_GB2312" w:hAnsi="仿宋_GB2312" w:cs="仿宋_GB2312" w:eastAsia="仿宋_GB2312"/>
                <w:sz w:val="24"/>
                <w:b/>
              </w:rPr>
              <w:t>（单独提供承诺函）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运营要求</w:t>
            </w:r>
          </w:p>
        </w:tc>
        <w:tc>
          <w:tcPr>
            <w:tcW w:type="dxa" w:w="5814"/>
          </w:tcPr>
          <w:p>
            <w:pPr>
              <w:pStyle w:val="null3"/>
              <w:ind w:firstLine="480"/>
              <w:jc w:val="left"/>
            </w:pPr>
            <w:r>
              <w:rPr>
                <w:rFonts w:ascii="仿宋_GB2312" w:hAnsi="仿宋_GB2312" w:cs="仿宋_GB2312" w:eastAsia="仿宋_GB2312"/>
                <w:sz w:val="24"/>
              </w:rPr>
              <w:t>1、成交供应商应自行安装监测设备，出水将严格执行国家《生活垃圾填埋场污染控制标准》（GB16889-2024）表2 规定的排放限值；（单独提供承诺函）</w:t>
            </w:r>
          </w:p>
          <w:p>
            <w:pPr>
              <w:pStyle w:val="null3"/>
              <w:spacing w:after="120"/>
              <w:jc w:val="both"/>
            </w:pPr>
            <w:r>
              <w:rPr>
                <w:rFonts w:ascii="仿宋_GB2312" w:hAnsi="仿宋_GB2312" w:cs="仿宋_GB2312" w:eastAsia="仿宋_GB2312"/>
                <w:sz w:val="24"/>
              </w:rPr>
              <w:t>表</w:t>
            </w:r>
            <w:r>
              <w:rPr>
                <w:rFonts w:ascii="仿宋_GB2312" w:hAnsi="仿宋_GB2312" w:cs="仿宋_GB2312" w:eastAsia="仿宋_GB2312"/>
                <w:sz w:val="24"/>
              </w:rPr>
              <w:t>2</w:t>
            </w:r>
            <w:r>
              <w:rPr>
                <w:rFonts w:ascii="仿宋_GB2312" w:hAnsi="仿宋_GB2312" w:cs="仿宋_GB2312" w:eastAsia="仿宋_GB2312"/>
                <w:sz w:val="24"/>
              </w:rPr>
              <w:t>污染物排放监控位置</w:t>
            </w:r>
          </w:p>
          <w:tbl>
            <w:tblPr>
              <w:tblBorders>
                <w:top w:val="none" w:color="000000" w:sz="4"/>
                <w:left w:val="none" w:color="000000" w:sz="4"/>
                <w:bottom w:val="none" w:color="000000" w:sz="4"/>
                <w:right w:val="none" w:color="000000" w:sz="4"/>
                <w:insideH w:val="none"/>
                <w:insideV w:val="none"/>
              </w:tblBorders>
            </w:tblPr>
            <w:tblGrid>
              <w:gridCol w:w="442"/>
              <w:gridCol w:w="2342"/>
              <w:gridCol w:w="1072"/>
              <w:gridCol w:w="173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控制污染物</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排放浓度限值</w:t>
                  </w:r>
                </w:p>
              </w:tc>
              <w:tc>
                <w:tcPr>
                  <w:tcW w:type="dxa" w:w="1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污染物排放监控位置</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色度（稀释倍数）</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渗滤液处理设施排放口</w:t>
                  </w:r>
                </w:p>
                <w:p>
                  <w:pPr>
                    <w:pStyle w:val="null3"/>
                    <w:ind w:firstLine="240"/>
                    <w:jc w:val="left"/>
                  </w:pPr>
                  <w:r>
                    <w:rPr>
                      <w:rFonts w:ascii="仿宋_GB2312" w:hAnsi="仿宋_GB2312" w:cs="仿宋_GB2312" w:eastAsia="仿宋_GB2312"/>
                      <w:sz w:val="21"/>
                    </w:rPr>
                    <w:t xml:space="preserve"> </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化学需氧量（</w:t>
                  </w:r>
                  <w:r>
                    <w:rPr>
                      <w:rFonts w:ascii="仿宋_GB2312" w:hAnsi="仿宋_GB2312" w:cs="仿宋_GB2312" w:eastAsia="仿宋_GB2312"/>
                      <w:sz w:val="24"/>
                    </w:rPr>
                    <w:t>CODCr）（mg/L）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生化需氧量（</w:t>
                  </w:r>
                  <w:r>
                    <w:rPr>
                      <w:rFonts w:ascii="仿宋_GB2312" w:hAnsi="仿宋_GB2312" w:cs="仿宋_GB2312" w:eastAsia="仿宋_GB2312"/>
                      <w:sz w:val="24"/>
                    </w:rPr>
                    <w:t>BOD5）（mg/L）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悬浮物（</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总氮（</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氨氮（</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总磷（</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粪大肠菌群数（个</w:t>
                  </w:r>
                  <w:r>
                    <w:rPr>
                      <w:rFonts w:ascii="仿宋_GB2312" w:hAnsi="仿宋_GB2312" w:cs="仿宋_GB2312" w:eastAsia="仿宋_GB2312"/>
                      <w:sz w:val="24"/>
                    </w:rPr>
                    <w:t>/L）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总汞（</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0.001</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总镉（</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0.01</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总铬（</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六价铬（</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0.05</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总砷（</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总铅（</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总铜</w:t>
                  </w:r>
                  <w:r>
                    <w:rPr>
                      <w:rFonts w:ascii="仿宋_GB2312" w:hAnsi="仿宋_GB2312" w:cs="仿宋_GB2312" w:eastAsia="仿宋_GB2312"/>
                      <w:sz w:val="24"/>
                    </w:rPr>
                    <w:t>（</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w:t>
                  </w:r>
                  <w:r>
                    <w:rPr>
                      <w:rFonts w:ascii="仿宋_GB2312" w:hAnsi="仿宋_GB2312" w:cs="仿宋_GB2312" w:eastAsia="仿宋_GB2312"/>
                      <w:sz w:val="24"/>
                    </w:rPr>
                    <w:t>锌</w:t>
                  </w:r>
                  <w:r>
                    <w:rPr>
                      <w:rFonts w:ascii="仿宋_GB2312" w:hAnsi="仿宋_GB2312" w:cs="仿宋_GB2312" w:eastAsia="仿宋_GB2312"/>
                      <w:sz w:val="24"/>
                    </w:rPr>
                    <w:t>（</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总铍（</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0.002</w:t>
                  </w:r>
                </w:p>
              </w:tc>
              <w:tc>
                <w:tcPr>
                  <w:tcW w:type="dxa" w:w="1731"/>
                  <w:vMerge/>
                  <w:tcBorders>
                    <w:top w:val="none" w:color="000000" w:sz="4"/>
                    <w:left w:val="none" w:color="000000" w:sz="4"/>
                    <w:bottom w:val="non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总镍（</w:t>
                  </w:r>
                  <w:r>
                    <w:rPr>
                      <w:rFonts w:ascii="仿宋_GB2312" w:hAnsi="仿宋_GB2312" w:cs="仿宋_GB2312" w:eastAsia="仿宋_GB2312"/>
                      <w:sz w:val="24"/>
                    </w:rPr>
                    <w:t>mg/L）</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0.05</w:t>
                  </w:r>
                </w:p>
              </w:tc>
              <w:tc>
                <w:tcPr>
                  <w:tcW w:type="dxa" w:w="1731"/>
                  <w:vMerge/>
                  <w:tcBorders>
                    <w:top w:val="none" w:color="000000" w:sz="4"/>
                    <w:left w:val="none" w:color="000000" w:sz="4"/>
                    <w:bottom w:val="none" w:color="000000" w:sz="4"/>
                    <w:right w:val="single" w:color="000000" w:sz="4"/>
                  </w:tcBorders>
                </w:tcPr>
                <w:p/>
              </w:tc>
            </w:tr>
          </w:tbl>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第三方运营期间</w:t>
            </w:r>
            <w:r>
              <w:rPr>
                <w:rFonts w:ascii="仿宋_GB2312" w:hAnsi="仿宋_GB2312" w:cs="仿宋_GB2312" w:eastAsia="仿宋_GB2312"/>
                <w:sz w:val="24"/>
              </w:rPr>
              <w:t>，</w:t>
            </w:r>
            <w:r>
              <w:rPr>
                <w:rFonts w:ascii="仿宋_GB2312" w:hAnsi="仿宋_GB2312" w:cs="仿宋_GB2312" w:eastAsia="仿宋_GB2312"/>
                <w:sz w:val="24"/>
              </w:rPr>
              <w:t>严格按渗滤液处理系统设备操作规程、安全操作规程进行操作，建立完善安全生产制度和意外事故的应急机制，保障项目运行的稳定和安全，防止人身和设备事故的发生。如发生人身、设备、社会治安、火灾等责任事故与采购人无关，</w:t>
            </w:r>
            <w:r>
              <w:rPr>
                <w:rFonts w:ascii="仿宋_GB2312" w:hAnsi="仿宋_GB2312" w:cs="仿宋_GB2312" w:eastAsia="仿宋_GB2312"/>
                <w:sz w:val="24"/>
              </w:rPr>
              <w:t>成交供应商</w:t>
            </w:r>
            <w:r>
              <w:rPr>
                <w:rFonts w:ascii="仿宋_GB2312" w:hAnsi="仿宋_GB2312" w:cs="仿宋_GB2312" w:eastAsia="仿宋_GB2312"/>
                <w:sz w:val="24"/>
              </w:rPr>
              <w:t>自行承担相关责任，但因采购人原因造成上述事故除外。</w:t>
            </w:r>
            <w:r>
              <w:rPr>
                <w:rFonts w:ascii="仿宋_GB2312" w:hAnsi="仿宋_GB2312" w:cs="仿宋_GB2312" w:eastAsia="仿宋_GB2312"/>
                <w:sz w:val="24"/>
                <w:b/>
              </w:rPr>
              <w:t>（单独提供承诺函）</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rPr>
              <w:t xml:space="preserve"> </w:t>
            </w:r>
            <w:r>
              <w:rPr>
                <w:rFonts w:ascii="仿宋_GB2312" w:hAnsi="仿宋_GB2312" w:cs="仿宋_GB2312" w:eastAsia="仿宋_GB2312"/>
                <w:sz w:val="24"/>
              </w:rPr>
              <w:t>成交供应商在中标公示完成后</w:t>
            </w:r>
            <w:r>
              <w:rPr>
                <w:rFonts w:ascii="仿宋_GB2312" w:hAnsi="仿宋_GB2312" w:cs="仿宋_GB2312" w:eastAsia="仿宋_GB2312"/>
                <w:sz w:val="24"/>
              </w:rPr>
              <w:t>10日内设备必须运输至现场，并保证每天达标排放处理量不少于200m³，如未按时设备到场或处理量不够，或处理水质不符合本约定标准造成污染事故，采购人有权取消中标资格，成交供应商承担由此造成的所有损失，造成环境污染事故的，成交供应商包括但不限于相关部门的罚款、消除影响的费用、向第三方的赔偿等。</w:t>
            </w:r>
            <w:r>
              <w:rPr>
                <w:rFonts w:ascii="仿宋_GB2312" w:hAnsi="仿宋_GB2312" w:cs="仿宋_GB2312" w:eastAsia="仿宋_GB2312"/>
                <w:sz w:val="24"/>
                <w:b/>
              </w:rPr>
              <w:t>（单独提供承诺函）</w:t>
            </w:r>
          </w:p>
          <w:p>
            <w:pPr>
              <w:pStyle w:val="null3"/>
              <w:ind w:firstLine="480"/>
              <w:jc w:val="left"/>
            </w:pPr>
            <w:r>
              <w:rPr>
                <w:rFonts w:ascii="仿宋_GB2312" w:hAnsi="仿宋_GB2312" w:cs="仿宋_GB2312" w:eastAsia="仿宋_GB2312"/>
                <w:sz w:val="24"/>
              </w:rPr>
              <w:t>4、成交供应商设备运行时应及时由专人形成完整、详实的处理台账及设备设施管理台帐，以供采购人及相关单位随时检查，资料符合国家相关法律法规要求。</w:t>
            </w:r>
          </w:p>
          <w:p>
            <w:pPr>
              <w:pStyle w:val="null3"/>
              <w:ind w:firstLine="480"/>
              <w:jc w:val="left"/>
            </w:pPr>
            <w:r>
              <w:rPr>
                <w:rFonts w:ascii="仿宋_GB2312" w:hAnsi="仿宋_GB2312" w:cs="仿宋_GB2312" w:eastAsia="仿宋_GB2312"/>
                <w:sz w:val="24"/>
              </w:rPr>
              <w:t>5、第三方运营期结束后，成交供应商自行拆除处理设备并清理复原现场。</w:t>
            </w:r>
          </w:p>
          <w:p>
            <w:pPr>
              <w:pStyle w:val="null3"/>
              <w:ind w:firstLine="480"/>
              <w:jc w:val="left"/>
            </w:pPr>
            <w:r>
              <w:rPr>
                <w:rFonts w:ascii="仿宋_GB2312" w:hAnsi="仿宋_GB2312" w:cs="仿宋_GB2312" w:eastAsia="仿宋_GB2312"/>
                <w:sz w:val="24"/>
              </w:rPr>
              <w:t>6、成交供应商根据实际工作需要配备处理人员。所有人员应具备本项目顺利实施的上岗要求，持证上岗，人员的所有权利和义务均由成交供应商负责。</w:t>
            </w:r>
            <w:r>
              <w:rPr>
                <w:rFonts w:ascii="仿宋_GB2312" w:hAnsi="仿宋_GB2312" w:cs="仿宋_GB2312" w:eastAsia="仿宋_GB2312"/>
                <w:sz w:val="24"/>
                <w:b/>
              </w:rPr>
              <w:t>（单独提供承诺函）</w:t>
            </w:r>
          </w:p>
          <w:p>
            <w:pPr>
              <w:pStyle w:val="null3"/>
              <w:spacing w:after="120"/>
              <w:ind w:firstLine="480"/>
              <w:jc w:val="both"/>
            </w:pPr>
            <w:r>
              <w:rPr>
                <w:rFonts w:ascii="仿宋_GB2312" w:hAnsi="仿宋_GB2312" w:cs="仿宋_GB2312" w:eastAsia="仿宋_GB2312"/>
                <w:sz w:val="24"/>
              </w:rPr>
              <w:t>7、成交供应商合同履约中必须严格按要求实施，如果发现成交供应商投标文件或技术方案中提供的设备、工艺或其他佐证资料存在虚假的，采购人有权终止合同，并视为成交供应商虚假响应谋取中标，并上报政府采购监督部门依法处理。</w:t>
            </w:r>
            <w:r>
              <w:rPr>
                <w:rFonts w:ascii="仿宋_GB2312" w:hAnsi="仿宋_GB2312" w:cs="仿宋_GB2312" w:eastAsia="仿宋_GB2312"/>
                <w:sz w:val="24"/>
                <w:b/>
              </w:rPr>
              <w:t>（单独提供承诺函）</w:t>
            </w:r>
          </w:p>
          <w:p>
            <w:pPr>
              <w:pStyle w:val="null3"/>
              <w:spacing w:after="120"/>
              <w:ind w:firstLine="480"/>
              <w:jc w:val="both"/>
            </w:pPr>
            <w:r>
              <w:rPr>
                <w:rFonts w:ascii="仿宋_GB2312" w:hAnsi="仿宋_GB2312" w:cs="仿宋_GB2312" w:eastAsia="仿宋_GB2312"/>
                <w:sz w:val="24"/>
              </w:rPr>
              <w:t>8、运营服务质量保障</w:t>
            </w:r>
          </w:p>
          <w:p>
            <w:pPr>
              <w:pStyle w:val="null3"/>
              <w:spacing w:after="120"/>
              <w:ind w:firstLine="480"/>
              <w:jc w:val="both"/>
            </w:pPr>
            <w:r>
              <w:rPr>
                <w:rFonts w:ascii="仿宋_GB2312" w:hAnsi="仿宋_GB2312" w:cs="仿宋_GB2312" w:eastAsia="仿宋_GB2312"/>
                <w:sz w:val="24"/>
              </w:rPr>
              <w:t>8.1 若出现环保部门或国家认可的第三方检测机构检测不达标，采购人有权无条件提前终止合同，并扣减上次检测合格后到本次检测不合格期间的处理费用（按出水量计算），同时应承担由此造成的环保污染事故的所有责任。</w:t>
            </w:r>
          </w:p>
          <w:p>
            <w:pPr>
              <w:pStyle w:val="null3"/>
              <w:jc w:val="left"/>
            </w:pPr>
            <w:r>
              <w:rPr>
                <w:rFonts w:ascii="仿宋_GB2312" w:hAnsi="仿宋_GB2312" w:cs="仿宋_GB2312" w:eastAsia="仿宋_GB2312"/>
                <w:sz w:val="24"/>
              </w:rPr>
              <w:t>8.2 违约责任：在项目实施过程中，成交供应商对投标文件中作出的承诺函负责，如有不满足视为虚假响应，采购人将上报本项目同级财政部门按照政府采购法律法规等有关规定进行处罚。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商务要求中的其他要求</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报价要求：</w:t>
            </w:r>
            <w:r>
              <w:rPr>
                <w:rFonts w:ascii="仿宋_GB2312" w:hAnsi="仿宋_GB2312" w:cs="仿宋_GB2312" w:eastAsia="仿宋_GB2312"/>
                <w:sz w:val="24"/>
              </w:rPr>
              <w:t>因本项目具体排放数量须供应商入场后，根据实际情况进行排放、测量等。故本项目只要求供应商根据服务内容的单价进行下浮比例报价。项目依据最高单价限价</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下浮比例）作为据实结算的支付服务费用。单价应包含设备租赁使用费用、水电费、人工费、药剂费、设备维修维护及保养费、化验费、洗膜费、膜更换费、设备折旧费、环境维护费、尾水处理费、残渣处理费、环保除臭费、管理费、税费及其他所有相关费用的综合单价。本运营服务为总价（综合单价）包干，所有费用及风险费用均应考虑到投标报价内，采购人不再支付其他任何费用。</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委托运营期内，</w:t>
            </w:r>
            <w:r>
              <w:rPr>
                <w:rFonts w:ascii="仿宋_GB2312" w:hAnsi="仿宋_GB2312" w:cs="仿宋_GB2312" w:eastAsia="仿宋_GB2312"/>
                <w:sz w:val="24"/>
              </w:rPr>
              <w:t>成交供应商</w:t>
            </w:r>
            <w:r>
              <w:rPr>
                <w:rFonts w:ascii="仿宋_GB2312" w:hAnsi="仿宋_GB2312" w:cs="仿宋_GB2312" w:eastAsia="仿宋_GB2312"/>
                <w:sz w:val="24"/>
              </w:rPr>
              <w:t>不得以任何理由转包本项目，否则视为</w:t>
            </w:r>
            <w:r>
              <w:rPr>
                <w:rFonts w:ascii="仿宋_GB2312" w:hAnsi="仿宋_GB2312" w:cs="仿宋_GB2312" w:eastAsia="仿宋_GB2312"/>
                <w:sz w:val="24"/>
              </w:rPr>
              <w:t>成交供应商</w:t>
            </w:r>
            <w:r>
              <w:rPr>
                <w:rFonts w:ascii="仿宋_GB2312" w:hAnsi="仿宋_GB2312" w:cs="仿宋_GB2312" w:eastAsia="仿宋_GB2312"/>
                <w:sz w:val="24"/>
              </w:rPr>
              <w:t>违约。</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调节池污水处理至低液位或运营期1年，任一条件达到后，合同终止。</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合江县生活垃圾处理厂填埋场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①按照本项目采购文件中“技术、服务要求”及成交人响应文件进行验收。②按照本项目采购文件中“商务要求”及成交人响应文件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按实结算，服务费按月支付，采购人于每月的前10个工作日内支付上个月的费用，达到付款条件起10个工作日内，据实情况为月服务费=成交单价×月实际达标排放出水量，成交供应商凭以下有效文件与采购人结算。（有效文件包括：①合同复印件；②中标人开具的正式发票；③采购人中标人双方签字的处理量确认书）</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以政府采购合同约定为准。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 、项目技术方案：本项目需由供应商根据服务的内容及要求（1）项目背景与现场情况、实施条件及需求分析；（2）设计依据、原则、标准规范和设计规模和设计进出水质；（3）各工艺段工艺流程与原理、工艺计算和性能保证；（4）处理系统、处理工艺选择和渗滤液处理工艺流程；（5）电气和仪表自控设计；（6）季节变化和水质水量变化应对措施和工艺优化技术措施；（7）设备配置和设备能效负荷方案；（8）环保节能降噪设计；（9）安装准备、安装进度计划及设备安装方案；（10）季节性安装措施和安装管理措施。 2、运维服务方案：本项目需由供应商根据设备情况进行设备运行和维护，运维服务方案内容应包括：（1）运维技术支持和调控方案；（2）季节变化和水质水量变化应对措施和工艺优化技术措施；（3）仪器仪表的管理；（4）运营维护的技术要点；（5）针对本项目水质特点制定的整体出水保证方案；（6）日常水质监测体系；（7）渗滤液处理设施运营管理制度、人员培训考核和管理方案及岗位职责；（8）设备的巡检及维护；（9）设备日常保养及检修；（10）设备常见故障及解决办法。 3、应急预案：本项目需由供应商根据服务过程中可能会出现的问题提出应急预案（解决方案），内容应包括：（1）安全生产的事前、事中、事后控制管理方案；（2）场所安全与设备的操作与维护安全措施；（3）应急演练；（4）安全生产教育；（5）应急预案。 4、供应商应为本项目配置专业服务团队人员，保障本项目的服务质量。 5、为保障项目顺利实施，供应商应具备项目类似业绩。 6、因系统固化原因本项目商务要求内容无法完整体现，具体内容调整至3.3.1服务要求中，供应商响应时需按照具体要求进行全部响应。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评审小组可以根据采购文件和评审情况实质性变动本章</w:t>
      </w:r>
      <w:r>
        <w:rPr>
          <w:rFonts w:ascii="仿宋_GB2312" w:hAnsi="仿宋_GB2312" w:cs="仿宋_GB2312" w:eastAsia="仿宋_GB2312"/>
        </w:rPr>
        <w:t>“3.2.技术要求”，“3.3服务要求”的内容，不得变动采购文件中的其他内容。实质性变动的内容，须经采购人确认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评审小组可以根据采购文件和评审情况实质性变动本章，不得变动采购文件中的其他内容。实质性变动的内容，须经采购人确认。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扫描件）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采购文件第三章带“★”的内容为实质性要求，供应商应据实响应。</w:t>
            </w:r>
          </w:p>
        </w:tc>
        <w:tc>
          <w:tcPr>
            <w:tcW w:type="dxa" w:w="3322"/>
          </w:tcPr>
          <w:p>
            <w:pPr>
              <w:pStyle w:val="null3"/>
              <w:jc w:val="left"/>
            </w:pPr>
            <w:r>
              <w:rPr>
                <w:rFonts w:ascii="仿宋_GB2312" w:hAnsi="仿宋_GB2312" w:cs="仿宋_GB2312" w:eastAsia="仿宋_GB2312"/>
              </w:rPr>
              <w:t>第三章带“★"的要求为实质性要求，供应商应按采购文件要求据实响应。</w:t>
            </w:r>
          </w:p>
        </w:tc>
        <w:tc>
          <w:tcPr>
            <w:tcW w:type="dxa" w:w="1661"/>
          </w:tcPr>
          <w:p>
            <w:pPr>
              <w:pStyle w:val="null3"/>
              <w:jc w:val="left"/>
            </w:pPr>
            <w:r>
              <w:rPr>
                <w:rFonts w:ascii="仿宋_GB2312" w:hAnsi="仿宋_GB2312" w:cs="仿宋_GB2312" w:eastAsia="仿宋_GB2312"/>
              </w:rPr>
              <w:t>响应文件封面,供应商应提交的相关证明材料,报价表,技术、服务及商务应答表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项目技术方案、运维服务方案、应急预案、人员配置、履约能力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供应商2022年1月1日至本项目挂网日期前有1个渗滤液相关业绩的得3分，每增加1个加3分，此项最多得9分。 注：须提供对应业绩的项目合同或中标通知书并加盖供应商电子签章。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（1）拟派的项目负责人：具有环保工程类专业或市政工程类专业高级及以上职称证书的得3分；具有环保类专业或市政类专业中级职称得2分，本项最多3分。 （2）拟派的技术负责人：具有市政工程类专业或机电工程类专业的高级及以上职称证书的得3分；具有市政工程类专业或机电工程类专业的中级职称得2分，本项最多3分。 注：提供以上人员相关证书复印、在职证明材料复印件、身份证复印件并加盖供应商电子签章。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项目技术方案</w:t>
            </w:r>
          </w:p>
        </w:tc>
        <w:tc>
          <w:tcPr>
            <w:tcW w:type="dxa" w:w="2575"/>
          </w:tcPr>
          <w:p>
            <w:pPr>
              <w:pStyle w:val="null3"/>
              <w:jc w:val="left"/>
            </w:pPr>
            <w:r>
              <w:rPr>
                <w:rFonts w:ascii="仿宋_GB2312" w:hAnsi="仿宋_GB2312" w:cs="仿宋_GB2312" w:eastAsia="仿宋_GB2312"/>
              </w:rPr>
              <w:t>包含：（1）项目背景与现场情况、实施条件及需求分析；（2）设计依据、原则、标准规范和设计规模和设计进出水质；（3）各工艺段工艺流程与原理、工艺计算和性能保证；（4）处理系统、处理工艺选择和渗滤液处理工艺流程；（5）电气和仪表自控设计；（6）季节变化和水质水量变化应对措施和工艺优化技术措施；（7）设备配置和设备能效负荷方案；（8）环保节能降噪设计；（9）安装准备、安装进度计划及设备安装方案；（10）季节性安装措施和安装管理措施。 以上 10项内容完全满足项目要求得25分，每有一项内容缺失或无实质性内容的扣2.5分，一项内容中每有一处缺陷的扣1.25分，扣完为止，不提供的不得分。 （缺陷是指存在项目名称错误、地点区域错误、内容与本项目需求无关、仅有框架或标题、适用的标准（方法）错误、内容前后表述矛盾、明显复制其他项目内容的任意一种情形。）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运维服务方案</w:t>
            </w:r>
          </w:p>
        </w:tc>
        <w:tc>
          <w:tcPr>
            <w:tcW w:type="dxa" w:w="2575"/>
          </w:tcPr>
          <w:p>
            <w:pPr>
              <w:pStyle w:val="null3"/>
              <w:jc w:val="left"/>
            </w:pPr>
            <w:r>
              <w:rPr>
                <w:rFonts w:ascii="仿宋_GB2312" w:hAnsi="仿宋_GB2312" w:cs="仿宋_GB2312" w:eastAsia="仿宋_GB2312"/>
              </w:rPr>
              <w:t>包含：（1）运维技术支持和调控方案；（2）季节变化和水质水量变化应对措施和工艺优化技术措施；（3）仪器仪表的管理；（4）运营维护的技术要点；（5）针对本项目水质特点制定的整体出水保证方案；（6）日常水质监测体系；（7）渗滤液处理设施运营管理制度、人员培训考核和管理方案及岗位职责；（8）设备的巡检及维护；（9）设备日常保养及检修；（10）设备常见故障及解决办法。 以上 10 项内容完全满足项目要求得25分，每有一项内容缺失或无实质性内容的扣2.5分，一项内容中每有一处缺陷的扣1.25分，扣完为止，不提供的不得分。 （缺陷是指存在项目名称错误、地点区域错误、内容与本项目需求无关、仅有框架或标题、适用的标准（方法）错误、内容前后表述矛盾、明显复制其他项目内容的任意一种情形。）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包含：（1）安全生产的事前、事中、事后控制管理方案；（2）场所安全与设备的操作与维护安全措施；（3）应急演练；（4）安全生产教育；（5）应急预案。 以上 5 项内容完全满足项目要求得 5 分，每有一项内容缺失或无实质性内容的扣1分，一项内容中每有一处缺陷的扣0.5分，扣完为止，不提供的不得分。 （缺陷是指存在项目名称错误、地点区域错误、内容与本项目需求无关、仅有框架或标题、适用的标准（方法）错误、内容前后表述矛盾、明显复制其他项目内容的任意一种情形。）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2026年合江县垃圾填埋场渗滤液协同处置项目</w:t>
            </w:r>
          </w:p>
        </w:tc>
        <w:tc>
          <w:tcPr>
            <w:tcW w:type="dxa" w:w="2575"/>
          </w:tcPr>
          <w:p>
            <w:pPr>
              <w:pStyle w:val="null3"/>
              <w:jc w:val="left"/>
            </w:pPr>
            <w:r>
              <w:rPr>
                <w:rFonts w:ascii="仿宋_GB2312" w:hAnsi="仿宋_GB2312" w:cs="仿宋_GB2312" w:eastAsia="仿宋_GB2312"/>
              </w:rPr>
              <w:t>1. 经评标委员会评审，通过资格和符合性审查，且投标报价下浮率最高的供应商的投标报价作为评标基准价。2.投标报价得分=(评标基准价／投标报价)×分值。评审价格=响应报价。经价格调整后的评审价格=响应报价×（1-价格调整比例）基准价=经价格调整后评审价格的最低值。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