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正文</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（工程类）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2026年白马井镇新马社区吉祥小区B区道路硬化及排水工程（二期）项目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HNHH2026-09-04</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儋州市白马井镇人民政府</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海南恒浩招标代理有限公司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ind w:firstLine="480"/>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儋州市白马井镇人民政府</w:t>
      </w:r>
      <w:r>
        <w:rPr>
          <w:rFonts w:ascii="仿宋_GB2312" w:hAnsi="仿宋_GB2312" w:cs="仿宋_GB2312" w:eastAsia="仿宋_GB2312"/>
        </w:rPr>
        <w:t xml:space="preserve"> 的委托， </w:t>
      </w:r>
      <w:r>
        <w:rPr>
          <w:rFonts w:ascii="仿宋_GB2312" w:hAnsi="仿宋_GB2312" w:cs="仿宋_GB2312" w:eastAsia="仿宋_GB2312"/>
        </w:rPr>
        <w:t>海南恒浩招标代理有限公司</w:t>
      </w:r>
      <w:r>
        <w:rPr>
          <w:rFonts w:ascii="仿宋_GB2312" w:hAnsi="仿宋_GB2312" w:cs="仿宋_GB2312" w:eastAsia="仿宋_GB2312"/>
        </w:rPr>
        <w:t xml:space="preserve"> 对 </w:t>
      </w:r>
      <w:r>
        <w:rPr>
          <w:rFonts w:ascii="仿宋_GB2312" w:hAnsi="仿宋_GB2312" w:cs="仿宋_GB2312" w:eastAsia="仿宋_GB2312"/>
        </w:rPr>
        <w:t>2026年白马井镇新马社区吉祥小区B区道路硬化及排水工程（二期）项目</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HNHH2026-09-04</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2026年白马井镇新马社区吉祥小区B区道路硬化及排水工程（二期）项目</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1,302,843.66元</w:t>
      </w:r>
      <w:r>
        <w:rPr>
          <w:rFonts w:ascii="仿宋_GB2312" w:hAnsi="仿宋_GB2312" w:cs="仿宋_GB2312" w:eastAsia="仿宋_GB2312"/>
        </w:rPr>
        <w:t>壹佰叁拾万零贰仟捌佰肆拾叁元陆角陆分</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90日历天</w:t>
      </w:r>
    </w:p>
    <w:p>
      <w:pPr>
        <w:pStyle w:val="null3"/>
        <w:ind w:firstLine="480"/>
        <w:jc w:val="left"/>
      </w:pPr>
      <w:r>
        <w:rPr>
          <w:rFonts w:ascii="仿宋_GB2312" w:hAnsi="仿宋_GB2312" w:cs="仿宋_GB2312" w:eastAsia="仿宋_GB2312"/>
        </w:rPr>
        <w:t>7.是否涉及本国产品：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属于专门面向中小企业采购，预留比例为100%。</w:t>
      </w:r>
    </w:p>
    <w:p>
      <w:pPr>
        <w:pStyle w:val="null3"/>
        <w:ind w:firstLine="480"/>
        <w:jc w:val="left"/>
      </w:pPr>
      <w:r>
        <w:rPr>
          <w:rFonts w:ascii="仿宋_GB2312" w:hAnsi="仿宋_GB2312" w:cs="仿宋_GB2312" w:eastAsia="仿宋_GB2312"/>
        </w:rPr>
        <w:t>3.本项目的特定资格要求：（如项目接受联合体响应，对联合体应提出相关资格要求；如属于特定行业项目，供应商应当具备特定行业法定准入要求。）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要求：3.1、具备建设行政主管部门颁发的市政公用工程施工总承包叁级（含）以上资质或根据《住房和城乡建设部关于印发建设工程企业资质管理制度改革方案的通知（【建市〔2020〕94号】）换发新证的市政公用工程施工总承包乙级（含）以上资质，且具备有效的安全生产许可证（在有效期内），并在人员、设备、资金等方面具有相应的施工能力。（证明材料：提供资质证书、有效的安全生产许可证复印件、具有相应的施工能力承诺函（格式自拟）加盖单位公章）； 3.2、拟派项目经理须具备在本单位注册的市政公用工程专业二级（含）以上注册建造师执业资格和具备有效的安全生产考核合格证书(B证)（在有效期内），且未担任其他在施建设工程项目的项目经理。（提供证书复印件、人员2026年6月1日至今任意1个月的本单位社保缴纳证明材料的复印件、未担任其他在施建设工程项目的承诺函（格式自拟）加盖单位公章）； 3.3、供应商应在海南省住房和城乡建设厅海南省房屋建筑工程全过程监管信息平台完成《海南省建筑企业诚信档案手册》登记，并打印信息平台生成的诚信档案手册,其中内容含项目名称、项目地址、派驻的项目班子关键岗位人员等投标项目信息。（证明材料：提供诚信档案手册复印件加盖单位公章）； 3.4、供应商在“中国执行信息公开网”(http://zxgk.court.gov.cn/shixin/)没有被列入失信被执行人，“信用中国”网站(www.creditchina.gov.cn)没有被列入重大税收违法失信主体、政府采购严重违法失信名单和“中国政府采购网” (www.ccgp.gov.cn)没有被列入政府采购严重违法失信行为信息记录名单。(证明材料：提供网页截图或承诺函（格式自拟）加盖单位公章)； 3.5、信誉要求：（1）磋商资格没有被取消、暂停；（2）没有处于被责令停业、财产被接管、冻结、破产状态；（3）在最近三年内没有骗取中标行为或严重违约行为或重大工程质量问题的。（证明材料：提供承诺函（格式自拟）加盖单位公章）。</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1.有关本项目采购文件的补遗、澄清及变更信息请以上述网站公告与下载为准，采购代理机构不再另行通知，采购文件与更正公告的内容相互矛盾时，以最后发出的更正公告内容为准。 2.本项目全程线上开标。如需云平台相关咨询，请拨打以下热线电话：4001691288。请投标人（供应商）详阅本文件中《政府采购电子招标投标活动须知》，并自行在海南省政府采购智慧云平台-办事指南查看相应的系统操作指南，严格按照操作指南要求进行系统操作。</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儋州市白马井镇人民政府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海南省儋州市白马井镇中七横路1号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571742</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莫子恒</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0898-23652781</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海南恒浩招标代理有限公司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海南省海口市琼山区大英山西三路八一小区2栋401室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蔡金玉</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0898-65362279</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采购包1：1,302,843.66元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代理服务费收费标准：以预算审核⾦额为基数下浮12%计取。</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在投标有效期内，经核实，若供应商所提供的相关证明材料有虚假材料，采购人将保留提请行政主管部门将其列入不良企业名单的权利，若给采购人造成损失的，应给予赔偿，若其为中标单位，将取消其中标资格。 2.本项目为专门面向中小企业。 项目所属行业：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响应文件应由注册在本单位的一级或二级造价工程师使用本单位实名的计价软件编制并加盖执业专用章。委托工程造价咨询企业编制的，应在响应文件中提供加盖双方单位公章的委托书，并在已标价工程量清单上加盖负责编制的工程造价咨询企业公章以及负责审核的一级注册造价师执业印章。工程造价咨询机构在同一采购项目中，只可以接受采购人或一个供应商的委托并编制招标控制价或投标报价，不得为同一采购项目的两个或者两个以上供应商编制投标响应报价，亦不得既为采购人编制招标控制价同时又为供应商编制响应报价，否则其编制的招标控制价和响应报价无效并视为存在相互串通行为。 4.磋商文件中明确需签字和盖章的地方均应符合下列要求： （1）电子标盖章要求：使用 CA 锁在响应文件制作工具中逐页加盖单位公章。 （2）电子标签字以下四种形式之一均有效： ①文件制作工具中加盖签名章或签字章； ②文件制作工具中使用“手写签名”签字； ③文件打印为文本签字后扫描上传；④文件打印为文本盖签名章或签字章后扫描上传。（3）电子系统中所涉及签章均可以是加盖单位公章。 （4）由委托代理人签字的，磋商文件应附有法定代表人授权书。因供应商原因导致无法读取电子版响应文件，视为无效响应。（5）没有按要求编写、签字或加盖公章的，其磋商文件作否决响应处理。 （6）如为联合体响应的，除联合体协议书、声明函、承诺函及响应文件格式中要求联合体各方签字盖章的内容外，响应文件其余内容和资料只需加盖牵头人单位公章。 5. 开标注意事项：开标过程，请各响应供应商自带电脑设备自行操作。本项目采用全程电子化磋商，供应商应当在响应截止时间前将签字盖章版的响应文件加密上传至海南省政府采购智慧云平台(https://ccgp-hainan.gov.cn/)，并于响应截止时间前30分内登录系统完成签到，签到时请正确填写授权委托人信息，委托人电话要保持畅通，以便通知磋商时间及最终报价时间等信息。6.成交单位成交后须按采购人要求提供与最终报价相对应的已标价工程量清单给采购人。7.本项⽬管理机构主要管理⼈员配备数量要求：（1）项⽬负责⼈1 名、技术负责⼈ 1 名、施⼯员 1 名、（专职安全⽣产管理⼈员) 安全员 1 名、质量员 1 名、资料员 1 名（可兼任）、劳资专管员1名。 （2）要求：项目负责人应附建造师注册证书、相应证书、身份证；项目技术负责人应附身份证、建筑工程相关专业中级（含）以上工程师职称证书；其他岗位人员应附身份证、岗位证书（或电子培训合格证，或安全生产考核合格证，其中未开展劳资专管员岗位培训的地区，可提供供应商出具的任命书。）以上拟派人员须提供2026年6月1日至今任意1个月的本单位社保缴纳证明 (网上打印的社保清单须有加盖社保管理单位电子公章)复印件。注：以上材料均可提供复印件加盖单位公章。</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“采购单位”指磋商文件中所述所有工程、相关货物、相关服务的甲方。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 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 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供应商应在响应文件中提供证明其所投工程、相关货物、相关服务的合格性和符合磋商文件规定的相关证明文件。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供应商应在响应文件中完整表达履行本采购项目的相关工程量清单、技术方案、方法和措施，及证明其成交后具有良好履约能力的说明材料。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 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(8)评标委员会强化政府采购异常低价审查 ，根据《关于推动解决政府采购异常低价问题的通知》财库〔2026〕2号：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8.1.1根据采购人确定的成交结果，采购代理机构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联系人：蔡金玉</w:t>
      </w:r>
    </w:p>
    <w:p>
      <w:pPr>
        <w:pStyle w:val="null3"/>
        <w:jc w:val="left"/>
      </w:pPr>
      <w:r>
        <w:rPr>
          <w:rFonts w:ascii="仿宋_GB2312" w:hAnsi="仿宋_GB2312" w:cs="仿宋_GB2312" w:eastAsia="仿宋_GB2312"/>
        </w:rPr>
        <w:t>联系电话：0898-65362279</w:t>
      </w:r>
    </w:p>
    <w:p>
      <w:pPr>
        <w:pStyle w:val="null3"/>
        <w:jc w:val="left"/>
      </w:pPr>
      <w:r>
        <w:rPr>
          <w:rFonts w:ascii="仿宋_GB2312" w:hAnsi="仿宋_GB2312" w:cs="仿宋_GB2312" w:eastAsia="仿宋_GB2312"/>
        </w:rPr>
        <w:t>地址：海南省海口市琼山区大英山西三路八一小区2栋401室</w:t>
      </w:r>
    </w:p>
    <w:p>
      <w:pPr>
        <w:pStyle w:val="null3"/>
        <w:jc w:val="left"/>
      </w:pPr>
      <w:r>
        <w:rPr>
          <w:rFonts w:ascii="仿宋_GB2312" w:hAnsi="仿宋_GB2312" w:cs="仿宋_GB2312" w:eastAsia="仿宋_GB2312"/>
        </w:rPr>
        <w:t>邮编：571100</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sz w:val="21"/>
        </w:rPr>
        <w:t>具体建设范围包括如下：</w:t>
      </w:r>
      <w:r>
        <w:rPr>
          <w:rFonts w:ascii="仿宋_GB2312" w:hAnsi="仿宋_GB2312" w:cs="仿宋_GB2312" w:eastAsia="仿宋_GB2312"/>
          <w:sz w:val="21"/>
        </w:rPr>
        <w:t>包含5条道路的建设，总长为501.332m，分别为A道路84.488m、B道路114.712m、C道路62.837m、D道路84.294m、E道路155.001m，宽度为4.0m~7.5m 不等。建设内容包含道路工程、排水工程。</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1,302,843.66</w:t>
      </w:r>
    </w:p>
    <w:p>
      <w:pPr>
        <w:pStyle w:val="null3"/>
        <w:jc w:val="left"/>
      </w:pPr>
      <w:r>
        <w:rPr>
          <w:rFonts w:ascii="仿宋_GB2312" w:hAnsi="仿宋_GB2312" w:cs="仿宋_GB2312" w:eastAsia="仿宋_GB2312"/>
        </w:rPr>
        <w:t>采购包最高限价（元）: 1,302,843.66</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B99000000-其他建筑工程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1,302,843.66</w:t>
            </w:r>
          </w:p>
        </w:tc>
        <w:tc>
          <w:tcPr>
            <w:tcW w:type="dxa" w:w="755"/>
          </w:tcPr>
          <w:p>
            <w:pPr>
              <w:pStyle w:val="null3"/>
              <w:jc w:val="left"/>
            </w:pPr>
            <w:r>
              <w:rPr>
                <w:rFonts w:ascii="仿宋_GB2312" w:hAnsi="仿宋_GB2312" w:cs="仿宋_GB2312" w:eastAsia="仿宋_GB2312"/>
              </w:rPr>
              <w:t>项</w:t>
            </w:r>
          </w:p>
        </w:tc>
        <w:tc>
          <w:tcPr>
            <w:tcW w:type="dxa" w:w="755"/>
          </w:tcPr>
          <w:p>
            <w:pPr>
              <w:pStyle w:val="null3"/>
              <w:jc w:val="left"/>
            </w:pPr>
            <w:r>
              <w:rPr>
                <w:rFonts w:ascii="仿宋_GB2312" w:hAnsi="仿宋_GB2312" w:cs="仿宋_GB2312" w:eastAsia="仿宋_GB2312"/>
              </w:rPr>
              <w:t>建筑业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B99000000-其他建筑工程</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1,302,843.66</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报价超出最高限价的，按无效响应文件处理。</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标的名称：B99000000-其他建筑工程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color w:val="000000"/>
              </w:rPr>
              <w:t>施工范围：</w:t>
            </w:r>
            <w:r>
              <w:rPr>
                <w:rFonts w:ascii="仿宋_GB2312" w:hAnsi="仿宋_GB2312" w:cs="仿宋_GB2312" w:eastAsia="仿宋_GB2312"/>
                <w:sz w:val="24"/>
                <w:b/>
                <w:color w:val="000000"/>
              </w:rPr>
              <w:t>工程</w:t>
            </w:r>
            <w:r>
              <w:rPr>
                <w:rFonts w:ascii="仿宋_GB2312" w:hAnsi="仿宋_GB2312" w:cs="仿宋_GB2312" w:eastAsia="仿宋_GB2312"/>
                <w:sz w:val="24"/>
                <w:b/>
                <w:color w:val="000000"/>
              </w:rPr>
              <w:t>施工总承包（按采购人提供的施工图纸及工程量清单包含的所有工程内容）</w:t>
            </w:r>
            <w:r>
              <w:rPr>
                <w:rFonts w:ascii="仿宋_GB2312" w:hAnsi="仿宋_GB2312" w:cs="仿宋_GB2312" w:eastAsia="仿宋_GB2312"/>
                <w:sz w:val="24"/>
                <w:b/>
                <w:color w:val="000000"/>
              </w:rPr>
              <w:t>。</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4"/>
              </w:rPr>
              <w:t>1.项目建设地点：位于</w:t>
            </w:r>
            <w:r>
              <w:rPr>
                <w:rFonts w:ascii="仿宋_GB2312" w:hAnsi="仿宋_GB2312" w:cs="仿宋_GB2312" w:eastAsia="仿宋_GB2312"/>
                <w:sz w:val="24"/>
              </w:rPr>
              <w:t>海南省儋州市</w:t>
            </w:r>
            <w:r>
              <w:rPr>
                <w:rFonts w:ascii="仿宋_GB2312" w:hAnsi="仿宋_GB2312" w:cs="仿宋_GB2312" w:eastAsia="仿宋_GB2312"/>
                <w:sz w:val="24"/>
              </w:rPr>
              <w:t>白马井镇；</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color w:val="000000"/>
              </w:rPr>
              <w:t>.质量要求：</w:t>
            </w:r>
            <w:r>
              <w:rPr>
                <w:rFonts w:ascii="仿宋_GB2312" w:hAnsi="仿宋_GB2312" w:cs="仿宋_GB2312" w:eastAsia="仿宋_GB2312"/>
                <w:sz w:val="24"/>
              </w:rPr>
              <w:t>符合国家及行业现行施工验收规范合格标准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color w:val="000000"/>
              </w:rPr>
              <w:t>3.计划工期：</w:t>
            </w:r>
            <w:r>
              <w:rPr>
                <w:rFonts w:ascii="仿宋_GB2312" w:hAnsi="仿宋_GB2312" w:cs="仿宋_GB2312" w:eastAsia="仿宋_GB2312"/>
                <w:sz w:val="24"/>
                <w:color w:val="000000"/>
              </w:rPr>
              <w:t>90日历天</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rPr>
              <w:t>4.缺陷责任期：</w:t>
            </w:r>
            <w:r>
              <w:rPr>
                <w:rFonts w:ascii="仿宋_GB2312" w:hAnsi="仿宋_GB2312" w:cs="仿宋_GB2312" w:eastAsia="仿宋_GB2312"/>
                <w:sz w:val="24"/>
              </w:rPr>
              <w:t>项目验收完成后</w:t>
            </w:r>
            <w:r>
              <w:rPr>
                <w:rFonts w:ascii="仿宋_GB2312" w:hAnsi="仿宋_GB2312" w:cs="仿宋_GB2312" w:eastAsia="仿宋_GB2312"/>
                <w:sz w:val="24"/>
              </w:rPr>
              <w:t>1年；</w:t>
            </w:r>
          </w:p>
          <w:p>
            <w:pPr>
              <w:pStyle w:val="null3"/>
              <w:jc w:val="left"/>
            </w:pPr>
            <w:r>
              <w:rPr>
                <w:rFonts w:ascii="仿宋_GB2312" w:hAnsi="仿宋_GB2312" w:cs="仿宋_GB2312" w:eastAsia="仿宋_GB2312"/>
                <w:sz w:val="24"/>
              </w:rPr>
              <w:t>5.验收方式：由采购人组织有关部门在指定项目地点按照国家有关标准和磋商文件的规定采购方式对所提供服务进行验收，成交人须派技术人员按采购人指定地点现场共同验收。</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1）踏勘现场：供应商如有需要，请自行组织踏勘现场。</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2）图纸及工程量清单另册提供。</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响应文件格式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响应文件格式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响应文件格式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投标人无不良信用记录。（详见投标人须知2.3.1.2）</w:t>
            </w:r>
          </w:p>
        </w:tc>
        <w:tc>
          <w:tcPr>
            <w:tcW w:type="dxa" w:w="1661"/>
          </w:tcPr>
          <w:p>
            <w:pPr>
              <w:pStyle w:val="null3"/>
              <w:jc w:val="left"/>
            </w:pPr>
            <w:r>
              <w:rPr>
                <w:rFonts w:ascii="仿宋_GB2312" w:hAnsi="仿宋_GB2312" w:cs="仿宋_GB2312" w:eastAsia="仿宋_GB2312"/>
              </w:rPr>
              <w:t>响应文件格式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响应文件格式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响应文件格式</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3.1、具备建设行政主管部门颁发的市政公用工程施工总承包叁级（含）以上资质或根据《住房和城乡建设部关于印发建设工程企业资质管理制度改革方案的通知（【建市〔2020〕94号】）换发新证的市政公用工程施工总承包乙级（含）以上资质，且具备有效的安全生产许可证（在有效期内），并在人员、设备、资金等方面具有相应的施工能力。（证明材料：提供资质证书、有效的安全生产许可证复印件、具有相应的施工能力承诺函（格式自拟）加盖单位公章）； 3.2、拟派项目经理须具备在本单位注册的市政公用工程专业二级（含）以上注册建造师执业资格和具备有效的安全生产考核合格证书(B证)（在有效期内），且未担任其他在施建设工程项目的项目经理。（提供证书复印件、人员2026年6月1日至今任意1个月的本单位社保缴纳证明材料的复印件、未担任其他在施建设工程项目的承诺函（格式自拟）加盖单位公章）； 3.3、供应商应在海南省住房和城乡建设厅海南省房屋建筑工程全过程监管信息平台完成《海南省建筑企业诚信档案手册》登记，并打印信息平台生成的诚信档案手册,其中内容含项目名称、项目地址、派驻的项目班子关键岗位人员等投标项目信息。（证明材料：提供诚信档案手册复印件加盖单位公章）； 3.4、供应商在“中国执行信息公开网”(http://zxgk.court.gov.cn/shixin/)没有被列入失信被执行人，“信用中国”网站(www.creditchina.gov.cn)没有被列入重大税收违法失信主体、政府采购严重违法失信名单和“中国政府采购网” (www.ccgp.gov.cn)没有被列入政府采购严重违法失信行为信息记录名单。(证明材料：提供网页截图或承诺函（格式自拟）加盖单位公章)； 3.5、信誉要求：（1）磋商资格没有被取消、暂停；（2）没有处于被责令停业、财产被接管、冻结、破产状态；（3）在最近三年内没有骗取中标行为或严重违约行为或重大工程质量问题的。（证明材料：提供承诺函（格式自拟）加盖单位公章）。</w:t>
            </w:r>
          </w:p>
        </w:tc>
        <w:tc>
          <w:tcPr>
            <w:tcW w:type="dxa" w:w="1661"/>
          </w:tcPr>
          <w:p>
            <w:pPr>
              <w:pStyle w:val="null3"/>
              <w:jc w:val="left"/>
            </w:pPr>
            <w:r>
              <w:rPr>
                <w:rFonts w:ascii="仿宋_GB2312" w:hAnsi="仿宋_GB2312" w:cs="仿宋_GB2312" w:eastAsia="仿宋_GB2312"/>
              </w:rPr>
              <w:t>响应文件格式</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本采购包为专门面向中小企业采购，供应商须提供中小企业声明函。监狱企业、残疾人福利性单位视同小型、微型企业。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响应文件格式</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响应文件格式 投标（响应）报价明细表 开标（报价）一览表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响应文件格式 投标（响应）报价明细表 开标（报价）一览表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响应文件格式 开标（报价）一览表 投标（响应）报价明细表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响应文件格式 开标（报价）一览表 投标（响应）报价明细表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响应文件格式</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响应文件格式</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技术部分70.00分</w:t>
            </w:r>
          </w:p>
          <w:p>
            <w:pPr>
              <w:pStyle w:val="null3"/>
              <w:jc w:val="left"/>
            </w:pPr>
            <w:r>
              <w:rPr>
                <w:rFonts w:ascii="仿宋_GB2312" w:hAnsi="仿宋_GB2312" w:cs="仿宋_GB2312" w:eastAsia="仿宋_GB2312"/>
              </w:rPr>
              <w:t>商务部分15.00分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施工方案与技术 措施</w:t>
            </w:r>
          </w:p>
        </w:tc>
        <w:tc>
          <w:tcPr>
            <w:tcW w:type="dxa" w:w="2492"/>
          </w:tcPr>
          <w:p>
            <w:pPr>
              <w:pStyle w:val="null3"/>
              <w:jc w:val="left"/>
            </w:pPr>
            <w:r>
              <w:rPr>
                <w:rFonts w:ascii="仿宋_GB2312" w:hAnsi="仿宋_GB2312" w:cs="仿宋_GB2312" w:eastAsia="仿宋_GB2312"/>
              </w:rPr>
              <w:t>根据供应商制定的施工方案与技术措施进行评审，包含但不限于①施工现场管理组织机构②施工总体部署和规划③施工程序和施工方法④施工机械⑤对施工难点的理解等内容。方案中包含以上5项要素且上述内容完整、切实可行的得20分，每缺少一项要素扣4分，一项要素中有较大缺陷（2个及以上内容缺陷）扣2.5分，一项要素中有较小缺陷（1个内容缺陷）扣1.5分。（内容缺陷是指：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响应文件格式</w:t>
            </w:r>
          </w:p>
        </w:tc>
      </w:tr>
      <w:tr>
        <w:tc>
          <w:tcPr>
            <w:tcW w:type="dxa" w:w="831"/>
            <w:vMerge/>
          </w:tcPr>
          <w:p/>
        </w:tc>
        <w:tc>
          <w:tcPr>
            <w:tcW w:type="dxa" w:w="1661"/>
          </w:tcPr>
          <w:p>
            <w:pPr>
              <w:pStyle w:val="null3"/>
              <w:jc w:val="left"/>
            </w:pPr>
            <w:r>
              <w:rPr>
                <w:rFonts w:ascii="仿宋_GB2312" w:hAnsi="仿宋_GB2312" w:cs="仿宋_GB2312" w:eastAsia="仿宋_GB2312"/>
              </w:rPr>
              <w:t>质量管理体系与措施</w:t>
            </w:r>
          </w:p>
        </w:tc>
        <w:tc>
          <w:tcPr>
            <w:tcW w:type="dxa" w:w="2492"/>
          </w:tcPr>
          <w:p>
            <w:pPr>
              <w:pStyle w:val="null3"/>
              <w:jc w:val="left"/>
            </w:pPr>
            <w:r>
              <w:rPr>
                <w:rFonts w:ascii="仿宋_GB2312" w:hAnsi="仿宋_GB2312" w:cs="仿宋_GB2312" w:eastAsia="仿宋_GB2312"/>
              </w:rPr>
              <w:t>根据供应商制定的质量管理体系与措施方案进行评审，评审内容包含但不限于①质量保障措施②质量保障承诺③质量监控系统④材料与设备质量管理措施等内容。方案中包含以上4项要素且上述内容完整、切实可行的得16分，每缺少一项要素扣4分，一项要素中有较大缺陷（2个及以上内容缺陷）扣2.5分，一项要素中有较小缺陷（1个内容缺陷）扣1.5分。（内容缺陷是指：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响应文件格式</w:t>
            </w:r>
          </w:p>
        </w:tc>
      </w:tr>
      <w:tr>
        <w:tc>
          <w:tcPr>
            <w:tcW w:type="dxa" w:w="831"/>
            <w:vMerge/>
          </w:tcPr>
          <w:p/>
        </w:tc>
        <w:tc>
          <w:tcPr>
            <w:tcW w:type="dxa" w:w="1661"/>
          </w:tcPr>
          <w:p>
            <w:pPr>
              <w:pStyle w:val="null3"/>
              <w:jc w:val="left"/>
            </w:pPr>
            <w:r>
              <w:rPr>
                <w:rFonts w:ascii="仿宋_GB2312" w:hAnsi="仿宋_GB2312" w:cs="仿宋_GB2312" w:eastAsia="仿宋_GB2312"/>
              </w:rPr>
              <w:t>安全管理体系与措施</w:t>
            </w:r>
          </w:p>
        </w:tc>
        <w:tc>
          <w:tcPr>
            <w:tcW w:type="dxa" w:w="2492"/>
          </w:tcPr>
          <w:p>
            <w:pPr>
              <w:pStyle w:val="null3"/>
              <w:jc w:val="left"/>
            </w:pPr>
            <w:r>
              <w:rPr>
                <w:rFonts w:ascii="仿宋_GB2312" w:hAnsi="仿宋_GB2312" w:cs="仿宋_GB2312" w:eastAsia="仿宋_GB2312"/>
              </w:rPr>
              <w:t>根据供应商制定的安全管理体系与措施方案进行评审，评审内容包含但不限于：①施工安全生产保障体系②现场管理人员安全生产职责③针对项目特点、周边环境和施工工艺制定的防护措施④安全保障承诺及措施等内容。方案中包含以上4项要素且上述内容完整、切实可行的得16分，每缺少一项要素扣4分，一项要素中有较大缺陷（2个及以上内容缺陷）扣2.5分，一项要素中有较小缺陷（1个内容缺陷）扣1.5分。（内容缺陷是指：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响应文件格式</w:t>
            </w:r>
          </w:p>
        </w:tc>
      </w:tr>
      <w:tr>
        <w:tc>
          <w:tcPr>
            <w:tcW w:type="dxa" w:w="831"/>
            <w:vMerge/>
          </w:tcPr>
          <w:p/>
        </w:tc>
        <w:tc>
          <w:tcPr>
            <w:tcW w:type="dxa" w:w="1661"/>
          </w:tcPr>
          <w:p>
            <w:pPr>
              <w:pStyle w:val="null3"/>
              <w:jc w:val="left"/>
            </w:pPr>
            <w:r>
              <w:rPr>
                <w:rFonts w:ascii="仿宋_GB2312" w:hAnsi="仿宋_GB2312" w:cs="仿宋_GB2312" w:eastAsia="仿宋_GB2312"/>
              </w:rPr>
              <w:t>环保管理体系与措施</w:t>
            </w:r>
          </w:p>
        </w:tc>
        <w:tc>
          <w:tcPr>
            <w:tcW w:type="dxa" w:w="2492"/>
          </w:tcPr>
          <w:p>
            <w:pPr>
              <w:pStyle w:val="null3"/>
              <w:jc w:val="left"/>
            </w:pPr>
            <w:r>
              <w:rPr>
                <w:rFonts w:ascii="仿宋_GB2312" w:hAnsi="仿宋_GB2312" w:cs="仿宋_GB2312" w:eastAsia="仿宋_GB2312"/>
              </w:rPr>
              <w:t>根据供应商制定的环境保护管理体系与措施进行评审，评审内容包含但不限于①环境保护措施②创文明工地目标措施③施工现场扬尘治理措施等内容。方案中包含以上3项要素且上述内容完整、切实可行的得9分，每缺少一项要素扣3分，一项要素中有较大缺陷（2个及以上内容缺陷）扣2分，一项要素中有较小缺陷（1个内容缺陷）扣1分。（内容缺陷是指 ：内容非专门针对本项目或不适用项目特性的情形、内容不够完整或缺少关键节点、套用其他项目方案、内容前后矛盾、涉及的规范及标准错误、不利于项目实施、不可能实现的情形等任意一种情形）。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响应文件格式</w:t>
            </w:r>
          </w:p>
        </w:tc>
      </w:tr>
      <w:tr>
        <w:tc>
          <w:tcPr>
            <w:tcW w:type="dxa" w:w="831"/>
            <w:vMerge/>
          </w:tcPr>
          <w:p/>
        </w:tc>
        <w:tc>
          <w:tcPr>
            <w:tcW w:type="dxa" w:w="1661"/>
          </w:tcPr>
          <w:p>
            <w:pPr>
              <w:pStyle w:val="null3"/>
              <w:jc w:val="left"/>
            </w:pPr>
            <w:r>
              <w:rPr>
                <w:rFonts w:ascii="仿宋_GB2312" w:hAnsi="仿宋_GB2312" w:cs="仿宋_GB2312" w:eastAsia="仿宋_GB2312"/>
              </w:rPr>
              <w:t>工程进度计划与措施</w:t>
            </w:r>
          </w:p>
        </w:tc>
        <w:tc>
          <w:tcPr>
            <w:tcW w:type="dxa" w:w="2492"/>
          </w:tcPr>
          <w:p>
            <w:pPr>
              <w:pStyle w:val="null3"/>
              <w:jc w:val="left"/>
            </w:pPr>
            <w:r>
              <w:rPr>
                <w:rFonts w:ascii="仿宋_GB2312" w:hAnsi="仿宋_GB2312" w:cs="仿宋_GB2312" w:eastAsia="仿宋_GB2312"/>
              </w:rPr>
              <w:t>根据供应商制定的工程进度计划与措施进行评审，评审内容包含但不限于①工程进度计划②进度监控与控制③沟通协调保障措施等内容。方案中包含以上3项要素且上述内容完整、切实可行的得9分，每缺少一项要素扣3分，一项要素中有较大缺陷（2个及以上内容缺陷）扣2分，一项要素中有较小缺陷（1个内容缺陷）扣1分。（内容缺陷是指 ：内容非专门针对本项目或不适用项目特性的情形、内容不够完整或缺少关键节点、套用其他项目方案、内容前后矛盾、涉及的规范及标准错误、不利于项目实施、不可能实现的情形等任意一种情形）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响应文件格式</w:t>
            </w:r>
          </w:p>
        </w:tc>
      </w:tr>
      <w:tr>
        <w:tc>
          <w:tcPr>
            <w:tcW w:type="dxa" w:w="831"/>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类似业绩</w:t>
            </w:r>
          </w:p>
        </w:tc>
        <w:tc>
          <w:tcPr>
            <w:tcW w:type="dxa" w:w="2492"/>
          </w:tcPr>
          <w:p>
            <w:pPr>
              <w:pStyle w:val="null3"/>
              <w:jc w:val="left"/>
            </w:pPr>
            <w:r>
              <w:rPr>
                <w:rFonts w:ascii="仿宋_GB2312" w:hAnsi="仿宋_GB2312" w:cs="仿宋_GB2312" w:eastAsia="仿宋_GB2312"/>
              </w:rPr>
              <w:t>供应商2024年1⽉1⽇⾄今，承接过类似的项⽬，每提供⼀个类似项⽬业绩得5分，满分15分。 证明材料：提供合同复印件（以合同签订时间为准）加盖单位公章。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响应文件格式</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详见附件：建设工程施工合同.docx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HNHH2026-09-04</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2026年白马井镇新马社区吉祥小区B区道路硬化及排水工程（二期）项目</w:t>
      </w:r>
    </w:p>
    <w:p>
      <w:pPr>
        <w:pStyle w:val="null3"/>
        <w:spacing w:lineRule="exact" w:line="375"/>
        <w:jc w:val="left"/>
      </w:pPr>
      <w:r>
        <w:rPr>
          <w:rFonts w:ascii="仿宋_GB2312" w:hAnsi="仿宋_GB2312" w:cs="仿宋_GB2312" w:eastAsia="仿宋_GB2312"/>
        </w:rPr>
        <w:t>采购包号：</w:t>
      </w:r>
      <w:r>
        <w:rPr>
          <w:rFonts w:ascii="仿宋_GB2312" w:hAnsi="仿宋_GB2312" w:cs="仿宋_GB2312" w:eastAsia="仿宋_GB2312"/>
        </w:rPr>
        <w:t>1</w:t>
      </w:r>
    </w:p>
    <w:p>
      <w:pPr>
        <w:pStyle w:val="null3"/>
        <w:spacing w:lineRule="exact" w:line="375"/>
        <w:jc w:val="left"/>
      </w:pPr>
      <w:r>
        <w:rPr>
          <w:rFonts w:ascii="仿宋_GB2312" w:hAnsi="仿宋_GB2312" w:cs="仿宋_GB2312" w:eastAsia="仿宋_GB2312"/>
        </w:rPr>
        <w:t>采购包名称：</w:t>
      </w:r>
      <w:r>
        <w:rPr>
          <w:rFonts w:ascii="仿宋_GB2312" w:hAnsi="仿宋_GB2312" w:cs="仿宋_GB2312" w:eastAsia="仿宋_GB2312"/>
        </w:rPr>
        <w:t>(2026年白马井镇新马社区吉祥小区B区道路硬化及排水工程（二期）项目)</w:t>
      </w:r>
    </w:p>
    <w:p>
      <w:pPr>
        <w:pStyle w:val="null3"/>
        <w:spacing w:lineRule="exact" w:line="375"/>
        <w:jc w:val="left"/>
      </w:pPr>
      <w:r>
        <w:rPr>
          <w:rFonts w:ascii="仿宋_GB2312" w:hAnsi="仿宋_GB2312" w:cs="仿宋_GB2312" w:eastAsia="仿宋_GB2312"/>
        </w:rPr>
        <w:t>供应商名称：</w:t>
      </w:r>
    </w:p>
    <w:p>
      <w:pPr>
        <w:pStyle w:val="null3"/>
        <w:jc w:val="left"/>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施工范围</w:t>
            </w:r>
          </w:p>
        </w:tc>
        <w:tc>
          <w:tcPr>
            <w:tcW w:type="dxa" w:w="1038"/>
          </w:tcPr>
          <w:p>
            <w:pPr>
              <w:pStyle w:val="null3"/>
              <w:jc w:val="left"/>
            </w:pPr>
            <w:r>
              <w:rPr>
                <w:rFonts w:ascii="仿宋_GB2312" w:hAnsi="仿宋_GB2312" w:cs="仿宋_GB2312" w:eastAsia="仿宋_GB2312"/>
              </w:rPr>
              <w:t xml:space="preserve"> 施工工期</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B99000000-其他建筑工程</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1302843.66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spacing w:before="1200" w:after="225"/>
        <w:ind w:left="225"/>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ind w:firstLine="960"/>
        <w:jc w:val="left"/>
      </w:pPr>
      <w:r>
        <w:rPr>
          <w:rFonts w:ascii="仿宋_GB2312" w:hAnsi="仿宋_GB2312" w:cs="仿宋_GB2312" w:eastAsia="仿宋_GB2312"/>
        </w:rPr>
        <w:t>详见附件：响应文件格式</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