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649191">
      <w:pPr>
        <w:spacing w:line="360" w:lineRule="auto"/>
        <w:jc w:val="center"/>
        <w:rPr>
          <w:rFonts w:ascii="宋体" w:hAnsi="宋体"/>
          <w:sz w:val="24"/>
          <w:szCs w:val="24"/>
        </w:rPr>
      </w:pPr>
      <w:r>
        <w:rPr>
          <w:rFonts w:hint="eastAsia" w:ascii="宋体" w:hAnsi="宋体"/>
          <w:sz w:val="24"/>
          <w:szCs w:val="24"/>
        </w:rPr>
        <w:t>实质性响应一览表</w:t>
      </w:r>
    </w:p>
    <w:tbl>
      <w:tblPr>
        <w:tblStyle w:val="8"/>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3807"/>
        <w:gridCol w:w="2880"/>
        <w:gridCol w:w="1807"/>
      </w:tblGrid>
      <w:tr w14:paraId="2A60B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14:paraId="30CC689E">
            <w:pPr>
              <w:spacing w:line="360" w:lineRule="auto"/>
              <w:jc w:val="center"/>
              <w:rPr>
                <w:rFonts w:ascii="宋体" w:hAnsi="宋体"/>
                <w:sz w:val="24"/>
                <w:szCs w:val="24"/>
              </w:rPr>
            </w:pPr>
            <w:r>
              <w:rPr>
                <w:rFonts w:hint="eastAsia" w:ascii="宋体" w:hAnsi="宋体"/>
                <w:sz w:val="24"/>
                <w:szCs w:val="24"/>
              </w:rPr>
              <w:t>序号</w:t>
            </w:r>
          </w:p>
        </w:tc>
        <w:tc>
          <w:tcPr>
            <w:tcW w:w="3807" w:type="dxa"/>
            <w:tcBorders>
              <w:top w:val="single" w:color="auto" w:sz="4" w:space="0"/>
              <w:left w:val="single" w:color="auto" w:sz="4" w:space="0"/>
              <w:bottom w:val="single" w:color="auto" w:sz="4" w:space="0"/>
              <w:right w:val="single" w:color="auto" w:sz="4" w:space="0"/>
            </w:tcBorders>
          </w:tcPr>
          <w:p w14:paraId="6873ACF0">
            <w:pPr>
              <w:spacing w:line="360" w:lineRule="auto"/>
              <w:jc w:val="center"/>
              <w:rPr>
                <w:rFonts w:ascii="宋体" w:hAnsi="宋体"/>
                <w:sz w:val="24"/>
                <w:szCs w:val="24"/>
              </w:rPr>
            </w:pPr>
            <w:r>
              <w:rPr>
                <w:rFonts w:hint="eastAsia" w:ascii="宋体" w:hAnsi="宋体"/>
                <w:sz w:val="24"/>
                <w:szCs w:val="24"/>
              </w:rPr>
              <w:t>实质性响应条款</w:t>
            </w:r>
          </w:p>
        </w:tc>
        <w:tc>
          <w:tcPr>
            <w:tcW w:w="2880" w:type="dxa"/>
            <w:tcBorders>
              <w:top w:val="single" w:color="auto" w:sz="4" w:space="0"/>
              <w:left w:val="single" w:color="auto" w:sz="4" w:space="0"/>
              <w:bottom w:val="single" w:color="auto" w:sz="4" w:space="0"/>
              <w:right w:val="single" w:color="auto" w:sz="4" w:space="0"/>
            </w:tcBorders>
          </w:tcPr>
          <w:p w14:paraId="6326314E">
            <w:pPr>
              <w:spacing w:line="360" w:lineRule="auto"/>
              <w:jc w:val="center"/>
              <w:rPr>
                <w:rFonts w:ascii="宋体" w:hAnsi="宋体"/>
                <w:sz w:val="24"/>
                <w:szCs w:val="24"/>
              </w:rPr>
            </w:pPr>
            <w:r>
              <w:rPr>
                <w:rFonts w:hint="eastAsia" w:ascii="宋体" w:hAnsi="宋体"/>
                <w:sz w:val="24"/>
                <w:szCs w:val="24"/>
              </w:rPr>
              <w:t>投标人响应情况</w:t>
            </w:r>
          </w:p>
        </w:tc>
        <w:tc>
          <w:tcPr>
            <w:tcW w:w="1807" w:type="dxa"/>
            <w:tcBorders>
              <w:top w:val="single" w:color="auto" w:sz="4" w:space="0"/>
              <w:left w:val="single" w:color="auto" w:sz="4" w:space="0"/>
              <w:bottom w:val="single" w:color="auto" w:sz="4" w:space="0"/>
              <w:right w:val="single" w:color="auto" w:sz="4" w:space="0"/>
            </w:tcBorders>
          </w:tcPr>
          <w:p w14:paraId="4469A7FE">
            <w:pPr>
              <w:spacing w:line="360" w:lineRule="auto"/>
              <w:jc w:val="center"/>
              <w:rPr>
                <w:rFonts w:ascii="宋体" w:hAnsi="宋体"/>
                <w:sz w:val="24"/>
                <w:szCs w:val="24"/>
              </w:rPr>
            </w:pPr>
            <w:r>
              <w:rPr>
                <w:rFonts w:hint="eastAsia" w:ascii="宋体" w:hAnsi="宋体"/>
                <w:sz w:val="24"/>
                <w:szCs w:val="24"/>
              </w:rPr>
              <w:t>差异</w:t>
            </w:r>
          </w:p>
        </w:tc>
      </w:tr>
      <w:tr w14:paraId="23F52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828" w:type="dxa"/>
            <w:tcBorders>
              <w:top w:val="single" w:color="auto" w:sz="4" w:space="0"/>
              <w:left w:val="single" w:color="auto" w:sz="4" w:space="0"/>
              <w:bottom w:val="single" w:color="auto" w:sz="4" w:space="0"/>
              <w:right w:val="single" w:color="auto" w:sz="4" w:space="0"/>
            </w:tcBorders>
          </w:tcPr>
          <w:p w14:paraId="7CC24D98">
            <w:pPr>
              <w:spacing w:line="360" w:lineRule="auto"/>
              <w:jc w:val="center"/>
              <w:rPr>
                <w:rFonts w:ascii="宋体" w:hAnsi="宋体"/>
                <w:sz w:val="24"/>
                <w:szCs w:val="24"/>
              </w:rPr>
            </w:pPr>
            <w:r>
              <w:rPr>
                <w:rFonts w:hint="eastAsia" w:ascii="宋体" w:hAnsi="宋体"/>
                <w:sz w:val="24"/>
                <w:szCs w:val="24"/>
              </w:rPr>
              <w:t>1</w:t>
            </w:r>
          </w:p>
        </w:tc>
        <w:tc>
          <w:tcPr>
            <w:tcW w:w="3807" w:type="dxa"/>
            <w:tcBorders>
              <w:top w:val="single" w:color="auto" w:sz="4" w:space="0"/>
              <w:left w:val="single" w:color="auto" w:sz="4" w:space="0"/>
              <w:bottom w:val="single" w:color="auto" w:sz="4" w:space="0"/>
              <w:right w:val="single" w:color="auto" w:sz="4" w:space="0"/>
            </w:tcBorders>
          </w:tcPr>
          <w:p w14:paraId="2B5A3FE4">
            <w:pPr>
              <w:spacing w:line="360" w:lineRule="auto"/>
              <w:jc w:val="both"/>
              <w:rPr>
                <w:rFonts w:ascii="宋体" w:hAnsi="宋体"/>
                <w:sz w:val="24"/>
                <w:szCs w:val="24"/>
              </w:rPr>
            </w:pPr>
            <w:r>
              <w:rPr>
                <w:rFonts w:ascii="宋体" w:hAnsi="宋体"/>
                <w:sz w:val="24"/>
                <w:szCs w:val="24"/>
              </w:rPr>
              <w:t>★本次采购产品为非进口产品（进口产品指通过中国海关报关验放进入中国境内且产自关境外的产品）。</w:t>
            </w:r>
          </w:p>
        </w:tc>
        <w:tc>
          <w:tcPr>
            <w:tcW w:w="2880" w:type="dxa"/>
            <w:tcBorders>
              <w:top w:val="single" w:color="auto" w:sz="4" w:space="0"/>
              <w:left w:val="single" w:color="auto" w:sz="4" w:space="0"/>
              <w:bottom w:val="single" w:color="auto" w:sz="4" w:space="0"/>
              <w:right w:val="single" w:color="auto" w:sz="4" w:space="0"/>
            </w:tcBorders>
          </w:tcPr>
          <w:p w14:paraId="22FF8135">
            <w:pPr>
              <w:spacing w:line="360" w:lineRule="auto"/>
              <w:rPr>
                <w:rFonts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14:paraId="7DAE2602">
            <w:pPr>
              <w:spacing w:line="360" w:lineRule="auto"/>
              <w:jc w:val="center"/>
              <w:rPr>
                <w:rFonts w:ascii="宋体" w:hAnsi="宋体"/>
                <w:sz w:val="24"/>
                <w:szCs w:val="24"/>
              </w:rPr>
            </w:pPr>
          </w:p>
        </w:tc>
      </w:tr>
      <w:tr w14:paraId="51314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828" w:type="dxa"/>
            <w:tcBorders>
              <w:top w:val="single" w:color="auto" w:sz="4" w:space="0"/>
              <w:left w:val="single" w:color="auto" w:sz="4" w:space="0"/>
              <w:bottom w:val="single" w:color="auto" w:sz="4" w:space="0"/>
              <w:right w:val="single" w:color="auto" w:sz="4" w:space="0"/>
            </w:tcBorders>
          </w:tcPr>
          <w:p w14:paraId="7A624269">
            <w:pPr>
              <w:spacing w:line="360" w:lineRule="auto"/>
              <w:jc w:val="center"/>
              <w:rPr>
                <w:rFonts w:hint="eastAsia" w:ascii="宋体" w:hAnsi="宋体"/>
                <w:sz w:val="24"/>
                <w:szCs w:val="24"/>
              </w:rPr>
            </w:pPr>
            <w:r>
              <w:rPr>
                <w:rFonts w:hint="eastAsia" w:ascii="宋体" w:hAnsi="宋体"/>
                <w:sz w:val="24"/>
                <w:szCs w:val="24"/>
              </w:rPr>
              <w:t>2</w:t>
            </w:r>
          </w:p>
        </w:tc>
        <w:tc>
          <w:tcPr>
            <w:tcW w:w="3807" w:type="dxa"/>
            <w:tcBorders>
              <w:top w:val="single" w:color="auto" w:sz="4" w:space="0"/>
              <w:left w:val="single" w:color="auto" w:sz="4" w:space="0"/>
              <w:bottom w:val="single" w:color="auto" w:sz="4" w:space="0"/>
              <w:right w:val="single" w:color="auto" w:sz="4" w:space="0"/>
            </w:tcBorders>
          </w:tcPr>
          <w:p w14:paraId="52E1A433">
            <w:pPr>
              <w:spacing w:line="360" w:lineRule="auto"/>
              <w:jc w:val="both"/>
              <w:rPr>
                <w:rFonts w:hint="eastAsia" w:ascii="宋体" w:hAnsi="宋体"/>
                <w:sz w:val="24"/>
                <w:szCs w:val="24"/>
              </w:rPr>
            </w:pPr>
            <w:r>
              <w:rPr>
                <w:rFonts w:ascii="宋体" w:hAnsi="宋体"/>
                <w:sz w:val="24"/>
                <w:szCs w:val="24"/>
              </w:rPr>
              <w:t>★凡属于《中华人民共和国实施强制性产品认证的产品目录》的产品，请投标人在投标文件中承诺在交货时提供该产品的“中国强制性产品认证”（CCC认证）证书。</w:t>
            </w:r>
          </w:p>
        </w:tc>
        <w:tc>
          <w:tcPr>
            <w:tcW w:w="2880" w:type="dxa"/>
            <w:tcBorders>
              <w:top w:val="single" w:color="auto" w:sz="4" w:space="0"/>
              <w:left w:val="single" w:color="auto" w:sz="4" w:space="0"/>
              <w:bottom w:val="single" w:color="auto" w:sz="4" w:space="0"/>
              <w:right w:val="single" w:color="auto" w:sz="4" w:space="0"/>
            </w:tcBorders>
          </w:tcPr>
          <w:p w14:paraId="1544836A">
            <w:pPr>
              <w:spacing w:line="360" w:lineRule="auto"/>
              <w:rPr>
                <w:rFonts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14:paraId="1346061F">
            <w:pPr>
              <w:spacing w:line="360" w:lineRule="auto"/>
              <w:jc w:val="center"/>
              <w:rPr>
                <w:rFonts w:ascii="宋体" w:hAnsi="宋体"/>
                <w:sz w:val="24"/>
                <w:szCs w:val="24"/>
              </w:rPr>
            </w:pPr>
          </w:p>
        </w:tc>
      </w:tr>
      <w:tr w14:paraId="1FF35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828" w:type="dxa"/>
            <w:tcBorders>
              <w:top w:val="single" w:color="auto" w:sz="4" w:space="0"/>
              <w:left w:val="single" w:color="auto" w:sz="4" w:space="0"/>
              <w:bottom w:val="single" w:color="auto" w:sz="4" w:space="0"/>
              <w:right w:val="single" w:color="auto" w:sz="4" w:space="0"/>
            </w:tcBorders>
          </w:tcPr>
          <w:p w14:paraId="6AB533AE">
            <w:pPr>
              <w:spacing w:line="360" w:lineRule="auto"/>
              <w:jc w:val="center"/>
              <w:rPr>
                <w:rFonts w:hint="eastAsia" w:ascii="宋体" w:hAnsi="宋体" w:eastAsia="宋体"/>
                <w:sz w:val="24"/>
                <w:szCs w:val="24"/>
                <w:lang w:val="en-US" w:eastAsia="zh-CN"/>
              </w:rPr>
            </w:pPr>
            <w:r>
              <w:rPr>
                <w:rFonts w:hint="eastAsia" w:ascii="宋体" w:hAnsi="宋体"/>
                <w:sz w:val="24"/>
                <w:szCs w:val="24"/>
                <w:lang w:val="en-US" w:eastAsia="zh-CN"/>
              </w:rPr>
              <w:t>3</w:t>
            </w:r>
          </w:p>
        </w:tc>
        <w:tc>
          <w:tcPr>
            <w:tcW w:w="3807" w:type="dxa"/>
            <w:tcBorders>
              <w:top w:val="single" w:color="auto" w:sz="4" w:space="0"/>
              <w:left w:val="single" w:color="auto" w:sz="4" w:space="0"/>
              <w:bottom w:val="single" w:color="auto" w:sz="4" w:space="0"/>
              <w:right w:val="single" w:color="auto" w:sz="4" w:space="0"/>
            </w:tcBorders>
          </w:tcPr>
          <w:p w14:paraId="46F9C200">
            <w:pPr>
              <w:spacing w:line="360" w:lineRule="auto"/>
              <w:jc w:val="both"/>
              <w:rPr>
                <w:rFonts w:hint="eastAsia" w:ascii="宋体" w:hAnsi="宋体"/>
                <w:sz w:val="24"/>
                <w:szCs w:val="24"/>
              </w:rPr>
            </w:pPr>
            <w:r>
              <w:rPr>
                <w:rFonts w:ascii="宋体" w:hAnsi="宋体"/>
                <w:sz w:val="24"/>
                <w:szCs w:val="24"/>
              </w:rPr>
              <w:t>★考虑到兼容性及统一管理，此产品需与4K云节点同一品牌。提供承诺函，格式自拟。</w:t>
            </w:r>
          </w:p>
        </w:tc>
        <w:tc>
          <w:tcPr>
            <w:tcW w:w="2880" w:type="dxa"/>
            <w:tcBorders>
              <w:top w:val="single" w:color="auto" w:sz="4" w:space="0"/>
              <w:left w:val="single" w:color="auto" w:sz="4" w:space="0"/>
              <w:bottom w:val="single" w:color="auto" w:sz="4" w:space="0"/>
              <w:right w:val="single" w:color="auto" w:sz="4" w:space="0"/>
            </w:tcBorders>
          </w:tcPr>
          <w:p w14:paraId="19438CC2">
            <w:pPr>
              <w:spacing w:line="360" w:lineRule="auto"/>
              <w:rPr>
                <w:rFonts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14:paraId="1BE224E0">
            <w:pPr>
              <w:spacing w:line="360" w:lineRule="auto"/>
              <w:jc w:val="center"/>
              <w:rPr>
                <w:rFonts w:ascii="宋体" w:hAnsi="宋体"/>
                <w:sz w:val="24"/>
                <w:szCs w:val="24"/>
              </w:rPr>
            </w:pPr>
          </w:p>
          <w:p w14:paraId="2F1ADCFC">
            <w:pPr>
              <w:spacing w:line="360" w:lineRule="auto"/>
              <w:jc w:val="center"/>
              <w:rPr>
                <w:rFonts w:ascii="宋体" w:hAnsi="宋体"/>
                <w:sz w:val="24"/>
                <w:szCs w:val="24"/>
              </w:rPr>
            </w:pPr>
          </w:p>
        </w:tc>
      </w:tr>
      <w:tr w14:paraId="7A3E2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828" w:type="dxa"/>
            <w:tcBorders>
              <w:top w:val="single" w:color="auto" w:sz="4" w:space="0"/>
              <w:left w:val="single" w:color="auto" w:sz="4" w:space="0"/>
              <w:bottom w:val="single" w:color="auto" w:sz="4" w:space="0"/>
              <w:right w:val="single" w:color="auto" w:sz="4" w:space="0"/>
            </w:tcBorders>
          </w:tcPr>
          <w:p w14:paraId="1E67C79F">
            <w:pPr>
              <w:spacing w:line="360" w:lineRule="auto"/>
              <w:jc w:val="center"/>
              <w:rPr>
                <w:rFonts w:hint="default" w:ascii="宋体" w:hAnsi="宋体"/>
                <w:sz w:val="24"/>
                <w:szCs w:val="24"/>
                <w:lang w:val="en-US" w:eastAsia="zh-CN"/>
              </w:rPr>
            </w:pPr>
            <w:r>
              <w:rPr>
                <w:rFonts w:hint="eastAsia" w:ascii="宋体" w:hAnsi="宋体"/>
                <w:sz w:val="24"/>
                <w:szCs w:val="24"/>
                <w:lang w:val="en-US" w:eastAsia="zh-CN"/>
              </w:rPr>
              <w:t>4</w:t>
            </w:r>
          </w:p>
        </w:tc>
        <w:tc>
          <w:tcPr>
            <w:tcW w:w="3807" w:type="dxa"/>
            <w:tcBorders>
              <w:top w:val="single" w:color="auto" w:sz="4" w:space="0"/>
              <w:left w:val="single" w:color="auto" w:sz="4" w:space="0"/>
              <w:bottom w:val="single" w:color="auto" w:sz="4" w:space="0"/>
              <w:right w:val="single" w:color="auto" w:sz="4" w:space="0"/>
            </w:tcBorders>
          </w:tcPr>
          <w:p w14:paraId="0F692314">
            <w:pPr>
              <w:spacing w:line="360" w:lineRule="auto"/>
              <w:jc w:val="both"/>
              <w:rPr>
                <w:rFonts w:hint="eastAsia" w:ascii="宋体" w:hAnsi="宋体"/>
                <w:sz w:val="24"/>
                <w:szCs w:val="24"/>
              </w:rPr>
            </w:pPr>
            <w:r>
              <w:rPr>
                <w:rFonts w:ascii="宋体" w:hAnsi="宋体"/>
                <w:sz w:val="24"/>
                <w:szCs w:val="24"/>
              </w:rPr>
              <w:t>★采用一体化设计，同时内置不少于智能中控、视频切换矩阵、数字音频处理器、POE交换机、数字功放、编解码器、视频会议终端（SIP双流呼叫）、录播、OPS电脑、无线投屏、无线话筒等模块。（提供检测报告扫描件并加盖投标人公章，要求报告带有CNAS或CMA标识）</w:t>
            </w:r>
          </w:p>
        </w:tc>
        <w:tc>
          <w:tcPr>
            <w:tcW w:w="2880" w:type="dxa"/>
            <w:tcBorders>
              <w:top w:val="single" w:color="auto" w:sz="4" w:space="0"/>
              <w:left w:val="single" w:color="auto" w:sz="4" w:space="0"/>
              <w:bottom w:val="single" w:color="auto" w:sz="4" w:space="0"/>
              <w:right w:val="single" w:color="auto" w:sz="4" w:space="0"/>
            </w:tcBorders>
          </w:tcPr>
          <w:p w14:paraId="7CBE4F4F">
            <w:pPr>
              <w:spacing w:line="360" w:lineRule="auto"/>
              <w:rPr>
                <w:rFonts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14:paraId="6E0D8D76">
            <w:pPr>
              <w:spacing w:line="360" w:lineRule="auto"/>
              <w:jc w:val="center"/>
              <w:rPr>
                <w:rFonts w:ascii="宋体" w:hAnsi="宋体"/>
                <w:sz w:val="24"/>
                <w:szCs w:val="24"/>
              </w:rPr>
            </w:pPr>
          </w:p>
        </w:tc>
      </w:tr>
      <w:tr w14:paraId="77553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828" w:type="dxa"/>
            <w:tcBorders>
              <w:top w:val="single" w:color="auto" w:sz="4" w:space="0"/>
              <w:left w:val="single" w:color="auto" w:sz="4" w:space="0"/>
              <w:bottom w:val="single" w:color="auto" w:sz="4" w:space="0"/>
              <w:right w:val="single" w:color="auto" w:sz="4" w:space="0"/>
            </w:tcBorders>
          </w:tcPr>
          <w:p w14:paraId="380FC9D2">
            <w:pPr>
              <w:spacing w:line="360" w:lineRule="auto"/>
              <w:jc w:val="center"/>
              <w:rPr>
                <w:rFonts w:hint="default" w:ascii="宋体" w:hAnsi="宋体"/>
                <w:sz w:val="24"/>
                <w:szCs w:val="24"/>
                <w:lang w:val="en-US" w:eastAsia="zh-CN"/>
              </w:rPr>
            </w:pPr>
            <w:r>
              <w:rPr>
                <w:rFonts w:hint="eastAsia" w:ascii="宋体" w:hAnsi="宋体"/>
                <w:sz w:val="24"/>
                <w:szCs w:val="24"/>
                <w:lang w:val="en-US" w:eastAsia="zh-CN"/>
              </w:rPr>
              <w:t>5</w:t>
            </w:r>
          </w:p>
        </w:tc>
        <w:tc>
          <w:tcPr>
            <w:tcW w:w="3807" w:type="dxa"/>
            <w:tcBorders>
              <w:top w:val="single" w:color="auto" w:sz="4" w:space="0"/>
              <w:left w:val="single" w:color="auto" w:sz="4" w:space="0"/>
              <w:bottom w:val="single" w:color="auto" w:sz="4" w:space="0"/>
              <w:right w:val="single" w:color="auto" w:sz="4" w:space="0"/>
            </w:tcBorders>
          </w:tcPr>
          <w:p w14:paraId="44BA19AA">
            <w:pPr>
              <w:spacing w:line="360" w:lineRule="auto"/>
              <w:jc w:val="both"/>
              <w:rPr>
                <w:rFonts w:ascii="宋体" w:hAnsi="宋体"/>
                <w:sz w:val="24"/>
                <w:szCs w:val="24"/>
              </w:rPr>
            </w:pPr>
            <w:r>
              <w:rPr>
                <w:rFonts w:ascii="宋体" w:hAnsi="宋体"/>
                <w:sz w:val="24"/>
                <w:szCs w:val="24"/>
              </w:rPr>
              <w:t>★考虑到兼容性及统一管理，此产品需与4K云节点同一品牌，提供承诺函，格式自拟。</w:t>
            </w:r>
          </w:p>
        </w:tc>
        <w:tc>
          <w:tcPr>
            <w:tcW w:w="2880" w:type="dxa"/>
            <w:tcBorders>
              <w:top w:val="single" w:color="auto" w:sz="4" w:space="0"/>
              <w:left w:val="single" w:color="auto" w:sz="4" w:space="0"/>
              <w:bottom w:val="single" w:color="auto" w:sz="4" w:space="0"/>
              <w:right w:val="single" w:color="auto" w:sz="4" w:space="0"/>
            </w:tcBorders>
          </w:tcPr>
          <w:p w14:paraId="1E744266">
            <w:pPr>
              <w:spacing w:line="360" w:lineRule="auto"/>
              <w:rPr>
                <w:rFonts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14:paraId="4ECFAF7A">
            <w:pPr>
              <w:spacing w:line="360" w:lineRule="auto"/>
              <w:jc w:val="center"/>
              <w:rPr>
                <w:rFonts w:ascii="宋体" w:hAnsi="宋体"/>
                <w:sz w:val="24"/>
                <w:szCs w:val="24"/>
              </w:rPr>
            </w:pPr>
          </w:p>
        </w:tc>
      </w:tr>
      <w:tr w14:paraId="4E23A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14:paraId="77C9AE26">
            <w:pPr>
              <w:spacing w:line="360" w:lineRule="auto"/>
              <w:jc w:val="center"/>
              <w:rPr>
                <w:rFonts w:ascii="宋体" w:hAnsi="宋体"/>
                <w:sz w:val="24"/>
                <w:szCs w:val="24"/>
              </w:rPr>
            </w:pPr>
            <w:r>
              <w:rPr>
                <w:rFonts w:ascii="宋体" w:hAnsi="宋体"/>
                <w:sz w:val="24"/>
                <w:szCs w:val="24"/>
              </w:rPr>
              <w:t>…</w:t>
            </w:r>
          </w:p>
        </w:tc>
        <w:tc>
          <w:tcPr>
            <w:tcW w:w="3807" w:type="dxa"/>
            <w:tcBorders>
              <w:top w:val="single" w:color="auto" w:sz="4" w:space="0"/>
              <w:left w:val="single" w:color="auto" w:sz="4" w:space="0"/>
              <w:bottom w:val="single" w:color="auto" w:sz="4" w:space="0"/>
              <w:right w:val="single" w:color="auto" w:sz="4" w:space="0"/>
            </w:tcBorders>
          </w:tcPr>
          <w:p w14:paraId="4419EC15">
            <w:pPr>
              <w:spacing w:line="360" w:lineRule="auto"/>
              <w:rPr>
                <w:rFonts w:ascii="宋体" w:hAnsi="宋体"/>
                <w:sz w:val="24"/>
                <w:szCs w:val="24"/>
              </w:rPr>
            </w:pPr>
          </w:p>
        </w:tc>
        <w:tc>
          <w:tcPr>
            <w:tcW w:w="2880" w:type="dxa"/>
            <w:tcBorders>
              <w:top w:val="single" w:color="auto" w:sz="4" w:space="0"/>
              <w:left w:val="single" w:color="auto" w:sz="4" w:space="0"/>
              <w:bottom w:val="single" w:color="auto" w:sz="4" w:space="0"/>
              <w:right w:val="single" w:color="auto" w:sz="4" w:space="0"/>
            </w:tcBorders>
          </w:tcPr>
          <w:p w14:paraId="0D2144B5">
            <w:pPr>
              <w:spacing w:line="360" w:lineRule="auto"/>
              <w:rPr>
                <w:rFonts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14:paraId="1BA772B6">
            <w:pPr>
              <w:spacing w:line="360" w:lineRule="auto"/>
              <w:rPr>
                <w:rFonts w:ascii="宋体" w:hAnsi="宋体"/>
                <w:sz w:val="24"/>
                <w:szCs w:val="24"/>
              </w:rPr>
            </w:pPr>
          </w:p>
        </w:tc>
      </w:tr>
    </w:tbl>
    <w:p w14:paraId="6D503897">
      <w:pPr>
        <w:spacing w:line="360" w:lineRule="auto"/>
        <w:rPr>
          <w:rFonts w:ascii="宋体" w:hAnsi="宋体"/>
          <w:sz w:val="24"/>
          <w:szCs w:val="24"/>
        </w:rPr>
      </w:pPr>
      <w:r>
        <w:rPr>
          <w:rFonts w:hint="eastAsia" w:ascii="宋体" w:hAnsi="宋体"/>
          <w:sz w:val="24"/>
          <w:szCs w:val="24"/>
        </w:rPr>
        <w:t>说</w:t>
      </w:r>
      <w:bookmarkStart w:id="0" w:name="_GoBack"/>
      <w:bookmarkEnd w:id="0"/>
      <w:r>
        <w:rPr>
          <w:rFonts w:hint="eastAsia" w:ascii="宋体" w:hAnsi="宋体"/>
          <w:sz w:val="24"/>
          <w:szCs w:val="24"/>
        </w:rPr>
        <w:t>明：</w:t>
      </w:r>
    </w:p>
    <w:p w14:paraId="3B61153D">
      <w:pPr>
        <w:pStyle w:val="7"/>
        <w:shd w:val="clear" w:color="auto" w:fill="FFFFFF"/>
        <w:ind w:firstLine="480"/>
      </w:pPr>
      <w:r>
        <w:rPr>
          <w:rFonts w:hint="eastAsia"/>
        </w:rPr>
        <w:t>1.实质性响应条款一览表后续内容请根据第二章采购需求</w:t>
      </w:r>
      <w:r>
        <w:rPr>
          <w:rStyle w:val="10"/>
          <w:rFonts w:hint="eastAsia"/>
          <w:b w:val="0"/>
        </w:rPr>
        <w:t>★</w:t>
      </w:r>
      <w:r>
        <w:rPr>
          <w:rFonts w:hint="eastAsia"/>
        </w:rPr>
        <w:t>号条款详细列举；（注：如实质性响应一览表的所列的实质性响应条款与招标文件的第二章采购需求</w:t>
      </w:r>
      <w:r>
        <w:rPr>
          <w:rStyle w:val="10"/>
          <w:rFonts w:hint="eastAsia"/>
          <w:b w:val="0"/>
        </w:rPr>
        <w:t>★</w:t>
      </w:r>
      <w:r>
        <w:rPr>
          <w:rFonts w:hint="eastAsia"/>
        </w:rPr>
        <w:t>号所列的条款不一致的，按招标文件的第二章采购需求</w:t>
      </w:r>
      <w:r>
        <w:rPr>
          <w:rStyle w:val="10"/>
          <w:rFonts w:hint="eastAsia"/>
          <w:b w:val="0"/>
        </w:rPr>
        <w:t>★</w:t>
      </w:r>
      <w:r>
        <w:rPr>
          <w:rFonts w:hint="eastAsia"/>
        </w:rPr>
        <w:t>号所列的条款为准。）</w:t>
      </w:r>
    </w:p>
    <w:p w14:paraId="692E928B">
      <w:pPr>
        <w:pStyle w:val="7"/>
        <w:shd w:val="clear" w:color="auto" w:fill="FFFFFF"/>
        <w:ind w:firstLine="480"/>
      </w:pPr>
      <w:r>
        <w:rPr>
          <w:rFonts w:hint="eastAsia"/>
        </w:rPr>
        <w:t>2.本表所列条款必须一一予以响应，“投标人响应情况”一栏应</w:t>
      </w:r>
      <w:r>
        <w:rPr>
          <w:rStyle w:val="10"/>
          <w:rFonts w:hint="eastAsia"/>
          <w:b w:val="0"/>
        </w:rPr>
        <w:t>填写具体的响应内容，有差异</w:t>
      </w:r>
      <w:r>
        <w:rPr>
          <w:rFonts w:hint="eastAsia"/>
        </w:rPr>
        <w:t>的要具体说明。</w:t>
      </w:r>
    </w:p>
    <w:p w14:paraId="25D24A96">
      <w:pPr>
        <w:pStyle w:val="7"/>
        <w:shd w:val="clear" w:color="auto" w:fill="FFFFFF"/>
        <w:ind w:firstLine="480"/>
      </w:pPr>
      <w:r>
        <w:rPr>
          <w:rFonts w:hint="eastAsia"/>
        </w:rPr>
        <w:t>3.请投标人认真填写本表内容，如填写错误将可能导致投标无效。</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3044"/>
    <w:rsid w:val="00057F68"/>
    <w:rsid w:val="00076C5F"/>
    <w:rsid w:val="000B11EC"/>
    <w:rsid w:val="000C13F0"/>
    <w:rsid w:val="001079D2"/>
    <w:rsid w:val="00181B90"/>
    <w:rsid w:val="00194F3E"/>
    <w:rsid w:val="00197752"/>
    <w:rsid w:val="001A6CAB"/>
    <w:rsid w:val="001B369A"/>
    <w:rsid w:val="001F5062"/>
    <w:rsid w:val="002048E3"/>
    <w:rsid w:val="0021128E"/>
    <w:rsid w:val="00233AE2"/>
    <w:rsid w:val="00241A6B"/>
    <w:rsid w:val="002643B9"/>
    <w:rsid w:val="00267E9D"/>
    <w:rsid w:val="0028293D"/>
    <w:rsid w:val="002A0136"/>
    <w:rsid w:val="002C7ECB"/>
    <w:rsid w:val="002E171B"/>
    <w:rsid w:val="002F3044"/>
    <w:rsid w:val="003105EE"/>
    <w:rsid w:val="00330C5D"/>
    <w:rsid w:val="0037721F"/>
    <w:rsid w:val="00377673"/>
    <w:rsid w:val="0039656A"/>
    <w:rsid w:val="003D18D6"/>
    <w:rsid w:val="004003D3"/>
    <w:rsid w:val="00466C41"/>
    <w:rsid w:val="004B30C6"/>
    <w:rsid w:val="004F0766"/>
    <w:rsid w:val="00570AA7"/>
    <w:rsid w:val="005D24CD"/>
    <w:rsid w:val="0063375A"/>
    <w:rsid w:val="00657874"/>
    <w:rsid w:val="006B4B57"/>
    <w:rsid w:val="006C7B72"/>
    <w:rsid w:val="006F3CCF"/>
    <w:rsid w:val="0070594B"/>
    <w:rsid w:val="00722605"/>
    <w:rsid w:val="007519A8"/>
    <w:rsid w:val="007B64B2"/>
    <w:rsid w:val="008103F4"/>
    <w:rsid w:val="008134F5"/>
    <w:rsid w:val="00830269"/>
    <w:rsid w:val="008826E0"/>
    <w:rsid w:val="00886379"/>
    <w:rsid w:val="008A618D"/>
    <w:rsid w:val="00911FE8"/>
    <w:rsid w:val="00917917"/>
    <w:rsid w:val="00923ED9"/>
    <w:rsid w:val="00926E05"/>
    <w:rsid w:val="00967340"/>
    <w:rsid w:val="009740EE"/>
    <w:rsid w:val="009C60E2"/>
    <w:rsid w:val="009E4C17"/>
    <w:rsid w:val="009E777C"/>
    <w:rsid w:val="00A1664F"/>
    <w:rsid w:val="00A30155"/>
    <w:rsid w:val="00A405C7"/>
    <w:rsid w:val="00A73AE4"/>
    <w:rsid w:val="00AE518D"/>
    <w:rsid w:val="00B026F4"/>
    <w:rsid w:val="00B134D9"/>
    <w:rsid w:val="00B47072"/>
    <w:rsid w:val="00B54908"/>
    <w:rsid w:val="00BC1A96"/>
    <w:rsid w:val="00BF48EB"/>
    <w:rsid w:val="00C554C7"/>
    <w:rsid w:val="00C763E0"/>
    <w:rsid w:val="00C95BF5"/>
    <w:rsid w:val="00CD0E81"/>
    <w:rsid w:val="00CF3FAB"/>
    <w:rsid w:val="00D15114"/>
    <w:rsid w:val="00DA7688"/>
    <w:rsid w:val="00DD09E5"/>
    <w:rsid w:val="00EB0107"/>
    <w:rsid w:val="00EB7CE5"/>
    <w:rsid w:val="00F22736"/>
    <w:rsid w:val="00F33251"/>
    <w:rsid w:val="00F60E94"/>
    <w:rsid w:val="00F77B32"/>
    <w:rsid w:val="3E8C075E"/>
    <w:rsid w:val="528E613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kern w:val="0"/>
      <w:sz w:val="21"/>
      <w:szCs w:val="20"/>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rPr>
      <w:sz w:val="20"/>
    </w:rPr>
  </w:style>
  <w:style w:type="paragraph" w:styleId="3">
    <w:name w:val="Body Text"/>
    <w:basedOn w:val="1"/>
    <w:link w:val="20"/>
    <w:qFormat/>
    <w:uiPriority w:val="1"/>
    <w:pPr>
      <w:widowControl w:val="0"/>
      <w:autoSpaceDE w:val="0"/>
      <w:autoSpaceDN w:val="0"/>
      <w:adjustRightInd w:val="0"/>
      <w:ind w:left="490"/>
    </w:pPr>
    <w:rPr>
      <w:rFonts w:ascii="宋体" w:cs="宋体"/>
      <w:sz w:val="19"/>
      <w:szCs w:val="19"/>
    </w:rPr>
  </w:style>
  <w:style w:type="paragraph" w:styleId="4">
    <w:name w:val="Balloon Text"/>
    <w:basedOn w:val="1"/>
    <w:link w:val="14"/>
    <w:semiHidden/>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pPr>
    <w:rPr>
      <w:sz w:val="18"/>
      <w:szCs w:val="18"/>
    </w:rPr>
  </w:style>
  <w:style w:type="paragraph" w:styleId="6">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spacing w:line="360" w:lineRule="auto"/>
    </w:pPr>
    <w:rPr>
      <w:rFonts w:ascii="宋体" w:hAnsi="宋体" w:cs="宋体"/>
      <w:sz w:val="24"/>
      <w:szCs w:val="24"/>
    </w:rPr>
  </w:style>
  <w:style w:type="character" w:styleId="10">
    <w:name w:val="Strong"/>
    <w:basedOn w:val="9"/>
    <w:qFormat/>
    <w:uiPriority w:val="22"/>
    <w:rPr>
      <w:b/>
      <w:bCs/>
    </w:rPr>
  </w:style>
  <w:style w:type="character" w:styleId="11">
    <w:name w:val="annotation reference"/>
    <w:qFormat/>
    <w:uiPriority w:val="99"/>
    <w:rPr>
      <w:rFonts w:ascii="Tahoma" w:hAnsi="Tahoma"/>
      <w:kern w:val="2"/>
      <w:sz w:val="21"/>
      <w:szCs w:val="21"/>
    </w:rPr>
  </w:style>
  <w:style w:type="character" w:customStyle="1" w:styleId="12">
    <w:name w:val="页眉 Char"/>
    <w:basedOn w:val="9"/>
    <w:link w:val="6"/>
    <w:qFormat/>
    <w:uiPriority w:val="99"/>
    <w:rPr>
      <w:sz w:val="18"/>
      <w:szCs w:val="18"/>
    </w:rPr>
  </w:style>
  <w:style w:type="character" w:customStyle="1" w:styleId="13">
    <w:name w:val="页脚 Char"/>
    <w:basedOn w:val="9"/>
    <w:link w:val="5"/>
    <w:qFormat/>
    <w:uiPriority w:val="99"/>
    <w:rPr>
      <w:sz w:val="18"/>
      <w:szCs w:val="18"/>
    </w:rPr>
  </w:style>
  <w:style w:type="character" w:customStyle="1" w:styleId="14">
    <w:name w:val="批注框文本 Char"/>
    <w:basedOn w:val="9"/>
    <w:link w:val="4"/>
    <w:semiHidden/>
    <w:qFormat/>
    <w:uiPriority w:val="99"/>
    <w:rPr>
      <w:sz w:val="18"/>
      <w:szCs w:val="18"/>
    </w:rPr>
  </w:style>
  <w:style w:type="character" w:customStyle="1" w:styleId="15">
    <w:name w:val="批注文字 Char"/>
    <w:basedOn w:val="9"/>
    <w:link w:val="2"/>
    <w:qFormat/>
    <w:uiPriority w:val="99"/>
    <w:rPr>
      <w:rFonts w:ascii="Times New Roman" w:hAnsi="Times New Roman" w:eastAsia="宋体" w:cs="Times New Roman"/>
      <w:kern w:val="0"/>
      <w:sz w:val="20"/>
      <w:szCs w:val="20"/>
    </w:rPr>
  </w:style>
  <w:style w:type="paragraph" w:customStyle="1" w:styleId="16">
    <w:name w:val="Table Paragraph"/>
    <w:basedOn w:val="1"/>
    <w:qFormat/>
    <w:uiPriority w:val="1"/>
    <w:pPr>
      <w:widowControl w:val="0"/>
      <w:autoSpaceDE w:val="0"/>
      <w:autoSpaceDN w:val="0"/>
    </w:pPr>
    <w:rPr>
      <w:rFonts w:ascii="宋体" w:hAnsi="宋体" w:cs="宋体"/>
      <w:sz w:val="22"/>
      <w:szCs w:val="22"/>
      <w:lang w:val="zh-CN" w:bidi="zh-CN"/>
    </w:rPr>
  </w:style>
  <w:style w:type="paragraph" w:customStyle="1" w:styleId="17">
    <w:name w:val="正文_0"/>
    <w:link w:val="18"/>
    <w:qFormat/>
    <w:uiPriority w:val="0"/>
    <w:pPr>
      <w:widowControl w:val="0"/>
      <w:jc w:val="both"/>
    </w:pPr>
    <w:rPr>
      <w:rFonts w:ascii="Calibri" w:hAnsi="Calibri" w:eastAsia="宋体" w:cs="宋体"/>
      <w:kern w:val="2"/>
      <w:sz w:val="21"/>
      <w:szCs w:val="21"/>
      <w:lang w:val="en-US" w:eastAsia="zh-CN" w:bidi="ar-SA"/>
    </w:rPr>
  </w:style>
  <w:style w:type="character" w:customStyle="1" w:styleId="18">
    <w:name w:val="正文_0 Char"/>
    <w:link w:val="17"/>
    <w:qFormat/>
    <w:uiPriority w:val="0"/>
    <w:rPr>
      <w:rFonts w:ascii="Calibri" w:hAnsi="Calibri" w:eastAsia="宋体" w:cs="宋体"/>
      <w:szCs w:val="21"/>
    </w:rPr>
  </w:style>
  <w:style w:type="paragraph" w:customStyle="1" w:styleId="19">
    <w:name w:val="正文_1"/>
    <w:basedOn w:val="1"/>
    <w:qFormat/>
    <w:uiPriority w:val="0"/>
    <w:rPr>
      <w:rFonts w:ascii="Calibri" w:hAnsi="Calibri" w:cs="宋体"/>
      <w:szCs w:val="21"/>
    </w:rPr>
  </w:style>
  <w:style w:type="character" w:customStyle="1" w:styleId="20">
    <w:name w:val="正文文本 Char"/>
    <w:basedOn w:val="9"/>
    <w:link w:val="3"/>
    <w:qFormat/>
    <w:uiPriority w:val="99"/>
    <w:rPr>
      <w:rFonts w:ascii="宋体" w:hAnsi="Times New Roman" w:eastAsia="宋体" w:cs="宋体"/>
      <w:kern w:val="0"/>
      <w:sz w:val="19"/>
      <w:szCs w:val="19"/>
    </w:rPr>
  </w:style>
  <w:style w:type="paragraph" w:customStyle="1" w:styleId="21">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kern w:val="0"/>
      <w:sz w:val="21"/>
      <w:szCs w:val="20"/>
      <w:lang w:val="en-US" w:eastAsia="zh-CN" w:bidi="ar-SA"/>
    </w:rPr>
  </w:style>
  <w:style w:type="paragraph" w:customStyle="1" w:styleId="22">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1269</Words>
  <Characters>1286</Characters>
  <Lines>2</Lines>
  <Paragraphs>1</Paragraphs>
  <TotalTime>0</TotalTime>
  <ScaleCrop>false</ScaleCrop>
  <LinksUpToDate>false</LinksUpToDate>
  <CharactersWithSpaces>1286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2022-04-02T02:27:00Z</dcterms:created>
  <dc:creator>黄婕</dc:creator>
  <cp:lastModifiedBy>晞玹</cp:lastModifiedBy>
  <dcterms:modified xsi:type="dcterms:W3CDTF">2025-06-26T01:32:10Z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46FFFEAD1A21441D96C857BAC76BD804_13</vt:lpwstr>
  </property>
  <property fmtid="{D5CDD505-2E9C-101B-9397-08002B2CF9AE}" pid="4" name="KSOTemplateDocerSaveRecord">
    <vt:lpwstr>eyJoZGlkIjoiYjUyOWIzZGQ0MWE5Njg1YzhjMjNmYThmYzdjMGI1MWMiLCJ1c2VySWQiOiIxNTU1MjUwNTExIn0=</vt:lpwstr>
  </property>
</Properties>
</file>