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38164D">
      <w:pPr>
        <w:jc w:val="center"/>
        <w:rPr>
          <w:rFonts w:hint="eastAsia" w:ascii="宋体" w:hAnsi="宋体" w:eastAsia="宋体" w:cs="宋体"/>
          <w:b/>
          <w:bCs/>
          <w:color w:val="auto"/>
          <w:sz w:val="54"/>
          <w:szCs w:val="48"/>
          <w:highlight w:val="none"/>
          <w:lang w:eastAsia="zh-CN"/>
        </w:rPr>
      </w:pPr>
    </w:p>
    <w:p w14:paraId="2B330F49">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hint="eastAsia" w:ascii="宋体" w:hAnsi="宋体" w:eastAsia="宋体" w:cs="宋体"/>
          <w:b/>
          <w:bCs/>
          <w:color w:val="auto"/>
          <w:sz w:val="60"/>
          <w:szCs w:val="60"/>
          <w:highlight w:val="none"/>
          <w:lang w:eastAsia="zh-CN"/>
        </w:rPr>
      </w:pPr>
      <w:r>
        <w:rPr>
          <w:rFonts w:hint="eastAsia" w:ascii="宋体" w:hAnsi="宋体" w:eastAsia="宋体" w:cs="宋体"/>
          <w:b/>
          <w:bCs/>
          <w:color w:val="auto"/>
          <w:sz w:val="68"/>
          <w:szCs w:val="68"/>
          <w:highlight w:val="none"/>
          <w:lang w:eastAsia="zh-CN"/>
        </w:rPr>
        <w:t>昌宁县医共体中心药房管理系统采购项目</w:t>
      </w:r>
    </w:p>
    <w:p w14:paraId="03F1EA5B">
      <w:pPr>
        <w:pStyle w:val="13"/>
        <w:rPr>
          <w:rFonts w:hint="eastAsia" w:ascii="宋体" w:hAnsi="宋体" w:eastAsia="宋体" w:cs="宋体"/>
          <w:color w:val="auto"/>
          <w:highlight w:val="none"/>
        </w:rPr>
      </w:pPr>
    </w:p>
    <w:p w14:paraId="71668BD6">
      <w:pPr>
        <w:pStyle w:val="16"/>
        <w:spacing w:line="360" w:lineRule="auto"/>
        <w:jc w:val="center"/>
        <w:rPr>
          <w:rFonts w:hint="eastAsia" w:ascii="宋体" w:hAnsi="宋体" w:eastAsia="宋体" w:cs="宋体"/>
          <w:b/>
          <w:bCs/>
          <w:color w:val="auto"/>
          <w:sz w:val="84"/>
          <w:szCs w:val="84"/>
          <w:highlight w:val="none"/>
          <w:lang w:eastAsia="zh-CN"/>
        </w:rPr>
      </w:pPr>
    </w:p>
    <w:p w14:paraId="7441B30F">
      <w:pPr>
        <w:pStyle w:val="16"/>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竞争性磋商文件</w:t>
      </w:r>
    </w:p>
    <w:p w14:paraId="6FC4A5C8">
      <w:pPr>
        <w:pStyle w:val="16"/>
        <w:spacing w:line="360" w:lineRule="auto"/>
        <w:rPr>
          <w:rFonts w:hint="eastAsia" w:ascii="宋体" w:hAnsi="宋体" w:eastAsia="宋体" w:cs="宋体"/>
          <w:color w:val="auto"/>
          <w:highlight w:val="none"/>
        </w:rPr>
      </w:pPr>
    </w:p>
    <w:p w14:paraId="0EF8A25D">
      <w:pPr>
        <w:pStyle w:val="16"/>
        <w:spacing w:line="360" w:lineRule="auto"/>
        <w:ind w:firstLine="2875" w:firstLineChars="895"/>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项目编号</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eastAsia="zh-CN"/>
        </w:rPr>
        <w:t>TRZBC2026-72</w:t>
      </w:r>
    </w:p>
    <w:p w14:paraId="63381DA6">
      <w:pPr>
        <w:pStyle w:val="16"/>
        <w:spacing w:line="360" w:lineRule="auto"/>
        <w:ind w:left="0" w:leftChars="0" w:firstLine="0" w:firstLineChars="0"/>
        <w:jc w:val="center"/>
        <w:rPr>
          <w:rFonts w:hint="eastAsia" w:ascii="宋体" w:hAnsi="宋体" w:eastAsia="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t>电子交易平台项目编号：BSZC2026-C3-00673-BSTR-0045</w:t>
      </w:r>
    </w:p>
    <w:p w14:paraId="7D986C14">
      <w:pPr>
        <w:pStyle w:val="16"/>
        <w:spacing w:line="360" w:lineRule="auto"/>
        <w:rPr>
          <w:rFonts w:hint="eastAsia" w:ascii="宋体" w:hAnsi="宋体" w:eastAsia="宋体" w:cs="宋体"/>
          <w:color w:val="auto"/>
          <w:highlight w:val="none"/>
        </w:rPr>
      </w:pPr>
    </w:p>
    <w:p w14:paraId="79C11585">
      <w:pPr>
        <w:rPr>
          <w:rFonts w:hint="eastAsia" w:ascii="宋体" w:hAnsi="宋体" w:eastAsia="宋体" w:cs="宋体"/>
          <w:color w:val="auto"/>
          <w:highlight w:val="none"/>
        </w:rPr>
      </w:pPr>
    </w:p>
    <w:p w14:paraId="54E29DB3">
      <w:pPr>
        <w:rPr>
          <w:rFonts w:hint="eastAsia" w:ascii="宋体" w:hAnsi="宋体" w:eastAsia="宋体" w:cs="宋体"/>
          <w:color w:val="auto"/>
          <w:highlight w:val="none"/>
        </w:rPr>
      </w:pPr>
    </w:p>
    <w:p w14:paraId="3C7AB541">
      <w:pPr>
        <w:rPr>
          <w:rFonts w:hint="eastAsia" w:ascii="宋体" w:hAnsi="宋体" w:eastAsia="宋体" w:cs="宋体"/>
          <w:color w:val="auto"/>
          <w:highlight w:val="none"/>
        </w:rPr>
      </w:pPr>
    </w:p>
    <w:p w14:paraId="2FECB231">
      <w:pPr>
        <w:rPr>
          <w:rFonts w:hint="eastAsia" w:ascii="宋体" w:hAnsi="宋体" w:eastAsia="宋体" w:cs="宋体"/>
          <w:color w:val="auto"/>
          <w:highlight w:val="none"/>
        </w:rPr>
      </w:pPr>
    </w:p>
    <w:p w14:paraId="49ABC609">
      <w:pPr>
        <w:rPr>
          <w:rFonts w:hint="eastAsia" w:ascii="宋体" w:hAnsi="宋体" w:eastAsia="宋体" w:cs="宋体"/>
          <w:color w:val="auto"/>
          <w:highlight w:val="none"/>
        </w:rPr>
      </w:pPr>
    </w:p>
    <w:p w14:paraId="00D5BC1A">
      <w:pPr>
        <w:rPr>
          <w:rFonts w:hint="eastAsia" w:ascii="宋体" w:hAnsi="宋体" w:eastAsia="宋体" w:cs="宋体"/>
          <w:color w:val="auto"/>
          <w:highlight w:val="none"/>
        </w:rPr>
      </w:pPr>
    </w:p>
    <w:p w14:paraId="46B3203F">
      <w:pPr>
        <w:rPr>
          <w:rFonts w:hint="eastAsia" w:ascii="宋体" w:hAnsi="宋体" w:eastAsia="宋体" w:cs="宋体"/>
          <w:color w:val="auto"/>
          <w:highlight w:val="none"/>
        </w:rPr>
      </w:pPr>
    </w:p>
    <w:p w14:paraId="3B88F7FD">
      <w:pPr>
        <w:rPr>
          <w:rFonts w:hint="eastAsia" w:ascii="宋体" w:hAnsi="宋体" w:eastAsia="宋体" w:cs="宋体"/>
          <w:color w:val="auto"/>
          <w:highlight w:val="none"/>
        </w:rPr>
      </w:pPr>
    </w:p>
    <w:p w14:paraId="1A2FD97D">
      <w:pPr>
        <w:rPr>
          <w:rFonts w:hint="eastAsia" w:ascii="宋体" w:hAnsi="宋体" w:eastAsia="宋体" w:cs="宋体"/>
          <w:color w:val="auto"/>
          <w:highlight w:val="none"/>
        </w:rPr>
      </w:pPr>
    </w:p>
    <w:p w14:paraId="0E755889">
      <w:pPr>
        <w:pStyle w:val="16"/>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采购人：</w:t>
      </w:r>
      <w:r>
        <w:rPr>
          <w:rFonts w:hint="eastAsia" w:ascii="宋体" w:hAnsi="宋体" w:eastAsia="宋体" w:cs="宋体"/>
          <w:b/>
          <w:bCs/>
          <w:color w:val="auto"/>
          <w:sz w:val="32"/>
          <w:szCs w:val="32"/>
          <w:highlight w:val="none"/>
          <w:lang w:val="en-US" w:eastAsia="zh-CN"/>
        </w:rPr>
        <w:t>昌宁县人民医院</w:t>
      </w:r>
    </w:p>
    <w:p w14:paraId="03A2A520">
      <w:pPr>
        <w:pStyle w:val="16"/>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采购代理机构：保山市天瑞建设工程招标咨询有限公司</w:t>
      </w:r>
    </w:p>
    <w:p w14:paraId="52117F0B">
      <w:pPr>
        <w:pStyle w:val="16"/>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二〇二</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月</w:t>
      </w:r>
    </w:p>
    <w:p w14:paraId="097C7647">
      <w:pPr>
        <w:pStyle w:val="16"/>
        <w:spacing w:line="740" w:lineRule="atLeast"/>
        <w:ind w:firstLine="643" w:firstLineChars="200"/>
        <w:rPr>
          <w:rFonts w:hint="eastAsia" w:ascii="宋体" w:hAnsi="宋体" w:eastAsia="宋体" w:cs="宋体"/>
          <w:b/>
          <w:bCs/>
          <w:color w:val="auto"/>
          <w:sz w:val="32"/>
          <w:szCs w:val="32"/>
          <w:highlight w:val="none"/>
        </w:rPr>
      </w:pPr>
    </w:p>
    <w:p w14:paraId="4065991A">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B6FECF7">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7C23F2E7">
      <w:pPr>
        <w:rPr>
          <w:rFonts w:hint="eastAsia" w:ascii="宋体" w:hAnsi="宋体" w:eastAsia="宋体" w:cs="宋体"/>
          <w:color w:val="auto"/>
          <w:highlight w:val="none"/>
        </w:rPr>
      </w:pPr>
    </w:p>
    <w:p w14:paraId="7364BAD2">
      <w:pPr>
        <w:pStyle w:val="21"/>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 MERGEFORMAT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p>
    <w:p w14:paraId="513E0957">
      <w:pPr>
        <w:pStyle w:val="21"/>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第二章  磋商申请人须知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p>
    <w:p w14:paraId="430386BA">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磋商申请人须知前附表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p>
    <w:p w14:paraId="63A75BC8">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p>
    <w:p w14:paraId="45E2083D">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二、磋商文件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p>
    <w:p w14:paraId="1FDE0A00">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三、响应文件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p>
    <w:p w14:paraId="1CEE5B62">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四、响应文件的提交</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p>
    <w:p w14:paraId="19B004D5">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五、磋商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p>
    <w:p w14:paraId="51ACADB7">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六、成交结果</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p>
    <w:p w14:paraId="7445BB43">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七、其他事项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p>
    <w:p w14:paraId="21027FCE">
      <w:pPr>
        <w:pStyle w:val="21"/>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第三章  合同书样式（参考文本）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24</w:t>
      </w:r>
      <w:r>
        <w:rPr>
          <w:rFonts w:hint="eastAsia" w:ascii="宋体" w:hAnsi="宋体" w:eastAsia="宋体" w:cs="宋体"/>
          <w:color w:val="auto"/>
          <w:sz w:val="28"/>
          <w:szCs w:val="28"/>
          <w:highlight w:val="none"/>
        </w:rPr>
        <w:fldChar w:fldCharType="end"/>
      </w:r>
    </w:p>
    <w:p w14:paraId="38CEFCE1">
      <w:pPr>
        <w:pStyle w:val="21"/>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第四章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40</w:t>
      </w:r>
      <w:r>
        <w:rPr>
          <w:rFonts w:hint="eastAsia" w:ascii="宋体" w:hAnsi="宋体" w:eastAsia="宋体" w:cs="宋体"/>
          <w:color w:val="auto"/>
          <w:sz w:val="28"/>
          <w:szCs w:val="28"/>
          <w:highlight w:val="none"/>
        </w:rPr>
        <w:fldChar w:fldCharType="end"/>
      </w:r>
    </w:p>
    <w:p w14:paraId="0717FF9F">
      <w:pPr>
        <w:pStyle w:val="21"/>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_Toc39092140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83</w:t>
      </w:r>
      <w:r>
        <w:rPr>
          <w:rFonts w:hint="eastAsia" w:ascii="宋体" w:hAnsi="宋体" w:eastAsia="宋体" w:cs="宋体"/>
          <w:color w:val="auto"/>
          <w:sz w:val="28"/>
          <w:szCs w:val="28"/>
          <w:highlight w:val="none"/>
        </w:rPr>
        <w:fldChar w:fldCharType="end"/>
      </w:r>
    </w:p>
    <w:p w14:paraId="69D9AA55">
      <w:pPr>
        <w:pStyle w:val="21"/>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第六章  磋商程序和方法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102</w:t>
      </w:r>
      <w:r>
        <w:rPr>
          <w:rFonts w:hint="eastAsia" w:ascii="宋体" w:hAnsi="宋体" w:eastAsia="宋体" w:cs="宋体"/>
          <w:color w:val="auto"/>
          <w:sz w:val="28"/>
          <w:szCs w:val="28"/>
          <w:highlight w:val="none"/>
        </w:rPr>
        <w:fldChar w:fldCharType="end"/>
      </w:r>
    </w:p>
    <w:p w14:paraId="25FD2BC6">
      <w:pPr>
        <w:pStyle w:val="22"/>
        <w:tabs>
          <w:tab w:val="right" w:leader="dot" w:pos="9628"/>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磋商程序和方法前附表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_Toc39092143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102</w:t>
      </w:r>
      <w:r>
        <w:rPr>
          <w:rFonts w:hint="eastAsia" w:ascii="宋体" w:hAnsi="宋体" w:eastAsia="宋体" w:cs="宋体"/>
          <w:color w:val="auto"/>
          <w:sz w:val="28"/>
          <w:szCs w:val="28"/>
          <w:highlight w:val="none"/>
        </w:rPr>
        <w:fldChar w:fldCharType="end"/>
      </w:r>
    </w:p>
    <w:p w14:paraId="71C185CA">
      <w:pPr>
        <w:spacing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p>
    <w:p w14:paraId="74AC8749">
      <w:pPr>
        <w:rPr>
          <w:rFonts w:hint="eastAsia" w:ascii="宋体" w:hAnsi="宋体" w:eastAsia="宋体" w:cs="宋体"/>
          <w:color w:val="auto"/>
          <w:highlight w:val="none"/>
        </w:rPr>
      </w:pPr>
    </w:p>
    <w:p w14:paraId="7E91F60C">
      <w:pPr>
        <w:rPr>
          <w:rFonts w:hint="eastAsia" w:ascii="宋体" w:hAnsi="宋体" w:eastAsia="宋体" w:cs="宋体"/>
          <w:color w:val="auto"/>
          <w:highlight w:val="none"/>
        </w:rPr>
        <w:sectPr>
          <w:headerReference r:id="rId4" w:type="first"/>
          <w:headerReference r:id="rId3" w:type="default"/>
          <w:footerReference r:id="rId5" w:type="default"/>
          <w:pgSz w:w="11906" w:h="16838"/>
          <w:pgMar w:top="936" w:right="1134" w:bottom="1089" w:left="1134" w:header="851" w:footer="992" w:gutter="0"/>
          <w:pgNumType w:fmt="decimal" w:start="0"/>
          <w:cols w:space="425" w:num="1"/>
          <w:docGrid w:type="lines" w:linePitch="312" w:charSpace="0"/>
        </w:sectPr>
      </w:pPr>
    </w:p>
    <w:p w14:paraId="41A62126">
      <w:pPr>
        <w:rPr>
          <w:rFonts w:hint="eastAsia" w:ascii="宋体" w:hAnsi="宋体" w:eastAsia="宋体" w:cs="宋体"/>
          <w:color w:val="auto"/>
          <w:highlight w:val="none"/>
        </w:rPr>
      </w:pPr>
    </w:p>
    <w:p w14:paraId="6D3B7BF7">
      <w:pPr>
        <w:pStyle w:val="3"/>
        <w:spacing w:line="360" w:lineRule="auto"/>
        <w:jc w:val="center"/>
        <w:rPr>
          <w:rFonts w:hint="eastAsia" w:ascii="宋体" w:hAnsi="宋体" w:eastAsia="宋体" w:cs="宋体"/>
          <w:color w:val="auto"/>
          <w:sz w:val="32"/>
          <w:szCs w:val="32"/>
          <w:highlight w:val="none"/>
        </w:rPr>
      </w:pPr>
      <w:bookmarkStart w:id="0" w:name="_Toc39092128"/>
      <w:r>
        <w:rPr>
          <w:rFonts w:hint="eastAsia" w:ascii="宋体" w:hAnsi="宋体" w:eastAsia="宋体" w:cs="宋体"/>
          <w:color w:val="auto"/>
          <w:sz w:val="32"/>
          <w:szCs w:val="32"/>
          <w:highlight w:val="none"/>
        </w:rPr>
        <w:t>第一章  竞争性磋商公告</w:t>
      </w:r>
      <w:bookmarkEnd w:id="0"/>
    </w:p>
    <w:p w14:paraId="000EADBE">
      <w:pPr>
        <w:widowControl/>
        <w:spacing w:line="360" w:lineRule="auto"/>
        <w:jc w:val="center"/>
        <w:rPr>
          <w:rFonts w:hint="eastAsia" w:ascii="宋体" w:hAnsi="宋体" w:eastAsia="宋体" w:cs="宋体"/>
          <w:b/>
          <w:bCs/>
          <w:color w:val="auto"/>
          <w:kern w:val="0"/>
          <w:sz w:val="36"/>
          <w:szCs w:val="36"/>
          <w:highlight w:val="none"/>
          <w:lang w:eastAsia="zh-CN"/>
        </w:rPr>
      </w:pPr>
      <w:r>
        <w:rPr>
          <w:rFonts w:hint="eastAsia" w:ascii="宋体" w:hAnsi="宋体" w:eastAsia="宋体" w:cs="宋体"/>
          <w:b/>
          <w:bCs/>
          <w:color w:val="auto"/>
          <w:kern w:val="0"/>
          <w:sz w:val="36"/>
          <w:szCs w:val="36"/>
          <w:highlight w:val="none"/>
          <w:lang w:eastAsia="zh-CN"/>
        </w:rPr>
        <w:t>昌宁县医共体中心药房管理系统采购项目</w:t>
      </w:r>
    </w:p>
    <w:p w14:paraId="142F936F">
      <w:pPr>
        <w:widowControl/>
        <w:spacing w:line="360" w:lineRule="auto"/>
        <w:jc w:val="center"/>
        <w:rPr>
          <w:rFonts w:hint="eastAsia" w:ascii="宋体" w:hAnsi="宋体" w:eastAsia="宋体" w:cs="宋体"/>
          <w:b/>
          <w:bCs/>
          <w:color w:val="auto"/>
          <w:kern w:val="0"/>
          <w:sz w:val="36"/>
          <w:szCs w:val="36"/>
          <w:highlight w:val="none"/>
        </w:rPr>
      </w:pPr>
      <w:r>
        <w:rPr>
          <w:rFonts w:hint="eastAsia" w:ascii="宋体" w:hAnsi="宋体" w:eastAsia="宋体" w:cs="宋体"/>
          <w:b/>
          <w:bCs/>
          <w:color w:val="auto"/>
          <w:kern w:val="0"/>
          <w:sz w:val="36"/>
          <w:szCs w:val="36"/>
          <w:highlight w:val="none"/>
        </w:rPr>
        <w:t>竞争性磋商公告</w:t>
      </w:r>
    </w:p>
    <w:p w14:paraId="5A6C40A4">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项目概况</w:t>
      </w:r>
    </w:p>
    <w:p w14:paraId="39A947B0">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昌宁县医共体中心药房管理系统采购项目</w:t>
      </w:r>
      <w:r>
        <w:rPr>
          <w:rFonts w:hint="eastAsia" w:ascii="宋体" w:hAnsi="宋体" w:eastAsia="宋体" w:cs="宋体"/>
          <w:color w:val="auto"/>
          <w:szCs w:val="21"/>
          <w:highlight w:val="none"/>
        </w:rPr>
        <w:t>的潜在磋商申请人应在</w:t>
      </w:r>
      <w:r>
        <w:rPr>
          <w:rFonts w:hint="eastAsia" w:ascii="宋体" w:hAnsi="宋体" w:eastAsia="宋体" w:cs="宋体"/>
          <w:color w:val="auto"/>
          <w:kern w:val="0"/>
          <w:highlight w:val="none"/>
          <w:u w:val="single"/>
          <w:lang w:eastAsia="zh-CN"/>
        </w:rPr>
        <w:t>云南省政府采购电子交易平台（www.zcygov.cn）</w:t>
      </w:r>
      <w:r>
        <w:rPr>
          <w:rFonts w:hint="eastAsia" w:ascii="宋体" w:hAnsi="宋体" w:eastAsia="宋体" w:cs="宋体"/>
          <w:color w:val="auto"/>
          <w:szCs w:val="21"/>
          <w:highlight w:val="none"/>
        </w:rPr>
        <w:t>获取采购文件，并于</w:t>
      </w:r>
      <w:r>
        <w:rPr>
          <w:rFonts w:hint="eastAsia" w:ascii="宋体" w:hAnsi="宋体" w:eastAsia="宋体" w:cs="宋体"/>
          <w:color w:val="auto"/>
          <w:szCs w:val="21"/>
          <w:highlight w:val="none"/>
          <w:u w:val="single"/>
          <w:lang w:eastAsia="zh-CN"/>
        </w:rPr>
        <w:t>2026年07月09日09时30分</w:t>
      </w:r>
      <w:r>
        <w:rPr>
          <w:rFonts w:hint="eastAsia" w:ascii="宋体" w:hAnsi="宋体" w:eastAsia="宋体" w:cs="宋体"/>
          <w:bCs/>
          <w:color w:val="auto"/>
          <w:szCs w:val="21"/>
          <w:highlight w:val="none"/>
        </w:rPr>
        <w:t>（北京时间）前提交响应文件</w:t>
      </w:r>
      <w:r>
        <w:rPr>
          <w:rFonts w:hint="eastAsia" w:ascii="宋体" w:hAnsi="宋体" w:eastAsia="宋体" w:cs="宋体"/>
          <w:color w:val="auto"/>
          <w:szCs w:val="21"/>
          <w:highlight w:val="none"/>
        </w:rPr>
        <w:t>。</w:t>
      </w:r>
    </w:p>
    <w:p w14:paraId="722947A0">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highlight w:val="none"/>
        </w:rPr>
      </w:pPr>
    </w:p>
    <w:p w14:paraId="2E6DD351">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t>一、项目基本情况</w:t>
      </w:r>
    </w:p>
    <w:p w14:paraId="3D9A6228">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1.项目编号：</w:t>
      </w:r>
      <w:r>
        <w:rPr>
          <w:rFonts w:hint="eastAsia" w:ascii="宋体" w:hAnsi="宋体" w:eastAsia="宋体" w:cs="宋体"/>
          <w:color w:val="auto"/>
          <w:kern w:val="0"/>
          <w:sz w:val="21"/>
          <w:szCs w:val="21"/>
          <w:highlight w:val="none"/>
          <w:lang w:eastAsia="zh-CN"/>
        </w:rPr>
        <w:t>TRZBC2026-72（</w:t>
      </w:r>
      <w:r>
        <w:rPr>
          <w:rFonts w:hint="eastAsia" w:ascii="宋体" w:hAnsi="宋体" w:eastAsia="宋体" w:cs="宋体"/>
          <w:color w:val="auto"/>
          <w:kern w:val="0"/>
          <w:sz w:val="21"/>
          <w:szCs w:val="21"/>
          <w:highlight w:val="none"/>
          <w:lang w:val="en-US" w:eastAsia="zh-CN"/>
        </w:rPr>
        <w:t>电子交易平台项目编号：BSZC2026-C3-00673-BSTR-0045</w:t>
      </w:r>
      <w:r>
        <w:rPr>
          <w:rFonts w:hint="eastAsia" w:ascii="宋体" w:hAnsi="宋体" w:eastAsia="宋体" w:cs="宋体"/>
          <w:color w:val="auto"/>
          <w:kern w:val="0"/>
          <w:sz w:val="21"/>
          <w:szCs w:val="21"/>
          <w:highlight w:val="none"/>
          <w:lang w:eastAsia="zh-CN"/>
        </w:rPr>
        <w:t>）</w:t>
      </w:r>
    </w:p>
    <w:p w14:paraId="52083D40">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2.项目名称：</w:t>
      </w:r>
      <w:r>
        <w:rPr>
          <w:rFonts w:hint="eastAsia" w:ascii="宋体" w:hAnsi="宋体" w:eastAsia="宋体" w:cs="宋体"/>
          <w:color w:val="auto"/>
          <w:kern w:val="0"/>
          <w:sz w:val="21"/>
          <w:szCs w:val="21"/>
          <w:highlight w:val="none"/>
          <w:lang w:eastAsia="zh-CN"/>
        </w:rPr>
        <w:t>昌宁县医共体中心药房管理系统采购项目</w:t>
      </w:r>
    </w:p>
    <w:p w14:paraId="10CBF9EC">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3.采购方式：竞争性磋商</w:t>
      </w:r>
    </w:p>
    <w:p w14:paraId="6893339D">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highlight w:val="none"/>
        </w:rPr>
      </w:pPr>
      <w:r>
        <w:rPr>
          <w:rFonts w:hint="eastAsia" w:ascii="宋体" w:hAnsi="宋体" w:eastAsia="宋体" w:cs="宋体"/>
          <w:color w:val="auto"/>
          <w:kern w:val="0"/>
          <w:sz w:val="21"/>
          <w:szCs w:val="21"/>
          <w:highlight w:val="none"/>
        </w:rPr>
        <w:t>4.预算金额：</w:t>
      </w:r>
      <w:r>
        <w:rPr>
          <w:rFonts w:hint="eastAsia" w:ascii="宋体" w:hAnsi="宋体" w:eastAsia="宋体" w:cs="宋体"/>
          <w:color w:val="auto"/>
          <w:kern w:val="0"/>
          <w:sz w:val="21"/>
          <w:szCs w:val="21"/>
          <w:highlight w:val="none"/>
          <w:lang w:eastAsia="zh-CN"/>
        </w:rPr>
        <w:t>88.80万元</w:t>
      </w:r>
      <w:r>
        <w:rPr>
          <w:rFonts w:hint="eastAsia" w:ascii="宋体" w:hAnsi="宋体" w:eastAsia="宋体" w:cs="宋体"/>
          <w:color w:val="auto"/>
          <w:kern w:val="0"/>
          <w:highlight w:val="none"/>
        </w:rPr>
        <w:t>。</w:t>
      </w:r>
    </w:p>
    <w:p w14:paraId="3F007FCB">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5.最高限价：88.80万元。</w:t>
      </w:r>
    </w:p>
    <w:p w14:paraId="678FD4BC">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6.采购需求：</w:t>
      </w:r>
    </w:p>
    <w:p w14:paraId="63A0972B">
      <w:pPr>
        <w:widowControl/>
        <w:spacing w:line="44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w:t>
      </w:r>
      <w:r>
        <w:rPr>
          <w:rFonts w:hint="eastAsia" w:ascii="宋体" w:hAnsi="宋体" w:eastAsia="宋体" w:cs="宋体"/>
          <w:color w:val="auto"/>
          <w:sz w:val="21"/>
          <w:szCs w:val="21"/>
          <w:highlight w:val="none"/>
        </w:rPr>
        <w:t>采购内容：</w:t>
      </w:r>
      <w:r>
        <w:rPr>
          <w:rFonts w:hint="eastAsia" w:ascii="宋体" w:hAnsi="宋体" w:eastAsia="宋体" w:cs="宋体"/>
          <w:color w:val="auto"/>
          <w:sz w:val="21"/>
          <w:szCs w:val="21"/>
          <w:highlight w:val="none"/>
          <w:lang w:val="en-US" w:eastAsia="zh-CN"/>
        </w:rPr>
        <w:t>昌宁县人民医院统筹搭建县域医共体中心药房管理系统，根据项目采购需求开发设计“</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sz w:val="21"/>
          <w:szCs w:val="21"/>
          <w:highlight w:val="none"/>
          <w:lang w:val="en-US" w:eastAsia="zh-CN"/>
        </w:rPr>
        <w:t>”，并将系统安装部署至昌宁县人民医院、昌宁县中医院、昌宁县妇幼保健计划生育服务中心及12个乡镇卫生院。根据项目实际情况开展各医共体各成员单位相关信息系统集成和相关数据接口开发服务，开展新建系统与采购人指定相关系统数据对接和系统集成实施、相关信息数据整合等服务工作，开展系统上线前的试运行和优化适配，整体系统测试验收，项目技术培训指导、售后运维服务等。</w:t>
      </w:r>
    </w:p>
    <w:p w14:paraId="65AD5266">
      <w:pPr>
        <w:widowControl/>
        <w:spacing w:line="44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6.2采购清单</w:t>
      </w:r>
    </w:p>
    <w:tbl>
      <w:tblPr>
        <w:tblStyle w:val="27"/>
        <w:tblW w:w="10042"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4392"/>
        <w:gridCol w:w="750"/>
        <w:gridCol w:w="820"/>
        <w:gridCol w:w="1170"/>
        <w:gridCol w:w="2430"/>
      </w:tblGrid>
      <w:tr w14:paraId="2C065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80" w:type="dxa"/>
            <w:noWrap/>
            <w:vAlign w:val="center"/>
          </w:tcPr>
          <w:p w14:paraId="4F625EE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序号</w:t>
            </w:r>
          </w:p>
        </w:tc>
        <w:tc>
          <w:tcPr>
            <w:tcW w:w="4392" w:type="dxa"/>
            <w:noWrap w:val="0"/>
            <w:vAlign w:val="center"/>
          </w:tcPr>
          <w:p w14:paraId="2697E088">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项目名称</w:t>
            </w:r>
          </w:p>
        </w:tc>
        <w:tc>
          <w:tcPr>
            <w:tcW w:w="750" w:type="dxa"/>
            <w:noWrap w:val="0"/>
            <w:vAlign w:val="center"/>
          </w:tcPr>
          <w:p w14:paraId="377C5B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数量</w:t>
            </w:r>
          </w:p>
        </w:tc>
        <w:tc>
          <w:tcPr>
            <w:tcW w:w="820" w:type="dxa"/>
            <w:noWrap w:val="0"/>
            <w:vAlign w:val="center"/>
          </w:tcPr>
          <w:p w14:paraId="51D9D9D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计量单位</w:t>
            </w:r>
          </w:p>
        </w:tc>
        <w:tc>
          <w:tcPr>
            <w:tcW w:w="1170" w:type="dxa"/>
            <w:noWrap w:val="0"/>
            <w:vAlign w:val="center"/>
          </w:tcPr>
          <w:p w14:paraId="25BC1C80">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预算</w:t>
            </w:r>
            <w:r>
              <w:rPr>
                <w:rFonts w:hint="eastAsia" w:ascii="宋体" w:hAnsi="宋体" w:eastAsia="宋体" w:cs="宋体"/>
                <w:color w:val="auto"/>
                <w:kern w:val="0"/>
                <w:sz w:val="21"/>
                <w:szCs w:val="21"/>
                <w:highlight w:val="none"/>
                <w:lang w:val="en-US" w:eastAsia="zh-CN"/>
              </w:rPr>
              <w:t>金额</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万元</w:t>
            </w:r>
            <w:r>
              <w:rPr>
                <w:rFonts w:hint="eastAsia" w:ascii="宋体" w:hAnsi="宋体" w:eastAsia="宋体" w:cs="宋体"/>
                <w:color w:val="auto"/>
                <w:kern w:val="0"/>
                <w:sz w:val="21"/>
                <w:szCs w:val="21"/>
                <w:highlight w:val="none"/>
              </w:rPr>
              <w:t>）</w:t>
            </w:r>
          </w:p>
        </w:tc>
        <w:tc>
          <w:tcPr>
            <w:tcW w:w="2430" w:type="dxa"/>
            <w:noWrap w:val="0"/>
            <w:vAlign w:val="center"/>
          </w:tcPr>
          <w:p w14:paraId="79DB5776">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项目售后运维服务期限</w:t>
            </w:r>
          </w:p>
        </w:tc>
      </w:tr>
      <w:tr w14:paraId="4A58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noWrap/>
            <w:vAlign w:val="center"/>
          </w:tcPr>
          <w:p w14:paraId="22D06D38">
            <w:pPr>
              <w:keepNext w:val="0"/>
              <w:keepLines w:val="0"/>
              <w:widowControl/>
              <w:suppressLineNumbers w:val="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392" w:type="dxa"/>
            <w:noWrap w:val="0"/>
            <w:vAlign w:val="center"/>
          </w:tcPr>
          <w:p w14:paraId="285E77E4">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昌宁县医共体中心药房管理系统采购项目</w:t>
            </w:r>
          </w:p>
        </w:tc>
        <w:tc>
          <w:tcPr>
            <w:tcW w:w="750" w:type="dxa"/>
            <w:noWrap w:val="0"/>
            <w:vAlign w:val="center"/>
          </w:tcPr>
          <w:p w14:paraId="695E9D6A">
            <w:pPr>
              <w:widowControl/>
              <w:snapToGrid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p>
        </w:tc>
        <w:tc>
          <w:tcPr>
            <w:tcW w:w="820" w:type="dxa"/>
            <w:noWrap w:val="0"/>
            <w:vAlign w:val="center"/>
          </w:tcPr>
          <w:p w14:paraId="1CDB5DE9">
            <w:pPr>
              <w:widowControl/>
              <w:snapToGrid w:val="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项</w:t>
            </w:r>
          </w:p>
        </w:tc>
        <w:tc>
          <w:tcPr>
            <w:tcW w:w="1170" w:type="dxa"/>
            <w:noWrap w:val="0"/>
            <w:vAlign w:val="center"/>
          </w:tcPr>
          <w:p w14:paraId="662351E6">
            <w:pPr>
              <w:widowControl/>
              <w:snapToGrid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88.80</w:t>
            </w:r>
          </w:p>
        </w:tc>
        <w:tc>
          <w:tcPr>
            <w:tcW w:w="2430" w:type="dxa"/>
            <w:noWrap w:val="0"/>
            <w:vAlign w:val="center"/>
          </w:tcPr>
          <w:p w14:paraId="3369A456">
            <w:pPr>
              <w:widowControl/>
              <w:snapToGrid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自项目整体验收合格之日起不少于1年。</w:t>
            </w:r>
          </w:p>
        </w:tc>
      </w:tr>
    </w:tbl>
    <w:p w14:paraId="0B47A9E9">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w:t>
      </w:r>
      <w:r>
        <w:rPr>
          <w:rFonts w:hint="eastAsia" w:ascii="宋体" w:hAnsi="宋体" w:eastAsia="宋体" w:cs="宋体"/>
          <w:color w:val="auto"/>
          <w:sz w:val="21"/>
          <w:szCs w:val="21"/>
          <w:highlight w:val="none"/>
          <w:lang w:eastAsia="zh-CN"/>
        </w:rPr>
        <w:t>项目服务地点：</w:t>
      </w:r>
      <w:r>
        <w:rPr>
          <w:rFonts w:hint="eastAsia" w:ascii="宋体" w:hAnsi="宋体" w:eastAsia="宋体" w:cs="宋体"/>
          <w:color w:val="auto"/>
          <w:sz w:val="21"/>
          <w:szCs w:val="21"/>
          <w:highlight w:val="none"/>
          <w:lang w:val="en-US" w:eastAsia="zh-CN"/>
        </w:rPr>
        <w:t>采购人指定地点</w:t>
      </w:r>
      <w:r>
        <w:rPr>
          <w:rFonts w:hint="eastAsia" w:ascii="宋体" w:hAnsi="宋体" w:eastAsia="宋体" w:cs="宋体"/>
          <w:color w:val="auto"/>
          <w:sz w:val="21"/>
          <w:szCs w:val="21"/>
          <w:highlight w:val="none"/>
          <w:lang w:eastAsia="zh-CN"/>
        </w:rPr>
        <w:t>。</w:t>
      </w:r>
    </w:p>
    <w:p w14:paraId="0BA7A67C">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6.4</w:t>
      </w:r>
      <w:r>
        <w:rPr>
          <w:rFonts w:hint="eastAsia" w:ascii="宋体" w:hAnsi="宋体" w:eastAsia="宋体" w:cs="宋体"/>
          <w:color w:val="auto"/>
          <w:sz w:val="21"/>
          <w:szCs w:val="21"/>
          <w:highlight w:val="none"/>
          <w:lang w:eastAsia="zh-CN"/>
        </w:rPr>
        <w:t>标段划分：本项目共划分为</w:t>
      </w:r>
      <w:r>
        <w:rPr>
          <w:rFonts w:hint="eastAsia" w:ascii="宋体" w:hAnsi="宋体" w:eastAsia="宋体" w:cs="宋体"/>
          <w:color w:val="auto"/>
          <w:sz w:val="21"/>
          <w:szCs w:val="21"/>
          <w:highlight w:val="none"/>
          <w:lang w:val="en-US" w:eastAsia="zh-CN"/>
        </w:rPr>
        <w:t>一个标段</w:t>
      </w:r>
      <w:r>
        <w:rPr>
          <w:rFonts w:hint="eastAsia" w:ascii="宋体" w:hAnsi="宋体" w:eastAsia="宋体" w:cs="宋体"/>
          <w:color w:val="auto"/>
          <w:sz w:val="21"/>
          <w:szCs w:val="21"/>
          <w:highlight w:val="none"/>
          <w:lang w:eastAsia="zh-CN"/>
        </w:rPr>
        <w:t>，拟参与采购活动的</w:t>
      </w:r>
      <w:r>
        <w:rPr>
          <w:rFonts w:hint="eastAsia" w:ascii="宋体" w:hAnsi="宋体" w:eastAsia="宋体" w:cs="宋体"/>
          <w:color w:val="auto"/>
          <w:sz w:val="21"/>
          <w:szCs w:val="21"/>
          <w:highlight w:val="none"/>
          <w:lang w:val="en-US" w:eastAsia="zh-CN"/>
        </w:rPr>
        <w:t>磋商申请人</w:t>
      </w:r>
      <w:r>
        <w:rPr>
          <w:rFonts w:hint="eastAsia" w:ascii="宋体" w:hAnsi="宋体" w:eastAsia="宋体" w:cs="宋体"/>
          <w:color w:val="auto"/>
          <w:sz w:val="21"/>
          <w:szCs w:val="21"/>
          <w:highlight w:val="none"/>
          <w:lang w:eastAsia="zh-CN"/>
        </w:rPr>
        <w:t>必须整体报价不得拆分。</w:t>
      </w:r>
    </w:p>
    <w:p w14:paraId="70BCA5AE">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lang w:val="en-US" w:eastAsia="zh-CN"/>
        </w:rPr>
        <w:t>说明和</w:t>
      </w:r>
      <w:r>
        <w:rPr>
          <w:rFonts w:hint="eastAsia" w:ascii="宋体" w:hAnsi="宋体" w:eastAsia="宋体" w:cs="宋体"/>
          <w:color w:val="auto"/>
          <w:sz w:val="21"/>
          <w:szCs w:val="21"/>
          <w:highlight w:val="none"/>
          <w:lang w:eastAsia="zh-CN"/>
        </w:rPr>
        <w:t>要求：</w:t>
      </w:r>
    </w:p>
    <w:p w14:paraId="5A70907B">
      <w:pPr>
        <w:pageBreakBefore w:val="0"/>
        <w:numPr>
          <w:ilvl w:val="0"/>
          <w:numId w:val="0"/>
        </w:numPr>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rPr>
        <w:t>磋商报价要求：</w:t>
      </w:r>
      <w:r>
        <w:rPr>
          <w:rFonts w:hint="eastAsia" w:ascii="宋体" w:hAnsi="宋体" w:eastAsia="宋体" w:cs="宋体"/>
          <w:color w:val="auto"/>
          <w:sz w:val="21"/>
          <w:szCs w:val="21"/>
          <w:highlight w:val="none"/>
          <w:lang w:eastAsia="zh-CN"/>
        </w:rPr>
        <w:t>参与本项目的</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人须根据</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lang w:eastAsia="zh-CN"/>
        </w:rPr>
        <w:t>文件要求分别填报</w:t>
      </w:r>
      <w:r>
        <w:rPr>
          <w:rFonts w:hint="eastAsia" w:ascii="宋体" w:hAnsi="宋体" w:eastAsia="宋体" w:cs="宋体"/>
          <w:color w:val="auto"/>
          <w:sz w:val="21"/>
          <w:szCs w:val="21"/>
          <w:highlight w:val="none"/>
          <w:lang w:val="en-US" w:eastAsia="zh-CN"/>
        </w:rPr>
        <w:t>磋商报价</w:t>
      </w:r>
      <w:r>
        <w:rPr>
          <w:rFonts w:hint="eastAsia" w:ascii="宋体" w:hAnsi="宋体" w:eastAsia="宋体" w:cs="宋体"/>
          <w:color w:val="auto"/>
          <w:sz w:val="21"/>
          <w:szCs w:val="21"/>
          <w:highlight w:val="none"/>
          <w:lang w:eastAsia="zh-CN"/>
        </w:rPr>
        <w:t>总价、分项报价等信息，</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报价须包含本</w:t>
      </w:r>
      <w:r>
        <w:rPr>
          <w:rFonts w:hint="eastAsia" w:ascii="宋体" w:hAnsi="宋体" w:eastAsia="宋体" w:cs="宋体"/>
          <w:color w:val="auto"/>
          <w:sz w:val="21"/>
          <w:szCs w:val="21"/>
          <w:highlight w:val="none"/>
          <w:lang w:val="en-US" w:eastAsia="zh-CN"/>
        </w:rPr>
        <w:t>项目采购所涉及的“</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sz w:val="21"/>
          <w:szCs w:val="21"/>
          <w:highlight w:val="none"/>
          <w:lang w:val="en-US" w:eastAsia="zh-CN"/>
        </w:rPr>
        <w:t>”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w:t>
      </w:r>
      <w:r>
        <w:rPr>
          <w:rFonts w:hint="eastAsia" w:ascii="宋体" w:hAnsi="宋体" w:eastAsia="宋体" w:cs="宋体"/>
          <w:color w:val="auto"/>
          <w:sz w:val="21"/>
          <w:szCs w:val="21"/>
          <w:highlight w:val="none"/>
          <w:lang w:eastAsia="zh-CN"/>
        </w:rPr>
        <w:t>项目管理费、人工费、差旅费</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必需的税费（</w:t>
      </w:r>
      <w:r>
        <w:rPr>
          <w:rFonts w:hint="eastAsia" w:ascii="宋体" w:hAnsi="宋体" w:eastAsia="宋体" w:cs="宋体"/>
          <w:color w:val="auto"/>
          <w:sz w:val="21"/>
          <w:szCs w:val="21"/>
          <w:highlight w:val="none"/>
          <w:lang w:val="en-US" w:eastAsia="zh-CN"/>
        </w:rPr>
        <w:t>参与本项目采购活动所必须的相关费用）</w:t>
      </w:r>
      <w:r>
        <w:rPr>
          <w:rFonts w:hint="eastAsia" w:ascii="宋体" w:hAnsi="宋体" w:eastAsia="宋体" w:cs="宋体"/>
          <w:color w:val="auto"/>
          <w:sz w:val="21"/>
          <w:szCs w:val="21"/>
          <w:highlight w:val="none"/>
          <w:lang w:eastAsia="zh-CN"/>
        </w:rPr>
        <w:t>、风险</w:t>
      </w:r>
      <w:r>
        <w:rPr>
          <w:rFonts w:hint="eastAsia" w:ascii="宋体" w:hAnsi="宋体" w:eastAsia="宋体" w:cs="宋体"/>
          <w:color w:val="auto"/>
          <w:sz w:val="21"/>
          <w:szCs w:val="21"/>
          <w:highlight w:val="none"/>
          <w:lang w:val="en-US" w:eastAsia="zh-CN"/>
        </w:rPr>
        <w:t>（含不可预见费）</w:t>
      </w:r>
      <w:r>
        <w:rPr>
          <w:rFonts w:hint="eastAsia" w:ascii="宋体" w:hAnsi="宋体" w:eastAsia="宋体" w:cs="宋体"/>
          <w:color w:val="auto"/>
          <w:sz w:val="21"/>
          <w:szCs w:val="21"/>
          <w:highlight w:val="none"/>
          <w:lang w:eastAsia="zh-CN"/>
        </w:rPr>
        <w:t>等所有费用，</w:t>
      </w:r>
      <w:r>
        <w:rPr>
          <w:rFonts w:hint="eastAsia" w:ascii="宋体" w:hAnsi="宋体" w:eastAsia="宋体" w:cs="宋体"/>
          <w:color w:val="auto"/>
          <w:sz w:val="21"/>
          <w:szCs w:val="21"/>
          <w:highlight w:val="none"/>
          <w:lang w:val="en-US" w:eastAsia="zh-CN"/>
        </w:rPr>
        <w:t>以上各项费用应核算到项目的单价和总价报价中，无需单列。</w:t>
      </w:r>
    </w:p>
    <w:p w14:paraId="30C26718">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43A21569">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6.6付款方式：</w:t>
      </w:r>
      <w:r>
        <w:rPr>
          <w:rFonts w:hint="eastAsia" w:ascii="宋体" w:hAnsi="宋体" w:eastAsia="宋体" w:cs="宋体"/>
          <w:color w:val="auto"/>
          <w:sz w:val="21"/>
          <w:szCs w:val="21"/>
          <w:highlight w:val="none"/>
          <w:lang w:eastAsia="zh-CN"/>
        </w:rPr>
        <w:t>采购人根据项目进度分阶段支付合同价款。</w:t>
      </w:r>
    </w:p>
    <w:p w14:paraId="66B2DEC0">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.合同履行期限：合同签订后</w:t>
      </w:r>
      <w:r>
        <w:rPr>
          <w:rFonts w:hint="eastAsia" w:ascii="宋体" w:hAnsi="宋体" w:eastAsia="宋体" w:cs="宋体"/>
          <w:color w:val="auto"/>
          <w:sz w:val="21"/>
          <w:szCs w:val="21"/>
          <w:highlight w:val="none"/>
          <w:lang w:val="en-US" w:eastAsia="zh-CN"/>
        </w:rPr>
        <w:t>60日历天</w:t>
      </w:r>
      <w:r>
        <w:rPr>
          <w:rFonts w:hint="eastAsia" w:ascii="宋体" w:hAnsi="宋体" w:eastAsia="宋体" w:cs="宋体"/>
          <w:color w:val="auto"/>
          <w:sz w:val="21"/>
          <w:szCs w:val="21"/>
          <w:highlight w:val="none"/>
          <w:lang w:eastAsia="zh-CN"/>
        </w:rPr>
        <w:t>内完成系统开发建设任务工作并达到初步验收标准，根据项目初检的要求开展相应的系统优化整改直至完全达标通过最终验收。项目验收合格后提供不少于1年的系统售后运维服务。</w:t>
      </w:r>
    </w:p>
    <w:p w14:paraId="4DD57E82">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lang w:eastAsia="zh-CN"/>
        </w:rPr>
        <w:t>接受联合体。</w:t>
      </w:r>
    </w:p>
    <w:p w14:paraId="520839FC">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二、申请人资格要求：</w:t>
      </w:r>
    </w:p>
    <w:p w14:paraId="28D354D2">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1.满足《中华人民共和国政府采购法》第二十二条规定；</w:t>
      </w:r>
    </w:p>
    <w:p w14:paraId="4D8BAC4D">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2.落实政府采购政策需满足的资格要求：</w:t>
      </w:r>
      <w:r>
        <w:rPr>
          <w:rFonts w:hint="eastAsia" w:ascii="宋体" w:hAnsi="宋体" w:eastAsia="宋体" w:cs="宋体"/>
          <w:color w:val="auto"/>
          <w:kern w:val="0"/>
          <w:sz w:val="21"/>
          <w:szCs w:val="21"/>
          <w:highlight w:val="none"/>
          <w:lang w:val="en-US" w:eastAsia="zh-CN"/>
        </w:rPr>
        <w:t>无，</w:t>
      </w:r>
      <w:r>
        <w:rPr>
          <w:rFonts w:hint="eastAsia" w:ascii="宋体" w:hAnsi="宋体" w:eastAsia="宋体" w:cs="宋体"/>
          <w:color w:val="auto"/>
          <w:sz w:val="21"/>
          <w:szCs w:val="21"/>
          <w:highlight w:val="none"/>
        </w:rPr>
        <w:t>本项目不属于专门面向中小企业的政府采购项目</w:t>
      </w:r>
      <w:r>
        <w:rPr>
          <w:rFonts w:hint="eastAsia" w:ascii="宋体" w:hAnsi="宋体" w:eastAsia="宋体" w:cs="宋体"/>
          <w:color w:val="auto"/>
          <w:sz w:val="21"/>
          <w:szCs w:val="21"/>
          <w:highlight w:val="none"/>
          <w:lang w:eastAsia="zh-CN"/>
        </w:rPr>
        <w:t>。</w:t>
      </w:r>
    </w:p>
    <w:p w14:paraId="6E6B4F99">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3.本项目的特定资格要求：</w:t>
      </w:r>
    </w:p>
    <w:p w14:paraId="70EE8EE6">
      <w:pPr>
        <w:keepNext w:val="0"/>
        <w:keepLines w:val="0"/>
        <w:pageBreakBefore w:val="0"/>
        <w:widowControl/>
        <w:kinsoku/>
        <w:wordWrap/>
        <w:overflowPunct/>
        <w:topLinePunct w:val="0"/>
        <w:autoSpaceDE/>
        <w:autoSpaceDN/>
        <w:bidi w:val="0"/>
        <w:adjustRightInd/>
        <w:snapToGrid/>
        <w:spacing w:line="460" w:lineRule="exact"/>
        <w:ind w:firstLine="424" w:firstLineChars="202"/>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3.1本项目不接受</w:t>
      </w:r>
      <w:r>
        <w:rPr>
          <w:rFonts w:hint="eastAsia" w:ascii="宋体" w:hAnsi="宋体" w:eastAsia="宋体" w:cs="宋体"/>
          <w:color w:val="auto"/>
          <w:kern w:val="0"/>
          <w:highlight w:val="none"/>
          <w:lang w:val="en-US" w:eastAsia="zh-CN"/>
        </w:rPr>
        <w:t>成交</w:t>
      </w:r>
      <w:r>
        <w:rPr>
          <w:rFonts w:hint="eastAsia" w:ascii="宋体" w:hAnsi="宋体" w:eastAsia="宋体" w:cs="宋体"/>
          <w:color w:val="auto"/>
          <w:kern w:val="0"/>
          <w:highlight w:val="none"/>
        </w:rPr>
        <w:t>后再次转包、分包开展相应服务工作，</w:t>
      </w:r>
      <w:r>
        <w:rPr>
          <w:rFonts w:hint="eastAsia" w:ascii="宋体" w:hAnsi="宋体" w:eastAsia="宋体" w:cs="宋体"/>
          <w:color w:val="auto"/>
          <w:kern w:val="0"/>
          <w:highlight w:val="none"/>
          <w:lang w:val="en-US" w:eastAsia="zh-CN"/>
        </w:rPr>
        <w:t>磋商申请</w:t>
      </w:r>
      <w:r>
        <w:rPr>
          <w:rFonts w:hint="eastAsia" w:ascii="宋体" w:hAnsi="宋体" w:eastAsia="宋体" w:cs="宋体"/>
          <w:color w:val="auto"/>
          <w:kern w:val="0"/>
          <w:highlight w:val="none"/>
        </w:rPr>
        <w:t>人须提供针对本项目不转包、分包的书面承诺。</w:t>
      </w:r>
    </w:p>
    <w:p w14:paraId="553E5547">
      <w:pPr>
        <w:keepNext w:val="0"/>
        <w:keepLines w:val="0"/>
        <w:pageBreakBefore w:val="0"/>
        <w:widowControl/>
        <w:kinsoku/>
        <w:wordWrap/>
        <w:overflowPunct/>
        <w:topLinePunct w:val="0"/>
        <w:autoSpaceDE/>
        <w:autoSpaceDN/>
        <w:bidi w:val="0"/>
        <w:adjustRightInd/>
        <w:snapToGrid/>
        <w:spacing w:line="46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highlight w:val="none"/>
          <w:lang w:val="en-US" w:eastAsia="zh-CN"/>
        </w:rPr>
        <w:t>3.2</w:t>
      </w:r>
      <w:r>
        <w:rPr>
          <w:rFonts w:hint="eastAsia" w:ascii="宋体" w:hAnsi="宋体" w:eastAsia="宋体" w:cs="宋体"/>
          <w:color w:val="auto"/>
          <w:kern w:val="0"/>
          <w:sz w:val="21"/>
          <w:szCs w:val="21"/>
          <w:highlight w:val="none"/>
        </w:rPr>
        <w:t>拒绝参加本次采购活动的情形：</w:t>
      </w:r>
    </w:p>
    <w:p w14:paraId="60410731">
      <w:pPr>
        <w:keepNext w:val="0"/>
        <w:keepLines w:val="0"/>
        <w:pageBreakBefore w:val="0"/>
        <w:widowControl/>
        <w:kinsoku/>
        <w:wordWrap/>
        <w:overflowPunct/>
        <w:topLinePunct w:val="0"/>
        <w:autoSpaceDE/>
        <w:autoSpaceDN/>
        <w:bidi w:val="0"/>
        <w:adjustRightInd/>
        <w:snapToGrid/>
        <w:spacing w:line="46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①单位负责人为同一人或者存在直接控股、管理关系的不同供应商，不得参加同一合同项下的政府采购活动。</w:t>
      </w:r>
    </w:p>
    <w:p w14:paraId="784B5597">
      <w:pPr>
        <w:keepNext w:val="0"/>
        <w:keepLines w:val="0"/>
        <w:pageBreakBefore w:val="0"/>
        <w:widowControl/>
        <w:kinsoku/>
        <w:wordWrap/>
        <w:overflowPunct/>
        <w:topLinePunct w:val="0"/>
        <w:autoSpaceDE/>
        <w:autoSpaceDN/>
        <w:bidi w:val="0"/>
        <w:adjustRightInd/>
        <w:snapToGrid/>
        <w:spacing w:line="46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②为采购项目提供整体设计、规范编制或者项目管理、</w:t>
      </w:r>
      <w:r>
        <w:rPr>
          <w:rFonts w:hint="eastAsia" w:ascii="宋体" w:hAnsi="宋体" w:eastAsia="宋体" w:cs="宋体"/>
          <w:color w:val="auto"/>
          <w:kern w:val="0"/>
          <w:sz w:val="21"/>
          <w:szCs w:val="21"/>
          <w:highlight w:val="none"/>
          <w:lang w:val="en-US" w:eastAsia="zh-CN"/>
        </w:rPr>
        <w:t>造价、</w:t>
      </w:r>
      <w:r>
        <w:rPr>
          <w:rFonts w:hint="eastAsia" w:ascii="宋体" w:hAnsi="宋体" w:eastAsia="宋体" w:cs="宋体"/>
          <w:color w:val="auto"/>
          <w:kern w:val="0"/>
          <w:sz w:val="21"/>
          <w:szCs w:val="21"/>
          <w:highlight w:val="none"/>
        </w:rPr>
        <w:t>监理、检测等服务的供应商，不得再参加该采购项目的其他采购活动。</w:t>
      </w:r>
    </w:p>
    <w:p w14:paraId="5E6065FB">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w:t>
      </w:r>
      <w:r>
        <w:rPr>
          <w:rFonts w:hint="eastAsia" w:ascii="宋体" w:hAnsi="宋体" w:eastAsia="宋体" w:cs="宋体"/>
          <w:color w:val="auto"/>
          <w:kern w:val="0"/>
          <w:highlight w:val="none"/>
          <w:lang w:val="en-US" w:eastAsia="zh-CN"/>
        </w:rPr>
        <w:t>磋商申请人</w:t>
      </w:r>
      <w:r>
        <w:rPr>
          <w:rFonts w:hint="eastAsia" w:ascii="宋体" w:hAnsi="宋体" w:eastAsia="宋体" w:cs="宋体"/>
          <w:color w:val="auto"/>
          <w:sz w:val="21"/>
          <w:szCs w:val="21"/>
          <w:highlight w:val="none"/>
          <w:lang w:eastAsia="zh-CN"/>
        </w:rPr>
        <w:t>在本项目评审之日之前未被列入</w:t>
      </w:r>
      <w:r>
        <w:rPr>
          <w:rFonts w:hint="eastAsia" w:ascii="宋体" w:hAnsi="宋体" w:eastAsia="宋体" w:cs="宋体"/>
          <w:color w:val="auto"/>
          <w:sz w:val="21"/>
          <w:szCs w:val="21"/>
          <w:highlight w:val="none"/>
        </w:rPr>
        <w:t>“信用中国”网站“严重失信主体名单”“失信被执行人”“重大税收违法失信主体”“政府采购严重违法失信行为记录名单”，未被列入中国政府采购网“政府采购严重违法失信行为信息记录名单”</w:t>
      </w:r>
      <w:r>
        <w:rPr>
          <w:rFonts w:hint="eastAsia" w:ascii="宋体" w:hAnsi="宋体" w:eastAsia="宋体" w:cs="宋体"/>
          <w:color w:val="auto"/>
          <w:sz w:val="21"/>
          <w:szCs w:val="21"/>
          <w:highlight w:val="none"/>
          <w:lang w:eastAsia="zh-CN"/>
        </w:rPr>
        <w:t>，由采购人及采购代理机构将按照以上条款对参与</w:t>
      </w:r>
      <w:r>
        <w:rPr>
          <w:rFonts w:hint="eastAsia" w:ascii="宋体" w:hAnsi="宋体" w:eastAsia="宋体" w:cs="宋体"/>
          <w:color w:val="auto"/>
          <w:sz w:val="21"/>
          <w:szCs w:val="21"/>
          <w:highlight w:val="none"/>
          <w:lang w:val="en-US" w:eastAsia="zh-CN"/>
        </w:rPr>
        <w:t>本项目的</w:t>
      </w:r>
      <w:r>
        <w:rPr>
          <w:rFonts w:hint="eastAsia" w:ascii="宋体" w:hAnsi="宋体" w:eastAsia="宋体" w:cs="宋体"/>
          <w:color w:val="auto"/>
          <w:sz w:val="21"/>
          <w:szCs w:val="21"/>
          <w:highlight w:val="none"/>
          <w:lang w:eastAsia="zh-CN"/>
        </w:rPr>
        <w:t>各</w:t>
      </w:r>
      <w:r>
        <w:rPr>
          <w:rFonts w:hint="eastAsia" w:ascii="宋体" w:hAnsi="宋体" w:eastAsia="宋体" w:cs="宋体"/>
          <w:color w:val="auto"/>
          <w:kern w:val="0"/>
          <w:highlight w:val="none"/>
          <w:lang w:val="en-US" w:eastAsia="zh-CN"/>
        </w:rPr>
        <w:t>磋商申请人</w:t>
      </w:r>
      <w:r>
        <w:rPr>
          <w:rFonts w:hint="eastAsia" w:ascii="宋体" w:hAnsi="宋体" w:eastAsia="宋体" w:cs="宋体"/>
          <w:color w:val="auto"/>
          <w:sz w:val="21"/>
          <w:szCs w:val="21"/>
          <w:highlight w:val="none"/>
          <w:lang w:eastAsia="zh-CN"/>
        </w:rPr>
        <w:t>的信用信息进行查询，有不良记录的将被拒绝</w:t>
      </w:r>
      <w:r>
        <w:rPr>
          <w:rFonts w:hint="eastAsia" w:ascii="宋体" w:hAnsi="宋体" w:eastAsia="宋体" w:cs="宋体"/>
          <w:color w:val="auto"/>
          <w:sz w:val="21"/>
          <w:szCs w:val="21"/>
          <w:highlight w:val="none"/>
          <w:lang w:val="en-US" w:eastAsia="zh-CN"/>
        </w:rPr>
        <w:t>参与本项目</w:t>
      </w:r>
      <w:r>
        <w:rPr>
          <w:rFonts w:hint="eastAsia" w:ascii="宋体" w:hAnsi="宋体" w:eastAsia="宋体" w:cs="宋体"/>
          <w:color w:val="auto"/>
          <w:sz w:val="21"/>
          <w:szCs w:val="21"/>
          <w:highlight w:val="none"/>
        </w:rPr>
        <w:t>。</w:t>
      </w:r>
    </w:p>
    <w:p w14:paraId="1D4E6AB1">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三、获取采购文件：</w:t>
      </w:r>
    </w:p>
    <w:p w14:paraId="57685FCF">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1.时间：2026年0</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lang w:val="en-US" w:eastAsia="zh-CN"/>
        </w:rPr>
        <w:t>26</w:t>
      </w:r>
      <w:r>
        <w:rPr>
          <w:rFonts w:hint="eastAsia" w:ascii="宋体" w:hAnsi="宋体" w:eastAsia="宋体" w:cs="宋体"/>
          <w:color w:val="auto"/>
          <w:kern w:val="0"/>
          <w:sz w:val="21"/>
          <w:szCs w:val="21"/>
          <w:highlight w:val="none"/>
        </w:rPr>
        <w:t>日至 2026年0</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lang w:val="en-US" w:eastAsia="zh-CN"/>
        </w:rPr>
        <w:t>02</w:t>
      </w:r>
      <w:r>
        <w:rPr>
          <w:rFonts w:hint="eastAsia" w:ascii="宋体" w:hAnsi="宋体" w:eastAsia="宋体" w:cs="宋体"/>
          <w:color w:val="auto"/>
          <w:kern w:val="0"/>
          <w:sz w:val="21"/>
          <w:szCs w:val="21"/>
          <w:highlight w:val="none"/>
        </w:rPr>
        <w:t>日23时59分（北京时间，五个工作日）。</w:t>
      </w:r>
    </w:p>
    <w:p w14:paraId="5F0F188A">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2.地点：</w:t>
      </w:r>
      <w:r>
        <w:rPr>
          <w:rFonts w:hint="eastAsia" w:ascii="宋体" w:hAnsi="宋体" w:eastAsia="宋体" w:cs="宋体"/>
          <w:color w:val="auto"/>
          <w:kern w:val="0"/>
          <w:sz w:val="21"/>
          <w:szCs w:val="21"/>
          <w:highlight w:val="none"/>
          <w:lang w:eastAsia="zh-CN"/>
        </w:rPr>
        <w:t>云南省政府采购电子交易平台（www.zcygov.cn）。</w:t>
      </w:r>
    </w:p>
    <w:p w14:paraId="3C7E18E8">
      <w:pPr>
        <w:keepNext w:val="0"/>
        <w:keepLines w:val="0"/>
        <w:pageBreakBefore w:val="0"/>
        <w:widowControl/>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3.方式：磋商申请人请于本公告规定竞争性磋商文件获取时间内登录</w:t>
      </w:r>
      <w:r>
        <w:rPr>
          <w:rFonts w:hint="eastAsia" w:ascii="宋体" w:hAnsi="宋体" w:eastAsia="宋体" w:cs="宋体"/>
          <w:color w:val="auto"/>
          <w:kern w:val="0"/>
          <w:sz w:val="21"/>
          <w:szCs w:val="21"/>
          <w:highlight w:val="none"/>
          <w:lang w:eastAsia="zh-CN"/>
        </w:rPr>
        <w:t>云南省政府采购电子交易平台</w:t>
      </w:r>
      <w:r>
        <w:rPr>
          <w:rFonts w:hint="eastAsia" w:ascii="宋体" w:hAnsi="宋体" w:eastAsia="宋体" w:cs="宋体"/>
          <w:color w:val="auto"/>
          <w:kern w:val="0"/>
          <w:sz w:val="21"/>
          <w:szCs w:val="21"/>
          <w:highlight w:val="none"/>
        </w:rPr>
        <w:t>，采用单位数字证书（CA）登录政采云平台并进行账号与数字证书（CA）绑定后，凭数字证书（CA）进行确认参与本项目并免费获取采购文件及其他相关资料（如有）。</w:t>
      </w:r>
    </w:p>
    <w:p w14:paraId="49D5DD9C">
      <w:pPr>
        <w:spacing w:line="42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注：本</w:t>
      </w:r>
      <w:r>
        <w:rPr>
          <w:rFonts w:hint="eastAsia" w:ascii="宋体" w:hAnsi="宋体" w:eastAsia="宋体" w:cs="宋体"/>
          <w:color w:val="auto"/>
          <w:kern w:val="0"/>
          <w:szCs w:val="21"/>
          <w:highlight w:val="none"/>
          <w:lang w:val="en-US" w:eastAsia="zh-CN"/>
        </w:rPr>
        <w:t>项目</w:t>
      </w:r>
      <w:r>
        <w:rPr>
          <w:rFonts w:hint="eastAsia" w:ascii="宋体" w:hAnsi="宋体" w:eastAsia="宋体" w:cs="宋体"/>
          <w:color w:val="auto"/>
          <w:kern w:val="0"/>
          <w:szCs w:val="21"/>
          <w:highlight w:val="none"/>
        </w:rPr>
        <w:t>采购</w:t>
      </w:r>
      <w:r>
        <w:rPr>
          <w:rFonts w:hint="eastAsia" w:ascii="宋体" w:hAnsi="宋体" w:eastAsia="宋体" w:cs="宋体"/>
          <w:color w:val="auto"/>
          <w:kern w:val="0"/>
          <w:szCs w:val="21"/>
          <w:highlight w:val="none"/>
          <w:lang w:val="en-US" w:eastAsia="zh-CN"/>
        </w:rPr>
        <w:t>任务</w:t>
      </w:r>
      <w:r>
        <w:rPr>
          <w:rFonts w:hint="eastAsia" w:ascii="宋体" w:hAnsi="宋体" w:eastAsia="宋体" w:cs="宋体"/>
          <w:color w:val="auto"/>
          <w:kern w:val="0"/>
          <w:szCs w:val="21"/>
          <w:highlight w:val="none"/>
        </w:rPr>
        <w:t>在云南省政府采购电子交易平台</w:t>
      </w:r>
      <w:r>
        <w:rPr>
          <w:rFonts w:hint="eastAsia" w:ascii="宋体" w:hAnsi="宋体" w:eastAsia="宋体" w:cs="宋体"/>
          <w:color w:val="auto"/>
          <w:kern w:val="0"/>
          <w:szCs w:val="21"/>
          <w:highlight w:val="none"/>
          <w:lang w:val="en-US" w:eastAsia="zh-CN"/>
        </w:rPr>
        <w:t>组织</w:t>
      </w:r>
      <w:r>
        <w:rPr>
          <w:rFonts w:hint="eastAsia" w:ascii="宋体" w:hAnsi="宋体" w:eastAsia="宋体" w:cs="宋体"/>
          <w:color w:val="auto"/>
          <w:kern w:val="0"/>
          <w:szCs w:val="21"/>
          <w:highlight w:val="none"/>
        </w:rPr>
        <w:t>开展电子化政府采购活动，</w:t>
      </w:r>
      <w:r>
        <w:rPr>
          <w:rFonts w:hint="eastAsia" w:ascii="宋体" w:hAnsi="宋体" w:eastAsia="宋体" w:cs="宋体"/>
          <w:color w:val="auto"/>
          <w:kern w:val="0"/>
          <w:szCs w:val="21"/>
          <w:highlight w:val="none"/>
          <w:lang w:val="en-US" w:eastAsia="zh-CN"/>
        </w:rPr>
        <w:t>磋商申请人</w:t>
      </w:r>
      <w:r>
        <w:rPr>
          <w:rFonts w:hint="eastAsia" w:ascii="宋体" w:hAnsi="宋体" w:eastAsia="宋体" w:cs="宋体"/>
          <w:color w:val="auto"/>
          <w:kern w:val="0"/>
          <w:szCs w:val="21"/>
          <w:highlight w:val="none"/>
        </w:rPr>
        <w:t>参与本项目需要使用CA，云南支持云南壹证通CA、云南CA等，申请相关说明如下：</w:t>
      </w:r>
    </w:p>
    <w:p w14:paraId="2B15EE8F">
      <w:pPr>
        <w:spacing w:line="42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（1）云南壹证通CA申领链接：http://yzt.ynsmartcert.cn/cms/yztyzt0011.html。云南壹证通7*24小时客户服务热线400-004-0628（紧急办理可拨：19987563037）。</w:t>
      </w:r>
    </w:p>
    <w:p w14:paraId="607B2435">
      <w:pPr>
        <w:spacing w:line="42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（2）云南CA申领链接：https://cap.yunnanca.net/login，请</w:t>
      </w:r>
      <w:r>
        <w:rPr>
          <w:rFonts w:hint="eastAsia" w:ascii="宋体" w:hAnsi="宋体" w:eastAsia="宋体" w:cs="宋体"/>
          <w:color w:val="auto"/>
          <w:kern w:val="0"/>
          <w:szCs w:val="21"/>
          <w:highlight w:val="none"/>
          <w:lang w:eastAsia="zh-CN"/>
        </w:rPr>
        <w:t>磋商申请人</w:t>
      </w:r>
      <w:r>
        <w:rPr>
          <w:rFonts w:hint="eastAsia" w:ascii="宋体" w:hAnsi="宋体" w:eastAsia="宋体" w:cs="宋体"/>
          <w:color w:val="auto"/>
          <w:kern w:val="0"/>
          <w:szCs w:val="21"/>
          <w:highlight w:val="none"/>
        </w:rPr>
        <w:t xml:space="preserve">自行注册办理，云南CA客服热线400-6727-666。 </w:t>
      </w:r>
    </w:p>
    <w:p w14:paraId="1E0B011A">
      <w:pPr>
        <w:spacing w:line="42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（3）如果</w:t>
      </w:r>
      <w:r>
        <w:rPr>
          <w:rFonts w:hint="eastAsia" w:ascii="宋体" w:hAnsi="宋体" w:eastAsia="宋体" w:cs="宋体"/>
          <w:color w:val="auto"/>
          <w:kern w:val="0"/>
          <w:szCs w:val="21"/>
          <w:highlight w:val="none"/>
          <w:lang w:eastAsia="zh-CN"/>
        </w:rPr>
        <w:t>磋商申请人</w:t>
      </w:r>
      <w:r>
        <w:rPr>
          <w:rFonts w:hint="eastAsia" w:ascii="宋体" w:hAnsi="宋体" w:eastAsia="宋体" w:cs="宋体"/>
          <w:color w:val="auto"/>
          <w:kern w:val="0"/>
          <w:szCs w:val="21"/>
          <w:highlight w:val="none"/>
        </w:rPr>
        <w:t>已办理以上任一CA机构的数字证书（CA）且证书处于有效期内，均可直接在云南省政府采购电子交易平台绑定即可，无需重复办理。云南省外供应商在云南省政府采购电子交易平台办理的其他CA（汇信CA、福建CA等）可直接使用，无需重办。</w:t>
      </w:r>
    </w:p>
    <w:p w14:paraId="4CDDCDB6">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4.售价：¥0.00元。</w:t>
      </w:r>
    </w:p>
    <w:p w14:paraId="020C61C3">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szCs w:val="21"/>
          <w:highlight w:val="none"/>
        </w:rPr>
      </w:pPr>
      <w:bookmarkStart w:id="1" w:name="_Toc7252730"/>
      <w:bookmarkStart w:id="2" w:name="_Toc39092129"/>
      <w:r>
        <w:rPr>
          <w:rFonts w:hint="eastAsia" w:ascii="宋体" w:hAnsi="宋体" w:eastAsia="宋体" w:cs="宋体"/>
          <w:b/>
          <w:color w:val="auto"/>
          <w:kern w:val="0"/>
          <w:szCs w:val="21"/>
          <w:highlight w:val="none"/>
        </w:rPr>
        <w:t>四、响应文件提交：</w:t>
      </w:r>
    </w:p>
    <w:p w14:paraId="02DDD8F4">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1.截止时间：</w:t>
      </w:r>
      <w:r>
        <w:rPr>
          <w:rFonts w:hint="eastAsia" w:ascii="宋体" w:hAnsi="宋体" w:eastAsia="宋体" w:cs="宋体"/>
          <w:color w:val="auto"/>
          <w:szCs w:val="21"/>
          <w:highlight w:val="none"/>
          <w:u w:val="single"/>
          <w:lang w:eastAsia="zh-CN"/>
        </w:rPr>
        <w:t>2026年07月09日09时30分</w:t>
      </w:r>
      <w:r>
        <w:rPr>
          <w:rFonts w:hint="eastAsia" w:ascii="宋体" w:hAnsi="宋体" w:eastAsia="宋体" w:cs="宋体"/>
          <w:color w:val="auto"/>
          <w:kern w:val="0"/>
          <w:szCs w:val="21"/>
          <w:highlight w:val="none"/>
        </w:rPr>
        <w:t>（北京时间）。</w:t>
      </w:r>
    </w:p>
    <w:p w14:paraId="2E6B504F">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Cs w:val="21"/>
          <w:highlight w:val="none"/>
        </w:rPr>
        <w:t>2.地点：</w:t>
      </w:r>
      <w:r>
        <w:rPr>
          <w:rFonts w:hint="eastAsia" w:ascii="宋体" w:hAnsi="宋体" w:eastAsia="宋体" w:cs="宋体"/>
          <w:color w:val="auto"/>
          <w:sz w:val="21"/>
          <w:szCs w:val="21"/>
          <w:highlight w:val="none"/>
        </w:rPr>
        <w:t>保山市天瑞建设工程招标咨询有限公司一楼会议室（保山市隆阳区象山路5号），</w:t>
      </w:r>
      <w:r>
        <w:rPr>
          <w:rFonts w:hint="eastAsia" w:ascii="宋体" w:hAnsi="宋体" w:eastAsia="宋体" w:cs="宋体"/>
          <w:color w:val="auto"/>
          <w:sz w:val="21"/>
          <w:szCs w:val="21"/>
          <w:highlight w:val="none"/>
          <w:lang w:eastAsia="zh-CN"/>
        </w:rPr>
        <w:t>本项目采用云南省政府采购电子交易平台进行远程开标评标工作，</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人无需到达开标现场，请各</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人登录云南省政府采购电子交易平台参与采购活动并递交</w:t>
      </w:r>
      <w:r>
        <w:rPr>
          <w:rFonts w:hint="eastAsia" w:ascii="宋体" w:hAnsi="宋体" w:eastAsia="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rPr>
        <w:t>。</w:t>
      </w:r>
    </w:p>
    <w:p w14:paraId="2586AEDE">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五、响应文件开启：</w:t>
      </w:r>
    </w:p>
    <w:p w14:paraId="42E9D5E3">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1.时间：</w:t>
      </w:r>
      <w:r>
        <w:rPr>
          <w:rFonts w:hint="eastAsia" w:ascii="宋体" w:hAnsi="宋体" w:eastAsia="宋体" w:cs="宋体"/>
          <w:color w:val="auto"/>
          <w:szCs w:val="21"/>
          <w:highlight w:val="none"/>
          <w:u w:val="single"/>
          <w:lang w:eastAsia="zh-CN"/>
        </w:rPr>
        <w:t>2026年07月09日09时30分</w:t>
      </w:r>
      <w:r>
        <w:rPr>
          <w:rFonts w:hint="eastAsia" w:ascii="宋体" w:hAnsi="宋体" w:eastAsia="宋体" w:cs="宋体"/>
          <w:color w:val="auto"/>
          <w:kern w:val="0"/>
          <w:szCs w:val="21"/>
          <w:highlight w:val="none"/>
        </w:rPr>
        <w:t>（北京时间）。</w:t>
      </w:r>
    </w:p>
    <w:p w14:paraId="72731A1B">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2.地点：</w:t>
      </w:r>
      <w:r>
        <w:rPr>
          <w:rFonts w:hint="eastAsia" w:ascii="宋体" w:hAnsi="宋体" w:eastAsia="宋体" w:cs="宋体"/>
          <w:bCs/>
          <w:color w:val="auto"/>
          <w:szCs w:val="21"/>
          <w:highlight w:val="none"/>
          <w:lang w:eastAsia="zh-CN"/>
        </w:rPr>
        <w:t>保山市天瑞建设工程招标咨询有限公司一楼会议室</w:t>
      </w:r>
      <w:r>
        <w:rPr>
          <w:rFonts w:hint="eastAsia" w:ascii="宋体" w:hAnsi="宋体" w:eastAsia="宋体" w:cs="宋体"/>
          <w:bCs/>
          <w:color w:val="auto"/>
          <w:kern w:val="0"/>
          <w:szCs w:val="21"/>
          <w:highlight w:val="none"/>
        </w:rPr>
        <w:t>（保山市隆阳区象山路5号）</w:t>
      </w:r>
      <w:r>
        <w:rPr>
          <w:rFonts w:hint="eastAsia" w:ascii="宋体" w:hAnsi="宋体" w:eastAsia="宋体" w:cs="宋体"/>
          <w:color w:val="auto"/>
          <w:kern w:val="0"/>
          <w:szCs w:val="21"/>
          <w:highlight w:val="none"/>
        </w:rPr>
        <w:t>。</w:t>
      </w:r>
    </w:p>
    <w:p w14:paraId="47BC019A">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六、公告期限：</w:t>
      </w:r>
    </w:p>
    <w:p w14:paraId="6F16E850">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自本公告发布之日起3个工作日。</w:t>
      </w:r>
    </w:p>
    <w:p w14:paraId="5F8CB82E">
      <w:pPr>
        <w:keepNext w:val="0"/>
        <w:keepLines w:val="0"/>
        <w:pageBreakBefore w:val="0"/>
        <w:widowControl/>
        <w:kinsoku/>
        <w:wordWrap/>
        <w:overflowPunct/>
        <w:topLinePunct w:val="0"/>
        <w:autoSpaceDE/>
        <w:autoSpaceDN/>
        <w:bidi w:val="0"/>
        <w:adjustRightInd/>
        <w:snapToGrid/>
        <w:spacing w:line="440" w:lineRule="exact"/>
        <w:ind w:firstLine="426" w:firstLineChars="202"/>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七、其他补充事宜：</w:t>
      </w:r>
    </w:p>
    <w:p w14:paraId="04418F0B">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1.本项目磋商保证金金额：¥</w:t>
      </w:r>
      <w:r>
        <w:rPr>
          <w:rFonts w:hint="eastAsia" w:ascii="宋体" w:hAnsi="宋体" w:eastAsia="宋体" w:cs="宋体"/>
          <w:color w:val="auto"/>
          <w:kern w:val="0"/>
          <w:szCs w:val="21"/>
          <w:highlight w:val="none"/>
          <w:lang w:val="en-US" w:eastAsia="zh-CN"/>
        </w:rPr>
        <w:t>15</w:t>
      </w:r>
      <w:r>
        <w:rPr>
          <w:rFonts w:hint="eastAsia" w:ascii="宋体" w:hAnsi="宋体" w:eastAsia="宋体" w:cs="宋体"/>
          <w:color w:val="auto"/>
          <w:kern w:val="0"/>
          <w:szCs w:val="21"/>
          <w:highlight w:val="none"/>
        </w:rPr>
        <w:t>000.00元。</w:t>
      </w:r>
    </w:p>
    <w:p w14:paraId="6B507861">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2.本项目磋商保证金形式为转账或银行保函或保证保险或其他非现金方式（不接受现场缴纳现金）。</w:t>
      </w:r>
    </w:p>
    <w:p w14:paraId="019833B0">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2.1采用转账的方式提交磋商保证金的，磋商保证金缴纳账户如下：</w:t>
      </w:r>
    </w:p>
    <w:tbl>
      <w:tblPr>
        <w:tblStyle w:val="27"/>
        <w:tblW w:w="945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455"/>
      </w:tblGrid>
      <w:tr w14:paraId="0212FF2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5" w:hRule="atLeast"/>
        </w:trPr>
        <w:tc>
          <w:tcPr>
            <w:tcW w:w="9455" w:type="dxa"/>
            <w:tcBorders>
              <w:top w:val="outset" w:color="auto" w:sz="6" w:space="0"/>
              <w:left w:val="outset" w:color="auto" w:sz="6" w:space="0"/>
              <w:bottom w:val="outset" w:color="auto" w:sz="6" w:space="0"/>
              <w:right w:val="outset" w:color="auto" w:sz="6" w:space="0"/>
            </w:tcBorders>
            <w:vAlign w:val="center"/>
          </w:tcPr>
          <w:p w14:paraId="59903163">
            <w:pPr>
              <w:widowControl/>
              <w:spacing w:line="380" w:lineRule="exact"/>
              <w:ind w:firstLine="422" w:firstLineChars="200"/>
              <w:jc w:val="center"/>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磋商保证金汇款账户</w:t>
            </w:r>
          </w:p>
        </w:tc>
      </w:tr>
      <w:tr w14:paraId="026999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9455" w:type="dxa"/>
            <w:tcBorders>
              <w:top w:val="outset" w:color="auto" w:sz="6" w:space="0"/>
              <w:left w:val="outset" w:color="auto" w:sz="6" w:space="0"/>
              <w:bottom w:val="outset" w:color="auto" w:sz="6" w:space="0"/>
              <w:right w:val="outset" w:color="auto" w:sz="6" w:space="0"/>
            </w:tcBorders>
            <w:vAlign w:val="center"/>
          </w:tcPr>
          <w:p w14:paraId="1F72C3FA">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开户名称：保山市天瑞建设工程招标咨询有限公司</w:t>
            </w:r>
          </w:p>
        </w:tc>
      </w:tr>
      <w:tr w14:paraId="348CD43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5A13171">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开户银行：中国建设银行股份有限公司保山新村支行</w:t>
            </w:r>
          </w:p>
        </w:tc>
      </w:tr>
      <w:tr w14:paraId="7218778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4758532B">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账号：5300 1728 6420 5100 0568</w:t>
            </w:r>
          </w:p>
        </w:tc>
      </w:tr>
      <w:tr w14:paraId="09A3677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1CCD8FB8">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汇入地址：云南省保山市</w:t>
            </w:r>
          </w:p>
        </w:tc>
      </w:tr>
      <w:tr w14:paraId="00C0A92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024EB5BB">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汇款缴纳查询电话：</w:t>
            </w:r>
            <w:r>
              <w:rPr>
                <w:rFonts w:hint="eastAsia" w:ascii="宋体" w:hAnsi="宋体" w:eastAsia="宋体" w:cs="宋体"/>
                <w:color w:val="auto"/>
                <w:kern w:val="0"/>
                <w:szCs w:val="21"/>
                <w:highlight w:val="none"/>
                <w:lang w:eastAsia="zh-CN"/>
              </w:rPr>
              <w:t>0875-2147689</w:t>
            </w:r>
          </w:p>
        </w:tc>
      </w:tr>
      <w:tr w14:paraId="24D2499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22309F3C">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联系人：寸女士</w:t>
            </w:r>
          </w:p>
        </w:tc>
      </w:tr>
      <w:tr w14:paraId="5EE287F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6A8575C2">
            <w:pPr>
              <w:keepNext w:val="0"/>
              <w:keepLines w:val="0"/>
              <w:pageBreakBefore w:val="0"/>
              <w:widowControl/>
              <w:kinsoku/>
              <w:wordWrap/>
              <w:overflowPunct/>
              <w:topLinePunct w:val="0"/>
              <w:autoSpaceDE/>
              <w:autoSpaceDN/>
              <w:bidi w:val="0"/>
              <w:adjustRightInd/>
              <w:snapToGrid/>
              <w:spacing w:line="400" w:lineRule="exact"/>
              <w:ind w:firstLine="424" w:firstLineChars="202"/>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Cs w:val="21"/>
                <w:highlight w:val="none"/>
              </w:rPr>
              <w:t>注：</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保证金的缴纳：</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缴纳保证金须从单位基本户或对公账户（自然人请使用自身合法有效账户）转出，并注明项目名称或</w:t>
            </w:r>
            <w:r>
              <w:rPr>
                <w:rFonts w:hint="eastAsia" w:ascii="宋体" w:hAnsi="宋体" w:eastAsia="宋体" w:cs="宋体"/>
                <w:color w:val="auto"/>
                <w:sz w:val="21"/>
                <w:szCs w:val="21"/>
                <w:highlight w:val="none"/>
                <w:lang w:eastAsia="zh-CN"/>
              </w:rPr>
              <w:t>项目编号</w:t>
            </w:r>
            <w:r>
              <w:rPr>
                <w:rFonts w:hint="eastAsia" w:ascii="宋体" w:hAnsi="宋体" w:eastAsia="宋体" w:cs="宋体"/>
                <w:color w:val="auto"/>
                <w:sz w:val="21"/>
                <w:szCs w:val="21"/>
                <w:highlight w:val="none"/>
                <w:lang w:val="en-US" w:eastAsia="zh-CN"/>
              </w:rPr>
              <w:t>。</w:t>
            </w:r>
          </w:p>
          <w:p w14:paraId="775A5191">
            <w:pPr>
              <w:widowControl/>
              <w:spacing w:line="38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rPr>
              <w:t>2.保证金的退还：在</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公告发布后，采购代理机构将在5个工作日内退还未</w:t>
            </w:r>
            <w:r>
              <w:rPr>
                <w:rFonts w:hint="eastAsia" w:ascii="宋体" w:hAnsi="宋体" w:eastAsia="宋体" w:cs="宋体"/>
                <w:color w:val="auto"/>
                <w:sz w:val="21"/>
                <w:szCs w:val="21"/>
                <w:highlight w:val="none"/>
                <w:lang w:val="en-US" w:eastAsia="zh-CN"/>
              </w:rPr>
              <w:t>成交磋商申请人</w:t>
            </w:r>
            <w:r>
              <w:rPr>
                <w:rFonts w:hint="eastAsia" w:ascii="宋体" w:hAnsi="宋体" w:eastAsia="宋体" w:cs="宋体"/>
                <w:color w:val="auto"/>
                <w:sz w:val="21"/>
                <w:szCs w:val="21"/>
                <w:highlight w:val="none"/>
              </w:rPr>
              <w:t>缴纳的</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人与采购人签署后应当及时告知采购代理机构，采购代理机构自政府采购合同签订之日起5个工作日内退还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人缴纳的投标保证金，并请</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人将政府采购合同复印件送至采购代理机构或将采购合同扫描件发送至采购代理机构电子邮箱（bstrzb@126.com）。</w:t>
            </w:r>
          </w:p>
        </w:tc>
      </w:tr>
    </w:tbl>
    <w:p w14:paraId="54ACAF74">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2.2采用</w:t>
      </w:r>
      <w:r>
        <w:rPr>
          <w:rFonts w:hint="eastAsia" w:ascii="宋体" w:hAnsi="宋体" w:eastAsia="宋体" w:cs="宋体"/>
          <w:bCs/>
          <w:color w:val="auto"/>
          <w:szCs w:val="21"/>
          <w:highlight w:val="none"/>
        </w:rPr>
        <w:t>银行保函或保证保险或其他非现金方式提供磋商保证金按照国家现行规定实施，其中银行保函或保证保险可实行线下购买银行保函或保证保险，也可以在</w:t>
      </w:r>
      <w:r>
        <w:rPr>
          <w:rFonts w:hint="eastAsia" w:ascii="宋体" w:hAnsi="宋体" w:eastAsia="宋体" w:cs="宋体"/>
          <w:color w:val="auto"/>
          <w:kern w:val="0"/>
          <w:szCs w:val="21"/>
          <w:highlight w:val="none"/>
          <w:lang w:eastAsia="zh-CN"/>
        </w:rPr>
        <w:t>云南省政府采购电子交易平台</w:t>
      </w:r>
      <w:r>
        <w:rPr>
          <w:rFonts w:hint="eastAsia" w:ascii="宋体" w:hAnsi="宋体" w:eastAsia="宋体" w:cs="宋体"/>
          <w:color w:val="auto"/>
          <w:kern w:val="0"/>
          <w:szCs w:val="21"/>
          <w:highlight w:val="none"/>
        </w:rPr>
        <w:t>中“金融服务”的模块进行操作</w:t>
      </w:r>
      <w:r>
        <w:rPr>
          <w:rFonts w:hint="eastAsia" w:ascii="宋体" w:hAnsi="宋体" w:eastAsia="宋体" w:cs="宋体"/>
          <w:bCs/>
          <w:color w:val="auto"/>
          <w:szCs w:val="21"/>
          <w:highlight w:val="none"/>
        </w:rPr>
        <w:t>。</w:t>
      </w:r>
    </w:p>
    <w:p w14:paraId="21B3D397">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3.公告发布媒体</w:t>
      </w:r>
    </w:p>
    <w:p w14:paraId="0B6060EC">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3.1本项目竞争性磋商公告发布媒体：云南省政府采购网。</w:t>
      </w:r>
    </w:p>
    <w:p w14:paraId="6293DDED">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3.2磋商申请人在参加磋商申请之前务必认真阅读竞争性磋商公告全部内容；竞争性磋商公告或竞争性磋商文件如有变更，将在以上网站或以书面形式发布。</w:t>
      </w:r>
    </w:p>
    <w:p w14:paraId="714E4AA0">
      <w:pPr>
        <w:keepNext w:val="0"/>
        <w:keepLines w:val="0"/>
        <w:pageBreakBefore w:val="0"/>
        <w:widowControl/>
        <w:kinsoku/>
        <w:wordWrap/>
        <w:overflowPunct/>
        <w:topLinePunct w:val="0"/>
        <w:autoSpaceDE/>
        <w:autoSpaceDN/>
        <w:bidi w:val="0"/>
        <w:adjustRightInd/>
        <w:snapToGrid/>
        <w:spacing w:line="420" w:lineRule="exact"/>
        <w:ind w:firstLine="424" w:firstLineChars="202"/>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4.采购意向公开情况：根据《财政部关于开展政府采购意向公开工作的通知》（财库〔2020〕10号）等有关规定，202</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lang w:val="en-US" w:eastAsia="zh-CN"/>
        </w:rPr>
        <w:t>04</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lang w:val="en-US" w:eastAsia="zh-CN"/>
        </w:rPr>
        <w:t>29</w:t>
      </w:r>
      <w:r>
        <w:rPr>
          <w:rFonts w:hint="eastAsia" w:ascii="宋体" w:hAnsi="宋体" w:eastAsia="宋体" w:cs="宋体"/>
          <w:color w:val="auto"/>
          <w:kern w:val="0"/>
          <w:szCs w:val="21"/>
          <w:highlight w:val="none"/>
        </w:rPr>
        <w:t>日本项目采购意向公开信息在云南省政府采购网发布，采购意向公开信息网“http://www.yngp.com/viewPurchaseInfo.html?sys_purchaseintention_id=6696b5a.19dbd6408f0.39cf”。</w:t>
      </w:r>
    </w:p>
    <w:p w14:paraId="13D9124C">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5.落实政府采购政策：</w:t>
      </w:r>
    </w:p>
    <w:p w14:paraId="0EAAA310">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w:t>
      </w:r>
      <w:r>
        <w:rPr>
          <w:rFonts w:hint="eastAsia" w:ascii="宋体" w:hAnsi="宋体" w:eastAsia="宋体" w:cs="宋体"/>
          <w:color w:val="auto"/>
          <w:sz w:val="21"/>
          <w:szCs w:val="21"/>
          <w:highlight w:val="none"/>
        </w:rPr>
        <w:t>扶持中小企业政策：本项目不属于专门面向中小企业的政府采购项目，在评审时小型、微型企业提供的产品（提供本企业制造的货物，或者提供其他中小企业制造的货物）价格给予10%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75FD5C0A">
      <w:pPr>
        <w:keepNext w:val="0"/>
        <w:keepLines w:val="0"/>
        <w:pageBreakBefore w:val="0"/>
        <w:widowControl/>
        <w:kinsoku/>
        <w:wordWrap/>
        <w:overflowPunct/>
        <w:topLinePunct w:val="0"/>
        <w:autoSpaceDE/>
        <w:autoSpaceDN/>
        <w:bidi w:val="0"/>
        <w:adjustRightInd/>
        <w:snapToGrid/>
        <w:spacing w:line="42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.本次采购采用在</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（www.zcygov.cn）上进行采购与递交</w:t>
      </w:r>
      <w:r>
        <w:rPr>
          <w:rFonts w:hint="eastAsia" w:ascii="宋体" w:hAnsi="宋体" w:eastAsia="宋体" w:cs="宋体"/>
          <w:color w:val="auto"/>
          <w:sz w:val="21"/>
          <w:szCs w:val="21"/>
          <w:highlight w:val="none"/>
          <w:lang w:val="en-US" w:eastAsia="zh-CN"/>
        </w:rPr>
        <w:t>磋商响应</w:t>
      </w:r>
      <w:r>
        <w:rPr>
          <w:rFonts w:hint="eastAsia" w:ascii="宋体" w:hAnsi="宋体" w:eastAsia="宋体" w:cs="宋体"/>
          <w:color w:val="auto"/>
          <w:sz w:val="21"/>
          <w:szCs w:val="21"/>
          <w:highlight w:val="none"/>
        </w:rPr>
        <w:t>文件，采购过程具体操作流程请各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sz w:val="21"/>
          <w:szCs w:val="21"/>
          <w:highlight w:val="none"/>
        </w:rPr>
        <w:t>（https://www. zcygov.cn/）的网站操作指南中下载《供应商操作指南》查看操作或在该网站中采购学院中观看《政府采购电子交易供应商线上培训》相关视频。磋商申请人在制作响应文件前，需先下载政采云电子投标客户端并进行安装，下载安装完成之后，可通过账号密码或CA登录客户端制作响应文件（客户端下载网址： https://customer.zcygov.cn/CA-driver-download）。</w:t>
      </w:r>
    </w:p>
    <w:p w14:paraId="2F105358">
      <w:pPr>
        <w:keepNext w:val="0"/>
        <w:keepLines w:val="0"/>
        <w:pageBreakBefore w:val="0"/>
        <w:widowControl/>
        <w:kinsoku/>
        <w:wordWrap/>
        <w:overflowPunct/>
        <w:topLinePunct w:val="0"/>
        <w:autoSpaceDE/>
        <w:autoSpaceDN/>
        <w:bidi w:val="0"/>
        <w:adjustRightInd/>
        <w:snapToGrid/>
        <w:spacing w:line="420" w:lineRule="exact"/>
        <w:ind w:firstLine="424" w:firstLineChars="202"/>
        <w:textAlignment w:val="auto"/>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.监督电话：昌宁县财政局：0875-7130708</w:t>
      </w:r>
    </w:p>
    <w:p w14:paraId="64662EBB">
      <w:pPr>
        <w:keepNext w:val="0"/>
        <w:keepLines w:val="0"/>
        <w:pageBreakBefore w:val="0"/>
        <w:widowControl/>
        <w:kinsoku/>
        <w:wordWrap/>
        <w:overflowPunct/>
        <w:topLinePunct w:val="0"/>
        <w:autoSpaceDE/>
        <w:autoSpaceDN/>
        <w:bidi w:val="0"/>
        <w:adjustRightInd/>
        <w:snapToGrid/>
        <w:spacing w:line="420" w:lineRule="exact"/>
        <w:ind w:firstLine="426" w:firstLineChars="202"/>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八、凡对本次采购提出询问，请按以下方式联系：</w:t>
      </w:r>
    </w:p>
    <w:p w14:paraId="2A23112B">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43E3396A">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昌宁县人民医院</w:t>
      </w:r>
      <w:r>
        <w:rPr>
          <w:rFonts w:hint="eastAsia" w:ascii="宋体" w:hAnsi="宋体" w:eastAsia="宋体" w:cs="宋体"/>
          <w:color w:val="auto"/>
          <w:sz w:val="21"/>
          <w:szCs w:val="21"/>
          <w:highlight w:val="none"/>
        </w:rPr>
        <w:t>　</w:t>
      </w:r>
    </w:p>
    <w:p w14:paraId="737C8C29">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址：云南省保山市昌宁县田园镇滨河西路7号　</w:t>
      </w:r>
    </w:p>
    <w:p w14:paraId="70D549A9">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联系方式：0875-7120289</w:t>
      </w:r>
    </w:p>
    <w:p w14:paraId="29CBB974">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1D27DFC1">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称：保山市天瑞建设工程招标咨询有限公司</w:t>
      </w:r>
    </w:p>
    <w:p w14:paraId="08206EF5">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址：云南省保山市隆阳区象山路5号　</w:t>
      </w:r>
    </w:p>
    <w:p w14:paraId="374BC26B">
      <w:pPr>
        <w:widowControl/>
        <w:spacing w:line="46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联系方式：0875-</w:t>
      </w:r>
      <w:r>
        <w:rPr>
          <w:rFonts w:hint="eastAsia" w:ascii="宋体" w:hAnsi="宋体" w:eastAsia="宋体" w:cs="宋体"/>
          <w:color w:val="auto"/>
          <w:sz w:val="21"/>
          <w:szCs w:val="21"/>
          <w:highlight w:val="none"/>
          <w:lang w:val="en-US" w:eastAsia="zh-CN"/>
        </w:rPr>
        <w:t>2147689</w:t>
      </w:r>
    </w:p>
    <w:p w14:paraId="0F661345">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025AB226">
      <w:pPr>
        <w:widowControl/>
        <w:spacing w:line="46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采购人项目联系人：</w:t>
      </w:r>
      <w:r>
        <w:rPr>
          <w:rFonts w:hint="eastAsia" w:ascii="宋体" w:hAnsi="宋体" w:eastAsia="宋体" w:cs="宋体"/>
          <w:color w:val="auto"/>
          <w:sz w:val="21"/>
          <w:szCs w:val="21"/>
          <w:highlight w:val="none"/>
          <w:lang w:val="en-US" w:eastAsia="zh-CN"/>
        </w:rPr>
        <w:t>杨</w:t>
      </w:r>
      <w:r>
        <w:rPr>
          <w:rFonts w:hint="eastAsia" w:ascii="宋体" w:hAnsi="宋体" w:eastAsia="宋体" w:cs="宋体"/>
          <w:color w:val="auto"/>
          <w:sz w:val="21"/>
          <w:szCs w:val="21"/>
          <w:highlight w:val="none"/>
        </w:rPr>
        <w:t>老师</w:t>
      </w:r>
    </w:p>
    <w:p w14:paraId="13699353">
      <w:pPr>
        <w:widowControl/>
        <w:spacing w:line="46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话：0875-7120289 </w:t>
      </w:r>
    </w:p>
    <w:p w14:paraId="1D67D6FC">
      <w:pPr>
        <w:widowControl/>
        <w:spacing w:line="46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采购代理机构项目联系人：王先生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杨先生</w:t>
      </w:r>
    </w:p>
    <w:p w14:paraId="06099622">
      <w:pPr>
        <w:keepNext w:val="0"/>
        <w:keepLines w:val="0"/>
        <w:pageBreakBefore w:val="0"/>
        <w:widowControl/>
        <w:kinsoku/>
        <w:wordWrap/>
        <w:overflowPunct/>
        <w:topLinePunct w:val="0"/>
        <w:autoSpaceDE/>
        <w:autoSpaceDN/>
        <w:bidi w:val="0"/>
        <w:adjustRightInd/>
        <w:snapToGrid/>
        <w:spacing w:line="420" w:lineRule="exact"/>
        <w:ind w:firstLine="424" w:firstLineChars="202"/>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sz w:val="21"/>
          <w:szCs w:val="21"/>
          <w:highlight w:val="none"/>
        </w:rPr>
        <w:t>电　　话：0875-2147689</w:t>
      </w:r>
    </w:p>
    <w:p w14:paraId="510DD6C1">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1"/>
          <w:szCs w:val="21"/>
          <w:highlight w:val="none"/>
        </w:rPr>
        <w:br w:type="page"/>
      </w:r>
    </w:p>
    <w:p w14:paraId="18AD4CB7">
      <w:pPr>
        <w:pStyle w:val="3"/>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第二章  磋商申请人须知</w:t>
      </w:r>
      <w:bookmarkEnd w:id="1"/>
      <w:bookmarkEnd w:id="2"/>
    </w:p>
    <w:p w14:paraId="0CC4EFB7">
      <w:pPr>
        <w:pStyle w:val="4"/>
        <w:spacing w:before="0" w:after="0" w:line="360" w:lineRule="auto"/>
        <w:ind w:left="0" w:leftChars="0" w:firstLine="0" w:firstLineChars="0"/>
        <w:jc w:val="center"/>
        <w:rPr>
          <w:rFonts w:hint="eastAsia" w:ascii="宋体" w:hAnsi="宋体" w:eastAsia="宋体" w:cs="宋体"/>
          <w:color w:val="auto"/>
          <w:highlight w:val="none"/>
        </w:rPr>
      </w:pPr>
      <w:bookmarkStart w:id="3" w:name="_Toc86124039"/>
      <w:bookmarkStart w:id="4" w:name="_Toc39092130"/>
      <w:bookmarkStart w:id="5" w:name="_Toc7252731"/>
      <w:r>
        <w:rPr>
          <w:rFonts w:hint="eastAsia" w:ascii="宋体" w:hAnsi="宋体" w:eastAsia="宋体" w:cs="宋体"/>
          <w:color w:val="auto"/>
          <w:highlight w:val="none"/>
        </w:rPr>
        <w:t>磋商申请人须知前附表</w:t>
      </w:r>
      <w:bookmarkEnd w:id="3"/>
      <w:bookmarkEnd w:id="4"/>
      <w:bookmarkEnd w:id="5"/>
    </w:p>
    <w:tbl>
      <w:tblPr>
        <w:tblStyle w:val="27"/>
        <w:tblW w:w="10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188"/>
        <w:gridCol w:w="1192"/>
        <w:gridCol w:w="6999"/>
      </w:tblGrid>
      <w:tr w14:paraId="74C5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883" w:type="dxa"/>
            <w:vAlign w:val="center"/>
          </w:tcPr>
          <w:p w14:paraId="7E45DCD1">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条款号</w:t>
            </w:r>
          </w:p>
        </w:tc>
        <w:tc>
          <w:tcPr>
            <w:tcW w:w="2380" w:type="dxa"/>
            <w:gridSpan w:val="2"/>
            <w:vAlign w:val="center"/>
          </w:tcPr>
          <w:p w14:paraId="6ABAD300">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条款名称</w:t>
            </w:r>
          </w:p>
        </w:tc>
        <w:tc>
          <w:tcPr>
            <w:tcW w:w="6999" w:type="dxa"/>
            <w:vAlign w:val="center"/>
          </w:tcPr>
          <w:p w14:paraId="001534D6">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编列内容</w:t>
            </w:r>
          </w:p>
        </w:tc>
      </w:tr>
      <w:tr w14:paraId="7916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restart"/>
            <w:vAlign w:val="center"/>
          </w:tcPr>
          <w:p w14:paraId="3D3C2C12">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1.2</w:t>
            </w:r>
          </w:p>
        </w:tc>
        <w:tc>
          <w:tcPr>
            <w:tcW w:w="2380" w:type="dxa"/>
            <w:gridSpan w:val="2"/>
            <w:vAlign w:val="center"/>
          </w:tcPr>
          <w:p w14:paraId="710F347F">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采购人</w:t>
            </w:r>
          </w:p>
        </w:tc>
        <w:tc>
          <w:tcPr>
            <w:tcW w:w="6999" w:type="dxa"/>
            <w:vAlign w:val="center"/>
          </w:tcPr>
          <w:p w14:paraId="1443349F">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昌宁县人民医院</w:t>
            </w:r>
          </w:p>
        </w:tc>
      </w:tr>
      <w:tr w14:paraId="27607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7039CB5A">
            <w:pPr>
              <w:keepLines w:val="0"/>
              <w:pageBreakBefore w:val="0"/>
              <w:kinsoku/>
              <w:wordWrap/>
              <w:overflowPunct/>
              <w:topLinePunct w:val="0"/>
              <w:bidi w:val="0"/>
              <w:spacing w:line="440" w:lineRule="exact"/>
              <w:rPr>
                <w:rFonts w:hint="eastAsia" w:ascii="宋体" w:hAnsi="宋体" w:eastAsia="宋体" w:cs="宋体"/>
                <w:color w:val="auto"/>
                <w:kern w:val="0"/>
                <w:highlight w:val="none"/>
              </w:rPr>
            </w:pPr>
          </w:p>
        </w:tc>
        <w:tc>
          <w:tcPr>
            <w:tcW w:w="2380" w:type="dxa"/>
            <w:gridSpan w:val="2"/>
            <w:vAlign w:val="center"/>
          </w:tcPr>
          <w:p w14:paraId="49A7CD19">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采购代理机构</w:t>
            </w:r>
          </w:p>
        </w:tc>
        <w:tc>
          <w:tcPr>
            <w:tcW w:w="6999" w:type="dxa"/>
            <w:vAlign w:val="center"/>
          </w:tcPr>
          <w:p w14:paraId="2A6F9F7B">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保山市天瑞建设工程招标咨询有限公司</w:t>
            </w:r>
          </w:p>
        </w:tc>
      </w:tr>
      <w:tr w14:paraId="7CF61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23DE0561">
            <w:pPr>
              <w:keepLines w:val="0"/>
              <w:pageBreakBefore w:val="0"/>
              <w:kinsoku/>
              <w:wordWrap/>
              <w:overflowPunct/>
              <w:topLinePunct w:val="0"/>
              <w:bidi w:val="0"/>
              <w:spacing w:line="440" w:lineRule="exact"/>
              <w:rPr>
                <w:rFonts w:hint="eastAsia" w:ascii="宋体" w:hAnsi="宋体" w:eastAsia="宋体" w:cs="宋体"/>
                <w:color w:val="auto"/>
                <w:kern w:val="0"/>
                <w:highlight w:val="none"/>
              </w:rPr>
            </w:pPr>
          </w:p>
        </w:tc>
        <w:tc>
          <w:tcPr>
            <w:tcW w:w="2380" w:type="dxa"/>
            <w:gridSpan w:val="2"/>
            <w:vAlign w:val="center"/>
          </w:tcPr>
          <w:p w14:paraId="055FF833">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项目名称</w:t>
            </w:r>
          </w:p>
        </w:tc>
        <w:tc>
          <w:tcPr>
            <w:tcW w:w="6999" w:type="dxa"/>
            <w:vAlign w:val="center"/>
          </w:tcPr>
          <w:p w14:paraId="69C5E1BA">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昌宁县医共体中心药房管理系统采购项目</w:t>
            </w:r>
          </w:p>
        </w:tc>
      </w:tr>
      <w:tr w14:paraId="313E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365842B5">
            <w:pPr>
              <w:keepLines w:val="0"/>
              <w:pageBreakBefore w:val="0"/>
              <w:kinsoku/>
              <w:wordWrap/>
              <w:overflowPunct/>
              <w:topLinePunct w:val="0"/>
              <w:bidi w:val="0"/>
              <w:spacing w:line="440" w:lineRule="exact"/>
              <w:rPr>
                <w:rFonts w:hint="eastAsia" w:ascii="宋体" w:hAnsi="宋体" w:eastAsia="宋体" w:cs="宋体"/>
                <w:color w:val="auto"/>
                <w:kern w:val="0"/>
                <w:highlight w:val="none"/>
              </w:rPr>
            </w:pPr>
          </w:p>
        </w:tc>
        <w:tc>
          <w:tcPr>
            <w:tcW w:w="2380" w:type="dxa"/>
            <w:gridSpan w:val="2"/>
            <w:vAlign w:val="center"/>
          </w:tcPr>
          <w:p w14:paraId="4656765C">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项目编号</w:t>
            </w:r>
          </w:p>
        </w:tc>
        <w:tc>
          <w:tcPr>
            <w:tcW w:w="6999" w:type="dxa"/>
            <w:vAlign w:val="center"/>
          </w:tcPr>
          <w:p w14:paraId="2ACB2D7D">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highlight w:val="none"/>
                <w:lang w:val="en-US" w:eastAsia="zh-CN"/>
              </w:rPr>
              <w:t>项目编号：</w:t>
            </w:r>
            <w:r>
              <w:rPr>
                <w:rFonts w:hint="eastAsia" w:ascii="宋体" w:hAnsi="宋体" w:eastAsia="宋体" w:cs="宋体"/>
                <w:color w:val="auto"/>
                <w:highlight w:val="none"/>
                <w:lang w:eastAsia="zh-CN"/>
              </w:rPr>
              <w:t>TRZBC2026-72</w:t>
            </w:r>
          </w:p>
          <w:p w14:paraId="3FA4347F">
            <w:pPr>
              <w:pStyle w:val="16"/>
              <w:keepLines w:val="0"/>
              <w:pageBreakBefore w:val="0"/>
              <w:kinsoku/>
              <w:wordWrap/>
              <w:overflowPunct/>
              <w:topLinePunct w:val="0"/>
              <w:bidi w:val="0"/>
              <w:spacing w:line="440" w:lineRule="exact"/>
              <w:rPr>
                <w:rFonts w:hint="eastAsia" w:ascii="宋体" w:hAnsi="宋体" w:eastAsia="宋体" w:cs="宋体"/>
                <w:color w:val="auto"/>
                <w:highlight w:val="none"/>
                <w:lang w:val="en-US" w:eastAsia="zh-CN"/>
              </w:rPr>
            </w:pPr>
            <w:r>
              <w:rPr>
                <w:rFonts w:hint="eastAsia" w:hAnsi="宋体" w:cs="宋体"/>
                <w:color w:val="auto"/>
                <w:kern w:val="0"/>
                <w:highlight w:val="none"/>
                <w:lang w:val="en-US" w:eastAsia="zh-CN"/>
              </w:rPr>
              <w:t>电子交易平台项目编号：BSZC2026-C3-00673-BSTR-0045</w:t>
            </w:r>
          </w:p>
        </w:tc>
      </w:tr>
      <w:tr w14:paraId="5DD4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E7783B7">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3.1</w:t>
            </w:r>
          </w:p>
        </w:tc>
        <w:tc>
          <w:tcPr>
            <w:tcW w:w="2380" w:type="dxa"/>
            <w:gridSpan w:val="2"/>
            <w:vAlign w:val="center"/>
          </w:tcPr>
          <w:p w14:paraId="67932DBE">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采购内容</w:t>
            </w:r>
          </w:p>
        </w:tc>
        <w:tc>
          <w:tcPr>
            <w:tcW w:w="6999" w:type="dxa"/>
            <w:vAlign w:val="center"/>
          </w:tcPr>
          <w:p w14:paraId="5684AB99">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详见第五章《采购需求》</w:t>
            </w:r>
          </w:p>
        </w:tc>
      </w:tr>
      <w:tr w14:paraId="378D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9F4ECBB">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3.2</w:t>
            </w:r>
          </w:p>
        </w:tc>
        <w:tc>
          <w:tcPr>
            <w:tcW w:w="2380" w:type="dxa"/>
            <w:gridSpan w:val="2"/>
            <w:vAlign w:val="center"/>
          </w:tcPr>
          <w:p w14:paraId="6D62877D">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标段划分</w:t>
            </w:r>
          </w:p>
        </w:tc>
        <w:tc>
          <w:tcPr>
            <w:tcW w:w="6999" w:type="dxa"/>
            <w:vAlign w:val="center"/>
          </w:tcPr>
          <w:p w14:paraId="65F199BE">
            <w:pPr>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rPr>
              <w:t>标段划分</w:t>
            </w:r>
            <w:r>
              <w:rPr>
                <w:rFonts w:hint="eastAsia" w:ascii="宋体" w:hAnsi="宋体" w:eastAsia="宋体" w:cs="宋体"/>
                <w:color w:val="auto"/>
                <w:kern w:val="0"/>
                <w:highlight w:val="none"/>
                <w:lang w:val="en-US" w:eastAsia="zh-CN"/>
              </w:rPr>
              <w:t>情况：</w:t>
            </w:r>
            <w:r>
              <w:rPr>
                <w:rFonts w:hint="eastAsia" w:ascii="宋体" w:hAnsi="宋体" w:eastAsia="宋体" w:cs="宋体"/>
                <w:color w:val="auto"/>
                <w:szCs w:val="21"/>
                <w:highlight w:val="none"/>
              </w:rPr>
              <w:t>本次采购共划分为1个标段，拟参与本项目的磋商申请人必须整体报价不得拆分。</w:t>
            </w:r>
          </w:p>
        </w:tc>
      </w:tr>
      <w:tr w14:paraId="099C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F14053D">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3.3</w:t>
            </w:r>
          </w:p>
        </w:tc>
        <w:tc>
          <w:tcPr>
            <w:tcW w:w="2380" w:type="dxa"/>
            <w:gridSpan w:val="2"/>
            <w:vAlign w:val="center"/>
          </w:tcPr>
          <w:p w14:paraId="4E08D059">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项目服务地点及合同履行期限</w:t>
            </w:r>
          </w:p>
        </w:tc>
        <w:tc>
          <w:tcPr>
            <w:tcW w:w="6999" w:type="dxa"/>
            <w:vAlign w:val="center"/>
          </w:tcPr>
          <w:p w14:paraId="6D06836C">
            <w:pPr>
              <w:keepLines w:val="0"/>
              <w:pageBreakBefore w:val="0"/>
              <w:kinsoku/>
              <w:wordWrap/>
              <w:overflowPunct/>
              <w:topLinePunct w:val="0"/>
              <w:bidi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）项目服务地点</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采购人指定地点</w:t>
            </w:r>
            <w:r>
              <w:rPr>
                <w:rFonts w:hint="eastAsia" w:ascii="宋体" w:hAnsi="宋体" w:eastAsia="宋体" w:cs="宋体"/>
                <w:color w:val="auto"/>
                <w:szCs w:val="21"/>
                <w:highlight w:val="none"/>
              </w:rPr>
              <w:t>。</w:t>
            </w:r>
          </w:p>
          <w:p w14:paraId="2C76D9F6">
            <w:pPr>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合同履行期限：</w:t>
            </w:r>
            <w:r>
              <w:rPr>
                <w:rFonts w:hint="eastAsia" w:ascii="宋体" w:hAnsi="宋体" w:eastAsia="宋体" w:cs="宋体"/>
                <w:color w:val="auto"/>
                <w:sz w:val="21"/>
                <w:szCs w:val="21"/>
                <w:highlight w:val="none"/>
                <w:lang w:eastAsia="zh-CN"/>
              </w:rPr>
              <w:t>合同签订后</w:t>
            </w:r>
            <w:r>
              <w:rPr>
                <w:rFonts w:hint="eastAsia" w:ascii="宋体" w:hAnsi="宋体" w:eastAsia="宋体" w:cs="宋体"/>
                <w:color w:val="auto"/>
                <w:sz w:val="21"/>
                <w:szCs w:val="21"/>
                <w:highlight w:val="none"/>
                <w:lang w:val="en-US" w:eastAsia="zh-CN"/>
              </w:rPr>
              <w:t>60日历天</w:t>
            </w:r>
            <w:r>
              <w:rPr>
                <w:rFonts w:hint="eastAsia" w:ascii="宋体" w:hAnsi="宋体" w:eastAsia="宋体" w:cs="宋体"/>
                <w:color w:val="auto"/>
                <w:sz w:val="21"/>
                <w:szCs w:val="21"/>
                <w:highlight w:val="none"/>
                <w:lang w:eastAsia="zh-CN"/>
              </w:rPr>
              <w:t>内完成系统开发建设任务工作并达到初步验收标准，根据项目初检的要求开展相应的系统优化整改直至完全达标通过最终验收。项目验收合格后提供不少于1年的系统售后运维服务。</w:t>
            </w:r>
          </w:p>
        </w:tc>
      </w:tr>
      <w:tr w14:paraId="19F8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73A9229">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4</w:t>
            </w:r>
          </w:p>
        </w:tc>
        <w:tc>
          <w:tcPr>
            <w:tcW w:w="2380" w:type="dxa"/>
            <w:gridSpan w:val="2"/>
            <w:vAlign w:val="center"/>
          </w:tcPr>
          <w:p w14:paraId="54EB4DAA">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磋商申请人资格要求</w:t>
            </w:r>
          </w:p>
        </w:tc>
        <w:tc>
          <w:tcPr>
            <w:tcW w:w="6999" w:type="dxa"/>
            <w:vAlign w:val="center"/>
          </w:tcPr>
          <w:p w14:paraId="37FAD4C1">
            <w:pPr>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见第一章“竞争性磋商公告”</w:t>
            </w:r>
            <w:r>
              <w:rPr>
                <w:rFonts w:hint="eastAsia" w:ascii="宋体" w:hAnsi="宋体" w:eastAsia="宋体" w:cs="宋体"/>
                <w:color w:val="auto"/>
                <w:kern w:val="0"/>
                <w:highlight w:val="none"/>
                <w:lang w:eastAsia="zh-CN"/>
              </w:rPr>
              <w:t>。</w:t>
            </w:r>
          </w:p>
        </w:tc>
      </w:tr>
      <w:tr w14:paraId="7D58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6444055">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7.1</w:t>
            </w:r>
          </w:p>
        </w:tc>
        <w:tc>
          <w:tcPr>
            <w:tcW w:w="2380" w:type="dxa"/>
            <w:gridSpan w:val="2"/>
            <w:vAlign w:val="center"/>
          </w:tcPr>
          <w:p w14:paraId="46AA2048">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磋商文件澄清截止时间</w:t>
            </w:r>
          </w:p>
        </w:tc>
        <w:tc>
          <w:tcPr>
            <w:tcW w:w="6999" w:type="dxa"/>
            <w:vAlign w:val="center"/>
          </w:tcPr>
          <w:p w14:paraId="7439BEAE">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highlight w:val="none"/>
              </w:rPr>
            </w:pPr>
            <w:r>
              <w:rPr>
                <w:rFonts w:hint="eastAsia" w:ascii="宋体" w:hAnsi="宋体" w:eastAsia="宋体" w:cs="宋体"/>
                <w:color w:val="auto"/>
                <w:kern w:val="0"/>
                <w:highlight w:val="none"/>
              </w:rPr>
              <w:t>提交响应文件截止时间5日前。</w:t>
            </w:r>
          </w:p>
        </w:tc>
      </w:tr>
      <w:tr w14:paraId="1061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883" w:type="dxa"/>
            <w:vAlign w:val="center"/>
          </w:tcPr>
          <w:p w14:paraId="41AB5B68">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7.5</w:t>
            </w:r>
          </w:p>
        </w:tc>
        <w:tc>
          <w:tcPr>
            <w:tcW w:w="2380" w:type="dxa"/>
            <w:gridSpan w:val="2"/>
            <w:vAlign w:val="center"/>
          </w:tcPr>
          <w:p w14:paraId="11CBD54D">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highlight w:val="none"/>
              </w:rPr>
            </w:pPr>
            <w:r>
              <w:rPr>
                <w:rFonts w:hint="eastAsia" w:ascii="宋体" w:hAnsi="宋体" w:eastAsia="宋体" w:cs="宋体"/>
                <w:color w:val="auto"/>
                <w:kern w:val="0"/>
                <w:highlight w:val="none"/>
              </w:rPr>
              <w:t>本项目磋商小组根据与磋商申请人磋商情况可能实质性变动的内容</w:t>
            </w:r>
          </w:p>
        </w:tc>
        <w:tc>
          <w:tcPr>
            <w:tcW w:w="6999" w:type="dxa"/>
            <w:vAlign w:val="center"/>
          </w:tcPr>
          <w:p w14:paraId="26679A49">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highlight w:val="none"/>
              </w:rPr>
            </w:pPr>
            <w:r>
              <w:rPr>
                <w:rFonts w:hint="eastAsia" w:ascii="宋体" w:hAnsi="宋体" w:eastAsia="宋体" w:cs="宋体"/>
                <w:color w:val="auto"/>
                <w:kern w:val="0"/>
                <w:highlight w:val="none"/>
              </w:rPr>
              <w:t>第五章  采购需求等</w:t>
            </w:r>
          </w:p>
        </w:tc>
      </w:tr>
      <w:tr w14:paraId="62D87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DA872E5">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9.1 </w:t>
            </w:r>
          </w:p>
        </w:tc>
        <w:tc>
          <w:tcPr>
            <w:tcW w:w="1188" w:type="dxa"/>
            <w:vAlign w:val="center"/>
          </w:tcPr>
          <w:p w14:paraId="028AC70B">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构成响应文件的其他资料</w:t>
            </w:r>
          </w:p>
        </w:tc>
        <w:tc>
          <w:tcPr>
            <w:tcW w:w="1192" w:type="dxa"/>
            <w:vAlign w:val="center"/>
          </w:tcPr>
          <w:p w14:paraId="053786A5">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highlight w:val="none"/>
              </w:rPr>
            </w:pPr>
            <w:r>
              <w:rPr>
                <w:rFonts w:hint="eastAsia" w:ascii="宋体" w:hAnsi="宋体" w:eastAsia="宋体" w:cs="宋体"/>
                <w:color w:val="auto"/>
                <w:kern w:val="0"/>
                <w:highlight w:val="none"/>
              </w:rPr>
              <w:t>其他材料</w:t>
            </w:r>
          </w:p>
        </w:tc>
        <w:tc>
          <w:tcPr>
            <w:tcW w:w="6999" w:type="dxa"/>
            <w:vAlign w:val="center"/>
          </w:tcPr>
          <w:p w14:paraId="28FF1BF3">
            <w:pPr>
              <w:keepLines w:val="0"/>
              <w:pageBreakBefore w:val="0"/>
              <w:kinsoku/>
              <w:wordWrap/>
              <w:overflowPunct/>
              <w:topLinePunct w:val="0"/>
              <w:bidi w:val="0"/>
              <w:spacing w:line="440" w:lineRule="exact"/>
              <w:ind w:left="38" w:leftChars="18"/>
              <w:rPr>
                <w:rFonts w:hint="eastAsia" w:ascii="宋体" w:hAnsi="宋体" w:eastAsia="宋体" w:cs="宋体"/>
                <w:color w:val="auto"/>
                <w:kern w:val="0"/>
                <w:highlight w:val="none"/>
              </w:rPr>
            </w:pPr>
            <w:r>
              <w:rPr>
                <w:rFonts w:hint="eastAsia" w:ascii="宋体" w:hAnsi="宋体" w:eastAsia="宋体" w:cs="宋体"/>
                <w:color w:val="auto"/>
                <w:kern w:val="0"/>
                <w:highlight w:val="none"/>
              </w:rPr>
              <w:t>1.具备履行合同所必需的设备和专业技术能力的证明材料。</w:t>
            </w:r>
          </w:p>
          <w:p w14:paraId="1556176D">
            <w:pPr>
              <w:pStyle w:val="16"/>
              <w:keepLines w:val="0"/>
              <w:pageBreakBefore w:val="0"/>
              <w:kinsoku/>
              <w:wordWrap/>
              <w:overflowPunct/>
              <w:topLinePunct w:val="0"/>
              <w:bidi w:val="0"/>
              <w:spacing w:line="440" w:lineRule="exact"/>
              <w:ind w:left="38" w:leftChars="18" w:firstLine="39" w:firstLineChars="19"/>
              <w:rPr>
                <w:rFonts w:hint="eastAsia" w:ascii="宋体" w:hAnsi="宋体" w:eastAsia="宋体" w:cs="宋体"/>
                <w:color w:val="auto"/>
                <w:kern w:val="0"/>
                <w:highlight w:val="none"/>
              </w:rPr>
            </w:pPr>
            <w:r>
              <w:rPr>
                <w:rFonts w:hint="eastAsia" w:ascii="宋体" w:hAnsi="宋体" w:eastAsia="宋体" w:cs="宋体"/>
                <w:color w:val="auto"/>
                <w:kern w:val="0"/>
                <w:highlight w:val="none"/>
              </w:rPr>
              <w:t>2.若磋商文件中另有要求的，则还应满足其他要求中的相关资质要求。</w:t>
            </w:r>
          </w:p>
          <w:p w14:paraId="66D4E4D4">
            <w:pPr>
              <w:pStyle w:val="16"/>
              <w:keepLines w:val="0"/>
              <w:pageBreakBefore w:val="0"/>
              <w:kinsoku/>
              <w:wordWrap/>
              <w:overflowPunct/>
              <w:topLinePunct w:val="0"/>
              <w:bidi w:val="0"/>
              <w:spacing w:line="440" w:lineRule="exact"/>
              <w:ind w:left="38" w:leftChars="18"/>
              <w:rPr>
                <w:rFonts w:hint="eastAsia" w:ascii="宋体" w:hAnsi="宋体" w:eastAsia="宋体" w:cs="宋体"/>
                <w:color w:val="auto"/>
                <w:kern w:val="0"/>
                <w:highlight w:val="none"/>
              </w:rPr>
            </w:pPr>
            <w:r>
              <w:rPr>
                <w:rFonts w:hint="eastAsia" w:ascii="宋体" w:hAnsi="宋体" w:eastAsia="宋体" w:cs="宋体"/>
                <w:color w:val="auto"/>
                <w:kern w:val="0"/>
                <w:highlight w:val="none"/>
              </w:rPr>
              <w:t>3.磋商申请人资格要求中要求提供的资料以及磋商申请人认为需要提供的其他资料。</w:t>
            </w:r>
          </w:p>
        </w:tc>
      </w:tr>
      <w:tr w14:paraId="4213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D61743F">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10.1</w:t>
            </w:r>
          </w:p>
        </w:tc>
        <w:tc>
          <w:tcPr>
            <w:tcW w:w="2380" w:type="dxa"/>
            <w:gridSpan w:val="2"/>
            <w:vAlign w:val="center"/>
          </w:tcPr>
          <w:p w14:paraId="40EAE534">
            <w:pPr>
              <w:keepLines w:val="0"/>
              <w:pageBreakBefore w:val="0"/>
              <w:kinsoku/>
              <w:wordWrap/>
              <w:overflowPunct/>
              <w:topLinePunct w:val="0"/>
              <w:autoSpaceDE w:val="0"/>
              <w:autoSpaceDN w:val="0"/>
              <w:bidi w:val="0"/>
              <w:snapToGrid w:val="0"/>
              <w:spacing w:line="440" w:lineRule="exact"/>
              <w:textAlignment w:val="bottom"/>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rPr>
              <w:t>采购预算</w:t>
            </w:r>
            <w:r>
              <w:rPr>
                <w:rFonts w:hint="eastAsia" w:ascii="宋体" w:hAnsi="宋体" w:eastAsia="宋体" w:cs="宋体"/>
                <w:color w:val="auto"/>
                <w:kern w:val="0"/>
                <w:highlight w:val="none"/>
                <w:lang w:val="en-US" w:eastAsia="zh-CN"/>
              </w:rPr>
              <w:t>及最高限价</w:t>
            </w:r>
          </w:p>
        </w:tc>
        <w:tc>
          <w:tcPr>
            <w:tcW w:w="6999" w:type="dxa"/>
            <w:vAlign w:val="center"/>
          </w:tcPr>
          <w:p w14:paraId="6C96BF22">
            <w:pPr>
              <w:pStyle w:val="16"/>
              <w:keepLines w:val="0"/>
              <w:pageBreakBefore w:val="0"/>
              <w:numPr>
                <w:ilvl w:val="0"/>
                <w:numId w:val="0"/>
              </w:numPr>
              <w:kinsoku/>
              <w:wordWrap/>
              <w:overflowPunct/>
              <w:topLinePunct w:val="0"/>
              <w:bidi w:val="0"/>
              <w:spacing w:line="440" w:lineRule="exact"/>
              <w:ind w:leftChars="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）预算金额：88.80万元。</w:t>
            </w:r>
          </w:p>
          <w:p w14:paraId="24D35C39">
            <w:pPr>
              <w:pStyle w:val="16"/>
              <w:keepLines w:val="0"/>
              <w:pageBreakBefore w:val="0"/>
              <w:numPr>
                <w:ilvl w:val="0"/>
                <w:numId w:val="0"/>
              </w:numPr>
              <w:kinsoku/>
              <w:wordWrap/>
              <w:overflowPunct/>
              <w:topLinePunct w:val="0"/>
              <w:bidi w:val="0"/>
              <w:spacing w:line="440" w:lineRule="exact"/>
              <w:ind w:leftChars="0"/>
              <w:rPr>
                <w:rFonts w:hint="eastAsia" w:ascii="宋体" w:hAnsi="宋体" w:eastAsia="宋体" w:cs="宋体"/>
                <w:color w:val="auto"/>
                <w:highlight w:val="none"/>
                <w:lang w:val="en-US"/>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最高限价：88.80万元</w:t>
            </w:r>
            <w:r>
              <w:rPr>
                <w:rFonts w:hint="eastAsia" w:ascii="宋体" w:hAnsi="宋体" w:eastAsia="宋体" w:cs="宋体"/>
                <w:color w:val="auto"/>
                <w:highlight w:val="none"/>
                <w:lang w:val="en-US" w:eastAsia="zh-CN"/>
              </w:rPr>
              <w:t>。</w:t>
            </w:r>
          </w:p>
          <w:p w14:paraId="71DDF2A4">
            <w:pPr>
              <w:pStyle w:val="16"/>
              <w:keepLines w:val="0"/>
              <w:pageBreakBefore w:val="0"/>
              <w:numPr>
                <w:ilvl w:val="0"/>
                <w:numId w:val="0"/>
              </w:numPr>
              <w:kinsoku/>
              <w:wordWrap/>
              <w:overflowPunct/>
              <w:topLinePunct w:val="0"/>
              <w:bidi w:val="0"/>
              <w:spacing w:line="440" w:lineRule="exact"/>
              <w:ind w:leftChars="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kern w:val="0"/>
                <w:highlight w:val="none"/>
              </w:rPr>
              <w:t>磋商申请人最终报价</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总价）</w:t>
            </w:r>
            <w:r>
              <w:rPr>
                <w:rFonts w:hint="eastAsia" w:ascii="宋体" w:hAnsi="宋体" w:eastAsia="宋体" w:cs="宋体"/>
                <w:color w:val="auto"/>
                <w:kern w:val="0"/>
                <w:highlight w:val="none"/>
              </w:rPr>
              <w:t>不得超过</w:t>
            </w:r>
            <w:r>
              <w:rPr>
                <w:rFonts w:hint="eastAsia" w:ascii="宋体" w:hAnsi="宋体" w:eastAsia="宋体" w:cs="宋体"/>
                <w:color w:val="auto"/>
                <w:kern w:val="0"/>
                <w:highlight w:val="none"/>
                <w:lang w:val="en-US" w:eastAsia="zh-CN"/>
              </w:rPr>
              <w:t>本项目设置的项目最高限价总金额</w:t>
            </w:r>
            <w:r>
              <w:rPr>
                <w:rFonts w:hint="eastAsia" w:ascii="宋体" w:hAnsi="宋体" w:eastAsia="宋体" w:cs="宋体"/>
                <w:color w:val="auto"/>
                <w:kern w:val="0"/>
                <w:highlight w:val="none"/>
              </w:rPr>
              <w:t>，否则其响应文件将视为无效。</w:t>
            </w:r>
          </w:p>
        </w:tc>
      </w:tr>
      <w:tr w14:paraId="0EA2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92D8E46">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11.1</w:t>
            </w:r>
          </w:p>
        </w:tc>
        <w:tc>
          <w:tcPr>
            <w:tcW w:w="2380" w:type="dxa"/>
            <w:gridSpan w:val="2"/>
            <w:vAlign w:val="center"/>
          </w:tcPr>
          <w:p w14:paraId="6DD17402">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有效期</w:t>
            </w:r>
          </w:p>
        </w:tc>
        <w:tc>
          <w:tcPr>
            <w:tcW w:w="6999" w:type="dxa"/>
            <w:vAlign w:val="center"/>
          </w:tcPr>
          <w:p w14:paraId="3F04EC63">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递交响应文件的截止日期后</w:t>
            </w:r>
            <w:r>
              <w:rPr>
                <w:rFonts w:hint="eastAsia" w:ascii="宋体" w:hAnsi="宋体" w:eastAsia="宋体" w:cs="宋体"/>
                <w:color w:val="auto"/>
                <w:kern w:val="0"/>
                <w:highlight w:val="none"/>
                <w:lang w:val="en-US" w:eastAsia="zh-CN"/>
              </w:rPr>
              <w:t>9</w:t>
            </w:r>
            <w:r>
              <w:rPr>
                <w:rFonts w:hint="eastAsia" w:ascii="宋体" w:hAnsi="宋体" w:eastAsia="宋体" w:cs="宋体"/>
                <w:color w:val="auto"/>
                <w:kern w:val="0"/>
                <w:highlight w:val="none"/>
              </w:rPr>
              <w:t>0天</w:t>
            </w:r>
          </w:p>
        </w:tc>
      </w:tr>
      <w:tr w14:paraId="0E70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FB55D9B">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rPr>
              <w:t>12.</w:t>
            </w:r>
            <w:r>
              <w:rPr>
                <w:rFonts w:hint="eastAsia" w:ascii="宋体" w:hAnsi="宋体" w:eastAsia="宋体" w:cs="宋体"/>
                <w:color w:val="auto"/>
                <w:kern w:val="0"/>
                <w:highlight w:val="none"/>
                <w:lang w:val="en-US" w:eastAsia="zh-CN"/>
              </w:rPr>
              <w:t>6</w:t>
            </w:r>
          </w:p>
        </w:tc>
        <w:tc>
          <w:tcPr>
            <w:tcW w:w="2380" w:type="dxa"/>
            <w:gridSpan w:val="2"/>
            <w:vAlign w:val="center"/>
          </w:tcPr>
          <w:p w14:paraId="2957FAAD">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响应文件</w:t>
            </w:r>
            <w:r>
              <w:rPr>
                <w:rFonts w:hint="eastAsia" w:ascii="宋体" w:hAnsi="宋体" w:eastAsia="宋体" w:cs="宋体"/>
                <w:color w:val="auto"/>
                <w:kern w:val="0"/>
                <w:highlight w:val="none"/>
                <w:lang w:val="en-US" w:eastAsia="zh-CN"/>
              </w:rPr>
              <w:t>上传相关要求</w:t>
            </w:r>
          </w:p>
        </w:tc>
        <w:tc>
          <w:tcPr>
            <w:tcW w:w="6999" w:type="dxa"/>
            <w:vAlign w:val="center"/>
          </w:tcPr>
          <w:p w14:paraId="6A70678F">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12.6.1</w:t>
            </w:r>
            <w:r>
              <w:rPr>
                <w:rFonts w:hint="eastAsia" w:ascii="宋体" w:hAnsi="宋体" w:eastAsia="宋体" w:cs="宋体"/>
                <w:color w:val="auto"/>
                <w:kern w:val="0"/>
                <w:highlight w:val="none"/>
              </w:rPr>
              <w:t>本次采购采用在</w:t>
            </w:r>
            <w:r>
              <w:rPr>
                <w:rFonts w:hint="eastAsia" w:ascii="宋体" w:hAnsi="宋体" w:eastAsia="宋体" w:cs="宋体"/>
                <w:color w:val="auto"/>
                <w:kern w:val="0"/>
                <w:highlight w:val="none"/>
                <w:lang w:eastAsia="zh-CN"/>
              </w:rPr>
              <w:t>云南省政府采购电子交易平台（www.zcygov.cn）</w:t>
            </w:r>
            <w:r>
              <w:rPr>
                <w:rFonts w:hint="eastAsia" w:ascii="宋体" w:hAnsi="宋体" w:eastAsia="宋体" w:cs="宋体"/>
                <w:color w:val="auto"/>
                <w:kern w:val="0"/>
                <w:highlight w:val="none"/>
              </w:rPr>
              <w:t>上进行采购与递交响应文件，磋商响应文件递交要求如下：</w:t>
            </w:r>
          </w:p>
          <w:p w14:paraId="1BDF1438">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（1）网上递交：磋商申请人网上递交</w:t>
            </w:r>
            <w:r>
              <w:rPr>
                <w:rFonts w:hint="eastAsia" w:ascii="宋体" w:hAnsi="宋体" w:eastAsia="宋体" w:cs="宋体"/>
                <w:color w:val="auto"/>
                <w:kern w:val="0"/>
                <w:highlight w:val="none"/>
                <w:lang w:eastAsia="zh-CN"/>
              </w:rPr>
              <w:t>需登录云南省政府采购电子交易平台（www.zcygov.cn）</w:t>
            </w:r>
            <w:r>
              <w:rPr>
                <w:rFonts w:hint="eastAsia" w:ascii="宋体" w:hAnsi="宋体" w:eastAsia="宋体" w:cs="宋体"/>
                <w:color w:val="auto"/>
                <w:kern w:val="0"/>
                <w:highlight w:val="none"/>
              </w:rPr>
              <w:t>，须在磋商响应文件提交截止时间前完成所有电子竞争性磋商响应文件的上传，磋商响应文件递交截止时间前未完成文件上传的，视为撤回磋商响应文件。</w:t>
            </w:r>
          </w:p>
          <w:p w14:paraId="54FFD26C">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en-US" w:eastAsia="zh-CN"/>
              </w:rPr>
              <w:t>本项目采用在云南省政府采购电子交易平台（www.zcygov.cn）上进行采购与递交响应文件，无需现场递交纸质文件，但应在文件递交截止时间登录系统，并根据开标系统的提示操作解密文件。</w:t>
            </w:r>
          </w:p>
          <w:p w14:paraId="24452CAB">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磋</w:t>
            </w:r>
            <w:r>
              <w:rPr>
                <w:rFonts w:hint="eastAsia" w:ascii="宋体" w:hAnsi="宋体" w:eastAsia="宋体" w:cs="宋体"/>
                <w:color w:val="auto"/>
                <w:kern w:val="0"/>
                <w:highlight w:val="none"/>
                <w:lang w:val="en-US" w:eastAsia="zh-CN"/>
              </w:rPr>
              <w:t>商申请人若有幸成交，须在签收采购合同前向采购人提交纸质磋商响应文件一份。</w:t>
            </w:r>
          </w:p>
          <w:p w14:paraId="5458CE96">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12.6.2本项目需要对本次采购的“昌宁县医共体中心药房管理系统”提供开发设计功能模块（demo）进行视频演示，演示方式采用视频并配音解说进行实现（格式：MP4），视频演示须图像清晰、演示功能准确，配音解说须与视频显示内容一致。演示视频须压缩为加密的压缩包（名称：磋商申请人名称+昌宁县医共体中心药房管理系统采购项目演示视频），演示视频须在提交投标文件截止时间：</w:t>
            </w:r>
            <w:r>
              <w:rPr>
                <w:rFonts w:hint="eastAsia" w:hAnsi="宋体" w:cs="宋体"/>
                <w:color w:val="auto"/>
                <w:highlight w:val="none"/>
                <w:u w:val="single"/>
                <w:lang w:eastAsia="zh-CN"/>
              </w:rPr>
              <w:t>2026年07月09日09时30分</w:t>
            </w:r>
            <w:r>
              <w:rPr>
                <w:rFonts w:hint="eastAsia" w:ascii="宋体" w:hAnsi="宋体" w:eastAsia="宋体" w:cs="宋体"/>
                <w:color w:val="auto"/>
                <w:kern w:val="0"/>
                <w:highlight w:val="none"/>
                <w:lang w:val="en-US" w:eastAsia="zh-CN"/>
              </w:rPr>
              <w:t>（北京时间）以前发送至采购代理机构对公邮箱（bstrzb@126.com），演示视频压缩包的解密密码须在</w:t>
            </w:r>
            <w:r>
              <w:rPr>
                <w:rFonts w:hint="eastAsia" w:ascii="宋体" w:hAnsi="宋体" w:eastAsia="宋体" w:cs="宋体"/>
                <w:color w:val="auto"/>
                <w:sz w:val="21"/>
                <w:szCs w:val="21"/>
                <w:highlight w:val="none"/>
                <w:lang w:eastAsia="zh-CN"/>
              </w:rPr>
              <w:t>云南省政府采购电子交易平台</w:t>
            </w:r>
            <w:r>
              <w:rPr>
                <w:rFonts w:hint="eastAsia" w:ascii="宋体" w:hAnsi="宋体" w:eastAsia="宋体" w:cs="宋体"/>
                <w:color w:val="auto"/>
                <w:kern w:val="0"/>
                <w:highlight w:val="none"/>
                <w:lang w:val="en-US" w:eastAsia="zh-CN"/>
              </w:rPr>
              <w:t>开标系统中提示进行磋商响应文件解密后应立即发送至采购代理机构对公邮箱（bstrzb@126.com）。</w:t>
            </w:r>
          </w:p>
          <w:p w14:paraId="2D1025E7">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注：逾期发送或未发送演示视频压缩包，视为磋商申请人未提供演示视频，对应的评审内容将按0分计算。</w:t>
            </w:r>
          </w:p>
        </w:tc>
      </w:tr>
      <w:tr w14:paraId="554C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52A70ED">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13</w:t>
            </w:r>
          </w:p>
        </w:tc>
        <w:tc>
          <w:tcPr>
            <w:tcW w:w="2380" w:type="dxa"/>
            <w:gridSpan w:val="2"/>
            <w:vAlign w:val="center"/>
          </w:tcPr>
          <w:p w14:paraId="25FB4561">
            <w:pPr>
              <w:pStyle w:val="16"/>
              <w:keepLines w:val="0"/>
              <w:pageBreakBefore w:val="0"/>
              <w:kinsoku/>
              <w:wordWrap/>
              <w:overflowPunct/>
              <w:topLinePunct w:val="0"/>
              <w:bidi w:val="0"/>
              <w:spacing w:line="440" w:lineRule="exact"/>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磋商保证金</w:t>
            </w:r>
          </w:p>
        </w:tc>
        <w:tc>
          <w:tcPr>
            <w:tcW w:w="6999" w:type="dxa"/>
            <w:vAlign w:val="center"/>
          </w:tcPr>
          <w:p w14:paraId="3422AD91">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13.1磋商保证金相关信息</w:t>
            </w:r>
          </w:p>
          <w:p w14:paraId="418CC1FD">
            <w:pPr>
              <w:keepLines w:val="0"/>
              <w:pageBreakBefore w:val="0"/>
              <w:kinsoku/>
              <w:wordWrap/>
              <w:overflowPunct/>
              <w:topLinePunct w:val="0"/>
              <w:bidi w:val="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项目名称：</w:t>
            </w:r>
            <w:r>
              <w:rPr>
                <w:rFonts w:hint="eastAsia" w:ascii="宋体" w:hAnsi="宋体" w:eastAsia="宋体" w:cs="宋体"/>
                <w:color w:val="auto"/>
                <w:highlight w:val="none"/>
                <w:lang w:eastAsia="zh-CN"/>
              </w:rPr>
              <w:t>昌宁县医共体中心药房管理系统采购项目</w:t>
            </w:r>
          </w:p>
          <w:p w14:paraId="67A19291">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磋商保证金形式：银行转账或银行保函或保证保险或其他非现金方式（不</w:t>
            </w:r>
            <w:r>
              <w:rPr>
                <w:rFonts w:hint="eastAsia" w:ascii="宋体" w:hAnsi="宋体" w:eastAsia="宋体" w:cs="宋体"/>
                <w:color w:val="auto"/>
                <w:highlight w:val="none"/>
                <w:lang w:eastAsia="zh-CN"/>
              </w:rPr>
              <w:t>接受</w:t>
            </w:r>
            <w:r>
              <w:rPr>
                <w:rFonts w:hint="eastAsia" w:ascii="宋体" w:hAnsi="宋体" w:eastAsia="宋体" w:cs="宋体"/>
                <w:color w:val="auto"/>
                <w:highlight w:val="none"/>
              </w:rPr>
              <w:t>现场缴纳现金）</w:t>
            </w:r>
          </w:p>
          <w:p w14:paraId="30A7F3E8">
            <w:pPr>
              <w:keepLines w:val="0"/>
              <w:pageBreakBefore w:val="0"/>
              <w:widowControl/>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磋商保证金金额：¥</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000.00元</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壹万伍仟元整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5D8E85D0">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13.2磋商保证金的提交方式</w:t>
            </w:r>
          </w:p>
          <w:p w14:paraId="68938EEB">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磋商保证金形式：银行转账或银行保函或保证保险或其他非现金方式（不</w:t>
            </w:r>
            <w:r>
              <w:rPr>
                <w:rFonts w:hint="eastAsia" w:ascii="宋体" w:hAnsi="宋体" w:eastAsia="宋体" w:cs="宋体"/>
                <w:color w:val="auto"/>
                <w:highlight w:val="none"/>
                <w:lang w:eastAsia="zh-CN"/>
              </w:rPr>
              <w:t>接受</w:t>
            </w:r>
            <w:r>
              <w:rPr>
                <w:rFonts w:hint="eastAsia" w:ascii="宋体" w:hAnsi="宋体" w:eastAsia="宋体" w:cs="宋体"/>
                <w:color w:val="auto"/>
                <w:highlight w:val="none"/>
              </w:rPr>
              <w:t>现场缴纳现金），磋商申请人可根据实际情况，选择保证金的提供或缴纳方式，有关部门、单位和企业不得以任何方式排斥、限制或拒绝接受。</w:t>
            </w:r>
          </w:p>
          <w:p w14:paraId="23F7C900">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13.2.1采用银行转账：</w:t>
            </w:r>
          </w:p>
          <w:p w14:paraId="54E5A797">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（1）保证金应以磋商申请人自身的名义提交，并且必须从其基本账户转出（按照规定，磋商申请人可以为自然人的项目除外，若为联合体，保证金由联合体牵头人进行缴纳）。</w:t>
            </w:r>
          </w:p>
          <w:p w14:paraId="4D4EC5D9">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本次项目磋商保证金专用账号转账信息如下（唯一账户）：</w:t>
            </w:r>
          </w:p>
          <w:p w14:paraId="22732508">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磋商保证金指定账户：</w:t>
            </w:r>
          </w:p>
          <w:p w14:paraId="17E02E2C">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户名：保山市天瑞建设工程招标咨询有限公司</w:t>
            </w:r>
          </w:p>
          <w:p w14:paraId="7930E70D">
            <w:pPr>
              <w:keepLines w:val="0"/>
              <w:pageBreakBefore w:val="0"/>
              <w:kinsoku/>
              <w:wordWrap/>
              <w:overflowPunct/>
              <w:topLinePunct w:val="0"/>
              <w:bidi w:val="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开户银行：</w:t>
            </w:r>
            <w:r>
              <w:rPr>
                <w:rFonts w:hint="eastAsia" w:ascii="宋体" w:hAnsi="宋体" w:eastAsia="宋体" w:cs="宋体"/>
                <w:color w:val="auto"/>
                <w:highlight w:val="none"/>
                <w:lang w:eastAsia="zh-CN"/>
              </w:rPr>
              <w:t>中国建设银行股份有限公司保山新村支行</w:t>
            </w:r>
          </w:p>
          <w:p w14:paraId="4FD5420B">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账号：5300 1728 6420 5100 0568</w:t>
            </w:r>
          </w:p>
          <w:p w14:paraId="1596E6C4">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汇入地址：云南省保山市</w:t>
            </w:r>
          </w:p>
          <w:p w14:paraId="76AFA47F">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汇款缴纳查询电话：</w:t>
            </w:r>
            <w:r>
              <w:rPr>
                <w:rFonts w:hint="eastAsia" w:ascii="宋体" w:hAnsi="宋体" w:eastAsia="宋体" w:cs="宋体"/>
                <w:color w:val="auto"/>
                <w:highlight w:val="none"/>
                <w:lang w:eastAsia="zh-CN"/>
              </w:rPr>
              <w:t>0875-2147689</w:t>
            </w:r>
          </w:p>
          <w:p w14:paraId="4658F348">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联系人：寸女士</w:t>
            </w:r>
          </w:p>
          <w:p w14:paraId="358141F2">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磋商申请人需在磋商保证金缴纳截止时间前递交保证金，保证金单据内要注明项目名称或</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（内容须填写完整），到账时间以实际到达专用账号时间为准，未在磋商保证金缴纳 截止时间前到账的保证金视为未提交，为避免由于晚到账的原因造成</w:t>
            </w:r>
            <w:r>
              <w:rPr>
                <w:rFonts w:hint="eastAsia" w:ascii="宋体" w:hAnsi="宋体" w:eastAsia="宋体" w:cs="宋体"/>
                <w:color w:val="auto"/>
                <w:highlight w:val="none"/>
                <w:lang w:val="en-US" w:eastAsia="zh-CN"/>
              </w:rPr>
              <w:t>参与采购活动</w:t>
            </w:r>
            <w:r>
              <w:rPr>
                <w:rFonts w:hint="eastAsia" w:ascii="宋体" w:hAnsi="宋体" w:eastAsia="宋体" w:cs="宋体"/>
                <w:color w:val="auto"/>
                <w:highlight w:val="none"/>
              </w:rPr>
              <w:t>失败，请各磋商申请人预留充足时间。在跨行转账时请考虑以下因素：1.按照人民银行相关规定，跨行转账在工作日下午四点半前办理手续，可以保证实时跨行到账；2.跨行转账尽量采用电汇方式。</w:t>
            </w:r>
          </w:p>
          <w:p w14:paraId="42EE7C61">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注意事项：</w:t>
            </w:r>
          </w:p>
          <w:p w14:paraId="4700501B">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1.保证金必须从磋商申请人的基本账户划出；</w:t>
            </w:r>
          </w:p>
          <w:p w14:paraId="21FD6292">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2.保证金转账仅限电汇、网银方式，其他转账方式视为无效；</w:t>
            </w:r>
          </w:p>
          <w:p w14:paraId="17BF44F3">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3.到账时间以保证金专用账户实际到账时间为准，未在缴纳保证金截止时间前到账的保证金无效；</w:t>
            </w:r>
          </w:p>
          <w:p w14:paraId="2F50CE73">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13.2.2采用银行保函：</w:t>
            </w:r>
          </w:p>
          <w:p w14:paraId="23B7C9EA">
            <w:pPr>
              <w:keepNext/>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highlight w:val="none"/>
              </w:rPr>
              <w:t>保函申请人必须是磋商申请人，受益人必须是采购人，保证人必须是磋商申请人基本账户的开户银行；银行保函必须正确填写受益人和申请人的全称，并与采购文件规定的名称一致，以免造成磋商无效。</w:t>
            </w:r>
          </w:p>
          <w:p w14:paraId="2A00A859">
            <w:pPr>
              <w:keepNext/>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13.2.3采用保证保险：</w:t>
            </w:r>
          </w:p>
          <w:p w14:paraId="75610756">
            <w:pPr>
              <w:keepNext/>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须按照国家关于保证保险的要求购买保证保险，磋商申请人持保证保险材料参加磋商。保险受益人（采购人）：</w:t>
            </w:r>
            <w:r>
              <w:rPr>
                <w:rFonts w:hint="eastAsia" w:ascii="宋体" w:hAnsi="宋体" w:eastAsia="宋体" w:cs="宋体"/>
                <w:color w:val="auto"/>
                <w:kern w:val="0"/>
                <w:sz w:val="21"/>
                <w:szCs w:val="21"/>
                <w:highlight w:val="none"/>
                <w:lang w:eastAsia="zh-CN"/>
              </w:rPr>
              <w:t>昌宁县人民医院</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eastAsia="zh-CN"/>
              </w:rPr>
              <w:t>统一社会信用代码</w:t>
            </w:r>
            <w:r>
              <w:rPr>
                <w:rFonts w:hint="eastAsia" w:ascii="宋体" w:hAnsi="宋体" w:eastAsia="宋体" w:cs="宋体"/>
                <w:color w:val="auto"/>
                <w:kern w:val="0"/>
                <w:highlight w:val="none"/>
              </w:rPr>
              <w:t>：</w:t>
            </w:r>
            <w:r>
              <w:rPr>
                <w:rFonts w:hint="eastAsia" w:ascii="宋体" w:hAnsi="宋体" w:eastAsia="宋体" w:cs="宋体"/>
                <w:color w:val="auto"/>
                <w:sz w:val="21"/>
                <w:szCs w:val="21"/>
                <w:highlight w:val="none"/>
              </w:rPr>
              <w:t>11533000015255102U</w:t>
            </w:r>
            <w:r>
              <w:rPr>
                <w:rFonts w:hint="eastAsia" w:ascii="宋体" w:hAnsi="宋体" w:eastAsia="宋体" w:cs="宋体"/>
                <w:color w:val="auto"/>
                <w:kern w:val="0"/>
                <w:highlight w:val="none"/>
              </w:rPr>
              <w:t>）。</w:t>
            </w:r>
          </w:p>
          <w:p w14:paraId="55C5F480">
            <w:pPr>
              <w:keepNext/>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13.3对未足额提交磋商保证金的磋商申请人提交的磋商响应文件，采购代理机构将视其为不响应</w:t>
            </w:r>
            <w:r>
              <w:rPr>
                <w:rFonts w:hint="eastAsia" w:ascii="宋体" w:hAnsi="宋体" w:eastAsia="宋体" w:cs="宋体"/>
                <w:color w:val="auto"/>
                <w:kern w:val="0"/>
                <w:highlight w:val="none"/>
                <w:lang w:val="en-US" w:eastAsia="zh-CN"/>
              </w:rPr>
              <w:t>符合性审查</w:t>
            </w:r>
            <w:r>
              <w:rPr>
                <w:rFonts w:hint="eastAsia" w:ascii="宋体" w:hAnsi="宋体" w:eastAsia="宋体" w:cs="宋体"/>
                <w:color w:val="auto"/>
                <w:kern w:val="0"/>
                <w:highlight w:val="none"/>
              </w:rPr>
              <w:t>条件而予以拒绝。</w:t>
            </w:r>
          </w:p>
          <w:p w14:paraId="06F62F15">
            <w:pPr>
              <w:keepLines w:val="0"/>
              <w:pageBreakBefore w:val="0"/>
              <w:kinsoku/>
              <w:wordWrap/>
              <w:overflowPunct/>
              <w:topLinePunct w:val="0"/>
              <w:bidi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13.4</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公告发布后，采购代理机构将在5个工作日内退还未</w:t>
            </w:r>
            <w:r>
              <w:rPr>
                <w:rFonts w:hint="eastAsia" w:ascii="宋体" w:hAnsi="宋体" w:eastAsia="宋体" w:cs="宋体"/>
                <w:color w:val="auto"/>
                <w:sz w:val="21"/>
                <w:szCs w:val="21"/>
                <w:highlight w:val="none"/>
                <w:lang w:val="en-US" w:eastAsia="zh-CN"/>
              </w:rPr>
              <w:t>成交磋商申请人</w:t>
            </w:r>
            <w:r>
              <w:rPr>
                <w:rFonts w:hint="eastAsia" w:ascii="宋体" w:hAnsi="宋体" w:eastAsia="宋体" w:cs="宋体"/>
                <w:color w:val="auto"/>
                <w:sz w:val="21"/>
                <w:szCs w:val="21"/>
                <w:highlight w:val="none"/>
              </w:rPr>
              <w:t>缴纳的</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人与采购人签署后应当及时告知采购代理机构，采购代理机构自政府采购合同签订之日起5个工作日内退还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人缴纳的投标保证金，并请</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人将政府采购合同复印件送至采购代理机构或将采购合同扫描件发送至采购代理机构电子邮箱（bstrzb@126.com）。</w:t>
            </w:r>
          </w:p>
        </w:tc>
      </w:tr>
      <w:tr w14:paraId="1EC02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1B1F5811">
            <w:pPr>
              <w:pStyle w:val="23"/>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w:t>
            </w:r>
          </w:p>
        </w:tc>
        <w:tc>
          <w:tcPr>
            <w:tcW w:w="2380" w:type="dxa"/>
            <w:gridSpan w:val="2"/>
            <w:vAlign w:val="center"/>
          </w:tcPr>
          <w:p w14:paraId="4DBFD9D5">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递交响应文件的截止时间</w:t>
            </w:r>
          </w:p>
        </w:tc>
        <w:tc>
          <w:tcPr>
            <w:tcW w:w="6999" w:type="dxa"/>
            <w:vAlign w:val="center"/>
          </w:tcPr>
          <w:p w14:paraId="34D49770">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递交响应文件的截止时间：</w:t>
            </w:r>
            <w:r>
              <w:rPr>
                <w:rFonts w:hint="eastAsia" w:hAnsi="宋体" w:cs="宋体"/>
                <w:color w:val="auto"/>
                <w:highlight w:val="none"/>
                <w:u w:val="single"/>
                <w:lang w:eastAsia="zh-CN"/>
              </w:rPr>
              <w:t>2026年07月09日09时30分</w:t>
            </w:r>
            <w:r>
              <w:rPr>
                <w:rFonts w:hint="eastAsia" w:ascii="宋体" w:hAnsi="宋体" w:eastAsia="宋体" w:cs="宋体"/>
                <w:color w:val="auto"/>
                <w:kern w:val="0"/>
                <w:highlight w:val="none"/>
              </w:rPr>
              <w:t>（北京时间）；</w:t>
            </w:r>
          </w:p>
          <w:p w14:paraId="6D444C1A">
            <w:pPr>
              <w:pStyle w:val="16"/>
              <w:keepLines w:val="0"/>
              <w:pageBreakBefore w:val="0"/>
              <w:kinsoku/>
              <w:wordWrap/>
              <w:overflowPunct/>
              <w:topLinePunct w:val="0"/>
              <w:bidi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注：磋商申请人须在竞争性磋商响应文件提交截止时间</w:t>
            </w:r>
            <w:r>
              <w:rPr>
                <w:rFonts w:hint="eastAsia" w:ascii="宋体" w:hAnsi="宋体" w:eastAsia="宋体" w:cs="宋体"/>
                <w:color w:val="auto"/>
                <w:kern w:val="0"/>
                <w:highlight w:val="none"/>
                <w:lang w:eastAsia="zh-CN"/>
              </w:rPr>
              <w:t>前</w:t>
            </w:r>
            <w:r>
              <w:rPr>
                <w:rFonts w:hint="eastAsia" w:ascii="宋体" w:hAnsi="宋体" w:eastAsia="宋体" w:cs="宋体"/>
                <w:color w:val="auto"/>
                <w:kern w:val="0"/>
                <w:highlight w:val="none"/>
              </w:rPr>
              <w:t>将电子磋商响应文件上传至</w:t>
            </w:r>
            <w:r>
              <w:rPr>
                <w:rFonts w:hint="eastAsia" w:ascii="宋体" w:hAnsi="宋体" w:eastAsia="宋体" w:cs="宋体"/>
                <w:color w:val="auto"/>
                <w:sz w:val="21"/>
                <w:szCs w:val="21"/>
                <w:highlight w:val="none"/>
                <w:lang w:eastAsia="zh-CN"/>
              </w:rPr>
              <w:t>云南省政府采购电子交易平台（www.zcygov.cn）</w:t>
            </w:r>
            <w:r>
              <w:rPr>
                <w:rFonts w:hint="eastAsia" w:ascii="宋体" w:hAnsi="宋体" w:eastAsia="宋体" w:cs="宋体"/>
                <w:color w:val="auto"/>
                <w:kern w:val="0"/>
                <w:highlight w:val="none"/>
              </w:rPr>
              <w:t>。逾期上传电子响应文件或逾期未能到达指定地点进行磋商响应文件解密的或未能上传电子响应文件的，其磋商响应文件将视为不合格并拒绝。</w:t>
            </w:r>
          </w:p>
        </w:tc>
      </w:tr>
      <w:tr w14:paraId="6BEF7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38E0441E">
            <w:pPr>
              <w:pStyle w:val="23"/>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w:t>
            </w:r>
          </w:p>
        </w:tc>
        <w:tc>
          <w:tcPr>
            <w:tcW w:w="2380" w:type="dxa"/>
            <w:gridSpan w:val="2"/>
            <w:vAlign w:val="center"/>
          </w:tcPr>
          <w:p w14:paraId="6D3ECE8B">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递交响应文件地点</w:t>
            </w:r>
          </w:p>
        </w:tc>
        <w:tc>
          <w:tcPr>
            <w:tcW w:w="6999" w:type="dxa"/>
            <w:vAlign w:val="center"/>
          </w:tcPr>
          <w:p w14:paraId="65659418">
            <w:pPr>
              <w:pStyle w:val="16"/>
              <w:keepLines w:val="0"/>
              <w:pageBreakBefore w:val="0"/>
              <w:kinsoku/>
              <w:wordWrap/>
              <w:overflowPunct/>
              <w:topLinePunct w:val="0"/>
              <w:bidi w:val="0"/>
              <w:spacing w:line="440" w:lineRule="exact"/>
              <w:jc w:val="both"/>
              <w:rPr>
                <w:rFonts w:hint="eastAsia" w:ascii="宋体" w:hAnsi="宋体" w:eastAsia="宋体" w:cs="宋体"/>
                <w:color w:val="auto"/>
                <w:kern w:val="0"/>
                <w:highlight w:val="none"/>
              </w:rPr>
            </w:pPr>
            <w:r>
              <w:rPr>
                <w:rFonts w:hint="eastAsia" w:ascii="宋体" w:hAnsi="宋体" w:eastAsia="宋体" w:cs="宋体"/>
                <w:color w:val="auto"/>
                <w:sz w:val="21"/>
                <w:szCs w:val="21"/>
                <w:highlight w:val="none"/>
              </w:rPr>
              <w:t>保山市天瑞建设工程招标咨询有限公司一楼会议室（保山市隆阳区象山路5号），</w:t>
            </w:r>
            <w:r>
              <w:rPr>
                <w:rFonts w:hint="eastAsia" w:ascii="宋体" w:hAnsi="宋体" w:eastAsia="宋体" w:cs="宋体"/>
                <w:color w:val="auto"/>
                <w:sz w:val="21"/>
                <w:szCs w:val="21"/>
                <w:highlight w:val="none"/>
                <w:lang w:eastAsia="zh-CN"/>
              </w:rPr>
              <w:t>本项目采用云南省政府采购电子交易平台进行远程开标评标工作，</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人无需到达开标现场，请各</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人登录云南省政府采购电子交易平台参与采购活动并递交</w:t>
            </w:r>
            <w:r>
              <w:rPr>
                <w:rFonts w:hint="eastAsia" w:ascii="宋体" w:hAnsi="宋体" w:eastAsia="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eastAsia="zh-CN"/>
              </w:rPr>
              <w:t>文件</w:t>
            </w:r>
            <w:r>
              <w:rPr>
                <w:rFonts w:hint="eastAsia" w:ascii="宋体" w:hAnsi="宋体" w:eastAsia="宋体" w:cs="宋体"/>
                <w:color w:val="auto"/>
                <w:sz w:val="21"/>
                <w:szCs w:val="21"/>
                <w:highlight w:val="none"/>
              </w:rPr>
              <w:t>。</w:t>
            </w:r>
          </w:p>
        </w:tc>
      </w:tr>
      <w:tr w14:paraId="7144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8DA2DDB">
            <w:pPr>
              <w:pStyle w:val="23"/>
              <w:keepLines w:val="0"/>
              <w:pageBreakBefore w:val="0"/>
              <w:kinsoku/>
              <w:wordWrap/>
              <w:overflowPunct/>
              <w:topLinePunct w:val="0"/>
              <w:bidi w:val="0"/>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w:t>
            </w:r>
          </w:p>
        </w:tc>
        <w:tc>
          <w:tcPr>
            <w:tcW w:w="2380" w:type="dxa"/>
            <w:gridSpan w:val="2"/>
            <w:vAlign w:val="center"/>
          </w:tcPr>
          <w:p w14:paraId="5A2BED01">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是否退还响应文件</w:t>
            </w:r>
          </w:p>
        </w:tc>
        <w:tc>
          <w:tcPr>
            <w:tcW w:w="6999" w:type="dxa"/>
            <w:vAlign w:val="center"/>
          </w:tcPr>
          <w:p w14:paraId="54C5E36C">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否</w:t>
            </w:r>
          </w:p>
        </w:tc>
      </w:tr>
      <w:tr w14:paraId="26D66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08524AA">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16.1</w:t>
            </w:r>
          </w:p>
        </w:tc>
        <w:tc>
          <w:tcPr>
            <w:tcW w:w="2380" w:type="dxa"/>
            <w:gridSpan w:val="2"/>
            <w:vAlign w:val="center"/>
          </w:tcPr>
          <w:p w14:paraId="59F76D56">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磋商时间和地点</w:t>
            </w:r>
          </w:p>
        </w:tc>
        <w:tc>
          <w:tcPr>
            <w:tcW w:w="6999" w:type="dxa"/>
            <w:vAlign w:val="center"/>
          </w:tcPr>
          <w:p w14:paraId="4ECA9D8B">
            <w:pPr>
              <w:pStyle w:val="16"/>
              <w:keepLines w:val="0"/>
              <w:pageBreakBefore w:val="0"/>
              <w:kinsoku/>
              <w:wordWrap/>
              <w:overflowPunct/>
              <w:topLinePunct w:val="0"/>
              <w:bidi w:val="0"/>
              <w:spacing w:line="440" w:lineRule="exact"/>
              <w:jc w:val="both"/>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磋商响应文件启封时间：</w:t>
            </w:r>
            <w:r>
              <w:rPr>
                <w:rFonts w:hint="eastAsia" w:hAnsi="宋体" w:cs="宋体"/>
                <w:color w:val="auto"/>
                <w:highlight w:val="none"/>
                <w:u w:val="single"/>
                <w:lang w:eastAsia="zh-CN"/>
              </w:rPr>
              <w:t>2026年07月09日09时30分</w:t>
            </w:r>
            <w:r>
              <w:rPr>
                <w:rFonts w:hint="eastAsia" w:ascii="宋体" w:hAnsi="宋体" w:eastAsia="宋体" w:cs="宋体"/>
                <w:color w:val="auto"/>
                <w:kern w:val="0"/>
                <w:highlight w:val="none"/>
              </w:rPr>
              <w:t>（北京时间）开始</w:t>
            </w:r>
          </w:p>
          <w:p w14:paraId="032D5802">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磋商地点：</w:t>
            </w:r>
            <w:r>
              <w:rPr>
                <w:rFonts w:hint="eastAsia" w:ascii="宋体" w:hAnsi="宋体" w:eastAsia="宋体" w:cs="宋体"/>
                <w:bCs/>
                <w:color w:val="auto"/>
                <w:szCs w:val="21"/>
                <w:highlight w:val="none"/>
                <w:lang w:eastAsia="zh-CN"/>
              </w:rPr>
              <w:t>保山市天瑞建设工程招标咨询有限公司一楼会议室</w:t>
            </w:r>
            <w:r>
              <w:rPr>
                <w:rFonts w:hint="eastAsia" w:ascii="宋体" w:hAnsi="宋体" w:eastAsia="宋体" w:cs="宋体"/>
                <w:bCs/>
                <w:color w:val="auto"/>
                <w:kern w:val="0"/>
                <w:szCs w:val="21"/>
                <w:highlight w:val="none"/>
              </w:rPr>
              <w:t>（保山市隆阳区象山路5号）</w:t>
            </w:r>
          </w:p>
        </w:tc>
      </w:tr>
      <w:tr w14:paraId="39E21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restart"/>
            <w:vAlign w:val="center"/>
          </w:tcPr>
          <w:p w14:paraId="6E6A2A6B">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16.4</w:t>
            </w:r>
          </w:p>
        </w:tc>
        <w:tc>
          <w:tcPr>
            <w:tcW w:w="2380" w:type="dxa"/>
            <w:gridSpan w:val="2"/>
            <w:vAlign w:val="center"/>
          </w:tcPr>
          <w:p w14:paraId="593376B9">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磋商程序和方法</w:t>
            </w:r>
          </w:p>
        </w:tc>
        <w:tc>
          <w:tcPr>
            <w:tcW w:w="6999" w:type="dxa"/>
            <w:vAlign w:val="center"/>
          </w:tcPr>
          <w:p w14:paraId="5B469721">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综合评估评分法</w:t>
            </w:r>
          </w:p>
        </w:tc>
      </w:tr>
      <w:tr w14:paraId="3615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Merge w:val="continue"/>
            <w:vAlign w:val="center"/>
          </w:tcPr>
          <w:p w14:paraId="414C8FE0">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p>
        </w:tc>
        <w:tc>
          <w:tcPr>
            <w:tcW w:w="9379" w:type="dxa"/>
            <w:gridSpan w:val="3"/>
            <w:vAlign w:val="center"/>
          </w:tcPr>
          <w:p w14:paraId="0B4C065F">
            <w:pPr>
              <w:keepLines w:val="0"/>
              <w:pageBreakBefore w:val="0"/>
              <w:kinsoku/>
              <w:wordWrap/>
              <w:overflowPunct/>
              <w:topLinePunct w:val="0"/>
              <w:bidi w:val="0"/>
              <w:spacing w:line="440" w:lineRule="exac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第六章“磋商程序和方法”第2.1款资格审查标准规定的内容，为参加磋商的磋商申请人必须具备的资格条件，凡有一条不满足的磋商申请人不再参与磋商。请各参加磋商的磋商申请人仔细阅读资格审查标准。</w:t>
            </w:r>
          </w:p>
        </w:tc>
      </w:tr>
      <w:tr w14:paraId="1573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4E0A9C9">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23.1</w:t>
            </w:r>
          </w:p>
        </w:tc>
        <w:tc>
          <w:tcPr>
            <w:tcW w:w="2380" w:type="dxa"/>
            <w:gridSpan w:val="2"/>
            <w:vAlign w:val="center"/>
          </w:tcPr>
          <w:p w14:paraId="43AECAA2">
            <w:pPr>
              <w:keepLines w:val="0"/>
              <w:pageBreakBefore w:val="0"/>
              <w:kinsoku/>
              <w:wordWrap/>
              <w:overflowPunct/>
              <w:topLinePunct w:val="0"/>
              <w:bidi w:val="0"/>
              <w:spacing w:line="440" w:lineRule="exact"/>
              <w:rPr>
                <w:rFonts w:hint="eastAsia" w:ascii="宋体" w:hAnsi="宋体" w:eastAsia="宋体" w:cs="宋体"/>
                <w:bCs/>
                <w:color w:val="auto"/>
                <w:kern w:val="0"/>
                <w:szCs w:val="21"/>
                <w:highlight w:val="none"/>
              </w:rPr>
            </w:pP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服务费</w:t>
            </w:r>
          </w:p>
        </w:tc>
        <w:tc>
          <w:tcPr>
            <w:tcW w:w="6999" w:type="dxa"/>
            <w:vAlign w:val="center"/>
          </w:tcPr>
          <w:p w14:paraId="422BEB84">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服务费</w:t>
            </w:r>
            <w:r>
              <w:rPr>
                <w:rFonts w:hint="eastAsia" w:ascii="宋体" w:hAnsi="宋体" w:eastAsia="宋体" w:cs="宋体"/>
                <w:bCs/>
                <w:color w:val="auto"/>
                <w:kern w:val="0"/>
                <w:szCs w:val="21"/>
                <w:highlight w:val="none"/>
              </w:rPr>
              <w:t>：采购代理机构</w:t>
            </w:r>
            <w:r>
              <w:rPr>
                <w:rFonts w:hint="eastAsia" w:ascii="宋体" w:hAnsi="宋体" w:eastAsia="宋体" w:cs="宋体"/>
                <w:bCs/>
                <w:color w:val="auto"/>
                <w:kern w:val="0"/>
                <w:szCs w:val="21"/>
                <w:highlight w:val="none"/>
                <w:lang w:val="en-US" w:eastAsia="zh-CN"/>
              </w:rPr>
              <w:t>根据《云南省建设工程及政府采购代理服务收费参考意见》（云建招协</w:t>
            </w: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26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11号</w:t>
            </w:r>
            <w:r>
              <w:rPr>
                <w:rFonts w:hint="eastAsia" w:ascii="宋体" w:hAnsi="宋体" w:eastAsia="宋体" w:cs="宋体"/>
                <w:bCs/>
                <w:color w:val="auto"/>
                <w:kern w:val="0"/>
                <w:szCs w:val="21"/>
                <w:highlight w:val="none"/>
                <w:lang w:val="en-US" w:eastAsia="zh-CN"/>
              </w:rPr>
              <w:t>）中服务类标准</w:t>
            </w:r>
            <w:r>
              <w:rPr>
                <w:rFonts w:hint="eastAsia" w:ascii="宋体" w:hAnsi="宋体" w:eastAsia="宋体" w:cs="宋体"/>
                <w:bCs/>
                <w:color w:val="auto"/>
                <w:kern w:val="0"/>
                <w:szCs w:val="21"/>
                <w:highlight w:val="none"/>
              </w:rPr>
              <w:t>向成交人收取</w:t>
            </w:r>
            <w:r>
              <w:rPr>
                <w:rFonts w:hint="eastAsia" w:ascii="宋体" w:hAnsi="宋体" w:eastAsia="宋体" w:cs="宋体"/>
                <w:bCs/>
                <w:color w:val="auto"/>
                <w:kern w:val="0"/>
                <w:szCs w:val="21"/>
                <w:highlight w:val="none"/>
                <w:lang w:val="en-US" w:eastAsia="zh-CN"/>
              </w:rPr>
              <w:t>中标</w:t>
            </w:r>
            <w:r>
              <w:rPr>
                <w:rFonts w:hint="eastAsia" w:ascii="宋体" w:hAnsi="宋体" w:eastAsia="宋体" w:cs="宋体"/>
                <w:bCs/>
                <w:color w:val="auto"/>
                <w:kern w:val="0"/>
                <w:szCs w:val="21"/>
                <w:highlight w:val="none"/>
              </w:rPr>
              <w:t>服务费，并以成交金额为计算</w:t>
            </w:r>
            <w:r>
              <w:rPr>
                <w:rFonts w:hint="eastAsia" w:ascii="宋体" w:hAnsi="宋体" w:eastAsia="宋体" w:cs="宋体"/>
                <w:color w:val="auto"/>
                <w:sz w:val="21"/>
                <w:szCs w:val="21"/>
                <w:highlight w:val="none"/>
              </w:rPr>
              <w:t>费用基数，计费规则</w:t>
            </w:r>
            <w:r>
              <w:rPr>
                <w:rFonts w:hint="eastAsia" w:ascii="宋体" w:hAnsi="宋体" w:eastAsia="宋体" w:cs="宋体"/>
                <w:color w:val="auto"/>
                <w:sz w:val="21"/>
                <w:szCs w:val="21"/>
                <w:highlight w:val="none"/>
                <w:lang w:val="en-US" w:eastAsia="zh-CN"/>
              </w:rPr>
              <w:t>如下</w:t>
            </w:r>
            <w:r>
              <w:rPr>
                <w:rFonts w:hint="eastAsia" w:ascii="宋体" w:hAnsi="宋体" w:eastAsia="宋体" w:cs="宋体"/>
                <w:color w:val="auto"/>
                <w:sz w:val="21"/>
                <w:szCs w:val="21"/>
                <w:highlight w:val="none"/>
              </w:rPr>
              <w:t>：</w:t>
            </w:r>
          </w:p>
          <w:p w14:paraId="22DEFB7F">
            <w:pPr>
              <w:keepLines w:val="0"/>
              <w:pageBreakBefore w:val="0"/>
              <w:kinsoku/>
              <w:wordWrap/>
              <w:overflowPunct/>
              <w:topLinePunct w:val="0"/>
              <w:bidi w:val="0"/>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服务费（万元）=成交金额×</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若计算后的中标</w:t>
            </w:r>
            <w:r>
              <w:rPr>
                <w:rFonts w:hint="eastAsia" w:ascii="宋体" w:hAnsi="宋体" w:eastAsia="宋体" w:cs="宋体"/>
                <w:color w:val="auto"/>
                <w:sz w:val="21"/>
                <w:szCs w:val="21"/>
                <w:highlight w:val="none"/>
              </w:rPr>
              <w:t>服务费</w:t>
            </w:r>
            <w:r>
              <w:rPr>
                <w:rFonts w:hint="eastAsia" w:ascii="宋体" w:hAnsi="宋体" w:eastAsia="宋体" w:cs="宋体"/>
                <w:color w:val="auto"/>
                <w:sz w:val="21"/>
                <w:szCs w:val="21"/>
                <w:highlight w:val="none"/>
                <w:lang w:val="en-US" w:eastAsia="zh-CN"/>
              </w:rPr>
              <w:t>低于5000.00元的按5000.00元收取。</w:t>
            </w:r>
          </w:p>
          <w:p w14:paraId="4EED7CD2">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成交人</w:t>
            </w:r>
            <w:r>
              <w:rPr>
                <w:rFonts w:hint="eastAsia" w:ascii="宋体" w:hAnsi="宋体" w:eastAsia="宋体" w:cs="宋体"/>
                <w:color w:val="auto"/>
                <w:sz w:val="21"/>
                <w:szCs w:val="21"/>
                <w:highlight w:val="none"/>
              </w:rPr>
              <w:t>在领取成交通知书时一次性向采购代理机构支付。除上述费用外，不再收取其他任何费用。</w:t>
            </w:r>
          </w:p>
          <w:p w14:paraId="3ACAF98D">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（3）招标代理费（成交服务费）缴纳指定账户：</w:t>
            </w:r>
          </w:p>
          <w:p w14:paraId="09256F5E">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户名：保山市天瑞建设工程招标咨询有限公司</w:t>
            </w:r>
          </w:p>
          <w:p w14:paraId="2DE23D4C">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eastAsia="zh-CN"/>
              </w:rPr>
              <w:t>中国建设银行股份有限公司保山新村支行</w:t>
            </w:r>
          </w:p>
          <w:p w14:paraId="1239B989">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账号：5300 1728 6420 5100 0568</w:t>
            </w:r>
          </w:p>
          <w:p w14:paraId="2EBD2132">
            <w:pPr>
              <w:keepLines w:val="0"/>
              <w:pageBreakBefore w:val="0"/>
              <w:kinsoku/>
              <w:wordWrap/>
              <w:overflowPunct/>
              <w:topLinePunct w:val="0"/>
              <w:bidi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汇入地址：云南省保山市</w:t>
            </w:r>
          </w:p>
          <w:p w14:paraId="53D0DB25">
            <w:pPr>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联系人：寸女士</w:t>
            </w:r>
          </w:p>
        </w:tc>
      </w:tr>
      <w:tr w14:paraId="42A1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A921D6B">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25.1</w:t>
            </w:r>
          </w:p>
        </w:tc>
        <w:tc>
          <w:tcPr>
            <w:tcW w:w="9379" w:type="dxa"/>
            <w:gridSpan w:val="3"/>
            <w:vAlign w:val="center"/>
          </w:tcPr>
          <w:p w14:paraId="348E4201">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需要补充的其他内容</w:t>
            </w:r>
          </w:p>
        </w:tc>
      </w:tr>
      <w:tr w14:paraId="1B52A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1260E96">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25.1.1</w:t>
            </w:r>
          </w:p>
        </w:tc>
        <w:tc>
          <w:tcPr>
            <w:tcW w:w="9379" w:type="dxa"/>
            <w:gridSpan w:val="3"/>
            <w:vAlign w:val="center"/>
          </w:tcPr>
          <w:p w14:paraId="1D6BF22E">
            <w:pPr>
              <w:pStyle w:val="16"/>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磋商报价说明和要求：</w:t>
            </w:r>
          </w:p>
          <w:p w14:paraId="010D9A72">
            <w:pPr>
              <w:pStyle w:val="16"/>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磋商报价要求：参与本项目的磋商申请人须根据竞争性磋商文件要求分别填报磋商报价总价、分项报价等信息，磋商报价须包含本项目采购所涉及的“昌宁县医共体中心药房管理系统”开发设计费、根据采购人要求进行系统安装部署服务费，信息系统集成服务费、相关数据接口开发服务费、新建</w:t>
            </w:r>
            <w:r>
              <w:rPr>
                <w:rFonts w:hint="eastAsia" w:ascii="宋体" w:hAnsi="宋体" w:eastAsia="宋体" w:cs="宋体"/>
                <w:color w:val="auto"/>
                <w:kern w:val="0"/>
                <w:szCs w:val="21"/>
                <w:highlight w:val="none"/>
                <w:lang w:eastAsia="zh-CN"/>
              </w:rPr>
              <w:t>系统</w:t>
            </w:r>
            <w:r>
              <w:rPr>
                <w:rFonts w:hint="eastAsia" w:ascii="宋体" w:hAnsi="宋体" w:eastAsia="宋体" w:cs="宋体"/>
                <w:color w:val="auto"/>
                <w:kern w:val="0"/>
                <w:szCs w:val="21"/>
                <w:highlight w:val="none"/>
              </w:rPr>
              <w:t>与采购人指定相关</w:t>
            </w:r>
            <w:r>
              <w:rPr>
                <w:rFonts w:hint="eastAsia" w:ascii="宋体" w:hAnsi="宋体" w:eastAsia="宋体" w:cs="宋体"/>
                <w:color w:val="auto"/>
                <w:kern w:val="0"/>
                <w:szCs w:val="21"/>
                <w:highlight w:val="none"/>
                <w:lang w:eastAsia="zh-CN"/>
              </w:rPr>
              <w:t>系统</w:t>
            </w:r>
            <w:r>
              <w:rPr>
                <w:rFonts w:hint="eastAsia" w:ascii="宋体" w:hAnsi="宋体" w:eastAsia="宋体" w:cs="宋体"/>
                <w:color w:val="auto"/>
                <w:kern w:val="0"/>
                <w:szCs w:val="21"/>
                <w:highlight w:val="none"/>
              </w:rPr>
              <w:t>数据对接和系统集成实施服务费、信息数据整合服务费、系统初验及终验的优化适配服务费、项目测试验收服务费，项目技术支持服务费、技术培训及售后运维服务费，以及为开展本项目服务工作必需的项目管理费、人工费、差旅费，必需的税费（参与本项目采购活动所必须的相关费用）、风险（含不可预见费）等所有费用，以上各项费用应核算到项目的单价和总价报价中，无需单列。</w:t>
            </w:r>
          </w:p>
          <w:p w14:paraId="212CF16C">
            <w:pPr>
              <w:pStyle w:val="16"/>
              <w:keepLines w:val="0"/>
              <w:pageBreakBefore w:val="0"/>
              <w:kinsoku/>
              <w:wordWrap/>
              <w:overflowPunct/>
              <w:topLinePunct w:val="0"/>
              <w:bidi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11224D40">
            <w:pPr>
              <w:pStyle w:val="16"/>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最终</w:t>
            </w:r>
            <w:r>
              <w:rPr>
                <w:rFonts w:hint="eastAsia" w:ascii="宋体" w:hAnsi="宋体" w:eastAsia="宋体" w:cs="宋体"/>
                <w:color w:val="auto"/>
                <w:kern w:val="0"/>
                <w:szCs w:val="21"/>
                <w:highlight w:val="none"/>
                <w:lang w:val="en-US" w:eastAsia="zh-CN"/>
              </w:rPr>
              <w:t>磋商报价应按照云南省政府采购电子交易平台系统提示和要求在规定时间内填报。</w:t>
            </w:r>
            <w:r>
              <w:rPr>
                <w:rFonts w:hint="eastAsia" w:ascii="宋体" w:hAnsi="宋体" w:eastAsia="宋体" w:cs="宋体"/>
                <w:color w:val="auto"/>
                <w:kern w:val="0"/>
                <w:szCs w:val="21"/>
                <w:highlight w:val="none"/>
              </w:rPr>
              <w:t>磋商申请人一旦成交，成交价即作为合同签订</w:t>
            </w:r>
            <w:r>
              <w:rPr>
                <w:rFonts w:hint="eastAsia" w:ascii="宋体" w:hAnsi="宋体" w:eastAsia="宋体" w:cs="宋体"/>
                <w:color w:val="auto"/>
                <w:kern w:val="0"/>
                <w:szCs w:val="21"/>
                <w:highlight w:val="none"/>
                <w:lang w:val="en-US" w:eastAsia="zh-CN"/>
              </w:rPr>
              <w:t>的执行依据</w:t>
            </w:r>
            <w:r>
              <w:rPr>
                <w:rFonts w:hint="eastAsia" w:ascii="宋体" w:hAnsi="宋体" w:eastAsia="宋体" w:cs="宋体"/>
                <w:color w:val="auto"/>
                <w:kern w:val="0"/>
                <w:szCs w:val="21"/>
                <w:highlight w:val="none"/>
              </w:rPr>
              <w:t>，合同履行过程中，合同</w:t>
            </w:r>
            <w:r>
              <w:rPr>
                <w:rFonts w:hint="eastAsia" w:ascii="宋体" w:hAnsi="宋体" w:eastAsia="宋体" w:cs="宋体"/>
                <w:color w:val="auto"/>
                <w:kern w:val="0"/>
                <w:szCs w:val="21"/>
                <w:highlight w:val="none"/>
                <w:lang w:val="en-US" w:eastAsia="zh-CN"/>
              </w:rPr>
              <w:t>金额</w:t>
            </w:r>
            <w:r>
              <w:rPr>
                <w:rFonts w:hint="eastAsia" w:ascii="宋体" w:hAnsi="宋体" w:eastAsia="宋体" w:cs="宋体"/>
                <w:color w:val="auto"/>
                <w:kern w:val="0"/>
                <w:szCs w:val="21"/>
                <w:highlight w:val="none"/>
              </w:rPr>
              <w:t>将不作调整。</w:t>
            </w:r>
          </w:p>
        </w:tc>
      </w:tr>
      <w:tr w14:paraId="44FA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4C3084C">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25.1.2</w:t>
            </w:r>
          </w:p>
        </w:tc>
        <w:tc>
          <w:tcPr>
            <w:tcW w:w="9379" w:type="dxa"/>
            <w:gridSpan w:val="3"/>
            <w:vAlign w:val="center"/>
          </w:tcPr>
          <w:p w14:paraId="690651D1">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评审办法：</w:t>
            </w:r>
            <w:r>
              <w:rPr>
                <w:rFonts w:hint="eastAsia" w:ascii="宋体" w:hAnsi="宋体" w:eastAsia="宋体" w:cs="宋体"/>
                <w:color w:val="auto"/>
                <w:kern w:val="0"/>
                <w:highlight w:val="none"/>
                <w:lang w:eastAsia="zh-CN"/>
              </w:rPr>
              <w:t>综合评分法</w:t>
            </w:r>
            <w:r>
              <w:rPr>
                <w:rFonts w:hint="eastAsia" w:ascii="宋体" w:hAnsi="宋体" w:eastAsia="宋体" w:cs="宋体"/>
                <w:color w:val="auto"/>
                <w:kern w:val="0"/>
                <w:highlight w:val="none"/>
              </w:rPr>
              <w:t>（详见第六章磋商程序和方法）</w:t>
            </w:r>
          </w:p>
        </w:tc>
      </w:tr>
      <w:tr w14:paraId="5E6F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6C053504">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25.1.3</w:t>
            </w:r>
          </w:p>
        </w:tc>
        <w:tc>
          <w:tcPr>
            <w:tcW w:w="9379" w:type="dxa"/>
            <w:gridSpan w:val="3"/>
            <w:vAlign w:val="center"/>
          </w:tcPr>
          <w:p w14:paraId="0E23EACD">
            <w:pPr>
              <w:pStyle w:val="16"/>
              <w:keepNext/>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书面提疑时间：202</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lang w:val="en-US" w:eastAsia="zh-CN"/>
              </w:rPr>
              <w:t>0</w:t>
            </w:r>
            <w:r>
              <w:rPr>
                <w:rFonts w:hint="eastAsia" w:hAnsi="宋体" w:cs="宋体"/>
                <w:color w:val="auto"/>
                <w:kern w:val="0"/>
                <w:highlight w:val="none"/>
                <w:lang w:val="en-US" w:eastAsia="zh-CN"/>
              </w:rPr>
              <w:t>7</w:t>
            </w:r>
            <w:r>
              <w:rPr>
                <w:rFonts w:hint="eastAsia" w:ascii="宋体" w:hAnsi="宋体" w:eastAsia="宋体" w:cs="宋体"/>
                <w:color w:val="auto"/>
                <w:kern w:val="0"/>
                <w:highlight w:val="none"/>
              </w:rPr>
              <w:t>月</w:t>
            </w:r>
            <w:r>
              <w:rPr>
                <w:rFonts w:hint="eastAsia" w:hAnsi="宋体" w:cs="宋体"/>
                <w:color w:val="auto"/>
                <w:kern w:val="0"/>
                <w:highlight w:val="none"/>
                <w:lang w:val="en-US" w:eastAsia="zh-CN"/>
              </w:rPr>
              <w:t>03</w:t>
            </w:r>
            <w:r>
              <w:rPr>
                <w:rFonts w:hint="eastAsia" w:ascii="宋体" w:hAnsi="宋体" w:eastAsia="宋体" w:cs="宋体"/>
                <w:color w:val="auto"/>
                <w:kern w:val="0"/>
                <w:highlight w:val="none"/>
              </w:rPr>
              <w:t>日1</w:t>
            </w:r>
            <w:r>
              <w:rPr>
                <w:rFonts w:hint="eastAsia" w:ascii="宋体" w:hAnsi="宋体" w:eastAsia="宋体" w:cs="宋体"/>
                <w:color w:val="auto"/>
                <w:kern w:val="0"/>
                <w:highlight w:val="none"/>
                <w:lang w:val="en-US" w:eastAsia="zh-CN"/>
              </w:rPr>
              <w:t>7</w:t>
            </w:r>
            <w:r>
              <w:rPr>
                <w:rFonts w:hint="eastAsia" w:ascii="宋体" w:hAnsi="宋体" w:eastAsia="宋体" w:cs="宋体"/>
                <w:color w:val="auto"/>
                <w:kern w:val="0"/>
                <w:highlight w:val="none"/>
              </w:rPr>
              <w:t>时00分前，</w:t>
            </w:r>
            <w:r>
              <w:rPr>
                <w:rFonts w:hint="eastAsia" w:ascii="宋体" w:hAnsi="宋体" w:eastAsia="宋体" w:cs="宋体"/>
                <w:color w:val="auto"/>
                <w:highlight w:val="none"/>
              </w:rPr>
              <w:t>在竞争性磋商获取时间前，所有获取了竞争性磋商文件的潜在磋商申请人通过书面形式向或</w:t>
            </w:r>
            <w:r>
              <w:rPr>
                <w:rFonts w:hint="eastAsia" w:ascii="宋体" w:hAnsi="宋体" w:eastAsia="宋体" w:cs="宋体"/>
                <w:color w:val="auto"/>
                <w:kern w:val="0"/>
                <w:highlight w:val="none"/>
                <w:lang w:val="en-US" w:eastAsia="zh-CN"/>
              </w:rPr>
              <w:t>云南省政府采购电子交易平台</w:t>
            </w:r>
            <w:r>
              <w:rPr>
                <w:rFonts w:hint="eastAsia" w:ascii="宋体" w:hAnsi="宋体" w:eastAsia="宋体" w:cs="宋体"/>
                <w:color w:val="auto"/>
                <w:highlight w:val="none"/>
              </w:rPr>
              <w:t>向采购代理机构提问。</w:t>
            </w:r>
          </w:p>
          <w:p w14:paraId="43B5AE06">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书面答疑时间：202</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rPr>
              <w:t>年</w:t>
            </w:r>
            <w:r>
              <w:rPr>
                <w:rFonts w:hint="eastAsia" w:ascii="宋体" w:hAnsi="宋体" w:eastAsia="宋体" w:cs="宋体"/>
                <w:color w:val="auto"/>
                <w:kern w:val="0"/>
                <w:highlight w:val="none"/>
                <w:lang w:val="en-US" w:eastAsia="zh-CN"/>
              </w:rPr>
              <w:t>0</w:t>
            </w:r>
            <w:r>
              <w:rPr>
                <w:rFonts w:hint="eastAsia" w:hAnsi="宋体" w:cs="宋体"/>
                <w:color w:val="auto"/>
                <w:kern w:val="0"/>
                <w:highlight w:val="none"/>
                <w:lang w:val="en-US" w:eastAsia="zh-CN"/>
              </w:rPr>
              <w:t>7</w:t>
            </w:r>
            <w:r>
              <w:rPr>
                <w:rFonts w:hint="eastAsia" w:ascii="宋体" w:hAnsi="宋体" w:eastAsia="宋体" w:cs="宋体"/>
                <w:color w:val="auto"/>
                <w:kern w:val="0"/>
                <w:highlight w:val="none"/>
              </w:rPr>
              <w:t>月</w:t>
            </w:r>
            <w:r>
              <w:rPr>
                <w:rFonts w:hint="eastAsia" w:hAnsi="宋体" w:cs="宋体"/>
                <w:color w:val="auto"/>
                <w:kern w:val="0"/>
                <w:highlight w:val="none"/>
                <w:lang w:val="en-US" w:eastAsia="zh-CN"/>
              </w:rPr>
              <w:t>06</w:t>
            </w:r>
            <w:r>
              <w:rPr>
                <w:rFonts w:hint="eastAsia" w:ascii="宋体" w:hAnsi="宋体" w:eastAsia="宋体" w:cs="宋体"/>
                <w:color w:val="auto"/>
                <w:kern w:val="0"/>
                <w:highlight w:val="none"/>
              </w:rPr>
              <w:t>日17时00分前，</w:t>
            </w:r>
            <w:r>
              <w:rPr>
                <w:rFonts w:hint="eastAsia" w:ascii="宋体" w:hAnsi="宋体" w:eastAsia="宋体" w:cs="宋体"/>
                <w:color w:val="auto"/>
                <w:highlight w:val="none"/>
              </w:rPr>
              <w:t>由采购代理机构以补遗书方式按程序报有采购人同意后，向潜在磋商申请人发布，且磋商申请人须回函确认。若发生实质性变更的，磋商时间、磋商响应文件递交时间顺延，顺延时间为自发布实质性变更的更正公告之日起不少于5日历天。</w:t>
            </w:r>
          </w:p>
        </w:tc>
      </w:tr>
      <w:tr w14:paraId="755B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2415C77F">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25.1.4</w:t>
            </w:r>
          </w:p>
        </w:tc>
        <w:tc>
          <w:tcPr>
            <w:tcW w:w="9379" w:type="dxa"/>
            <w:gridSpan w:val="3"/>
            <w:vAlign w:val="center"/>
          </w:tcPr>
          <w:p w14:paraId="3266A076">
            <w:pPr>
              <w:pStyle w:val="16"/>
              <w:keepLines w:val="0"/>
              <w:pageBreakBefore w:val="0"/>
              <w:kinsoku/>
              <w:wordWrap/>
              <w:overflowPunct/>
              <w:topLinePunct w:val="0"/>
              <w:bidi w:val="0"/>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en-US" w:eastAsia="zh-CN"/>
              </w:rPr>
              <w:t>实质性</w:t>
            </w:r>
            <w:r>
              <w:rPr>
                <w:rFonts w:hint="eastAsia" w:ascii="宋体" w:hAnsi="宋体" w:eastAsia="宋体" w:cs="宋体"/>
                <w:color w:val="auto"/>
                <w:sz w:val="21"/>
                <w:szCs w:val="21"/>
                <w:highlight w:val="none"/>
              </w:rPr>
              <w:t>商务条款说明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实质性</w:t>
            </w:r>
            <w:r>
              <w:rPr>
                <w:rFonts w:hint="eastAsia" w:ascii="宋体" w:hAnsi="宋体" w:eastAsia="宋体" w:cs="宋体"/>
                <w:color w:val="auto"/>
                <w:sz w:val="21"/>
                <w:szCs w:val="21"/>
                <w:highlight w:val="none"/>
              </w:rPr>
              <w:t>商务条款包含合同履行期限、</w:t>
            </w:r>
            <w:r>
              <w:rPr>
                <w:rFonts w:hint="eastAsia" w:ascii="宋体" w:hAnsi="宋体" w:eastAsia="宋体" w:cs="宋体"/>
                <w:color w:val="auto"/>
                <w:sz w:val="21"/>
                <w:szCs w:val="21"/>
                <w:highlight w:val="none"/>
                <w:lang w:val="en-US" w:eastAsia="zh-CN"/>
              </w:rPr>
              <w:t>项目服务地点、项目售后运维服务期限</w:t>
            </w:r>
            <w:r>
              <w:rPr>
                <w:rFonts w:hint="eastAsia" w:ascii="宋体" w:hAnsi="宋体" w:eastAsia="宋体" w:cs="宋体"/>
                <w:color w:val="auto"/>
                <w:sz w:val="21"/>
                <w:szCs w:val="21"/>
                <w:highlight w:val="none"/>
              </w:rPr>
              <w:t>等非技术要求的指标。</w:t>
            </w:r>
          </w:p>
        </w:tc>
      </w:tr>
      <w:tr w14:paraId="6E61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2AC508B">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25.1.5</w:t>
            </w:r>
          </w:p>
        </w:tc>
        <w:tc>
          <w:tcPr>
            <w:tcW w:w="9379" w:type="dxa"/>
            <w:gridSpan w:val="3"/>
            <w:vAlign w:val="center"/>
          </w:tcPr>
          <w:p w14:paraId="366E5237">
            <w:pPr>
              <w:pStyle w:val="16"/>
              <w:keepLines w:val="0"/>
              <w:pageBreakBefore w:val="0"/>
              <w:kinsoku/>
              <w:wordWrap/>
              <w:overflowPunct/>
              <w:topLinePunct w:val="0"/>
              <w:bidi w:val="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关于本项目</w:t>
            </w:r>
            <w:r>
              <w:rPr>
                <w:rFonts w:hint="eastAsia" w:ascii="宋体" w:hAnsi="宋体" w:eastAsia="宋体" w:cs="宋体"/>
                <w:b/>
                <w:bCs/>
                <w:color w:val="auto"/>
                <w:highlight w:val="none"/>
                <w:lang w:val="en-US" w:eastAsia="zh-CN"/>
              </w:rPr>
              <w:t>的</w:t>
            </w:r>
            <w:r>
              <w:rPr>
                <w:rFonts w:hint="eastAsia" w:ascii="宋体" w:hAnsi="宋体" w:eastAsia="宋体" w:cs="宋体"/>
                <w:b/>
                <w:bCs/>
                <w:color w:val="auto"/>
                <w:highlight w:val="none"/>
              </w:rPr>
              <w:t>实质性要求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采购文件没有标注为实质性条款的，不作为实质性要求的评审范围）</w:t>
            </w:r>
            <w:r>
              <w:rPr>
                <w:rFonts w:hint="eastAsia" w:ascii="宋体" w:hAnsi="宋体" w:eastAsia="宋体" w:cs="宋体"/>
                <w:b/>
                <w:bCs/>
                <w:color w:val="auto"/>
                <w:highlight w:val="none"/>
              </w:rPr>
              <w:t>：</w:t>
            </w:r>
          </w:p>
          <w:p w14:paraId="27725C99">
            <w:pPr>
              <w:pStyle w:val="16"/>
              <w:keepLines w:val="0"/>
              <w:pageBreakBefore w:val="0"/>
              <w:kinsoku/>
              <w:wordWrap/>
              <w:overflowPunct/>
              <w:topLinePunct w:val="0"/>
              <w:bidi w:val="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（1）磋商申请人填报的“实质性商务条款”不满足采购需求的，则视为实质性不响应。</w:t>
            </w:r>
          </w:p>
          <w:p w14:paraId="1DDC8539">
            <w:pPr>
              <w:pStyle w:val="16"/>
              <w:keepLines w:val="0"/>
              <w:pageBreakBefore w:val="0"/>
              <w:kinsoku/>
              <w:wordWrap/>
              <w:overflowPunct/>
              <w:topLinePunct w:val="0"/>
              <w:bidi w:val="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（2）磋商申请人未按竞争性磋商文件要求提供“关于拟开发设计的软件产品和提供的服务不受第三方侵权的书面承诺”的，则视为实质性不响应。</w:t>
            </w:r>
          </w:p>
          <w:p w14:paraId="46376A71">
            <w:pPr>
              <w:pStyle w:val="16"/>
              <w:keepLines w:val="0"/>
              <w:pageBreakBefore w:val="0"/>
              <w:kinsoku/>
              <w:wordWrap/>
              <w:overflowPunct/>
              <w:topLinePunct w:val="0"/>
              <w:bidi w:val="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（3）磋商申请人未竞争性磋商文件按要求完整填报“无串通投标行为的承诺函”的，则视为实质性不响应。</w:t>
            </w:r>
          </w:p>
          <w:p w14:paraId="1CDA98FE">
            <w:pPr>
              <w:pStyle w:val="16"/>
              <w:keepLines w:val="0"/>
              <w:pageBreakBefore w:val="0"/>
              <w:kinsoku/>
              <w:wordWrap/>
              <w:overflowPunct/>
              <w:topLinePunct w:val="0"/>
              <w:bidi w:val="0"/>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磋商响应文件中如有瞒报或虚报或提供虚假材料的，则视为实质性不响应。</w:t>
            </w:r>
          </w:p>
          <w:p w14:paraId="03259234">
            <w:pPr>
              <w:pStyle w:val="16"/>
              <w:keepLines w:val="0"/>
              <w:pageBreakBefore w:val="0"/>
              <w:kinsoku/>
              <w:wordWrap/>
              <w:overflowPunct/>
              <w:topLinePunct w:val="0"/>
              <w:bidi w:val="0"/>
              <w:spacing w:line="440" w:lineRule="exact"/>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磋商响应文件中提出采购人不能接受的条款的，则视为实质性不响应。</w:t>
            </w:r>
          </w:p>
        </w:tc>
      </w:tr>
      <w:tr w14:paraId="3A3F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74A4D77F">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25.1.6</w:t>
            </w:r>
          </w:p>
        </w:tc>
        <w:tc>
          <w:tcPr>
            <w:tcW w:w="9379" w:type="dxa"/>
            <w:gridSpan w:val="3"/>
            <w:vAlign w:val="center"/>
          </w:tcPr>
          <w:p w14:paraId="478E0C52">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本项目对小微企业的评审：</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\o\ac(□,</w:instrText>
            </w:r>
            <w:r>
              <w:rPr>
                <w:rFonts w:hint="eastAsia" w:ascii="宋体" w:hAnsi="宋体" w:eastAsia="宋体" w:cs="宋体"/>
                <w:color w:val="auto"/>
                <w:position w:val="2"/>
                <w:szCs w:val="21"/>
                <w:highlight w:val="none"/>
              </w:rPr>
              <w:instrText xml:space="preserve">√</w:instrText>
            </w:r>
            <w:r>
              <w:rPr>
                <w:rFonts w:hint="eastAsia" w:ascii="宋体" w:hAnsi="宋体" w:eastAsia="宋体" w:cs="宋体"/>
                <w:color w:val="auto"/>
                <w:szCs w:val="21"/>
                <w:highlight w:val="none"/>
              </w:rPr>
              <w:instrText xml:space="preserve">)</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适用  □不适用，本项目不属于专门面向中小企业的政府采购项目。</w:t>
            </w:r>
          </w:p>
          <w:p w14:paraId="2F35A0A4">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中小微型企业有关政策</w:t>
            </w:r>
            <w:r>
              <w:rPr>
                <w:rFonts w:hint="eastAsia" w:ascii="宋体" w:hAnsi="宋体" w:eastAsia="宋体" w:cs="宋体"/>
                <w:color w:val="auto"/>
                <w:szCs w:val="21"/>
                <w:highlight w:val="none"/>
                <w:lang w:val="en-US" w:eastAsia="zh-CN"/>
              </w:rPr>
              <w:t>如下：</w:t>
            </w:r>
          </w:p>
          <w:p w14:paraId="76FC0FE7">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根据《中华人民共和国中小企业促进法》《政府采购促进中小企业发展管理办法》《</w:t>
            </w:r>
            <w:r>
              <w:rPr>
                <w:rFonts w:hint="eastAsia" w:ascii="宋体" w:hAnsi="宋体" w:eastAsia="宋体" w:cs="宋体"/>
                <w:color w:val="auto"/>
                <w:kern w:val="0"/>
                <w:szCs w:val="21"/>
                <w:highlight w:val="none"/>
              </w:rPr>
              <w:t xml:space="preserve">关于进一步加大政府采购支持中小企业力度的通知》（财库〔2022〕19号）《云南省进一步帮扶中小微企业纾困发展工作方案》（云政办发〔2022〕42号） </w:t>
            </w:r>
            <w:r>
              <w:rPr>
                <w:rFonts w:hint="eastAsia" w:ascii="宋体" w:hAnsi="宋体" w:eastAsia="宋体" w:cs="宋体"/>
                <w:color w:val="auto"/>
                <w:szCs w:val="21"/>
                <w:highlight w:val="none"/>
              </w:rPr>
              <w:t>规定执行；</w:t>
            </w:r>
          </w:p>
          <w:p w14:paraId="58E37B5B">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根据工信部等部委发布的《关于印发中小企业划型标准规定的通知》（工信部联企业〔2011〕300号）规定执行；</w:t>
            </w:r>
            <w:r>
              <w:rPr>
                <w:rFonts w:hint="eastAsia" w:ascii="宋体" w:hAnsi="宋体" w:eastAsia="宋体" w:cs="宋体"/>
                <w:b/>
                <w:bCs/>
                <w:color w:val="auto"/>
                <w:szCs w:val="21"/>
                <w:highlight w:val="none"/>
              </w:rPr>
              <w:t>本项目属于服务类项目，行业为软件和信息技术服务业。</w:t>
            </w:r>
          </w:p>
          <w:p w14:paraId="11C7522B">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按照《财政部司法部关于政府采购支持监狱企业发展有关问题的通知》（财库〔2014〕68号）文件规定，在政府采购活动中，监狱企业视同小型、微型企业，享受评审中价格扣除的政府采购政策；</w:t>
            </w:r>
          </w:p>
          <w:p w14:paraId="0EEA7C9E">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29588812">
            <w:pPr>
              <w:keepLines w:val="0"/>
              <w:pageBreakBefore w:val="0"/>
              <w:widowControl/>
              <w:kinsoku/>
              <w:wordWrap/>
              <w:overflowPunct/>
              <w:topLinePunct w:val="0"/>
              <w:bidi w:val="0"/>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6DB42E81">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如果联合协议中约定，小型、微型企业和监狱企业的协议合同金额占到联合体协议合同总金额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r>
              <w:rPr>
                <w:rFonts w:hint="eastAsia" w:ascii="宋体" w:hAnsi="宋体" w:eastAsia="宋体" w:cs="宋体"/>
                <w:b/>
                <w:bCs/>
                <w:color w:val="auto"/>
                <w:highlight w:val="none"/>
              </w:rPr>
              <w:t>本项目</w:t>
            </w:r>
            <w:r>
              <w:rPr>
                <w:rFonts w:hint="eastAsia" w:ascii="宋体" w:hAnsi="宋体" w:eastAsia="宋体" w:cs="宋体"/>
                <w:b/>
                <w:bCs/>
                <w:color w:val="auto"/>
                <w:highlight w:val="none"/>
                <w:lang w:val="en-US" w:eastAsia="zh-CN"/>
              </w:rPr>
              <w:t>不接受分包，</w:t>
            </w:r>
            <w:r>
              <w:rPr>
                <w:rFonts w:hint="eastAsia" w:ascii="宋体" w:hAnsi="宋体" w:eastAsia="宋体" w:cs="宋体"/>
                <w:b/>
                <w:bCs/>
                <w:color w:val="auto"/>
                <w:highlight w:val="none"/>
              </w:rPr>
              <w:t>不接受联合体</w:t>
            </w:r>
            <w:r>
              <w:rPr>
                <w:rFonts w:hint="eastAsia" w:ascii="宋体" w:hAnsi="宋体" w:eastAsia="宋体" w:cs="宋体"/>
                <w:b/>
                <w:bCs/>
                <w:color w:val="auto"/>
                <w:highlight w:val="none"/>
                <w:lang w:eastAsia="zh-CN"/>
              </w:rPr>
              <w:t>，此条不适用。</w:t>
            </w:r>
          </w:p>
        </w:tc>
      </w:tr>
      <w:tr w14:paraId="0B37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88D78BF">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25.1.7</w:t>
            </w:r>
          </w:p>
        </w:tc>
        <w:tc>
          <w:tcPr>
            <w:tcW w:w="9379" w:type="dxa"/>
            <w:gridSpan w:val="3"/>
            <w:vAlign w:val="center"/>
          </w:tcPr>
          <w:p w14:paraId="1DC88C9E">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rPr>
              <w:t>本项目对环境标志产品及节能产品的评审：</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\o\ac(□)</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适用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不适用</w:t>
            </w:r>
            <w:r>
              <w:rPr>
                <w:rFonts w:hint="eastAsia" w:ascii="宋体" w:hAnsi="宋体" w:eastAsia="宋体" w:cs="宋体"/>
                <w:color w:val="auto"/>
                <w:kern w:val="0"/>
                <w:highlight w:val="none"/>
              </w:rPr>
              <w:t>。</w:t>
            </w:r>
          </w:p>
          <w:p w14:paraId="419EE304">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1</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落实强制采购节能产品、鼓励节能政策：</w:t>
            </w:r>
            <w:r>
              <w:rPr>
                <w:rFonts w:hint="eastAsia" w:ascii="宋体" w:hAnsi="宋体" w:eastAsia="宋体" w:cs="宋体"/>
                <w:color w:val="auto"/>
                <w:highlight w:val="none"/>
              </w:rPr>
              <w:t>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财政部 发展改革委 生态环境部 市场监管总局关于调整优化节能产品、环境标志产品政府采购执行机制的通知》（财库〔2019〕9号）、《关于印发节能产品政府采购品目清单的通知》（财库〔2019〕19号）等文件。</w:t>
            </w:r>
          </w:p>
          <w:p w14:paraId="045F6B46">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2</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鼓励环保政策：</w:t>
            </w:r>
            <w:r>
              <w:rPr>
                <w:rFonts w:hint="eastAsia" w:ascii="宋体" w:hAnsi="宋体" w:eastAsia="宋体" w:cs="宋体"/>
                <w:color w:val="auto"/>
                <w:highlight w:val="none"/>
              </w:rPr>
              <w:t>在技术、服务等指标同等条件下，优先采购国家公布的属于环境标志产品政府采购清单中产品。执行政策文件：《关于环境标志产品政府采购实施的意见》（财库〔2006〕90号）、《财政部 发展改革委 生态环境部 市场监管总局关于调整优化节能产品、环境标志产品政府采购执行机制的通知》（财库〔2019〕9号）、《关于印发环境标志产品政府采购品目清单的通知》（财库〔2019〕18号）等文件。</w:t>
            </w:r>
          </w:p>
          <w:p w14:paraId="4C5E466D">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根据《节能产品政府采购实施意见》（财库</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2004</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185 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5690DBF1">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4</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根据《关于环境标志产品政府采购实施的意见》（财库</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2006</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90 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7E081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4504BFE4">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25.1.8</w:t>
            </w:r>
          </w:p>
        </w:tc>
        <w:tc>
          <w:tcPr>
            <w:tcW w:w="9379" w:type="dxa"/>
            <w:gridSpan w:val="3"/>
            <w:vAlign w:val="center"/>
          </w:tcPr>
          <w:p w14:paraId="2F3DDD3D">
            <w:pPr>
              <w:pStyle w:val="16"/>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本项目对</w:t>
            </w:r>
            <w:r>
              <w:rPr>
                <w:rFonts w:hint="eastAsia" w:ascii="宋体" w:hAnsi="宋体" w:eastAsia="宋体" w:cs="宋体"/>
                <w:b/>
                <w:bCs/>
                <w:color w:val="auto"/>
                <w:kern w:val="0"/>
                <w:sz w:val="21"/>
                <w:szCs w:val="21"/>
                <w:highlight w:val="none"/>
                <w:lang w:val="en-US" w:eastAsia="zh-CN"/>
              </w:rPr>
              <w:t>本国产品</w:t>
            </w:r>
            <w:r>
              <w:rPr>
                <w:rFonts w:hint="eastAsia" w:ascii="宋体" w:hAnsi="宋体" w:eastAsia="宋体" w:cs="宋体"/>
                <w:b/>
                <w:bCs/>
                <w:color w:val="auto"/>
                <w:kern w:val="0"/>
                <w:sz w:val="21"/>
                <w:szCs w:val="21"/>
                <w:highlight w:val="none"/>
              </w:rPr>
              <w:t>的评审：</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eq \o\ac(□)</w:instrTex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适用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不适用</w:t>
            </w:r>
            <w:r>
              <w:rPr>
                <w:rFonts w:hint="eastAsia" w:ascii="宋体" w:hAnsi="宋体" w:eastAsia="宋体" w:cs="宋体"/>
                <w:color w:val="auto"/>
                <w:kern w:val="0"/>
                <w:highlight w:val="none"/>
              </w:rPr>
              <w:t>。</w:t>
            </w:r>
          </w:p>
          <w:p w14:paraId="6F258FD0">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实施政策：《国务院办公厅关于在政府采购中实施本国产品标准及相关政策的通知》（国办发〔2025〕34号）、《关于贯彻落实〈国务院办公厅关于在政府采购中实施本国产品标准及相关政策的通知〉的意见》（财库〔2025〕30号）。</w:t>
            </w:r>
          </w:p>
          <w:p w14:paraId="2F2FF261">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本国产品标准的适用范围：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C5A94E1">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（3）本国产品应当符合以下条件：</w:t>
            </w:r>
          </w:p>
          <w:p w14:paraId="14309A52">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A.按照《国务院办公厅关于在政府采购中实施本国产品标准及相关政策的通知》（国办发〔2025〕34号）中“（一）在中国境内生产”的标准执行。</w:t>
            </w:r>
          </w:p>
          <w:p w14:paraId="603FB8C3">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产品应当在中国境内生产，即在中华人民共和国关境内实现从原材料、组件到产品的属性改变。</w:t>
            </w:r>
          </w:p>
          <w:p w14:paraId="210E31B8">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属性改变是指经过制造、加工或者组装等工序，产生完全不同于原材料、组件的新产品，并具有新的名称和特征（用途）。属性改变不包括以下细微操作：</w:t>
            </w:r>
          </w:p>
          <w:p w14:paraId="3EE88437">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a.</w:t>
            </w:r>
            <w:r>
              <w:rPr>
                <w:rFonts w:hint="eastAsia" w:ascii="宋体" w:hAnsi="宋体" w:eastAsia="宋体" w:cs="宋体"/>
                <w:color w:val="auto"/>
                <w:kern w:val="0"/>
                <w:sz w:val="21"/>
                <w:szCs w:val="21"/>
                <w:highlight w:val="none"/>
                <w:lang w:val="en-US" w:eastAsia="zh-CN"/>
              </w:rPr>
              <w:t>为确保产品在运输或者储存期间保持某种状态而进行的操作；</w:t>
            </w:r>
          </w:p>
          <w:p w14:paraId="076280DD">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b.</w:t>
            </w:r>
            <w:r>
              <w:rPr>
                <w:rFonts w:hint="eastAsia" w:ascii="宋体" w:hAnsi="宋体" w:eastAsia="宋体" w:cs="宋体"/>
                <w:color w:val="auto"/>
                <w:kern w:val="0"/>
                <w:sz w:val="21"/>
                <w:szCs w:val="21"/>
                <w:highlight w:val="none"/>
                <w:lang w:val="en-US" w:eastAsia="zh-CN"/>
              </w:rPr>
              <w:t>为产品运输或者销售进行的包装或者展示；</w:t>
            </w:r>
          </w:p>
          <w:p w14:paraId="493548AB">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c.</w:t>
            </w:r>
            <w:r>
              <w:rPr>
                <w:rFonts w:hint="eastAsia" w:ascii="宋体" w:hAnsi="宋体" w:eastAsia="宋体" w:cs="宋体"/>
                <w:color w:val="auto"/>
                <w:kern w:val="0"/>
                <w:sz w:val="21"/>
                <w:szCs w:val="21"/>
                <w:highlight w:val="none"/>
                <w:lang w:val="en-US" w:eastAsia="zh-CN"/>
              </w:rPr>
              <w:t>在产品或者其包装上粘贴或者印刷品牌、标志、标识以及其他用于区别的标记；</w:t>
            </w:r>
          </w:p>
          <w:p w14:paraId="4089D71B">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d.</w:t>
            </w:r>
            <w:r>
              <w:rPr>
                <w:rFonts w:hint="eastAsia" w:ascii="宋体" w:hAnsi="宋体" w:eastAsia="宋体" w:cs="宋体"/>
                <w:color w:val="auto"/>
                <w:kern w:val="0"/>
                <w:sz w:val="21"/>
                <w:szCs w:val="21"/>
                <w:highlight w:val="none"/>
                <w:lang w:val="en-US" w:eastAsia="zh-CN"/>
              </w:rPr>
              <w:t>简单的上漆、磨光和分装；</w:t>
            </w:r>
          </w:p>
          <w:p w14:paraId="49F0EF3C">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e.</w:t>
            </w:r>
            <w:r>
              <w:rPr>
                <w:rFonts w:hint="eastAsia" w:ascii="宋体" w:hAnsi="宋体" w:eastAsia="宋体" w:cs="宋体"/>
                <w:color w:val="auto"/>
                <w:kern w:val="0"/>
                <w:sz w:val="21"/>
                <w:szCs w:val="21"/>
                <w:highlight w:val="none"/>
                <w:lang w:val="en-US" w:eastAsia="zh-CN"/>
              </w:rPr>
              <w:t>其他不属于属性改变的情形。</w:t>
            </w:r>
          </w:p>
          <w:p w14:paraId="158A6344">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B.按照《关于贯彻落实〈国务院办公厅关于在政府采购中实施本国产品标准及相关政策的通知〉的意见》（财库〔2025〕30号）中“对医疗器械产品，取得药品监督管理部门授予的准字号医疗器械注册证的，属于在中国境内生产的产品；其他产品，根据实际情况判断是否在中国境内生产”的标准执行。</w:t>
            </w:r>
          </w:p>
          <w:p w14:paraId="5A6C1B09">
            <w:pPr>
              <w:pStyle w:val="16"/>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④对本国产品的支持政策</w:t>
            </w:r>
          </w:p>
          <w:p w14:paraId="2258F54A">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left="0" w:leftChars="0" w:firstLine="0" w:firstLineChars="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A.</w:t>
            </w:r>
            <w:r>
              <w:rPr>
                <w:rFonts w:hint="eastAsia" w:ascii="宋体" w:hAnsi="宋体" w:eastAsia="宋体" w:cs="宋体"/>
                <w:color w:val="auto"/>
                <w:kern w:val="0"/>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p>
          <w:p w14:paraId="28D88124">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lang w:eastAsia="zh-CN"/>
              </w:rPr>
            </w:pPr>
            <w:r>
              <w:rPr>
                <w:rFonts w:hint="eastAsia" w:ascii="宋体" w:hAnsi="宋体" w:eastAsia="宋体" w:cs="宋体"/>
                <w:color w:val="auto"/>
                <w:kern w:val="0"/>
                <w:sz w:val="21"/>
                <w:szCs w:val="21"/>
                <w:highlight w:val="none"/>
                <w:lang w:val="en-US" w:eastAsia="zh-CN" w:bidi="ar-SA"/>
              </w:rPr>
              <w:t>B.</w:t>
            </w:r>
            <w:r>
              <w:rPr>
                <w:rFonts w:hint="eastAsia" w:ascii="宋体" w:hAnsi="宋体" w:eastAsia="宋体" w:cs="宋体"/>
                <w:color w:val="auto"/>
                <w:kern w:val="0"/>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2D8B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83" w:type="dxa"/>
            <w:vAlign w:val="center"/>
          </w:tcPr>
          <w:p w14:paraId="0DFCE9FD">
            <w:pPr>
              <w:pStyle w:val="16"/>
              <w:keepLines w:val="0"/>
              <w:pageBreakBefore w:val="0"/>
              <w:kinsoku/>
              <w:wordWrap/>
              <w:overflowPunct/>
              <w:topLinePunct w:val="0"/>
              <w:bidi w:val="0"/>
              <w:spacing w:line="440" w:lineRule="exact"/>
              <w:jc w:val="center"/>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25.1.9</w:t>
            </w:r>
          </w:p>
        </w:tc>
        <w:tc>
          <w:tcPr>
            <w:tcW w:w="9379" w:type="dxa"/>
            <w:gridSpan w:val="3"/>
            <w:vAlign w:val="center"/>
          </w:tcPr>
          <w:p w14:paraId="1D863CB9">
            <w:pPr>
              <w:keepLines w:val="0"/>
              <w:pageBreakBefore w:val="0"/>
              <w:widowControl/>
              <w:kinsoku/>
              <w:wordWrap/>
              <w:overflowPunct/>
              <w:topLinePunct w:val="0"/>
              <w:bidi w:val="0"/>
              <w:snapToGrid w:val="0"/>
              <w:spacing w:line="440" w:lineRule="exact"/>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其它：</w:t>
            </w:r>
          </w:p>
          <w:p w14:paraId="09AAD9AA">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1</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本竞争性磋商文件中所提到的公章：指公安部门备案的行政</w:t>
            </w:r>
            <w:r>
              <w:rPr>
                <w:rFonts w:hint="eastAsia" w:ascii="宋体" w:hAnsi="宋体" w:eastAsia="宋体" w:cs="宋体"/>
                <w:color w:val="auto"/>
                <w:kern w:val="0"/>
                <w:highlight w:val="none"/>
                <w:lang w:eastAsia="zh-CN"/>
              </w:rPr>
              <w:t>公章或合法有效的电子公章</w:t>
            </w:r>
            <w:r>
              <w:rPr>
                <w:rFonts w:hint="eastAsia" w:ascii="宋体" w:hAnsi="宋体" w:eastAsia="宋体" w:cs="宋体"/>
                <w:color w:val="auto"/>
                <w:kern w:val="0"/>
                <w:highlight w:val="none"/>
              </w:rPr>
              <w:t>；签字：指亲笔签字或合法的电子签名。</w:t>
            </w:r>
          </w:p>
          <w:p w14:paraId="21859AFF">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注：</w:t>
            </w:r>
            <w:r>
              <w:rPr>
                <w:rFonts w:hint="eastAsia" w:ascii="宋体" w:hAnsi="宋体" w:eastAsia="宋体" w:cs="宋体"/>
                <w:color w:val="auto"/>
                <w:kern w:val="0"/>
                <w:sz w:val="21"/>
                <w:szCs w:val="21"/>
                <w:highlight w:val="none"/>
                <w:lang w:eastAsia="zh-CN"/>
              </w:rPr>
              <w:t>法定代表人：是指具有独立承担民事责任的法人</w:t>
            </w:r>
            <w:r>
              <w:rPr>
                <w:rFonts w:hint="eastAsia" w:ascii="宋体" w:hAnsi="宋体" w:eastAsia="宋体" w:cs="宋体"/>
                <w:color w:val="auto"/>
                <w:kern w:val="0"/>
                <w:sz w:val="21"/>
                <w:szCs w:val="21"/>
                <w:highlight w:val="none"/>
                <w:lang w:val="en-US" w:eastAsia="zh-CN"/>
              </w:rPr>
              <w:t>机构的法定代表人；负责人：</w:t>
            </w:r>
            <w:r>
              <w:rPr>
                <w:rFonts w:hint="eastAsia" w:ascii="宋体" w:hAnsi="宋体" w:eastAsia="宋体" w:cs="宋体"/>
                <w:color w:val="auto"/>
                <w:kern w:val="0"/>
                <w:sz w:val="21"/>
                <w:szCs w:val="21"/>
                <w:highlight w:val="none"/>
                <w:lang w:eastAsia="zh-CN"/>
              </w:rPr>
              <w:t>是指具有独立承担民事责任的非法人机构行使机构管理和代表权利义务的主体，如：自然人本人、个体经营户的经营者、民办非企业单位（社会团体）和合伙制机构等非法人机构的负责人。</w:t>
            </w:r>
          </w:p>
          <w:p w14:paraId="2E287FB3">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2</w:t>
            </w: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rPr>
              <w:t>串标围标判定依据：</w:t>
            </w:r>
          </w:p>
          <w:p w14:paraId="3D956527">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①</w:t>
            </w:r>
            <w:r>
              <w:rPr>
                <w:rFonts w:hint="eastAsia" w:ascii="宋体" w:hAnsi="宋体" w:eastAsia="宋体" w:cs="宋体"/>
                <w:color w:val="auto"/>
                <w:kern w:val="0"/>
                <w:highlight w:val="none"/>
              </w:rPr>
              <w:t>不同</w:t>
            </w:r>
            <w:r>
              <w:rPr>
                <w:rFonts w:hint="eastAsia" w:ascii="宋体" w:hAnsi="宋体" w:eastAsia="宋体" w:cs="宋体"/>
                <w:color w:val="auto"/>
                <w:kern w:val="0"/>
                <w:highlight w:val="none"/>
                <w:lang w:eastAsia="zh-CN"/>
              </w:rPr>
              <w:t>磋商申请人</w:t>
            </w:r>
            <w:r>
              <w:rPr>
                <w:rFonts w:hint="eastAsia" w:ascii="宋体" w:hAnsi="宋体" w:eastAsia="宋体" w:cs="宋体"/>
                <w:color w:val="auto"/>
                <w:kern w:val="0"/>
                <w:highlight w:val="none"/>
              </w:rPr>
              <w:t>提交的磋商响应文件中内容错漏之处出现高度一致，或其他内容出现高度一致性（除竞争性磋商文件中规定的内容外）的；</w:t>
            </w:r>
          </w:p>
          <w:p w14:paraId="682135F8">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②</w:t>
            </w:r>
            <w:r>
              <w:rPr>
                <w:rFonts w:hint="eastAsia" w:ascii="宋体" w:hAnsi="宋体" w:eastAsia="宋体" w:cs="宋体"/>
                <w:color w:val="auto"/>
                <w:kern w:val="0"/>
                <w:highlight w:val="none"/>
              </w:rPr>
              <w:t>不同</w:t>
            </w:r>
            <w:r>
              <w:rPr>
                <w:rFonts w:hint="eastAsia" w:ascii="宋体" w:hAnsi="宋体" w:eastAsia="宋体" w:cs="宋体"/>
                <w:color w:val="auto"/>
                <w:kern w:val="0"/>
                <w:highlight w:val="none"/>
                <w:lang w:eastAsia="zh-CN"/>
              </w:rPr>
              <w:t>磋商申请人</w:t>
            </w:r>
            <w:r>
              <w:rPr>
                <w:rFonts w:hint="eastAsia" w:ascii="宋体" w:hAnsi="宋体" w:eastAsia="宋体" w:cs="宋体"/>
                <w:color w:val="auto"/>
                <w:kern w:val="0"/>
                <w:highlight w:val="none"/>
              </w:rPr>
              <w:t>的磋商响应文件相互混装的；</w:t>
            </w:r>
          </w:p>
          <w:p w14:paraId="71A325D6">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③</w:t>
            </w:r>
            <w:r>
              <w:rPr>
                <w:rFonts w:hint="eastAsia" w:ascii="宋体" w:hAnsi="宋体" w:eastAsia="宋体" w:cs="宋体"/>
                <w:color w:val="auto"/>
                <w:kern w:val="0"/>
                <w:highlight w:val="none"/>
              </w:rPr>
              <w:t>现行法律法规规定的其他判定依据。</w:t>
            </w:r>
          </w:p>
          <w:p w14:paraId="65D1EA4B">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highlight w:val="none"/>
              </w:rPr>
            </w:pPr>
            <w:r>
              <w:rPr>
                <w:rFonts w:hint="eastAsia" w:ascii="宋体" w:hAnsi="宋体" w:eastAsia="宋体" w:cs="宋体"/>
                <w:color w:val="auto"/>
                <w:kern w:val="0"/>
                <w:highlight w:val="none"/>
                <w:lang w:eastAsia="zh-CN"/>
              </w:rPr>
              <w:t>（</w:t>
            </w:r>
            <w:r>
              <w:rPr>
                <w:rFonts w:hint="eastAsia" w:ascii="宋体" w:hAnsi="宋体" w:eastAsia="宋体" w:cs="宋体"/>
                <w:color w:val="auto"/>
                <w:kern w:val="0"/>
                <w:highlight w:val="none"/>
                <w:lang w:val="en-US" w:eastAsia="zh-CN"/>
              </w:rPr>
              <w:t>3</w:t>
            </w:r>
            <w:r>
              <w:rPr>
                <w:rFonts w:hint="eastAsia" w:ascii="宋体" w:hAnsi="宋体" w:eastAsia="宋体" w:cs="宋体"/>
                <w:color w:val="auto"/>
                <w:kern w:val="0"/>
                <w:highlight w:val="none"/>
                <w:lang w:eastAsia="zh-CN"/>
              </w:rPr>
              <w:t>）</w:t>
            </w:r>
            <w:r>
              <w:rPr>
                <w:rFonts w:hint="eastAsia" w:ascii="宋体" w:hAnsi="宋体" w:eastAsia="宋体" w:cs="宋体"/>
                <w:color w:val="auto"/>
                <w:highlight w:val="none"/>
              </w:rPr>
              <w:t>保证金将被没收的情况（出现下列情况之一者其提交的磋商保证金将被没收）：</w:t>
            </w:r>
          </w:p>
          <w:p w14:paraId="7848E2DB">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lang w:eastAsia="zh-CN"/>
              </w:rPr>
              <w:t>磋商申请人</w:t>
            </w:r>
            <w:r>
              <w:rPr>
                <w:rFonts w:hint="eastAsia" w:ascii="宋体" w:hAnsi="宋体" w:eastAsia="宋体" w:cs="宋体"/>
                <w:color w:val="auto"/>
                <w:highlight w:val="none"/>
              </w:rPr>
              <w:t>在提交磋商响应文件截止时间后撤回响应文件的；</w:t>
            </w:r>
          </w:p>
          <w:p w14:paraId="56226559">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lang w:eastAsia="zh-CN"/>
              </w:rPr>
              <w:t>磋商申请人</w:t>
            </w:r>
            <w:r>
              <w:rPr>
                <w:rFonts w:hint="eastAsia" w:ascii="宋体" w:hAnsi="宋体" w:eastAsia="宋体" w:cs="宋体"/>
                <w:color w:val="auto"/>
                <w:highlight w:val="none"/>
              </w:rPr>
              <w:t>在磋商响应文件中提供虚假材料的；</w:t>
            </w:r>
          </w:p>
          <w:p w14:paraId="299972C2">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rPr>
              <w:t>除因不可抗力或竞争性磋商文件、成交通知书认可的情形以外，成交人不与采购人签订合同的；</w:t>
            </w:r>
          </w:p>
          <w:p w14:paraId="16A4ACEB">
            <w:pPr>
              <w:keepLines w:val="0"/>
              <w:pageBreakBefore w:val="0"/>
              <w:widowControl/>
              <w:kinsoku/>
              <w:wordWrap/>
              <w:overflowPunct/>
              <w:topLinePunct w:val="0"/>
              <w:bidi w:val="0"/>
              <w:snapToGrid w:val="0"/>
              <w:spacing w:line="440" w:lineRule="exact"/>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④</w:t>
            </w:r>
            <w:r>
              <w:rPr>
                <w:rFonts w:hint="eastAsia" w:ascii="宋体" w:hAnsi="宋体" w:eastAsia="宋体" w:cs="宋体"/>
                <w:color w:val="auto"/>
                <w:highlight w:val="none"/>
                <w:lang w:eastAsia="zh-CN"/>
              </w:rPr>
              <w:t>磋商申请人</w:t>
            </w:r>
            <w:r>
              <w:rPr>
                <w:rFonts w:hint="eastAsia" w:ascii="宋体" w:hAnsi="宋体" w:eastAsia="宋体" w:cs="宋体"/>
                <w:color w:val="auto"/>
                <w:highlight w:val="none"/>
              </w:rPr>
              <w:t>与采购人、其他</w:t>
            </w:r>
            <w:r>
              <w:rPr>
                <w:rFonts w:hint="eastAsia" w:ascii="宋体" w:hAnsi="宋体" w:eastAsia="宋体" w:cs="宋体"/>
                <w:color w:val="auto"/>
                <w:highlight w:val="none"/>
                <w:lang w:eastAsia="zh-CN"/>
              </w:rPr>
              <w:t>磋商申请人</w:t>
            </w:r>
            <w:r>
              <w:rPr>
                <w:rFonts w:hint="eastAsia" w:ascii="宋体" w:hAnsi="宋体" w:eastAsia="宋体" w:cs="宋体"/>
                <w:color w:val="auto"/>
                <w:highlight w:val="none"/>
              </w:rPr>
              <w:t>或者采购代理机构恶意串通的；</w:t>
            </w:r>
          </w:p>
          <w:p w14:paraId="169A5B30">
            <w:pPr>
              <w:pStyle w:val="16"/>
              <w:keepLines w:val="0"/>
              <w:pageBreakBefore w:val="0"/>
              <w:kinsoku/>
              <w:wordWrap/>
              <w:overflowPunct/>
              <w:topLinePunct w:val="0"/>
              <w:bidi w:val="0"/>
              <w:spacing w:line="440" w:lineRule="exact"/>
              <w:rPr>
                <w:rFonts w:hint="eastAsia" w:ascii="宋体" w:hAnsi="宋体" w:eastAsia="宋体" w:cs="宋体"/>
                <w:color w:val="auto"/>
                <w:kern w:val="0"/>
                <w:highlight w:val="none"/>
              </w:rPr>
            </w:pPr>
            <w:r>
              <w:rPr>
                <w:rFonts w:hint="eastAsia" w:ascii="宋体" w:hAnsi="宋体" w:eastAsia="宋体" w:cs="宋体"/>
                <w:color w:val="auto"/>
                <w:highlight w:val="none"/>
                <w:lang w:val="en-US" w:eastAsia="zh-CN"/>
              </w:rPr>
              <w:t>⑤</w:t>
            </w:r>
            <w:r>
              <w:rPr>
                <w:rFonts w:hint="eastAsia" w:ascii="宋体" w:hAnsi="宋体" w:eastAsia="宋体" w:cs="宋体"/>
                <w:color w:val="auto"/>
                <w:highlight w:val="none"/>
              </w:rPr>
              <w:t>采购文件、法律法规规定的其他情形。</w:t>
            </w:r>
          </w:p>
        </w:tc>
      </w:tr>
    </w:tbl>
    <w:p w14:paraId="13E690EC">
      <w:pPr>
        <w:widowControl/>
        <w:jc w:val="left"/>
        <w:rPr>
          <w:rFonts w:hint="eastAsia" w:ascii="宋体" w:hAnsi="宋体" w:eastAsia="宋体" w:cs="宋体"/>
          <w:b/>
          <w:bCs/>
          <w:color w:val="auto"/>
          <w:sz w:val="32"/>
          <w:szCs w:val="32"/>
          <w:highlight w:val="none"/>
        </w:rPr>
      </w:pPr>
      <w:bookmarkStart w:id="6" w:name="_Toc86124040"/>
      <w:bookmarkStart w:id="7" w:name="_Toc7252732"/>
      <w:r>
        <w:rPr>
          <w:rFonts w:hint="eastAsia" w:ascii="宋体" w:hAnsi="宋体" w:eastAsia="宋体" w:cs="宋体"/>
          <w:color w:val="auto"/>
          <w:highlight w:val="none"/>
        </w:rPr>
        <w:br w:type="page"/>
      </w:r>
    </w:p>
    <w:p w14:paraId="611D5024">
      <w:pPr>
        <w:pStyle w:val="4"/>
        <w:spacing w:before="0" w:after="0" w:line="360" w:lineRule="auto"/>
        <w:jc w:val="center"/>
        <w:rPr>
          <w:rFonts w:hint="eastAsia" w:ascii="宋体" w:hAnsi="宋体" w:eastAsia="宋体" w:cs="宋体"/>
          <w:color w:val="auto"/>
          <w:highlight w:val="none"/>
        </w:rPr>
      </w:pPr>
      <w:bookmarkStart w:id="8" w:name="_Toc39092131"/>
      <w:r>
        <w:rPr>
          <w:rFonts w:hint="eastAsia" w:ascii="宋体" w:hAnsi="宋体" w:eastAsia="宋体" w:cs="宋体"/>
          <w:color w:val="auto"/>
          <w:highlight w:val="none"/>
        </w:rPr>
        <w:t>一、总则</w:t>
      </w:r>
      <w:bookmarkEnd w:id="6"/>
      <w:bookmarkEnd w:id="7"/>
      <w:bookmarkEnd w:id="8"/>
    </w:p>
    <w:p w14:paraId="329702CE">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9" w:name="_Toc329810186"/>
      <w:bookmarkStart w:id="10" w:name="_Toc383175474"/>
      <w:bookmarkStart w:id="11" w:name="_Toc7252733"/>
      <w:bookmarkStart w:id="12" w:name="_Toc383175276"/>
      <w:bookmarkStart w:id="13" w:name="_Toc383175052"/>
      <w:r>
        <w:rPr>
          <w:rFonts w:hint="eastAsia" w:ascii="宋体" w:hAnsi="宋体" w:eastAsia="宋体" w:cs="宋体"/>
          <w:b/>
          <w:color w:val="auto"/>
          <w:sz w:val="32"/>
          <w:szCs w:val="32"/>
          <w:highlight w:val="none"/>
        </w:rPr>
        <w:t>项目概况</w:t>
      </w:r>
      <w:bookmarkEnd w:id="9"/>
      <w:bookmarkEnd w:id="10"/>
      <w:bookmarkEnd w:id="11"/>
      <w:bookmarkEnd w:id="12"/>
      <w:bookmarkEnd w:id="13"/>
    </w:p>
    <w:p w14:paraId="5F2B339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w:t>
      </w:r>
      <w:r>
        <w:rPr>
          <w:rFonts w:hint="eastAsia" w:ascii="宋体" w:hAnsi="宋体" w:eastAsia="宋体" w:cs="宋体"/>
          <w:color w:val="auto"/>
          <w:highlight w:val="none"/>
        </w:rPr>
        <w:tab/>
      </w:r>
      <w:r>
        <w:rPr>
          <w:rFonts w:hint="eastAsia" w:ascii="宋体" w:hAnsi="宋体" w:eastAsia="宋体" w:cs="宋体"/>
          <w:color w:val="auto"/>
          <w:highlight w:val="none"/>
        </w:rPr>
        <w:t>根据《中华人民共和国政府采购法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中华人民共和国政府采购法实施条例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财政部令第87号、</w:t>
      </w:r>
      <w:r>
        <w:rPr>
          <w:rFonts w:hint="eastAsia" w:ascii="宋体" w:hAnsi="宋体" w:eastAsia="宋体" w:cs="宋体"/>
          <w:color w:val="auto"/>
          <w:highlight w:val="none"/>
          <w:lang w:val="en-US" w:eastAsia="zh-CN"/>
        </w:rPr>
        <w:t>第</w:t>
      </w:r>
      <w:r>
        <w:rPr>
          <w:rFonts w:hint="eastAsia" w:ascii="宋体" w:hAnsi="宋体" w:eastAsia="宋体" w:cs="宋体"/>
          <w:color w:val="auto"/>
          <w:highlight w:val="none"/>
        </w:rPr>
        <w:t>94号、</w:t>
      </w:r>
      <w:r>
        <w:rPr>
          <w:rFonts w:hint="eastAsia" w:ascii="宋体" w:hAnsi="宋体" w:eastAsia="宋体" w:cs="宋体"/>
          <w:color w:val="auto"/>
          <w:highlight w:val="none"/>
          <w:lang w:val="en-US" w:eastAsia="zh-CN"/>
        </w:rPr>
        <w:t>第</w:t>
      </w:r>
      <w:r>
        <w:rPr>
          <w:rFonts w:hint="eastAsia" w:ascii="宋体" w:hAnsi="宋体" w:eastAsia="宋体" w:cs="宋体"/>
          <w:color w:val="auto"/>
          <w:highlight w:val="none"/>
        </w:rPr>
        <w:t>101号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第102号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政府采购竞争性磋商采购方式管理暂行办法》等有关</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和规章的规定，本项目已获主管部门批准，现对本次</w:t>
      </w:r>
      <w:r>
        <w:rPr>
          <w:rFonts w:hint="eastAsia" w:ascii="宋体" w:hAnsi="宋体" w:eastAsia="宋体" w:cs="宋体"/>
          <w:color w:val="auto"/>
          <w:highlight w:val="none"/>
          <w:lang w:val="en-US" w:eastAsia="zh-CN"/>
        </w:rPr>
        <w:t>货物</w:t>
      </w:r>
      <w:r>
        <w:rPr>
          <w:rFonts w:hint="eastAsia" w:ascii="宋体" w:hAnsi="宋体" w:eastAsia="宋体" w:cs="宋体"/>
          <w:color w:val="auto"/>
          <w:highlight w:val="none"/>
        </w:rPr>
        <w:t>采购进行竞争性磋商采购。</w:t>
      </w:r>
    </w:p>
    <w:p w14:paraId="7DB90AE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rPr>
        <w:tab/>
      </w:r>
      <w:r>
        <w:rPr>
          <w:rFonts w:hint="eastAsia" w:ascii="宋体" w:hAnsi="宋体" w:eastAsia="宋体" w:cs="宋体"/>
          <w:color w:val="auto"/>
          <w:highlight w:val="none"/>
        </w:rPr>
        <w:t>本项目采购人、采购代理机构、项目名称、</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3B3CE564">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4" w:name="_Toc383175053"/>
      <w:bookmarkStart w:id="15" w:name="_Toc329810187"/>
      <w:bookmarkStart w:id="16" w:name="_Toc265142411"/>
      <w:bookmarkStart w:id="17" w:name="_Toc383175475"/>
      <w:bookmarkStart w:id="18" w:name="_Toc7252734"/>
      <w:bookmarkStart w:id="19" w:name="_Toc383175277"/>
      <w:r>
        <w:rPr>
          <w:rFonts w:hint="eastAsia" w:ascii="宋体" w:hAnsi="宋体" w:eastAsia="宋体" w:cs="宋体"/>
          <w:b/>
          <w:color w:val="auto"/>
          <w:sz w:val="32"/>
          <w:szCs w:val="32"/>
          <w:highlight w:val="none"/>
        </w:rPr>
        <w:t>资金来源</w:t>
      </w:r>
      <w:bookmarkEnd w:id="14"/>
      <w:bookmarkEnd w:id="15"/>
      <w:bookmarkEnd w:id="16"/>
      <w:bookmarkEnd w:id="17"/>
      <w:bookmarkEnd w:id="18"/>
      <w:bookmarkEnd w:id="19"/>
    </w:p>
    <w:p w14:paraId="4EFF50E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2.1资金来源已落实，用于采购“</w:t>
      </w:r>
      <w:r>
        <w:rPr>
          <w:rFonts w:hint="eastAsia" w:ascii="宋体" w:hAnsi="宋体" w:eastAsia="宋体" w:cs="宋体"/>
          <w:b/>
          <w:bCs/>
          <w:color w:val="auto"/>
          <w:highlight w:val="none"/>
        </w:rPr>
        <w:t>采购需求</w:t>
      </w:r>
      <w:r>
        <w:rPr>
          <w:rFonts w:hint="eastAsia" w:ascii="宋体" w:hAnsi="宋体" w:eastAsia="宋体" w:cs="宋体"/>
          <w:color w:val="auto"/>
          <w:highlight w:val="none"/>
        </w:rPr>
        <w:t>”所列货物（服务）。</w:t>
      </w:r>
      <w:bookmarkStart w:id="20" w:name="_Toc383175278"/>
      <w:bookmarkStart w:id="21" w:name="_Toc265142412"/>
      <w:bookmarkStart w:id="22" w:name="_Toc383175476"/>
      <w:bookmarkStart w:id="23" w:name="_Toc329810188"/>
      <w:bookmarkStart w:id="24" w:name="_Toc383175054"/>
    </w:p>
    <w:p w14:paraId="262F2806">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25" w:name="_Toc7252735"/>
      <w:r>
        <w:rPr>
          <w:rFonts w:hint="eastAsia" w:ascii="宋体" w:hAnsi="宋体" w:eastAsia="宋体" w:cs="宋体"/>
          <w:b/>
          <w:color w:val="auto"/>
          <w:sz w:val="32"/>
          <w:szCs w:val="32"/>
          <w:highlight w:val="none"/>
        </w:rPr>
        <w:t>采购范围</w:t>
      </w:r>
      <w:bookmarkEnd w:id="20"/>
      <w:bookmarkEnd w:id="21"/>
      <w:bookmarkEnd w:id="22"/>
      <w:bookmarkEnd w:id="23"/>
      <w:bookmarkEnd w:id="24"/>
      <w:bookmarkEnd w:id="25"/>
    </w:p>
    <w:p w14:paraId="1435519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 本项目采购内容：见“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23A25690">
      <w:pPr>
        <w:spacing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3.2标段划分</w:t>
      </w:r>
      <w:r>
        <w:rPr>
          <w:rFonts w:hint="eastAsia" w:ascii="宋体" w:hAnsi="宋体" w:eastAsia="宋体" w:cs="宋体"/>
          <w:color w:val="auto"/>
          <w:highlight w:val="none"/>
        </w:rPr>
        <w:t>：见“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5517098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w:t>
      </w:r>
      <w:r>
        <w:rPr>
          <w:rFonts w:hint="eastAsia" w:ascii="宋体" w:hAnsi="宋体" w:eastAsia="宋体" w:cs="宋体"/>
          <w:color w:val="auto"/>
          <w:highlight w:val="none"/>
          <w:lang w:val="en-US" w:eastAsia="zh-CN"/>
        </w:rPr>
        <w:t>项目服务地点及</w:t>
      </w:r>
      <w:r>
        <w:rPr>
          <w:rFonts w:hint="eastAsia" w:ascii="宋体" w:hAnsi="宋体" w:eastAsia="宋体" w:cs="宋体"/>
          <w:color w:val="auto"/>
          <w:kern w:val="0"/>
          <w:highlight w:val="none"/>
        </w:rPr>
        <w:t>合同履行期限</w:t>
      </w:r>
      <w:r>
        <w:rPr>
          <w:rFonts w:hint="eastAsia" w:ascii="宋体" w:hAnsi="宋体" w:eastAsia="宋体" w:cs="宋体"/>
          <w:color w:val="auto"/>
          <w:highlight w:val="none"/>
        </w:rPr>
        <w:t>：见“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1AE3B95F">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26" w:name="_Toc329810189"/>
      <w:bookmarkStart w:id="27" w:name="_Toc383175055"/>
      <w:bookmarkStart w:id="28" w:name="_Toc383175477"/>
      <w:bookmarkStart w:id="29" w:name="_Toc7252736"/>
      <w:bookmarkStart w:id="30" w:name="_Toc383175279"/>
      <w:r>
        <w:rPr>
          <w:rFonts w:hint="eastAsia" w:ascii="宋体" w:hAnsi="宋体" w:eastAsia="宋体" w:cs="宋体"/>
          <w:b/>
          <w:color w:val="auto"/>
          <w:sz w:val="32"/>
          <w:szCs w:val="32"/>
          <w:highlight w:val="none"/>
        </w:rPr>
        <w:t>合格的磋商申请人（以下简称磋商申请人）</w:t>
      </w:r>
      <w:bookmarkEnd w:id="26"/>
      <w:bookmarkEnd w:id="27"/>
      <w:bookmarkEnd w:id="28"/>
      <w:bookmarkEnd w:id="29"/>
      <w:bookmarkEnd w:id="30"/>
    </w:p>
    <w:p w14:paraId="3F25595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4.1</w:t>
      </w:r>
      <w:r>
        <w:rPr>
          <w:rFonts w:hint="eastAsia" w:ascii="宋体" w:hAnsi="宋体" w:eastAsia="宋体" w:cs="宋体"/>
          <w:color w:val="auto"/>
          <w:highlight w:val="none"/>
        </w:rPr>
        <w:tab/>
      </w:r>
      <w:r>
        <w:rPr>
          <w:rFonts w:hint="eastAsia" w:ascii="宋体" w:hAnsi="宋体" w:eastAsia="宋体" w:cs="宋体"/>
          <w:color w:val="auto"/>
          <w:highlight w:val="none"/>
        </w:rPr>
        <w:t>详见：“</w:t>
      </w:r>
      <w:r>
        <w:rPr>
          <w:rFonts w:hint="eastAsia" w:ascii="宋体" w:hAnsi="宋体" w:eastAsia="宋体" w:cs="宋体"/>
          <w:color w:val="auto"/>
          <w:highlight w:val="none"/>
          <w:lang w:val="en-US" w:eastAsia="zh-CN"/>
        </w:rPr>
        <w:t>竞争性</w:t>
      </w:r>
      <w:r>
        <w:rPr>
          <w:rFonts w:hint="eastAsia" w:ascii="宋体" w:hAnsi="宋体" w:eastAsia="宋体" w:cs="宋体"/>
          <w:color w:val="auto"/>
          <w:highlight w:val="none"/>
        </w:rPr>
        <w:t>磋商公告”</w:t>
      </w:r>
    </w:p>
    <w:p w14:paraId="15A7BA63">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31" w:name="_Hlt200176664"/>
      <w:bookmarkEnd w:id="31"/>
      <w:bookmarkStart w:id="32" w:name="_Toc383175280"/>
      <w:bookmarkStart w:id="33" w:name="_Toc7252737"/>
      <w:bookmarkStart w:id="34" w:name="_Toc329810190"/>
      <w:bookmarkStart w:id="35" w:name="_Toc383175478"/>
      <w:bookmarkStart w:id="36" w:name="_Toc383175056"/>
      <w:r>
        <w:rPr>
          <w:rFonts w:hint="eastAsia" w:ascii="宋体" w:hAnsi="宋体" w:eastAsia="宋体" w:cs="宋体"/>
          <w:b/>
          <w:color w:val="auto"/>
          <w:sz w:val="32"/>
          <w:szCs w:val="32"/>
          <w:highlight w:val="none"/>
        </w:rPr>
        <w:t>磋商费用</w:t>
      </w:r>
      <w:bookmarkEnd w:id="32"/>
      <w:bookmarkEnd w:id="33"/>
      <w:bookmarkEnd w:id="34"/>
      <w:bookmarkEnd w:id="35"/>
      <w:bookmarkEnd w:id="36"/>
    </w:p>
    <w:p w14:paraId="42E9439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无论是否成交，磋商申请人自行承担所有与参加磋商有关的全部费用。</w:t>
      </w:r>
    </w:p>
    <w:p w14:paraId="4ABE6A5C">
      <w:pPr>
        <w:pStyle w:val="4"/>
        <w:spacing w:before="0" w:after="0" w:line="360" w:lineRule="auto"/>
        <w:jc w:val="center"/>
        <w:rPr>
          <w:rFonts w:hint="eastAsia" w:ascii="宋体" w:hAnsi="宋体" w:eastAsia="宋体" w:cs="宋体"/>
          <w:color w:val="auto"/>
          <w:highlight w:val="none"/>
        </w:rPr>
      </w:pPr>
      <w:bookmarkStart w:id="37" w:name="_Toc86124047"/>
      <w:bookmarkStart w:id="38" w:name="_Toc39092132"/>
      <w:bookmarkStart w:id="39" w:name="_Toc7252738"/>
      <w:r>
        <w:rPr>
          <w:rFonts w:hint="eastAsia" w:ascii="宋体" w:hAnsi="宋体" w:eastAsia="宋体" w:cs="宋体"/>
          <w:color w:val="auto"/>
          <w:highlight w:val="none"/>
        </w:rPr>
        <w:t>二、磋商文件</w:t>
      </w:r>
      <w:bookmarkEnd w:id="37"/>
      <w:bookmarkEnd w:id="38"/>
      <w:bookmarkEnd w:id="39"/>
    </w:p>
    <w:p w14:paraId="29D9F9E0">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40" w:name="_Toc383175058"/>
      <w:bookmarkStart w:id="41" w:name="_Toc7252739"/>
      <w:bookmarkStart w:id="42" w:name="_Toc383175480"/>
      <w:bookmarkStart w:id="43" w:name="_Toc383175282"/>
      <w:bookmarkStart w:id="44" w:name="_Toc329810192"/>
      <w:r>
        <w:rPr>
          <w:rFonts w:hint="eastAsia" w:ascii="宋体" w:hAnsi="宋体" w:eastAsia="宋体" w:cs="宋体"/>
          <w:b/>
          <w:color w:val="auto"/>
          <w:sz w:val="32"/>
          <w:szCs w:val="32"/>
          <w:highlight w:val="none"/>
        </w:rPr>
        <w:t>磋商文件的组成</w:t>
      </w:r>
      <w:bookmarkEnd w:id="40"/>
      <w:bookmarkEnd w:id="41"/>
      <w:bookmarkEnd w:id="42"/>
      <w:bookmarkEnd w:id="43"/>
      <w:bookmarkEnd w:id="44"/>
    </w:p>
    <w:p w14:paraId="7C163213">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要求提供的</w:t>
      </w:r>
      <w:r>
        <w:rPr>
          <w:rFonts w:hint="eastAsia" w:ascii="宋体" w:hAnsi="宋体" w:eastAsia="宋体" w:cs="宋体"/>
          <w:color w:val="auto"/>
          <w:highlight w:val="none"/>
          <w:lang w:val="en-US" w:eastAsia="zh-CN"/>
        </w:rPr>
        <w:t>货物和服务</w:t>
      </w:r>
      <w:r>
        <w:rPr>
          <w:rFonts w:hint="eastAsia" w:ascii="宋体" w:hAnsi="宋体" w:eastAsia="宋体" w:cs="宋体"/>
          <w:color w:val="auto"/>
          <w:highlight w:val="none"/>
        </w:rPr>
        <w:t>、采购过程及合同条款在磋商文件中均有说明，磋商文件共六章，各章的内容如下：</w:t>
      </w:r>
    </w:p>
    <w:p w14:paraId="297403F7">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第一章  竞争性磋商公告</w:t>
      </w:r>
    </w:p>
    <w:p w14:paraId="0421AC59">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第二章  磋商申请人须知</w:t>
      </w:r>
    </w:p>
    <w:p w14:paraId="687024EF">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第三章  合同书样式及主要条款</w:t>
      </w:r>
    </w:p>
    <w:p w14:paraId="7B805E8C">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第四章  响应文件格式</w:t>
      </w:r>
    </w:p>
    <w:p w14:paraId="58057F0C">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第五章  采购需求</w:t>
      </w:r>
    </w:p>
    <w:p w14:paraId="45A5A71B">
      <w:pPr>
        <w:spacing w:line="360" w:lineRule="auto"/>
        <w:ind w:left="502"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第六章  磋商程序及方法</w:t>
      </w:r>
    </w:p>
    <w:p w14:paraId="5FEF8645">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45" w:name="_Toc86124049"/>
      <w:bookmarkStart w:id="46" w:name="_Toc383175481"/>
      <w:bookmarkStart w:id="47" w:name="_Toc383175283"/>
      <w:bookmarkStart w:id="48" w:name="_Toc7252740"/>
      <w:bookmarkStart w:id="49" w:name="_Toc329810193"/>
      <w:bookmarkStart w:id="50" w:name="_Toc383175059"/>
      <w:r>
        <w:rPr>
          <w:rFonts w:hint="eastAsia" w:ascii="宋体" w:hAnsi="宋体" w:eastAsia="宋体" w:cs="宋体"/>
          <w:b/>
          <w:color w:val="auto"/>
          <w:sz w:val="32"/>
          <w:szCs w:val="32"/>
          <w:highlight w:val="none"/>
        </w:rPr>
        <w:t>磋商文件的澄清</w:t>
      </w:r>
      <w:bookmarkEnd w:id="45"/>
      <w:r>
        <w:rPr>
          <w:rFonts w:hint="eastAsia" w:ascii="宋体" w:hAnsi="宋体" w:eastAsia="宋体" w:cs="宋体"/>
          <w:b/>
          <w:color w:val="auto"/>
          <w:sz w:val="32"/>
          <w:szCs w:val="32"/>
          <w:highlight w:val="none"/>
        </w:rPr>
        <w:t>、修改</w:t>
      </w:r>
      <w:bookmarkEnd w:id="46"/>
      <w:bookmarkEnd w:id="47"/>
      <w:bookmarkEnd w:id="48"/>
      <w:bookmarkEnd w:id="49"/>
      <w:bookmarkEnd w:id="50"/>
    </w:p>
    <w:p w14:paraId="004CD1A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7.1</w:t>
      </w:r>
      <w:r>
        <w:rPr>
          <w:rFonts w:hint="eastAsia" w:ascii="宋体" w:hAnsi="宋体" w:eastAsia="宋体" w:cs="宋体"/>
          <w:color w:val="auto"/>
          <w:highlight w:val="none"/>
        </w:rPr>
        <w:tab/>
      </w:r>
      <w:r>
        <w:rPr>
          <w:rFonts w:hint="eastAsia" w:ascii="宋体" w:hAnsi="宋体" w:eastAsia="宋体" w:cs="宋体"/>
          <w:color w:val="auto"/>
          <w:highlight w:val="none"/>
        </w:rPr>
        <w:t>参加磋商申请人应认真审核磋商文件，如有疑问的，磋商申请人可以在 “磋商申请人须知前附表”规定截止时间前以澄清函形式（加</w:t>
      </w:r>
      <w:r>
        <w:rPr>
          <w:rFonts w:hint="eastAsia" w:ascii="宋体" w:hAnsi="宋体" w:eastAsia="宋体" w:cs="宋体"/>
          <w:color w:val="auto"/>
          <w:highlight w:val="none"/>
          <w:lang w:eastAsia="zh-CN"/>
        </w:rPr>
        <w:t>盖单位公章</w:t>
      </w:r>
      <w:r>
        <w:rPr>
          <w:rFonts w:hint="eastAsia" w:ascii="宋体" w:hAnsi="宋体" w:eastAsia="宋体" w:cs="宋体"/>
          <w:color w:val="auto"/>
          <w:highlight w:val="none"/>
        </w:rPr>
        <w:t>）要求采购代理机构澄清，截止时间后送达的澄清要求概不接受。</w:t>
      </w:r>
    </w:p>
    <w:p w14:paraId="7C04DEC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7.2</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采购代理机构将以书面形式答复所有购买磋商文件的磋商申请人（答复中不包含问题的来源）要求澄清的问题，其他澄清方式无效。</w:t>
      </w:r>
    </w:p>
    <w:p w14:paraId="545AC7D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7.3</w:t>
      </w:r>
      <w:r>
        <w:rPr>
          <w:rFonts w:hint="eastAsia" w:ascii="宋体" w:hAnsi="宋体" w:eastAsia="宋体" w:cs="宋体"/>
          <w:color w:val="auto"/>
          <w:highlight w:val="none"/>
        </w:rPr>
        <w:tab/>
      </w:r>
      <w:r>
        <w:rPr>
          <w:rFonts w:hint="eastAsia" w:ascii="宋体" w:hAnsi="宋体" w:eastAsia="宋体" w:cs="宋体"/>
          <w:color w:val="auto"/>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接收磋商文件的磋商申请人，不足5日的，将顺延提交首次响应文件截止之日。</w:t>
      </w:r>
    </w:p>
    <w:p w14:paraId="48B8948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7.4</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采购代理机构和采购人可以视采购具体情况，推迟递交响应文件截止时间，并将变更时间书面通知所有购买磋商文件的磋商申请人。</w:t>
      </w:r>
    </w:p>
    <w:p w14:paraId="14E3B37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7.5</w:t>
      </w:r>
      <w:r>
        <w:rPr>
          <w:rFonts w:hint="eastAsia" w:ascii="宋体" w:hAnsi="宋体" w:eastAsia="宋体" w:cs="宋体"/>
          <w:color w:val="auto"/>
          <w:highlight w:val="none"/>
        </w:rPr>
        <w:tab/>
      </w:r>
      <w:r>
        <w:rPr>
          <w:rFonts w:hint="eastAsia" w:ascii="宋体" w:hAnsi="宋体" w:eastAsia="宋体" w:cs="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w:t>
      </w:r>
      <w:r>
        <w:rPr>
          <w:rFonts w:hint="eastAsia" w:ascii="宋体" w:hAnsi="宋体" w:eastAsia="宋体" w:cs="宋体"/>
          <w:color w:val="auto"/>
          <w:highlight w:val="none"/>
          <w:lang w:eastAsia="zh-CN"/>
        </w:rPr>
        <w:t>容详</w:t>
      </w:r>
      <w:r>
        <w:rPr>
          <w:rFonts w:hint="eastAsia" w:ascii="宋体" w:hAnsi="宋体" w:eastAsia="宋体" w:cs="宋体"/>
          <w:color w:val="auto"/>
          <w:highlight w:val="none"/>
        </w:rPr>
        <w:t>见磋商申请人须知前附表。</w:t>
      </w:r>
    </w:p>
    <w:p w14:paraId="614AA66F">
      <w:pPr>
        <w:pStyle w:val="4"/>
        <w:spacing w:before="0" w:after="0" w:line="360" w:lineRule="auto"/>
        <w:jc w:val="center"/>
        <w:rPr>
          <w:rFonts w:hint="eastAsia" w:ascii="宋体" w:hAnsi="宋体" w:eastAsia="宋体" w:cs="宋体"/>
          <w:color w:val="auto"/>
          <w:highlight w:val="none"/>
        </w:rPr>
      </w:pPr>
      <w:bookmarkStart w:id="51" w:name="_Toc7252741"/>
      <w:bookmarkStart w:id="52" w:name="_Toc86124051"/>
      <w:bookmarkStart w:id="53" w:name="_Toc39092133"/>
      <w:bookmarkStart w:id="54" w:name="_Toc329810211"/>
      <w:r>
        <w:rPr>
          <w:rFonts w:hint="eastAsia" w:ascii="宋体" w:hAnsi="宋体" w:eastAsia="宋体" w:cs="宋体"/>
          <w:color w:val="auto"/>
          <w:highlight w:val="none"/>
        </w:rPr>
        <w:t>三、响应文件</w:t>
      </w:r>
      <w:bookmarkEnd w:id="51"/>
      <w:bookmarkEnd w:id="52"/>
      <w:bookmarkEnd w:id="53"/>
    </w:p>
    <w:p w14:paraId="1EE7BA19">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55" w:name="_Toc7252742"/>
      <w:bookmarkStart w:id="56" w:name="_Toc383175285"/>
      <w:bookmarkStart w:id="57" w:name="_Toc383175061"/>
      <w:bookmarkStart w:id="58" w:name="_Toc383175483"/>
      <w:bookmarkStart w:id="59" w:name="_Toc86124052"/>
      <w:bookmarkStart w:id="60" w:name="_Toc329810195"/>
      <w:r>
        <w:rPr>
          <w:rFonts w:hint="eastAsia" w:ascii="宋体" w:hAnsi="宋体" w:eastAsia="宋体" w:cs="宋体"/>
          <w:b/>
          <w:color w:val="auto"/>
          <w:sz w:val="32"/>
          <w:szCs w:val="32"/>
          <w:highlight w:val="none"/>
        </w:rPr>
        <w:t>响应文件编写注意事项</w:t>
      </w:r>
      <w:bookmarkEnd w:id="55"/>
      <w:bookmarkEnd w:id="56"/>
      <w:bookmarkEnd w:id="57"/>
      <w:bookmarkEnd w:id="58"/>
      <w:bookmarkEnd w:id="59"/>
      <w:bookmarkEnd w:id="60"/>
    </w:p>
    <w:p w14:paraId="3E7C238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8.1</w:t>
      </w:r>
      <w:r>
        <w:rPr>
          <w:rFonts w:hint="eastAsia" w:ascii="宋体" w:hAnsi="宋体" w:eastAsia="宋体" w:cs="宋体"/>
          <w:color w:val="auto"/>
          <w:highlight w:val="none"/>
        </w:rPr>
        <w:tab/>
      </w:r>
      <w:r>
        <w:rPr>
          <w:rFonts w:hint="eastAsia" w:ascii="宋体" w:hAnsi="宋体" w:eastAsia="宋体" w:cs="宋体"/>
          <w:color w:val="auto"/>
          <w:highlight w:val="none"/>
        </w:rPr>
        <w:t>磋商申请人应仔细阅读磋商文件，在完全了解采购的内容、技术性能要求（见第五章“采购需求”）和商务条件后，编写响应文件。</w:t>
      </w:r>
    </w:p>
    <w:p w14:paraId="5EDC40E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8.2</w:t>
      </w:r>
      <w:r>
        <w:rPr>
          <w:rFonts w:hint="eastAsia" w:ascii="宋体" w:hAnsi="宋体" w:eastAsia="宋体" w:cs="宋体"/>
          <w:color w:val="auto"/>
          <w:highlight w:val="none"/>
        </w:rPr>
        <w:tab/>
      </w:r>
      <w:r>
        <w:rPr>
          <w:rFonts w:hint="eastAsia" w:ascii="宋体" w:hAnsi="宋体" w:eastAsia="宋体" w:cs="宋体"/>
          <w:color w:val="auto"/>
          <w:highlight w:val="none"/>
        </w:rPr>
        <w:t>对磋商文件提出的实质性要求和条件做出响应是指磋商申请人必须对磋商文件中规定的成交实质性要求和条件做出满足或者优于原要求和条件的承诺，并提供相应的证明材料。</w:t>
      </w:r>
    </w:p>
    <w:p w14:paraId="2E57243B">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61" w:name="_Toc329810196"/>
      <w:bookmarkStart w:id="62" w:name="_Toc383175484"/>
      <w:bookmarkStart w:id="63" w:name="_Toc86124054"/>
      <w:bookmarkStart w:id="64" w:name="_Toc383175286"/>
      <w:bookmarkStart w:id="65" w:name="_Toc7252743"/>
      <w:bookmarkStart w:id="66" w:name="_Toc383175062"/>
      <w:r>
        <w:rPr>
          <w:rFonts w:hint="eastAsia" w:ascii="宋体" w:hAnsi="宋体" w:eastAsia="宋体" w:cs="宋体"/>
          <w:b/>
          <w:color w:val="auto"/>
          <w:sz w:val="32"/>
          <w:szCs w:val="32"/>
          <w:highlight w:val="none"/>
        </w:rPr>
        <w:t>响应文件构成</w:t>
      </w:r>
      <w:bookmarkEnd w:id="61"/>
      <w:bookmarkEnd w:id="62"/>
      <w:bookmarkEnd w:id="63"/>
      <w:bookmarkEnd w:id="64"/>
      <w:bookmarkEnd w:id="65"/>
      <w:bookmarkEnd w:id="66"/>
    </w:p>
    <w:p w14:paraId="4296E06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9.1</w:t>
      </w:r>
      <w:r>
        <w:rPr>
          <w:rFonts w:hint="eastAsia" w:ascii="宋体" w:hAnsi="宋体" w:eastAsia="宋体" w:cs="宋体"/>
          <w:color w:val="auto"/>
          <w:highlight w:val="none"/>
        </w:rPr>
        <w:tab/>
      </w:r>
      <w:r>
        <w:rPr>
          <w:rFonts w:hint="eastAsia" w:ascii="宋体" w:hAnsi="宋体" w:eastAsia="宋体" w:cs="宋体"/>
          <w:color w:val="auto"/>
          <w:highlight w:val="none"/>
        </w:rPr>
        <w:t>磋商申请人编写的响应文件应按第四章“响应文件格式”要求及内容要求填写。有关文件的提交如未特别注明需提供原件的，可提供复印件。</w:t>
      </w:r>
    </w:p>
    <w:p w14:paraId="1EB74919">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67" w:name="_Toc86124056"/>
      <w:bookmarkStart w:id="68" w:name="_Toc383175485"/>
      <w:bookmarkStart w:id="69" w:name="_Toc383175287"/>
      <w:bookmarkStart w:id="70" w:name="_Toc329810197"/>
      <w:bookmarkStart w:id="71" w:name="_Toc383175063"/>
      <w:bookmarkStart w:id="72" w:name="_Toc7252744"/>
      <w:r>
        <w:rPr>
          <w:rFonts w:hint="eastAsia" w:ascii="宋体" w:hAnsi="宋体" w:eastAsia="宋体" w:cs="宋体"/>
          <w:b/>
          <w:color w:val="auto"/>
          <w:sz w:val="32"/>
          <w:szCs w:val="32"/>
          <w:highlight w:val="none"/>
        </w:rPr>
        <w:t>报价</w:t>
      </w:r>
      <w:bookmarkEnd w:id="67"/>
      <w:r>
        <w:rPr>
          <w:rFonts w:hint="eastAsia" w:ascii="宋体" w:hAnsi="宋体" w:eastAsia="宋体" w:cs="宋体"/>
          <w:b/>
          <w:color w:val="auto"/>
          <w:sz w:val="32"/>
          <w:szCs w:val="32"/>
          <w:highlight w:val="none"/>
        </w:rPr>
        <w:t>和报价货币</w:t>
      </w:r>
      <w:bookmarkEnd w:id="68"/>
      <w:bookmarkEnd w:id="69"/>
      <w:bookmarkEnd w:id="70"/>
      <w:bookmarkEnd w:id="71"/>
      <w:bookmarkEnd w:id="72"/>
    </w:p>
    <w:p w14:paraId="2724A4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10.1</w:t>
      </w:r>
      <w:r>
        <w:rPr>
          <w:rFonts w:hint="eastAsia" w:ascii="宋体" w:hAnsi="宋体" w:eastAsia="宋体" w:cs="宋体"/>
          <w:color w:val="auto"/>
          <w:highlight w:val="none"/>
        </w:rPr>
        <w:tab/>
      </w:r>
      <w:r>
        <w:rPr>
          <w:rFonts w:hint="eastAsia" w:ascii="宋体" w:hAnsi="宋体" w:eastAsia="宋体" w:cs="宋体"/>
          <w:color w:val="auto"/>
          <w:highlight w:val="none"/>
        </w:rPr>
        <w:t>本项目采购预算</w:t>
      </w:r>
      <w:r>
        <w:rPr>
          <w:rFonts w:hint="eastAsia" w:ascii="宋体" w:hAnsi="宋体" w:eastAsia="宋体" w:cs="宋体"/>
          <w:color w:val="auto"/>
          <w:highlight w:val="none"/>
          <w:lang w:val="en-US" w:eastAsia="zh-CN"/>
        </w:rPr>
        <w:t>和最高限价</w:t>
      </w:r>
      <w:r>
        <w:rPr>
          <w:rFonts w:hint="eastAsia" w:ascii="宋体" w:hAnsi="宋体" w:eastAsia="宋体" w:cs="宋体"/>
          <w:color w:val="auto"/>
          <w:highlight w:val="none"/>
        </w:rPr>
        <w:t>详见“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”，最后报价超过采购预算的磋商申请人将按无效处理。</w:t>
      </w:r>
    </w:p>
    <w:p w14:paraId="74BF7CAB">
      <w:pPr>
        <w:spacing w:line="360" w:lineRule="auto"/>
        <w:ind w:firstLine="422" w:firstLineChars="200"/>
        <w:rPr>
          <w:rFonts w:hint="eastAsia" w:ascii="宋体" w:hAnsi="宋体" w:eastAsia="宋体" w:cs="宋体"/>
          <w:color w:val="auto"/>
          <w:highlight w:val="none"/>
        </w:rPr>
      </w:pPr>
      <w:r>
        <w:rPr>
          <w:rFonts w:hint="eastAsia" w:ascii="宋体" w:hAnsi="宋体" w:eastAsia="宋体" w:cs="宋体"/>
          <w:b/>
          <w:bCs/>
          <w:color w:val="auto"/>
          <w:highlight w:val="none"/>
        </w:rPr>
        <w:t>10.2</w:t>
      </w:r>
      <w:r>
        <w:rPr>
          <w:rFonts w:hint="eastAsia" w:ascii="宋体" w:hAnsi="宋体" w:eastAsia="宋体" w:cs="宋体"/>
          <w:b/>
          <w:bCs/>
          <w:color w:val="auto"/>
          <w:highlight w:val="none"/>
        </w:rPr>
        <w:tab/>
      </w:r>
      <w:r>
        <w:rPr>
          <w:rFonts w:hint="eastAsia" w:ascii="宋体" w:hAnsi="宋体" w:eastAsia="宋体" w:cs="宋体"/>
          <w:b/>
          <w:bCs/>
          <w:color w:val="auto"/>
          <w:highlight w:val="none"/>
        </w:rPr>
        <w:t>磋商申请人须就“采购需求”中所有采购内容作完整唯一报价。</w:t>
      </w:r>
    </w:p>
    <w:p w14:paraId="336C27BB">
      <w:pPr>
        <w:pStyle w:val="16"/>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10.3</w:t>
      </w:r>
      <w:r>
        <w:rPr>
          <w:rFonts w:hint="eastAsia" w:ascii="宋体" w:hAnsi="宋体" w:eastAsia="宋体" w:cs="宋体"/>
          <w:color w:val="auto"/>
          <w:highlight w:val="none"/>
        </w:rPr>
        <w:tab/>
      </w:r>
      <w:r>
        <w:rPr>
          <w:rFonts w:hint="eastAsia" w:ascii="宋体" w:hAnsi="宋体" w:eastAsia="宋体" w:cs="宋体"/>
          <w:color w:val="auto"/>
          <w:highlight w:val="none"/>
        </w:rPr>
        <w:t>磋商申请人应依据磋商文件的要求及有关资料自行报价，执行国家或行业现行技术经济标准、定额及规范，自行测算出满足采购要求的服务的竞争性报价。报价均为人民币元或服务费率，磋商报价应包括完成本项目所需的一切费用，该报价应符合国内行情并</w:t>
      </w:r>
      <w:r>
        <w:rPr>
          <w:rFonts w:hint="eastAsia" w:ascii="宋体" w:hAnsi="宋体" w:eastAsia="宋体" w:cs="宋体"/>
          <w:color w:val="auto"/>
          <w:highlight w:val="none"/>
          <w:lang w:eastAsia="zh-CN"/>
        </w:rPr>
        <w:t>不能</w:t>
      </w:r>
      <w:r>
        <w:rPr>
          <w:rFonts w:hint="eastAsia" w:ascii="宋体" w:hAnsi="宋体" w:eastAsia="宋体" w:cs="宋体"/>
          <w:color w:val="auto"/>
          <w:highlight w:val="none"/>
        </w:rPr>
        <w:t>保证磋商申请人完成履行合同所需的一切工作，为包干总价。合同一旦签订，此价格在合同实施期间将不因市场价格等的变化而调整。</w:t>
      </w:r>
    </w:p>
    <w:p w14:paraId="5013C377">
      <w:pPr>
        <w:pStyle w:val="16"/>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10.4</w:t>
      </w:r>
      <w:r>
        <w:rPr>
          <w:rFonts w:hint="eastAsia" w:ascii="宋体" w:hAnsi="宋体" w:eastAsia="宋体" w:cs="宋体"/>
          <w:color w:val="auto"/>
          <w:highlight w:val="none"/>
        </w:rPr>
        <w:tab/>
      </w:r>
      <w:r>
        <w:rPr>
          <w:rFonts w:hint="eastAsia" w:ascii="宋体" w:hAnsi="宋体" w:eastAsia="宋体" w:cs="宋体"/>
          <w:color w:val="auto"/>
          <w:highlight w:val="none"/>
        </w:rPr>
        <w:t>须完整报价，少报、漏报、错报视为已包含在磋商总报价中，结算时不作调整。</w:t>
      </w:r>
    </w:p>
    <w:p w14:paraId="7299AFC7">
      <w:pPr>
        <w:pStyle w:val="16"/>
        <w:spacing w:line="360"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10.5</w:t>
      </w:r>
      <w:r>
        <w:rPr>
          <w:rFonts w:hint="eastAsia" w:ascii="宋体" w:hAnsi="宋体" w:eastAsia="宋体" w:cs="宋体"/>
          <w:color w:val="auto"/>
          <w:highlight w:val="none"/>
        </w:rPr>
        <w:tab/>
      </w:r>
      <w:r>
        <w:rPr>
          <w:rFonts w:hint="eastAsia" w:ascii="宋体" w:hAnsi="宋体" w:eastAsia="宋体" w:cs="宋体"/>
          <w:color w:val="auto"/>
          <w:highlight w:val="none"/>
        </w:rPr>
        <w:t>磋商申请人应根据“报价表”要求填写磋商报价组成情况。</w:t>
      </w:r>
    </w:p>
    <w:p w14:paraId="620A7CA1">
      <w:pPr>
        <w:spacing w:line="360" w:lineRule="auto"/>
        <w:ind w:firstLine="420" w:firstLineChars="200"/>
        <w:rPr>
          <w:rFonts w:hint="eastAsia" w:ascii="宋体" w:hAnsi="宋体" w:eastAsia="宋体" w:cs="宋体"/>
          <w:b/>
          <w:bCs/>
          <w:color w:val="auto"/>
          <w:highlight w:val="none"/>
        </w:rPr>
      </w:pPr>
      <w:r>
        <w:rPr>
          <w:rFonts w:hint="eastAsia" w:ascii="宋体" w:hAnsi="宋体" w:eastAsia="宋体" w:cs="宋体"/>
          <w:color w:val="auto"/>
          <w:highlight w:val="none"/>
        </w:rPr>
        <w:t>10.6</w:t>
      </w:r>
      <w:r>
        <w:rPr>
          <w:rFonts w:hint="eastAsia" w:ascii="宋体" w:hAnsi="宋体" w:eastAsia="宋体" w:cs="宋体"/>
          <w:color w:val="auto"/>
          <w:highlight w:val="none"/>
        </w:rPr>
        <w:tab/>
      </w:r>
      <w:r>
        <w:rPr>
          <w:rFonts w:hint="eastAsia" w:ascii="宋体" w:hAnsi="宋体" w:eastAsia="宋体" w:cs="宋体"/>
          <w:b/>
          <w:bCs/>
          <w:color w:val="auto"/>
          <w:highlight w:val="none"/>
        </w:rPr>
        <w:t>通过实质性审查的磋商申请人才能进入磋商程序并进行第二轮报价，第二轮报价为最终报价。</w:t>
      </w:r>
    </w:p>
    <w:p w14:paraId="62FD67B8">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10.7</w:t>
      </w:r>
      <w:r>
        <w:rPr>
          <w:rFonts w:hint="eastAsia" w:ascii="宋体" w:hAnsi="宋体" w:eastAsia="宋体" w:cs="宋体"/>
          <w:b/>
          <w:bCs/>
          <w:color w:val="auto"/>
          <w:highlight w:val="none"/>
        </w:rPr>
        <w:tab/>
      </w:r>
      <w:r>
        <w:rPr>
          <w:rFonts w:hint="eastAsia" w:ascii="宋体" w:hAnsi="宋体" w:eastAsia="宋体" w:cs="宋体"/>
          <w:b/>
          <w:bCs/>
          <w:color w:val="auto"/>
          <w:highlight w:val="none"/>
        </w:rPr>
        <w:t>最终报价文件应由法定代表人（负责人）或委托代理人签字，在规定的时</w:t>
      </w:r>
      <w:r>
        <w:rPr>
          <w:rFonts w:hint="eastAsia" w:ascii="宋体" w:hAnsi="宋体" w:eastAsia="宋体" w:cs="宋体"/>
          <w:b/>
          <w:bCs/>
          <w:color w:val="auto"/>
          <w:highlight w:val="none"/>
          <w:lang w:eastAsia="zh-CN"/>
        </w:rPr>
        <w:t>间内</w:t>
      </w:r>
      <w:r>
        <w:rPr>
          <w:rFonts w:hint="eastAsia" w:ascii="宋体" w:hAnsi="宋体" w:eastAsia="宋体" w:cs="宋体"/>
          <w:b/>
          <w:bCs/>
          <w:color w:val="auto"/>
          <w:highlight w:val="none"/>
        </w:rPr>
        <w:t>统一密封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05D39FC3">
      <w:pPr>
        <w:spacing w:line="360" w:lineRule="auto"/>
        <w:ind w:firstLine="420" w:firstLineChars="200"/>
        <w:rPr>
          <w:rFonts w:hint="eastAsia" w:ascii="宋体" w:hAnsi="宋体" w:eastAsia="宋体" w:cs="宋体"/>
          <w:b/>
          <w:bCs/>
          <w:color w:val="auto"/>
          <w:highlight w:val="none"/>
        </w:rPr>
      </w:pPr>
      <w:r>
        <w:rPr>
          <w:rFonts w:hint="eastAsia" w:ascii="宋体" w:hAnsi="宋体" w:eastAsia="宋体" w:cs="宋体"/>
          <w:color w:val="auto"/>
          <w:kern w:val="0"/>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6F5356A1">
      <w:pPr>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10.8</w:t>
      </w:r>
      <w:r>
        <w:rPr>
          <w:rFonts w:hint="eastAsia" w:ascii="宋体" w:hAnsi="宋体" w:eastAsia="宋体" w:cs="宋体"/>
          <w:color w:val="auto"/>
          <w:highlight w:val="none"/>
        </w:rPr>
        <w:tab/>
      </w:r>
      <w:r>
        <w:rPr>
          <w:rFonts w:hint="eastAsia" w:ascii="宋体" w:hAnsi="宋体" w:eastAsia="宋体" w:cs="宋体"/>
          <w:color w:val="auto"/>
          <w:highlight w:val="none"/>
        </w:rPr>
        <w:t>磋商申请人不得哄抬报价，也不应低于成本价（或进价）报价。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w:t>
      </w:r>
      <w:r>
        <w:rPr>
          <w:rFonts w:hint="eastAsia" w:ascii="宋体" w:hAnsi="宋体" w:eastAsia="宋体" w:cs="宋体"/>
          <w:color w:val="auto"/>
          <w:highlight w:val="none"/>
          <w:lang w:eastAsia="zh-CN"/>
        </w:rPr>
        <w:t>选人</w:t>
      </w:r>
      <w:r>
        <w:rPr>
          <w:rFonts w:hint="eastAsia" w:ascii="宋体" w:hAnsi="宋体" w:eastAsia="宋体" w:cs="宋体"/>
          <w:color w:val="auto"/>
          <w:highlight w:val="none"/>
        </w:rPr>
        <w:t>资格。</w:t>
      </w:r>
    </w:p>
    <w:p w14:paraId="7B02BFA8">
      <w:pPr>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10.9</w:t>
      </w:r>
      <w:r>
        <w:rPr>
          <w:rFonts w:hint="eastAsia" w:ascii="宋体" w:hAnsi="宋体" w:eastAsia="宋体" w:cs="宋体"/>
          <w:color w:val="auto"/>
          <w:highlight w:val="none"/>
        </w:rPr>
        <w:tab/>
      </w:r>
      <w:r>
        <w:rPr>
          <w:rFonts w:hint="eastAsia" w:ascii="宋体" w:hAnsi="宋体" w:eastAsia="宋体" w:cs="宋体"/>
          <w:color w:val="auto"/>
          <w:kern w:val="0"/>
          <w:highlight w:val="none"/>
        </w:rPr>
        <w:t>本次采购的</w:t>
      </w:r>
      <w:r>
        <w:rPr>
          <w:rFonts w:hint="eastAsia" w:ascii="宋体" w:hAnsi="宋体" w:eastAsia="宋体" w:cs="宋体"/>
          <w:color w:val="auto"/>
          <w:kern w:val="0"/>
          <w:highlight w:val="none"/>
          <w:lang w:val="en-US" w:eastAsia="zh-CN"/>
        </w:rPr>
        <w:t>磋商报价及合同结算货币为</w:t>
      </w:r>
      <w:r>
        <w:rPr>
          <w:rFonts w:hint="eastAsia" w:ascii="宋体" w:hAnsi="宋体" w:eastAsia="宋体" w:cs="宋体"/>
          <w:color w:val="auto"/>
          <w:highlight w:val="none"/>
        </w:rPr>
        <w:t>人民币。</w:t>
      </w:r>
    </w:p>
    <w:p w14:paraId="61125068">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73" w:name="_Toc383175486"/>
      <w:bookmarkStart w:id="74" w:name="_Toc383175064"/>
      <w:bookmarkStart w:id="75" w:name="_Toc329810198"/>
      <w:bookmarkStart w:id="76" w:name="_Toc7252745"/>
      <w:bookmarkStart w:id="77" w:name="_Toc86124058"/>
      <w:bookmarkStart w:id="78" w:name="_Toc383175288"/>
      <w:r>
        <w:rPr>
          <w:rFonts w:hint="eastAsia" w:ascii="宋体" w:hAnsi="宋体" w:eastAsia="宋体" w:cs="宋体"/>
          <w:b/>
          <w:color w:val="auto"/>
          <w:sz w:val="32"/>
          <w:szCs w:val="32"/>
          <w:highlight w:val="none"/>
        </w:rPr>
        <w:t>有效期</w:t>
      </w:r>
      <w:bookmarkEnd w:id="73"/>
      <w:bookmarkEnd w:id="74"/>
      <w:bookmarkEnd w:id="75"/>
      <w:bookmarkEnd w:id="76"/>
      <w:bookmarkEnd w:id="77"/>
      <w:bookmarkEnd w:id="78"/>
    </w:p>
    <w:p w14:paraId="07201CC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w:t>
      </w:r>
      <w:r>
        <w:rPr>
          <w:rFonts w:hint="eastAsia" w:ascii="宋体" w:hAnsi="宋体" w:eastAsia="宋体" w:cs="宋体"/>
          <w:color w:val="auto"/>
          <w:highlight w:val="none"/>
        </w:rPr>
        <w:tab/>
      </w:r>
      <w:r>
        <w:rPr>
          <w:rFonts w:hint="eastAsia" w:ascii="宋体" w:hAnsi="宋体" w:eastAsia="宋体" w:cs="宋体"/>
          <w:color w:val="auto"/>
          <w:highlight w:val="none"/>
        </w:rPr>
        <w:t>在“</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”规定的有效期内，磋商申请人不得要求撤销或修改其响应文件。</w:t>
      </w:r>
    </w:p>
    <w:p w14:paraId="564E56E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w:t>
      </w:r>
      <w:r>
        <w:rPr>
          <w:rFonts w:hint="eastAsia" w:ascii="宋体" w:hAnsi="宋体" w:eastAsia="宋体" w:cs="宋体"/>
          <w:color w:val="auto"/>
          <w:highlight w:val="none"/>
        </w:rPr>
        <w:tab/>
      </w:r>
      <w:r>
        <w:rPr>
          <w:rFonts w:hint="eastAsia" w:ascii="宋体" w:hAnsi="宋体" w:eastAsia="宋体" w:cs="宋体"/>
          <w:color w:val="auto"/>
          <w:highlight w:val="none"/>
        </w:rPr>
        <w:t>因特殊情况需要延长有效期的，采购代理机构以书面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29B07592">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79" w:name="_Toc329810199"/>
      <w:bookmarkStart w:id="80" w:name="_Toc86124059"/>
      <w:bookmarkStart w:id="81" w:name="_Toc383175065"/>
      <w:bookmarkStart w:id="82" w:name="_Toc7252746"/>
      <w:bookmarkStart w:id="83" w:name="_Toc383175487"/>
      <w:bookmarkStart w:id="84" w:name="_Toc383175289"/>
      <w:r>
        <w:rPr>
          <w:rFonts w:hint="eastAsia" w:ascii="宋体" w:hAnsi="宋体" w:eastAsia="宋体" w:cs="宋体"/>
          <w:b/>
          <w:color w:val="auto"/>
          <w:sz w:val="32"/>
          <w:szCs w:val="32"/>
          <w:highlight w:val="none"/>
        </w:rPr>
        <w:t>磋商响应文件的</w:t>
      </w:r>
      <w:bookmarkEnd w:id="79"/>
      <w:bookmarkEnd w:id="80"/>
      <w:r>
        <w:rPr>
          <w:rFonts w:hint="eastAsia" w:ascii="宋体" w:hAnsi="宋体" w:eastAsia="宋体" w:cs="宋体"/>
          <w:b/>
          <w:color w:val="auto"/>
          <w:sz w:val="32"/>
          <w:szCs w:val="32"/>
          <w:highlight w:val="none"/>
        </w:rPr>
        <w:t>编制</w:t>
      </w:r>
      <w:bookmarkEnd w:id="81"/>
      <w:bookmarkEnd w:id="82"/>
      <w:bookmarkEnd w:id="83"/>
      <w:bookmarkEnd w:id="84"/>
    </w:p>
    <w:p w14:paraId="0F2999CB">
      <w:pPr>
        <w:spacing w:line="360" w:lineRule="auto"/>
        <w:ind w:firstLine="420" w:firstLineChars="20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12.1</w:t>
      </w:r>
      <w:r>
        <w:rPr>
          <w:rFonts w:hint="eastAsia" w:ascii="宋体" w:hAnsi="宋体" w:eastAsia="宋体" w:cs="宋体"/>
          <w:color w:val="auto"/>
          <w:highlight w:val="none"/>
        </w:rPr>
        <w:tab/>
      </w:r>
      <w:r>
        <w:rPr>
          <w:rFonts w:hint="eastAsia" w:ascii="宋体" w:hAnsi="宋体" w:eastAsia="宋体" w:cs="宋体"/>
          <w:b/>
          <w:bCs/>
          <w:color w:val="auto"/>
          <w:highlight w:val="none"/>
        </w:rPr>
        <w:t>磋商申请人在制作响应文件前，需先下载政采云电子投标客户端并进行安装，下 载安装完成之后，可通过账号密码或CA登录客户端制作响应文件。（政采云电子投标客户端下载</w:t>
      </w:r>
      <w:r>
        <w:rPr>
          <w:rFonts w:hint="eastAsia" w:ascii="宋体" w:hAnsi="宋体" w:eastAsia="宋体" w:cs="宋体"/>
          <w:b/>
          <w:bCs/>
          <w:color w:val="auto"/>
          <w:highlight w:val="none"/>
          <w:lang w:val="en-US" w:eastAsia="zh-CN"/>
        </w:rPr>
        <w:t>网址</w:t>
      </w:r>
      <w:r>
        <w:rPr>
          <w:rFonts w:hint="eastAsia" w:ascii="宋体" w:hAnsi="宋体" w:eastAsia="宋体" w:cs="宋体"/>
          <w:b/>
          <w:bCs/>
          <w:color w:val="auto"/>
          <w:highlight w:val="none"/>
        </w:rPr>
        <w:t>： https://customer.zcygov.cn/CA-driver-download ）。</w:t>
      </w:r>
    </w:p>
    <w:p w14:paraId="46D6C01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12.2</w:t>
      </w:r>
      <w:r>
        <w:rPr>
          <w:rFonts w:hint="eastAsia" w:ascii="宋体" w:hAnsi="宋体" w:eastAsia="宋体" w:cs="宋体"/>
          <w:color w:val="auto"/>
          <w:highlight w:val="none"/>
        </w:rPr>
        <w:t>响应文件须按磋商文件要求由磋商申请人的法定代表人（负责人）或其委托代理人签字</w:t>
      </w:r>
      <w:r>
        <w:rPr>
          <w:rFonts w:hint="eastAsia" w:ascii="宋体" w:hAnsi="宋体" w:eastAsia="宋体" w:cs="宋体"/>
          <w:color w:val="auto"/>
          <w:highlight w:val="none"/>
          <w:lang w:eastAsia="zh-CN"/>
        </w:rPr>
        <w:t>或加盖单位公章</w:t>
      </w:r>
      <w:r>
        <w:rPr>
          <w:rFonts w:hint="eastAsia" w:ascii="宋体" w:hAnsi="宋体" w:eastAsia="宋体" w:cs="宋体"/>
          <w:color w:val="auto"/>
          <w:highlight w:val="none"/>
        </w:rPr>
        <w:t>。</w:t>
      </w:r>
      <w:r>
        <w:rPr>
          <w:rFonts w:hint="eastAsia" w:ascii="宋体" w:hAnsi="宋体" w:eastAsia="宋体" w:cs="宋体"/>
          <w:b/>
          <w:bCs/>
          <w:color w:val="auto"/>
          <w:highlight w:val="none"/>
        </w:rPr>
        <w:t>委托代理人签字的，</w:t>
      </w:r>
      <w:r>
        <w:rPr>
          <w:rFonts w:hint="eastAsia" w:ascii="宋体" w:hAnsi="宋体" w:eastAsia="宋体" w:cs="宋体"/>
          <w:b/>
          <w:bCs/>
          <w:color w:val="auto"/>
          <w:highlight w:val="none"/>
          <w:lang w:val="en-US" w:eastAsia="zh-CN"/>
        </w:rPr>
        <w:t>磋商</w:t>
      </w:r>
      <w:r>
        <w:rPr>
          <w:rFonts w:hint="eastAsia" w:ascii="宋体" w:hAnsi="宋体" w:eastAsia="宋体" w:cs="宋体"/>
          <w:b/>
          <w:bCs/>
          <w:color w:val="auto"/>
          <w:highlight w:val="none"/>
        </w:rPr>
        <w:t>响应文件应附法定代表人（负责人）签署的授权委托书。</w:t>
      </w:r>
    </w:p>
    <w:p w14:paraId="64E48A0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ab/>
      </w:r>
      <w:r>
        <w:rPr>
          <w:rFonts w:hint="eastAsia" w:ascii="宋体" w:hAnsi="宋体" w:eastAsia="宋体" w:cs="宋体"/>
          <w:color w:val="auto"/>
          <w:highlight w:val="none"/>
        </w:rPr>
        <w:t>响应文件应尽量避免涂改、行间插字或删除。如果出现上述情况，改动之处应加</w:t>
      </w:r>
      <w:r>
        <w:rPr>
          <w:rFonts w:hint="eastAsia" w:ascii="宋体" w:hAnsi="宋体" w:eastAsia="宋体" w:cs="宋体"/>
          <w:color w:val="auto"/>
          <w:highlight w:val="none"/>
          <w:lang w:eastAsia="zh-CN"/>
        </w:rPr>
        <w:t>盖单位公章</w:t>
      </w:r>
      <w:r>
        <w:rPr>
          <w:rFonts w:hint="eastAsia" w:ascii="宋体" w:hAnsi="宋体" w:eastAsia="宋体" w:cs="宋体"/>
          <w:color w:val="auto"/>
          <w:highlight w:val="none"/>
        </w:rPr>
        <w:t>或磋商申请人法定代表人（负责人）或其授权的代理人签字确认。</w:t>
      </w:r>
    </w:p>
    <w:p w14:paraId="3C90277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响应文件应由法定代表人（负责人）或其委托代理人在</w:t>
      </w:r>
      <w:r>
        <w:rPr>
          <w:rFonts w:hint="eastAsia" w:ascii="宋体" w:hAnsi="宋体" w:eastAsia="宋体" w:cs="宋体"/>
          <w:color w:val="auto"/>
          <w:highlight w:val="none"/>
          <w:lang w:val="en-US" w:eastAsia="zh-CN"/>
        </w:rPr>
        <w:t>竞争性磋商文件第四章磋商响应文件格式部分</w:t>
      </w:r>
      <w:r>
        <w:rPr>
          <w:rFonts w:hint="eastAsia" w:ascii="宋体" w:hAnsi="宋体" w:eastAsia="宋体" w:cs="宋体"/>
          <w:color w:val="auto"/>
          <w:highlight w:val="none"/>
        </w:rPr>
        <w:t>规定签字处逐一签字，要求盖章处应</w:t>
      </w:r>
      <w:r>
        <w:rPr>
          <w:rFonts w:hint="eastAsia" w:ascii="宋体" w:hAnsi="宋体" w:eastAsia="宋体" w:cs="宋体"/>
          <w:color w:val="auto"/>
          <w:highlight w:val="none"/>
          <w:lang w:eastAsia="zh-CN"/>
        </w:rPr>
        <w:t>盖单位公章</w:t>
      </w:r>
      <w:r>
        <w:rPr>
          <w:rFonts w:hint="eastAsia" w:ascii="宋体" w:hAnsi="宋体" w:eastAsia="宋体" w:cs="宋体"/>
          <w:color w:val="auto"/>
          <w:highlight w:val="none"/>
        </w:rPr>
        <w:t>。</w:t>
      </w:r>
    </w:p>
    <w:p w14:paraId="05A992C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电子响应文件在封面上应按照竞争性磋商文件要求进行编制。</w:t>
      </w:r>
    </w:p>
    <w:p w14:paraId="17FC597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ab/>
      </w:r>
      <w:r>
        <w:rPr>
          <w:rFonts w:hint="eastAsia" w:ascii="宋体" w:hAnsi="宋体" w:eastAsia="宋体" w:cs="宋体"/>
          <w:color w:val="auto"/>
          <w:highlight w:val="none"/>
        </w:rPr>
        <w:t>电子响应文件应按照竞争性磋商文件的要求进行编制目录并加密。</w:t>
      </w:r>
    </w:p>
    <w:p w14:paraId="7509C72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响应文件</w:t>
      </w:r>
      <w:r>
        <w:rPr>
          <w:rFonts w:hint="eastAsia" w:ascii="宋体" w:hAnsi="宋体" w:eastAsia="宋体" w:cs="宋体"/>
          <w:color w:val="auto"/>
          <w:highlight w:val="none"/>
          <w:lang w:val="en-US" w:eastAsia="zh-CN"/>
        </w:rPr>
        <w:t>上传及相关要求</w:t>
      </w:r>
      <w:r>
        <w:rPr>
          <w:rFonts w:hint="eastAsia" w:ascii="宋体" w:hAnsi="宋体" w:eastAsia="宋体" w:cs="宋体"/>
          <w:color w:val="auto"/>
          <w:highlight w:val="none"/>
        </w:rPr>
        <w:t>：见“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4F995BD7">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85" w:name="_Toc7252747"/>
      <w:r>
        <w:rPr>
          <w:rFonts w:hint="eastAsia" w:ascii="宋体" w:hAnsi="宋体" w:eastAsia="宋体" w:cs="宋体"/>
          <w:b/>
          <w:color w:val="auto"/>
          <w:sz w:val="32"/>
          <w:szCs w:val="32"/>
          <w:highlight w:val="none"/>
        </w:rPr>
        <w:t>磋商保证金</w:t>
      </w:r>
      <w:bookmarkEnd w:id="85"/>
    </w:p>
    <w:p w14:paraId="13027A88">
      <w:pPr>
        <w:pStyle w:val="48"/>
        <w:numPr>
          <w:ilvl w:val="1"/>
          <w:numId w:val="3"/>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磋商保证金为人民币。磋商申请人应在递交响应文件截止时间以前按“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”规定的方式及金额交至保山市</w:t>
      </w:r>
      <w:r>
        <w:rPr>
          <w:rFonts w:hint="eastAsia" w:ascii="宋体" w:hAnsi="宋体" w:eastAsia="宋体" w:cs="宋体"/>
          <w:color w:val="auto"/>
          <w:highlight w:val="none"/>
          <w:lang w:val="en-US" w:eastAsia="zh-CN"/>
        </w:rPr>
        <w:t>天瑞建设工程招标咨询有限公司</w:t>
      </w:r>
      <w:r>
        <w:rPr>
          <w:rFonts w:hint="eastAsia" w:ascii="宋体" w:hAnsi="宋体" w:eastAsia="宋体" w:cs="宋体"/>
          <w:color w:val="auto"/>
          <w:highlight w:val="none"/>
        </w:rPr>
        <w:t>，并在磋商有效期内保持有效。</w:t>
      </w:r>
    </w:p>
    <w:p w14:paraId="20FEF923">
      <w:pPr>
        <w:pStyle w:val="48"/>
        <w:numPr>
          <w:ilvl w:val="1"/>
          <w:numId w:val="3"/>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磋商保证金形式：磋商保证金应按“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”规定的形式提交。</w:t>
      </w:r>
    </w:p>
    <w:p w14:paraId="211F23BB">
      <w:pPr>
        <w:pStyle w:val="48"/>
        <w:numPr>
          <w:ilvl w:val="1"/>
          <w:numId w:val="3"/>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办理保证金手续时，请务必在银行进账单或电汇单的用途栏或空白栏上注明项目名称及</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p>
    <w:p w14:paraId="2069FE81">
      <w:pPr>
        <w:pStyle w:val="48"/>
        <w:numPr>
          <w:ilvl w:val="1"/>
          <w:numId w:val="3"/>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磋商申请人应在递交响应文件时向采购代理机构提交采购代理机构出具的保证金到账收据凭证，如果以电汇或网银转账等方式提交的则仅需出示电汇或网银转账凭证。</w:t>
      </w:r>
    </w:p>
    <w:p w14:paraId="380E8503">
      <w:pPr>
        <w:pStyle w:val="48"/>
        <w:numPr>
          <w:ilvl w:val="1"/>
          <w:numId w:val="3"/>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公告发布后，采购代理机构将在5个工作日内退还未</w:t>
      </w:r>
      <w:r>
        <w:rPr>
          <w:rFonts w:hint="eastAsia" w:ascii="宋体" w:hAnsi="宋体" w:eastAsia="宋体" w:cs="宋体"/>
          <w:color w:val="auto"/>
          <w:sz w:val="21"/>
          <w:szCs w:val="21"/>
          <w:highlight w:val="none"/>
          <w:lang w:val="en-US" w:eastAsia="zh-CN"/>
        </w:rPr>
        <w:t>成交磋商申请人</w:t>
      </w:r>
      <w:r>
        <w:rPr>
          <w:rFonts w:hint="eastAsia" w:ascii="宋体" w:hAnsi="宋体" w:eastAsia="宋体" w:cs="宋体"/>
          <w:color w:val="auto"/>
          <w:sz w:val="21"/>
          <w:szCs w:val="21"/>
          <w:highlight w:val="none"/>
        </w:rPr>
        <w:t>缴纳的</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保证金；</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人与采购人签署后应当及时告知采购代理机构，采购代理机构自政府采购合同签订之日起5个工作日内退还</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人缴纳的投标保证金，并请</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人将政府采购合同复印件送至采购代理机构或将采购合同扫描件发送至采购代理机构电子邮箱（bstrzb@126.com）。</w:t>
      </w:r>
    </w:p>
    <w:p w14:paraId="114A9A3A">
      <w:pPr>
        <w:pStyle w:val="48"/>
        <w:numPr>
          <w:ilvl w:val="1"/>
          <w:numId w:val="3"/>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 下列情况发生时，磋商保证金将不予退还：</w:t>
      </w:r>
    </w:p>
    <w:p w14:paraId="7474E350">
      <w:pPr>
        <w:pStyle w:val="48"/>
        <w:numPr>
          <w:ilvl w:val="0"/>
          <w:numId w:val="4"/>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磋商申请人在提交响应文件截止时间后撤回响应文件的；</w:t>
      </w:r>
    </w:p>
    <w:p w14:paraId="04EED62F">
      <w:pPr>
        <w:pStyle w:val="48"/>
        <w:numPr>
          <w:ilvl w:val="0"/>
          <w:numId w:val="4"/>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磋商申请人在响应文件中提供虚假材料的；</w:t>
      </w:r>
    </w:p>
    <w:p w14:paraId="762688F3">
      <w:pPr>
        <w:pStyle w:val="48"/>
        <w:numPr>
          <w:ilvl w:val="0"/>
          <w:numId w:val="4"/>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除因不可抗力或磋商文件、成交通知书认可的情形以外，成交磋商申请人不与采购人签订合同的；</w:t>
      </w:r>
    </w:p>
    <w:p w14:paraId="27E68632">
      <w:pPr>
        <w:pStyle w:val="48"/>
        <w:numPr>
          <w:ilvl w:val="0"/>
          <w:numId w:val="4"/>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磋商申请人与采购人、其他磋商申请人或者采购代理机构恶意串通的；</w:t>
      </w:r>
    </w:p>
    <w:p w14:paraId="56D7E0EF">
      <w:pPr>
        <w:pStyle w:val="48"/>
        <w:numPr>
          <w:ilvl w:val="0"/>
          <w:numId w:val="4"/>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竞争性磋商文件规定的其他情形。</w:t>
      </w:r>
    </w:p>
    <w:p w14:paraId="7A445F8D">
      <w:pPr>
        <w:pStyle w:val="4"/>
        <w:spacing w:before="0" w:after="0" w:line="360" w:lineRule="auto"/>
        <w:jc w:val="center"/>
        <w:rPr>
          <w:rFonts w:hint="eastAsia" w:ascii="宋体" w:hAnsi="宋体" w:eastAsia="宋体" w:cs="宋体"/>
          <w:color w:val="auto"/>
          <w:highlight w:val="none"/>
        </w:rPr>
      </w:pPr>
      <w:bookmarkStart w:id="86" w:name="_Toc86124061"/>
      <w:bookmarkStart w:id="87" w:name="_Toc7252748"/>
      <w:bookmarkStart w:id="88" w:name="_Toc39092134"/>
      <w:r>
        <w:rPr>
          <w:rFonts w:hint="eastAsia" w:ascii="宋体" w:hAnsi="宋体" w:eastAsia="宋体" w:cs="宋体"/>
          <w:color w:val="auto"/>
          <w:highlight w:val="none"/>
        </w:rPr>
        <w:t>四、响应文件的提交</w:t>
      </w:r>
      <w:bookmarkEnd w:id="86"/>
      <w:bookmarkEnd w:id="87"/>
      <w:bookmarkEnd w:id="88"/>
    </w:p>
    <w:p w14:paraId="6E4317E6">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89" w:name="_Toc7252749"/>
      <w:bookmarkStart w:id="90" w:name="_Toc383175068"/>
      <w:bookmarkStart w:id="91" w:name="_Toc329810202"/>
      <w:bookmarkStart w:id="92" w:name="_Toc86124062"/>
      <w:bookmarkStart w:id="93" w:name="_Toc383175490"/>
      <w:bookmarkStart w:id="94" w:name="_Toc383175292"/>
      <w:r>
        <w:rPr>
          <w:rFonts w:hint="eastAsia" w:ascii="宋体" w:hAnsi="宋体" w:eastAsia="宋体" w:cs="宋体"/>
          <w:b/>
          <w:color w:val="auto"/>
          <w:sz w:val="32"/>
          <w:szCs w:val="32"/>
          <w:highlight w:val="none"/>
        </w:rPr>
        <w:t>响应文件的</w:t>
      </w:r>
      <w:bookmarkEnd w:id="89"/>
      <w:bookmarkEnd w:id="90"/>
      <w:bookmarkEnd w:id="91"/>
      <w:bookmarkEnd w:id="92"/>
      <w:bookmarkEnd w:id="93"/>
      <w:bookmarkEnd w:id="94"/>
      <w:r>
        <w:rPr>
          <w:rFonts w:hint="eastAsia" w:ascii="宋体" w:hAnsi="宋体" w:eastAsia="宋体" w:cs="宋体"/>
          <w:b/>
          <w:color w:val="auto"/>
          <w:sz w:val="32"/>
          <w:szCs w:val="32"/>
          <w:highlight w:val="none"/>
          <w:lang w:val="en-US" w:eastAsia="zh-CN"/>
        </w:rPr>
        <w:t>上传和递交</w:t>
      </w:r>
    </w:p>
    <w:p w14:paraId="21C12DF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w:t>
      </w:r>
      <w:r>
        <w:rPr>
          <w:rFonts w:hint="eastAsia" w:ascii="宋体" w:hAnsi="宋体" w:eastAsia="宋体" w:cs="宋体"/>
          <w:color w:val="auto"/>
          <w:highlight w:val="none"/>
        </w:rPr>
        <w:tab/>
      </w:r>
      <w:r>
        <w:rPr>
          <w:rFonts w:hint="eastAsia" w:ascii="宋体" w:hAnsi="宋体" w:eastAsia="宋体" w:cs="宋体"/>
          <w:color w:val="auto"/>
          <w:highlight w:val="none"/>
        </w:rPr>
        <w:t>磋商申请人应按“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”中规定的提交响应文件。</w:t>
      </w:r>
    </w:p>
    <w:p w14:paraId="7591DEC9">
      <w:pPr>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highlight w:val="none"/>
        </w:rPr>
        <w:t>14.2</w:t>
      </w:r>
      <w:r>
        <w:rPr>
          <w:rFonts w:hint="eastAsia" w:ascii="宋体" w:hAnsi="宋体" w:eastAsia="宋体" w:cs="宋体"/>
          <w:color w:val="auto"/>
          <w:highlight w:val="none"/>
        </w:rPr>
        <w:tab/>
      </w:r>
      <w:r>
        <w:rPr>
          <w:rFonts w:hint="eastAsia" w:ascii="宋体" w:hAnsi="宋体" w:eastAsia="宋体" w:cs="宋体"/>
          <w:color w:val="auto"/>
          <w:kern w:val="0"/>
          <w:sz w:val="21"/>
          <w:szCs w:val="21"/>
          <w:highlight w:val="none"/>
          <w:lang w:val="en-US" w:eastAsia="zh-CN"/>
        </w:rPr>
        <w:t>本项目采用在云南省政府采购电子交易平台（www.zcygov.cn）上进行采购与递交响应文件，无需现场递交纸质文件，但应在文件递交截止时间前登录系统，并根据开标系统的提示操作解密文件（采用现场参会解密磋商响应文件的，请在磋商会议现场指定电脑进行解密磋商响应文件）。</w:t>
      </w:r>
    </w:p>
    <w:p w14:paraId="0B65F663">
      <w:pPr>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14.3</w:t>
      </w:r>
      <w:r>
        <w:rPr>
          <w:rFonts w:hint="eastAsia" w:ascii="宋体" w:hAnsi="宋体" w:eastAsia="宋体" w:cs="宋体"/>
          <w:color w:val="auto"/>
          <w:kern w:val="0"/>
          <w:sz w:val="21"/>
          <w:szCs w:val="21"/>
          <w:highlight w:val="none"/>
        </w:rPr>
        <w:t>本次采购采用在</w:t>
      </w:r>
      <w:r>
        <w:rPr>
          <w:rFonts w:hint="eastAsia" w:ascii="宋体" w:hAnsi="宋体" w:eastAsia="宋体" w:cs="宋体"/>
          <w:color w:val="auto"/>
          <w:kern w:val="0"/>
          <w:sz w:val="21"/>
          <w:szCs w:val="21"/>
          <w:highlight w:val="none"/>
          <w:lang w:eastAsia="zh-CN"/>
        </w:rPr>
        <w:t>云南省政府采购电子交易平台（www.zcygov.cn）</w:t>
      </w:r>
      <w:r>
        <w:rPr>
          <w:rFonts w:hint="eastAsia" w:ascii="宋体" w:hAnsi="宋体" w:eastAsia="宋体" w:cs="宋体"/>
          <w:color w:val="auto"/>
          <w:kern w:val="0"/>
          <w:sz w:val="21"/>
          <w:szCs w:val="21"/>
          <w:highlight w:val="none"/>
        </w:rPr>
        <w:t>上进行采购与递交响应文件，</w:t>
      </w:r>
      <w:r>
        <w:rPr>
          <w:rFonts w:hint="eastAsia" w:ascii="宋体" w:hAnsi="宋体" w:eastAsia="宋体" w:cs="宋体"/>
          <w:color w:val="auto"/>
          <w:kern w:val="0"/>
          <w:sz w:val="21"/>
          <w:szCs w:val="21"/>
          <w:highlight w:val="none"/>
          <w:lang w:val="en-US" w:eastAsia="zh-CN"/>
        </w:rPr>
        <w:t>采购过程具体操作流程请各磋商申请人在云南省政府采购电子交易平台（https://www. zcygov.cn/）的网站操作指南中下载《供应商操作指南》查看操作或在该网站中采购学院中观看《政府采购电子交易供应商线上培训》相关视频。</w:t>
      </w:r>
    </w:p>
    <w:p w14:paraId="485E579B">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95" w:name="_Toc86124063"/>
      <w:bookmarkStart w:id="96" w:name="_Toc329810203"/>
      <w:bookmarkStart w:id="97" w:name="_Toc383175069"/>
      <w:bookmarkStart w:id="98" w:name="_Toc383175491"/>
      <w:bookmarkStart w:id="99" w:name="_Toc383175293"/>
      <w:bookmarkStart w:id="100" w:name="_Toc7252750"/>
      <w:r>
        <w:rPr>
          <w:rFonts w:hint="eastAsia" w:ascii="宋体" w:hAnsi="宋体" w:eastAsia="宋体" w:cs="宋体"/>
          <w:b/>
          <w:color w:val="auto"/>
          <w:sz w:val="32"/>
          <w:szCs w:val="32"/>
          <w:highlight w:val="none"/>
        </w:rPr>
        <w:t>递交响应文件的截止时间和地点</w:t>
      </w:r>
      <w:bookmarkEnd w:id="95"/>
      <w:bookmarkEnd w:id="96"/>
      <w:bookmarkEnd w:id="97"/>
      <w:bookmarkEnd w:id="98"/>
      <w:bookmarkEnd w:id="99"/>
      <w:bookmarkEnd w:id="100"/>
    </w:p>
    <w:p w14:paraId="494F867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15.1</w:t>
      </w:r>
      <w:r>
        <w:rPr>
          <w:rFonts w:hint="eastAsia" w:ascii="宋体" w:hAnsi="宋体" w:eastAsia="宋体" w:cs="宋体"/>
          <w:color w:val="auto"/>
          <w:highlight w:val="none"/>
        </w:rPr>
        <w:tab/>
      </w:r>
      <w:r>
        <w:rPr>
          <w:rFonts w:hint="eastAsia" w:ascii="宋体" w:hAnsi="宋体" w:eastAsia="宋体" w:cs="宋体"/>
          <w:color w:val="auto"/>
          <w:highlight w:val="none"/>
        </w:rPr>
        <w:t>响应文件的递交不得迟于“</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”规定的递交响应文件截止时间。</w:t>
      </w:r>
      <w:r>
        <w:rPr>
          <w:rFonts w:hint="eastAsia" w:ascii="宋体" w:hAnsi="宋体" w:eastAsia="宋体" w:cs="宋体"/>
          <w:b/>
          <w:bCs/>
          <w:color w:val="auto"/>
          <w:highlight w:val="none"/>
        </w:rPr>
        <w:t>电子响应文件须在竞争性磋商响应文件提交截止时间以前上传至</w:t>
      </w:r>
      <w:r>
        <w:rPr>
          <w:rFonts w:hint="eastAsia" w:ascii="宋体" w:hAnsi="宋体" w:eastAsia="宋体" w:cs="宋体"/>
          <w:b/>
          <w:bCs/>
          <w:color w:val="auto"/>
          <w:highlight w:val="none"/>
          <w:lang w:eastAsia="zh-CN"/>
        </w:rPr>
        <w:t>云南省政府采购电子交易平台（www.zcygov.cn）</w:t>
      </w:r>
      <w:r>
        <w:rPr>
          <w:rFonts w:hint="eastAsia" w:ascii="宋体" w:hAnsi="宋体" w:eastAsia="宋体" w:cs="宋体"/>
          <w:b/>
          <w:bCs/>
          <w:color w:val="auto"/>
          <w:highlight w:val="none"/>
        </w:rPr>
        <w:t>，逾期上传电子响应文件或磋商申请人在截止时间以前未能送达指定地点不能解密电子响应文件的，其磋商响应文件将被拒绝。</w:t>
      </w:r>
    </w:p>
    <w:p w14:paraId="264CD9B0">
      <w:pPr>
        <w:spacing w:line="360" w:lineRule="auto"/>
        <w:ind w:firstLine="420" w:firstLineChars="200"/>
        <w:rPr>
          <w:rFonts w:hint="eastAsia" w:ascii="宋体" w:hAnsi="宋体" w:eastAsia="宋体" w:cs="宋体"/>
          <w:b/>
          <w:bCs/>
          <w:color w:val="auto"/>
          <w:highlight w:val="none"/>
        </w:rPr>
      </w:pPr>
      <w:r>
        <w:rPr>
          <w:rFonts w:hint="eastAsia" w:ascii="宋体" w:hAnsi="宋体" w:eastAsia="宋体" w:cs="宋体"/>
          <w:color w:val="auto"/>
          <w:highlight w:val="none"/>
        </w:rPr>
        <w:t>15.2</w:t>
      </w:r>
      <w:r>
        <w:rPr>
          <w:rFonts w:hint="eastAsia" w:ascii="宋体" w:hAnsi="宋体" w:eastAsia="宋体" w:cs="宋体"/>
          <w:color w:val="auto"/>
          <w:highlight w:val="none"/>
        </w:rPr>
        <w:tab/>
      </w:r>
      <w:r>
        <w:rPr>
          <w:rFonts w:hint="eastAsia" w:ascii="宋体" w:hAnsi="宋体" w:eastAsia="宋体" w:cs="宋体"/>
          <w:color w:val="auto"/>
          <w:highlight w:val="none"/>
        </w:rPr>
        <w:t>磋商申请人必须在规定时间内将响应文件</w:t>
      </w:r>
      <w:r>
        <w:rPr>
          <w:rFonts w:hint="eastAsia" w:ascii="宋体" w:hAnsi="宋体" w:eastAsia="宋体" w:cs="宋体"/>
          <w:color w:val="auto"/>
          <w:highlight w:val="none"/>
          <w:lang w:val="en-US" w:eastAsia="zh-CN"/>
        </w:rPr>
        <w:t>上传到</w:t>
      </w:r>
      <w:r>
        <w:rPr>
          <w:rFonts w:hint="eastAsia" w:ascii="宋体" w:hAnsi="宋体" w:eastAsia="宋体" w:cs="宋体"/>
          <w:color w:val="auto"/>
          <w:kern w:val="0"/>
          <w:sz w:val="21"/>
          <w:szCs w:val="21"/>
          <w:highlight w:val="none"/>
          <w:lang w:eastAsia="zh-CN"/>
        </w:rPr>
        <w:t>云南省政府采购电子交易平台（www.zcygov.cn），</w:t>
      </w:r>
      <w:r>
        <w:rPr>
          <w:rFonts w:hint="eastAsia" w:ascii="宋体" w:hAnsi="宋体" w:eastAsia="宋体" w:cs="宋体"/>
          <w:color w:val="auto"/>
          <w:kern w:val="0"/>
          <w:sz w:val="21"/>
          <w:szCs w:val="21"/>
          <w:highlight w:val="none"/>
          <w:lang w:val="en-US" w:eastAsia="zh-CN"/>
        </w:rPr>
        <w:t>采购人及采购代理机构将在</w:t>
      </w:r>
      <w:r>
        <w:rPr>
          <w:rFonts w:hint="eastAsia" w:ascii="宋体" w:hAnsi="宋体" w:eastAsia="宋体" w:cs="宋体"/>
          <w:color w:val="auto"/>
          <w:highlight w:val="none"/>
        </w:rPr>
        <w:t>“</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”规定的地点</w:t>
      </w:r>
      <w:r>
        <w:rPr>
          <w:rFonts w:hint="eastAsia" w:ascii="宋体" w:hAnsi="宋体" w:eastAsia="宋体" w:cs="宋体"/>
          <w:color w:val="auto"/>
          <w:highlight w:val="none"/>
          <w:lang w:val="en-US" w:eastAsia="zh-CN"/>
        </w:rPr>
        <w:t>举行磋商会议</w:t>
      </w:r>
      <w:r>
        <w:rPr>
          <w:rFonts w:hint="eastAsia" w:ascii="宋体" w:hAnsi="宋体" w:eastAsia="宋体" w:cs="宋体"/>
          <w:color w:val="auto"/>
          <w:highlight w:val="none"/>
        </w:rPr>
        <w:t>。</w:t>
      </w:r>
    </w:p>
    <w:p w14:paraId="3ABB17D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15.3</w:t>
      </w:r>
      <w:r>
        <w:rPr>
          <w:rFonts w:hint="eastAsia" w:ascii="宋体" w:hAnsi="宋体" w:eastAsia="宋体" w:cs="宋体"/>
          <w:color w:val="auto"/>
          <w:highlight w:val="none"/>
        </w:rPr>
        <w:tab/>
      </w:r>
      <w:r>
        <w:rPr>
          <w:rFonts w:hint="eastAsia" w:ascii="宋体" w:hAnsi="宋体" w:eastAsia="宋体" w:cs="宋体"/>
          <w:color w:val="auto"/>
          <w:highlight w:val="none"/>
        </w:rPr>
        <w:t>除“</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”另有规定外，磋商申请人所递交的响应文件不予退还。</w:t>
      </w:r>
    </w:p>
    <w:p w14:paraId="492E1022">
      <w:pPr>
        <w:pStyle w:val="4"/>
        <w:spacing w:before="0" w:after="0" w:line="360" w:lineRule="auto"/>
        <w:jc w:val="center"/>
        <w:rPr>
          <w:rFonts w:hint="eastAsia" w:ascii="宋体" w:hAnsi="宋体" w:eastAsia="宋体" w:cs="宋体"/>
          <w:color w:val="auto"/>
          <w:highlight w:val="none"/>
        </w:rPr>
      </w:pPr>
      <w:bookmarkStart w:id="101" w:name="_Toc7252751"/>
      <w:bookmarkStart w:id="102" w:name="_Toc39092135"/>
      <w:bookmarkStart w:id="103" w:name="_Toc86124064"/>
      <w:r>
        <w:rPr>
          <w:rFonts w:hint="eastAsia" w:ascii="宋体" w:hAnsi="宋体" w:eastAsia="宋体" w:cs="宋体"/>
          <w:color w:val="auto"/>
          <w:highlight w:val="none"/>
        </w:rPr>
        <w:t>五、磋商</w:t>
      </w:r>
      <w:bookmarkEnd w:id="101"/>
      <w:bookmarkEnd w:id="102"/>
      <w:bookmarkEnd w:id="103"/>
    </w:p>
    <w:p w14:paraId="432F4E35">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04" w:name="_Toc7252752"/>
      <w:r>
        <w:rPr>
          <w:rFonts w:hint="eastAsia" w:ascii="宋体" w:hAnsi="宋体" w:eastAsia="宋体" w:cs="宋体"/>
          <w:b/>
          <w:color w:val="auto"/>
          <w:sz w:val="32"/>
          <w:szCs w:val="32"/>
          <w:highlight w:val="none"/>
        </w:rPr>
        <w:t>磋商</w:t>
      </w:r>
      <w:bookmarkEnd w:id="104"/>
    </w:p>
    <w:p w14:paraId="11F5634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16.1</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采购代理机构将在“</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”规定的时间和地点进行磋商，磋商申请人的法定代表人（负责人）或其委托代理人应按时参加。</w:t>
      </w:r>
    </w:p>
    <w:p w14:paraId="18FA482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16.2</w:t>
      </w:r>
      <w:r>
        <w:rPr>
          <w:rFonts w:hint="eastAsia" w:ascii="宋体" w:hAnsi="宋体" w:eastAsia="宋体" w:cs="宋体"/>
          <w:color w:val="auto"/>
          <w:highlight w:val="none"/>
        </w:rPr>
        <w:tab/>
      </w:r>
      <w:r>
        <w:rPr>
          <w:rFonts w:hint="eastAsia" w:ascii="宋体" w:hAnsi="宋体" w:eastAsia="宋体" w:cs="宋体"/>
          <w:color w:val="auto"/>
          <w:highlight w:val="none"/>
        </w:rPr>
        <w:t>磋商由磋商小组负责。磋商小组由采购人代表和有关技术、经济等方面的专家组成，成员人数应当为3人及以上单数。其中，技术、经济等方面的专家不得少于成员总数的三分之二。磋商应当推选组长，但采购人代表不得担任组长。</w:t>
      </w:r>
    </w:p>
    <w:p w14:paraId="42B20D6F">
      <w:pPr>
        <w:spacing w:line="360" w:lineRule="auto"/>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采购人委派代表参加磋商会议的，要向采购代理机构出具授权函。除授权代表外，采购人可以委派纪检监察等相关人员进入磋商现场，对磋商工作实施监督，但不得超过2人。</w:t>
      </w:r>
    </w:p>
    <w:p w14:paraId="711061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16.3</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磋商原则</w:t>
      </w:r>
    </w:p>
    <w:p w14:paraId="11B47AC9">
      <w:pPr>
        <w:tabs>
          <w:tab w:val="left" w:pos="7980"/>
        </w:tabs>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磋商小组对各磋商申请人的响应文件进行详细评审。磋商小组按照得分的高低推荐成交候选人，推荐成交候选人1</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3人，并标明排列顺序。</w:t>
      </w:r>
    </w:p>
    <w:p w14:paraId="482E268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16.4</w:t>
      </w:r>
      <w:r>
        <w:rPr>
          <w:rFonts w:hint="eastAsia" w:ascii="宋体" w:hAnsi="宋体" w:eastAsia="宋体" w:cs="宋体"/>
          <w:color w:val="auto"/>
          <w:highlight w:val="none"/>
        </w:rPr>
        <w:tab/>
      </w:r>
      <w:r>
        <w:rPr>
          <w:rFonts w:hint="eastAsia" w:ascii="宋体" w:hAnsi="宋体" w:eastAsia="宋体" w:cs="宋体"/>
          <w:color w:val="auto"/>
          <w:highlight w:val="none"/>
        </w:rPr>
        <w:t>磋商程序和方法</w:t>
      </w:r>
    </w:p>
    <w:p w14:paraId="5E741E5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磋商小组按照第六章“磋商程序和方法”规定的方法、因素、标准和程序进行磋商。</w:t>
      </w:r>
    </w:p>
    <w:p w14:paraId="24658AB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16.5</w:t>
      </w:r>
      <w:r>
        <w:rPr>
          <w:rFonts w:hint="eastAsia" w:ascii="宋体" w:hAnsi="宋体" w:eastAsia="宋体" w:cs="宋体"/>
          <w:color w:val="auto"/>
          <w:highlight w:val="none"/>
        </w:rPr>
        <w:tab/>
      </w:r>
      <w:r>
        <w:rPr>
          <w:rFonts w:hint="eastAsia" w:ascii="宋体" w:hAnsi="宋体" w:eastAsia="宋体" w:cs="宋体"/>
          <w:color w:val="auto"/>
          <w:highlight w:val="none"/>
        </w:rPr>
        <w:t>磋商文件</w:t>
      </w:r>
      <w:r>
        <w:rPr>
          <w:rFonts w:hint="eastAsia" w:ascii="宋体" w:hAnsi="宋体" w:eastAsia="宋体" w:cs="宋体"/>
          <w:b/>
          <w:bCs/>
          <w:color w:val="auto"/>
          <w:highlight w:val="none"/>
          <w:u w:val="single"/>
        </w:rPr>
        <w:t>第六章“磋商程序和方法”前附表第2.1款实质性要求为磋商文件的实质性内容，未实质性响应磋商文件的磋商申请人的响应文件将按无效处理，该磋商申请人不得再继续参加磋商</w:t>
      </w:r>
      <w:r>
        <w:rPr>
          <w:rFonts w:hint="eastAsia" w:ascii="宋体" w:hAnsi="宋体" w:eastAsia="宋体" w:cs="宋体"/>
          <w:color w:val="auto"/>
          <w:highlight w:val="none"/>
        </w:rPr>
        <w:t>。</w:t>
      </w:r>
    </w:p>
    <w:p w14:paraId="23466E4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16.6</w:t>
      </w:r>
      <w:r>
        <w:rPr>
          <w:rFonts w:hint="eastAsia" w:ascii="宋体" w:hAnsi="宋体" w:eastAsia="宋体" w:cs="宋体"/>
          <w:color w:val="auto"/>
          <w:highlight w:val="none"/>
        </w:rPr>
        <w:tab/>
      </w:r>
      <w:r>
        <w:rPr>
          <w:rFonts w:hint="eastAsia" w:ascii="宋体" w:hAnsi="宋体" w:eastAsia="宋体" w:cs="宋体"/>
          <w:color w:val="auto"/>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6FEFF3B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651C6503">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05" w:name="_Toc86124067"/>
      <w:bookmarkStart w:id="106" w:name="_Toc7252753"/>
      <w:bookmarkStart w:id="107" w:name="_Toc383175296"/>
      <w:bookmarkStart w:id="108" w:name="_Toc383175072"/>
      <w:bookmarkStart w:id="109" w:name="_Toc383175494"/>
      <w:bookmarkStart w:id="110" w:name="_Toc329810207"/>
      <w:r>
        <w:rPr>
          <w:rFonts w:hint="eastAsia" w:ascii="宋体" w:hAnsi="宋体" w:eastAsia="宋体" w:cs="宋体"/>
          <w:b/>
          <w:color w:val="auto"/>
          <w:sz w:val="32"/>
          <w:szCs w:val="32"/>
          <w:highlight w:val="none"/>
        </w:rPr>
        <w:t>磋商过程的保密</w:t>
      </w:r>
      <w:bookmarkEnd w:id="105"/>
      <w:bookmarkEnd w:id="106"/>
      <w:bookmarkEnd w:id="107"/>
      <w:bookmarkEnd w:id="108"/>
      <w:bookmarkEnd w:id="109"/>
      <w:bookmarkEnd w:id="110"/>
    </w:p>
    <w:p w14:paraId="35A071F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629DBA69">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11" w:name="_Toc329810208"/>
      <w:bookmarkStart w:id="112" w:name="_Toc7252754"/>
      <w:bookmarkStart w:id="113" w:name="_Toc383175297"/>
      <w:bookmarkStart w:id="114" w:name="_Toc383175495"/>
      <w:bookmarkStart w:id="115" w:name="_Toc383175073"/>
      <w:bookmarkStart w:id="116" w:name="_Toc86124068"/>
      <w:bookmarkStart w:id="117" w:name="_Toc378499713"/>
      <w:r>
        <w:rPr>
          <w:rFonts w:hint="eastAsia" w:ascii="宋体" w:hAnsi="宋体" w:eastAsia="宋体" w:cs="宋体"/>
          <w:b/>
          <w:color w:val="auto"/>
          <w:sz w:val="32"/>
          <w:szCs w:val="32"/>
          <w:highlight w:val="none"/>
        </w:rPr>
        <w:t>出现下列情形之一的，将终止竞争性磋商采购活动，并发布项目终止公告并说明原因，重新开展采购活动：</w:t>
      </w:r>
      <w:bookmarkEnd w:id="111"/>
      <w:bookmarkEnd w:id="112"/>
      <w:bookmarkEnd w:id="113"/>
      <w:bookmarkEnd w:id="114"/>
      <w:bookmarkEnd w:id="115"/>
      <w:bookmarkEnd w:id="116"/>
      <w:bookmarkEnd w:id="117"/>
    </w:p>
    <w:p w14:paraId="5E81DEE4">
      <w:pPr>
        <w:pStyle w:val="48"/>
        <w:numPr>
          <w:ilvl w:val="2"/>
          <w:numId w:val="5"/>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因情况变化，不再符合规定的竞争性磋商采购方式适用情形的；</w:t>
      </w:r>
    </w:p>
    <w:p w14:paraId="0BB2B78D">
      <w:pPr>
        <w:pStyle w:val="48"/>
        <w:numPr>
          <w:ilvl w:val="2"/>
          <w:numId w:val="5"/>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出现影响采购公正的违法、违规行为的；</w:t>
      </w:r>
    </w:p>
    <w:p w14:paraId="1EDFA273">
      <w:pPr>
        <w:pStyle w:val="48"/>
        <w:numPr>
          <w:ilvl w:val="2"/>
          <w:numId w:val="5"/>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在采购过程中符合竞争要求的供应商或者因实质性变更造成报价未超过采购预算</w:t>
      </w:r>
      <w:r>
        <w:rPr>
          <w:rFonts w:hint="eastAsia" w:ascii="宋体" w:hAnsi="宋体" w:eastAsia="宋体" w:cs="宋体"/>
          <w:color w:val="auto"/>
          <w:highlight w:val="none"/>
          <w:lang w:val="en-US" w:eastAsia="zh-CN"/>
        </w:rPr>
        <w:t>或相应最高限价</w:t>
      </w:r>
      <w:r>
        <w:rPr>
          <w:rFonts w:hint="eastAsia" w:ascii="宋体" w:hAnsi="宋体" w:eastAsia="宋体" w:cs="宋体"/>
          <w:color w:val="auto"/>
          <w:highlight w:val="none"/>
        </w:rPr>
        <w:t>的供应商不符合规定的。</w:t>
      </w:r>
    </w:p>
    <w:p w14:paraId="40CE22A8">
      <w:pPr>
        <w:pStyle w:val="4"/>
        <w:spacing w:before="0" w:after="0" w:line="360" w:lineRule="auto"/>
        <w:jc w:val="center"/>
        <w:rPr>
          <w:rFonts w:hint="eastAsia" w:ascii="宋体" w:hAnsi="宋体" w:eastAsia="宋体" w:cs="宋体"/>
          <w:color w:val="auto"/>
          <w:highlight w:val="none"/>
        </w:rPr>
      </w:pPr>
      <w:bookmarkStart w:id="118" w:name="_Toc39092136"/>
      <w:bookmarkStart w:id="119" w:name="_Toc86124069"/>
      <w:bookmarkStart w:id="120" w:name="_Toc7252755"/>
      <w:r>
        <w:rPr>
          <w:rFonts w:hint="eastAsia" w:ascii="宋体" w:hAnsi="宋体" w:eastAsia="宋体" w:cs="宋体"/>
          <w:color w:val="auto"/>
          <w:highlight w:val="none"/>
        </w:rPr>
        <w:t>六、成交结果</w:t>
      </w:r>
      <w:bookmarkEnd w:id="118"/>
      <w:bookmarkEnd w:id="119"/>
      <w:bookmarkEnd w:id="120"/>
    </w:p>
    <w:p w14:paraId="6FCF678E">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21" w:name="_Toc86124070"/>
      <w:bookmarkStart w:id="122" w:name="_Toc329810210"/>
      <w:bookmarkStart w:id="123" w:name="_Toc383175497"/>
      <w:bookmarkStart w:id="124" w:name="_Toc7252756"/>
      <w:bookmarkStart w:id="125" w:name="_Toc383175075"/>
      <w:bookmarkStart w:id="126" w:name="_Toc383175299"/>
      <w:r>
        <w:rPr>
          <w:rFonts w:hint="eastAsia" w:ascii="宋体" w:hAnsi="宋体" w:eastAsia="宋体" w:cs="宋体"/>
          <w:b/>
          <w:color w:val="auto"/>
          <w:sz w:val="32"/>
          <w:szCs w:val="32"/>
          <w:highlight w:val="none"/>
        </w:rPr>
        <w:t>成交人的确定</w:t>
      </w:r>
      <w:bookmarkEnd w:id="121"/>
      <w:bookmarkEnd w:id="122"/>
      <w:bookmarkEnd w:id="123"/>
      <w:bookmarkEnd w:id="124"/>
      <w:bookmarkEnd w:id="125"/>
      <w:bookmarkEnd w:id="126"/>
    </w:p>
    <w:p w14:paraId="3FD379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19.1</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采购代理机构在评审结束后2个工作日内将评审报告送采购人确认。</w:t>
      </w:r>
    </w:p>
    <w:p w14:paraId="645CFDD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w:t>
      </w:r>
      <w:r>
        <w:rPr>
          <w:rFonts w:hint="eastAsia" w:ascii="宋体" w:hAnsi="宋体" w:eastAsia="宋体" w:cs="宋体"/>
          <w:color w:val="auto"/>
          <w:highlight w:val="none"/>
        </w:rPr>
        <w:tab/>
      </w:r>
      <w:r>
        <w:rPr>
          <w:rFonts w:hint="eastAsia" w:ascii="宋体" w:hAnsi="宋体" w:eastAsia="宋体" w:cs="宋体"/>
          <w:color w:val="auto"/>
          <w:highlight w:val="none"/>
        </w:rPr>
        <w:t>采购人应当在收到评审报告后5个工作日内，从评审报告提出的成交候选人中，按照综合得分由高到低的原则确定成交磋商申请人。</w:t>
      </w:r>
    </w:p>
    <w:p w14:paraId="491FCE9E">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27" w:name="_Toc383175076"/>
      <w:bookmarkStart w:id="128" w:name="_Toc383175300"/>
      <w:bookmarkStart w:id="129" w:name="_Toc383175498"/>
      <w:bookmarkStart w:id="130" w:name="_Toc7252757"/>
      <w:r>
        <w:rPr>
          <w:rFonts w:hint="eastAsia" w:ascii="宋体" w:hAnsi="宋体" w:eastAsia="宋体" w:cs="宋体"/>
          <w:b/>
          <w:color w:val="auto"/>
          <w:sz w:val="32"/>
          <w:szCs w:val="32"/>
          <w:highlight w:val="none"/>
        </w:rPr>
        <w:t>成交通知书</w:t>
      </w:r>
      <w:bookmarkEnd w:id="54"/>
      <w:bookmarkEnd w:id="127"/>
      <w:bookmarkEnd w:id="128"/>
      <w:bookmarkEnd w:id="129"/>
      <w:bookmarkEnd w:id="130"/>
    </w:p>
    <w:p w14:paraId="6153AB77">
      <w:pPr>
        <w:spacing w:line="360" w:lineRule="auto"/>
        <w:ind w:firstLine="420" w:firstLineChars="200"/>
        <w:jc w:val="left"/>
        <w:rPr>
          <w:rFonts w:hint="eastAsia" w:ascii="宋体" w:hAnsi="宋体" w:eastAsia="宋体" w:cs="宋体"/>
          <w:color w:val="auto"/>
          <w:highlight w:val="none"/>
        </w:rPr>
      </w:pPr>
      <w:bookmarkStart w:id="131" w:name="_Toc329810212"/>
      <w:bookmarkStart w:id="132" w:name="_Toc86124072"/>
      <w:r>
        <w:rPr>
          <w:rFonts w:hint="eastAsia" w:ascii="宋体" w:hAnsi="宋体" w:eastAsia="宋体" w:cs="宋体"/>
          <w:color w:val="auto"/>
          <w:highlight w:val="none"/>
        </w:rPr>
        <w:t>20.1</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采购代理机构将在</w:t>
      </w: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确定后2个工作日内，</w:t>
      </w:r>
      <w:r>
        <w:rPr>
          <w:rFonts w:hint="eastAsia" w:ascii="宋体" w:hAnsi="宋体" w:eastAsia="宋体" w:cs="宋体"/>
          <w:color w:val="auto"/>
          <w:kern w:val="0"/>
          <w:highlight w:val="none"/>
        </w:rPr>
        <w:t>在</w:t>
      </w:r>
      <w:r>
        <w:rPr>
          <w:rFonts w:hint="eastAsia" w:ascii="宋体" w:hAnsi="宋体" w:eastAsia="宋体" w:cs="宋体"/>
          <w:color w:val="auto"/>
          <w:kern w:val="0"/>
          <w:szCs w:val="21"/>
          <w:highlight w:val="none"/>
        </w:rPr>
        <w:t>云南省政府采购网</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HYPERLINK "http://www.cebpubservice.com/" </w:instrText>
      </w:r>
      <w:r>
        <w:rPr>
          <w:rFonts w:hint="eastAsia" w:ascii="宋体" w:hAnsi="宋体" w:eastAsia="宋体" w:cs="宋体"/>
          <w:color w:val="auto"/>
          <w:kern w:val="0"/>
          <w:szCs w:val="21"/>
          <w:highlight w:val="none"/>
        </w:rPr>
        <w:fldChar w:fldCharType="separate"/>
      </w:r>
      <w:r>
        <w:rPr>
          <w:rFonts w:hint="eastAsia" w:ascii="宋体" w:hAnsi="宋体" w:eastAsia="宋体" w:cs="宋体"/>
          <w:color w:val="auto"/>
          <w:kern w:val="0"/>
          <w:szCs w:val="21"/>
          <w:highlight w:val="none"/>
        </w:rPr>
        <w:t xml:space="preserve">中国招标投标公共服务平台 </w:t>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highlight w:val="none"/>
        </w:rPr>
        <w:t>上公告，</w:t>
      </w:r>
      <w:r>
        <w:rPr>
          <w:rFonts w:hint="eastAsia" w:ascii="宋体" w:hAnsi="宋体" w:eastAsia="宋体" w:cs="宋体"/>
          <w:color w:val="auto"/>
          <w:highlight w:val="none"/>
        </w:rPr>
        <w:t>同时向</w:t>
      </w: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发出成交通知书。</w:t>
      </w:r>
    </w:p>
    <w:p w14:paraId="171296E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eastAsia="宋体" w:cs="宋体"/>
          <w:color w:val="auto"/>
          <w:highlight w:val="none"/>
        </w:rPr>
        <w:tab/>
      </w:r>
      <w:r>
        <w:rPr>
          <w:rFonts w:hint="eastAsia" w:ascii="宋体" w:hAnsi="宋体" w:eastAsia="宋体" w:cs="宋体"/>
          <w:color w:val="auto"/>
          <w:highlight w:val="none"/>
        </w:rPr>
        <w:t>成交通知书是合同的一个组成部分。</w:t>
      </w:r>
    </w:p>
    <w:p w14:paraId="63223D0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20.3</w:t>
      </w:r>
      <w:r>
        <w:rPr>
          <w:rFonts w:hint="eastAsia" w:ascii="宋体" w:hAnsi="宋体" w:eastAsia="宋体" w:cs="宋体"/>
          <w:color w:val="auto"/>
          <w:highlight w:val="none"/>
        </w:rPr>
        <w:tab/>
      </w:r>
      <w:r>
        <w:rPr>
          <w:rFonts w:hint="eastAsia" w:ascii="宋体" w:hAnsi="宋体" w:eastAsia="宋体" w:cs="宋体"/>
          <w:color w:val="auto"/>
          <w:highlight w:val="none"/>
        </w:rPr>
        <w:t>除不可抗力等因素外，成交通知书发出后，采购人改变成交结果，或者</w:t>
      </w: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拒绝签订政府采购合同的，应当承担相应的法律责任。</w:t>
      </w:r>
    </w:p>
    <w:p w14:paraId="2F00087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20.4</w:t>
      </w:r>
      <w:r>
        <w:rPr>
          <w:rFonts w:hint="eastAsia" w:ascii="宋体" w:hAnsi="宋体" w:eastAsia="宋体" w:cs="宋体"/>
          <w:color w:val="auto"/>
          <w:highlight w:val="none"/>
        </w:rPr>
        <w:tab/>
      </w:r>
      <w:r>
        <w:rPr>
          <w:rFonts w:hint="eastAsia" w:ascii="宋体" w:hAnsi="宋体" w:eastAsia="宋体" w:cs="宋体"/>
          <w:color w:val="auto"/>
          <w:highlight w:val="none"/>
        </w:rPr>
        <w:t>采购代理机构无义务向</w:t>
      </w:r>
      <w:r>
        <w:rPr>
          <w:rFonts w:hint="eastAsia" w:ascii="宋体" w:hAnsi="宋体" w:eastAsia="宋体" w:cs="宋体"/>
          <w:color w:val="auto"/>
          <w:highlight w:val="none"/>
          <w:lang w:eastAsia="zh-CN"/>
        </w:rPr>
        <w:t>未成交的磋商申请人</w:t>
      </w:r>
      <w:r>
        <w:rPr>
          <w:rFonts w:hint="eastAsia" w:ascii="宋体" w:hAnsi="宋体" w:eastAsia="宋体" w:cs="宋体"/>
          <w:color w:val="auto"/>
          <w:highlight w:val="none"/>
        </w:rPr>
        <w:t>解释未成交原因和退回响应文件。</w:t>
      </w:r>
    </w:p>
    <w:p w14:paraId="66680CBE">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33" w:name="_Toc7252758"/>
      <w:bookmarkStart w:id="134" w:name="_Toc383175499"/>
      <w:bookmarkStart w:id="135" w:name="_Toc383175077"/>
      <w:bookmarkStart w:id="136" w:name="_Toc383175301"/>
      <w:r>
        <w:rPr>
          <w:rFonts w:hint="eastAsia" w:ascii="宋体" w:hAnsi="宋体" w:eastAsia="宋体" w:cs="宋体"/>
          <w:b/>
          <w:color w:val="auto"/>
          <w:sz w:val="32"/>
          <w:szCs w:val="32"/>
          <w:highlight w:val="none"/>
        </w:rPr>
        <w:t>签订合同</w:t>
      </w:r>
      <w:bookmarkEnd w:id="131"/>
      <w:bookmarkEnd w:id="132"/>
      <w:bookmarkEnd w:id="133"/>
      <w:bookmarkEnd w:id="134"/>
      <w:bookmarkEnd w:id="135"/>
      <w:bookmarkEnd w:id="136"/>
    </w:p>
    <w:p w14:paraId="0631D421">
      <w:pPr>
        <w:pStyle w:val="48"/>
        <w:numPr>
          <w:ilvl w:val="1"/>
          <w:numId w:val="6"/>
        </w:numPr>
        <w:spacing w:line="360" w:lineRule="auto"/>
        <w:ind w:left="0" w:firstLine="420"/>
        <w:rPr>
          <w:rFonts w:hint="eastAsia" w:ascii="宋体" w:hAnsi="宋体" w:eastAsia="宋体" w:cs="宋体"/>
          <w:color w:val="auto"/>
          <w:highlight w:val="none"/>
        </w:rPr>
      </w:pPr>
      <w:bookmarkStart w:id="137" w:name="_Toc329810213"/>
      <w:bookmarkStart w:id="138" w:name="_Toc86124073"/>
      <w:r>
        <w:rPr>
          <w:rFonts w:hint="eastAsia" w:ascii="宋体" w:hAnsi="宋体" w:eastAsia="宋体" w:cs="宋体"/>
          <w:color w:val="auto"/>
          <w:highlight w:val="none"/>
        </w:rPr>
        <w:t>采购人与</w:t>
      </w: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应当在成交通知书发出之日起30日内，按照竞争性磋商文件确定的合同文本以及采购标的、规格型号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服务范围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、采购金额、采购数量、技术和服务要求等事项签订政府采购合同。</w:t>
      </w:r>
    </w:p>
    <w:p w14:paraId="3FC8F123">
      <w:pPr>
        <w:pStyle w:val="48"/>
        <w:numPr>
          <w:ilvl w:val="1"/>
          <w:numId w:val="6"/>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拒绝签订政府采购合同的，采购人可以按照《政府采购竞争性磋商采购方式管理暂行办法》规定的原则确定其他磋商申请人作为</w:t>
      </w: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并签订政府采购合同，也可以重新开展采购活动。拒绝签订政府采购合同的</w:t>
      </w:r>
      <w:r>
        <w:rPr>
          <w:rFonts w:hint="eastAsia" w:ascii="宋体" w:hAnsi="宋体" w:eastAsia="宋体" w:cs="宋体"/>
          <w:color w:val="auto"/>
          <w:highlight w:val="none"/>
          <w:lang w:eastAsia="zh-CN"/>
        </w:rPr>
        <w:t>成交人</w:t>
      </w:r>
      <w:r>
        <w:rPr>
          <w:rFonts w:hint="eastAsia" w:ascii="宋体" w:hAnsi="宋体" w:eastAsia="宋体" w:cs="宋体"/>
          <w:color w:val="auto"/>
          <w:highlight w:val="none"/>
        </w:rPr>
        <w:t>不得参加对该项目重新开展的采购活动。</w:t>
      </w:r>
      <w:bookmarkEnd w:id="137"/>
      <w:bookmarkEnd w:id="138"/>
    </w:p>
    <w:p w14:paraId="66AA7969">
      <w:pPr>
        <w:pStyle w:val="4"/>
        <w:spacing w:before="0" w:after="0" w:line="360" w:lineRule="auto"/>
        <w:jc w:val="center"/>
        <w:rPr>
          <w:rFonts w:hint="eastAsia" w:ascii="宋体" w:hAnsi="宋体" w:eastAsia="宋体" w:cs="宋体"/>
          <w:color w:val="auto"/>
          <w:highlight w:val="none"/>
        </w:rPr>
      </w:pPr>
      <w:bookmarkStart w:id="139" w:name="_Toc7252759"/>
      <w:bookmarkStart w:id="140" w:name="_Toc39092137"/>
      <w:bookmarkStart w:id="141" w:name="_Toc86124074"/>
      <w:r>
        <w:rPr>
          <w:rFonts w:hint="eastAsia" w:ascii="宋体" w:hAnsi="宋体" w:eastAsia="宋体" w:cs="宋体"/>
          <w:color w:val="auto"/>
          <w:highlight w:val="none"/>
        </w:rPr>
        <w:t>七、其他事项</w:t>
      </w:r>
      <w:bookmarkEnd w:id="139"/>
      <w:bookmarkEnd w:id="140"/>
      <w:bookmarkEnd w:id="141"/>
    </w:p>
    <w:p w14:paraId="7D019D72">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42" w:name="_Toc329810215"/>
      <w:bookmarkStart w:id="143" w:name="_Toc383175304"/>
      <w:bookmarkStart w:id="144" w:name="_Toc383175080"/>
      <w:bookmarkStart w:id="145" w:name="_Toc383175502"/>
      <w:bookmarkStart w:id="146" w:name="_Toc7252760"/>
      <w:r>
        <w:rPr>
          <w:rFonts w:hint="eastAsia" w:ascii="宋体" w:hAnsi="宋体" w:eastAsia="宋体" w:cs="宋体"/>
          <w:b/>
          <w:color w:val="auto"/>
          <w:sz w:val="32"/>
          <w:szCs w:val="32"/>
          <w:highlight w:val="none"/>
        </w:rPr>
        <w:t>质疑和投诉</w:t>
      </w:r>
      <w:bookmarkEnd w:id="142"/>
      <w:bookmarkEnd w:id="143"/>
      <w:bookmarkEnd w:id="144"/>
      <w:bookmarkEnd w:id="145"/>
      <w:bookmarkEnd w:id="146"/>
    </w:p>
    <w:p w14:paraId="1AD29D6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color w:val="auto"/>
          <w:highlight w:val="none"/>
        </w:rPr>
        <w:tab/>
      </w:r>
      <w:r>
        <w:rPr>
          <w:rFonts w:hint="eastAsia" w:ascii="宋体" w:hAnsi="宋体" w:eastAsia="宋体" w:cs="宋体"/>
          <w:color w:val="auto"/>
          <w:highlight w:val="none"/>
        </w:rPr>
        <w:t>磋商申请人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0C7669A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受理质疑部门：保山市天瑞建设工程招标咨询有限公司</w:t>
      </w:r>
    </w:p>
    <w:p w14:paraId="33C3923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联系人：杨女士、王先生</w:t>
      </w:r>
    </w:p>
    <w:p w14:paraId="4CE267E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电话：0875-2147689</w:t>
      </w:r>
    </w:p>
    <w:p w14:paraId="0A88761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传真：0875-2147689</w:t>
      </w:r>
    </w:p>
    <w:p w14:paraId="3DA5B61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w:t>
      </w:r>
      <w:r>
        <w:rPr>
          <w:rFonts w:hint="eastAsia" w:ascii="宋体" w:hAnsi="宋体" w:eastAsia="宋体" w:cs="宋体"/>
          <w:color w:val="auto"/>
          <w:highlight w:val="none"/>
        </w:rPr>
        <w:tab/>
      </w:r>
      <w:r>
        <w:rPr>
          <w:rFonts w:hint="eastAsia" w:ascii="宋体" w:hAnsi="宋体" w:eastAsia="宋体" w:cs="宋体"/>
          <w:color w:val="auto"/>
          <w:highlight w:val="none"/>
        </w:rPr>
        <w:t>磋商申请人提供的质疑书应符合中华人民共和国财政部第94号令的规定。磋商申请人提供的质疑书（如材料中有外文资料应同时附上中文译本）应当包括以下主要内容：</w:t>
      </w:r>
    </w:p>
    <w:p w14:paraId="5001DD39">
      <w:pPr>
        <w:pStyle w:val="48"/>
        <w:numPr>
          <w:ilvl w:val="0"/>
          <w:numId w:val="7"/>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磋商申请人的姓名或者名称、地址、邮编、联系人及联系电话；</w:t>
      </w:r>
    </w:p>
    <w:p w14:paraId="3B1354CC">
      <w:pPr>
        <w:pStyle w:val="48"/>
        <w:numPr>
          <w:ilvl w:val="0"/>
          <w:numId w:val="7"/>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质疑项目的名称、编号；</w:t>
      </w:r>
    </w:p>
    <w:p w14:paraId="1C711594">
      <w:pPr>
        <w:pStyle w:val="48"/>
        <w:numPr>
          <w:ilvl w:val="0"/>
          <w:numId w:val="7"/>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具体、明确的质疑事项和与质疑事项相关的请求；</w:t>
      </w:r>
    </w:p>
    <w:p w14:paraId="2C412B58">
      <w:pPr>
        <w:pStyle w:val="48"/>
        <w:numPr>
          <w:ilvl w:val="0"/>
          <w:numId w:val="7"/>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事实依据；</w:t>
      </w:r>
    </w:p>
    <w:p w14:paraId="47FF3737">
      <w:pPr>
        <w:pStyle w:val="48"/>
        <w:numPr>
          <w:ilvl w:val="0"/>
          <w:numId w:val="7"/>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必要的法律依据；</w:t>
      </w:r>
    </w:p>
    <w:p w14:paraId="6757F854">
      <w:pPr>
        <w:pStyle w:val="48"/>
        <w:numPr>
          <w:ilvl w:val="0"/>
          <w:numId w:val="7"/>
        </w:numPr>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提出质疑的日期。</w:t>
      </w:r>
    </w:p>
    <w:p w14:paraId="15DE43A3">
      <w:pPr>
        <w:spacing w:line="360"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质疑书实行实名制，并提交由法定代表人（负责人）或其授权代理人签字并加</w:t>
      </w:r>
      <w:r>
        <w:rPr>
          <w:rFonts w:hint="eastAsia" w:ascii="宋体" w:hAnsi="宋体" w:eastAsia="宋体" w:cs="宋体"/>
          <w:b/>
          <w:bCs/>
          <w:color w:val="auto"/>
          <w:highlight w:val="none"/>
          <w:u w:val="single"/>
          <w:lang w:eastAsia="zh-CN"/>
        </w:rPr>
        <w:t>盖单位公章</w:t>
      </w:r>
      <w:r>
        <w:rPr>
          <w:rFonts w:hint="eastAsia" w:ascii="宋体" w:hAnsi="宋体" w:eastAsia="宋体" w:cs="宋体"/>
          <w:b/>
          <w:bCs/>
          <w:color w:val="auto"/>
          <w:highlight w:val="none"/>
          <w:u w:val="single"/>
        </w:rPr>
        <w:t>的原件。</w:t>
      </w:r>
    </w:p>
    <w:p w14:paraId="69B8CD1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22.3</w:t>
      </w:r>
      <w:r>
        <w:rPr>
          <w:rFonts w:hint="eastAsia" w:ascii="宋体" w:hAnsi="宋体" w:eastAsia="宋体" w:cs="宋体"/>
          <w:color w:val="auto"/>
          <w:highlight w:val="none"/>
        </w:rPr>
        <w:tab/>
      </w:r>
      <w:r>
        <w:rPr>
          <w:rFonts w:hint="eastAsia" w:ascii="宋体" w:hAnsi="宋体" w:eastAsia="宋体" w:cs="宋体"/>
          <w:color w:val="auto"/>
          <w:highlight w:val="none"/>
        </w:rPr>
        <w:t>采购人、采购代理机构将在收到磋商申请人的书面质疑后七个工作日内作出书面答复，但答复的内容不涉及商业秘密。</w:t>
      </w:r>
    </w:p>
    <w:p w14:paraId="163DC60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22.4</w:t>
      </w:r>
      <w:r>
        <w:rPr>
          <w:rFonts w:hint="eastAsia" w:ascii="宋体" w:hAnsi="宋体" w:eastAsia="宋体" w:cs="宋体"/>
          <w:color w:val="auto"/>
          <w:highlight w:val="none"/>
        </w:rPr>
        <w:tab/>
      </w:r>
      <w:r>
        <w:rPr>
          <w:rFonts w:hint="eastAsia" w:ascii="宋体" w:hAnsi="宋体" w:eastAsia="宋体" w:cs="宋体"/>
          <w:color w:val="auto"/>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w:t>
      </w:r>
      <w:r>
        <w:rPr>
          <w:rFonts w:hint="eastAsia" w:ascii="宋体" w:hAnsi="宋体" w:eastAsia="宋体" w:cs="宋体"/>
          <w:color w:val="auto"/>
          <w:highlight w:val="none"/>
          <w:lang w:val="en-US" w:eastAsia="zh-CN"/>
        </w:rPr>
        <w:t>市本级</w:t>
      </w:r>
      <w:r>
        <w:rPr>
          <w:rFonts w:hint="eastAsia" w:ascii="宋体" w:hAnsi="宋体" w:eastAsia="宋体" w:cs="宋体"/>
          <w:color w:val="auto"/>
          <w:highlight w:val="none"/>
        </w:rPr>
        <w:t>财政部门备案。</w:t>
      </w:r>
    </w:p>
    <w:p w14:paraId="116764E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22.5</w:t>
      </w:r>
      <w:r>
        <w:rPr>
          <w:rFonts w:hint="eastAsia" w:ascii="宋体" w:hAnsi="宋体" w:eastAsia="宋体" w:cs="宋体"/>
          <w:color w:val="auto"/>
          <w:highlight w:val="none"/>
        </w:rPr>
        <w:tab/>
      </w:r>
      <w:r>
        <w:rPr>
          <w:rFonts w:hint="eastAsia" w:ascii="宋体" w:hAnsi="宋体" w:eastAsia="宋体" w:cs="宋体"/>
          <w:color w:val="auto"/>
          <w:highlight w:val="none"/>
        </w:rPr>
        <w:t>投诉人必须首先经过质疑程序，在对采购人、采购代理机构的答复不满意，或者采购人、采购代理机构未在规定的时间内作出答复的，可以在答复期满后十五个工作日内书面向</w:t>
      </w:r>
      <w:r>
        <w:rPr>
          <w:rFonts w:hint="eastAsia" w:ascii="宋体" w:hAnsi="宋体" w:eastAsia="宋体" w:cs="宋体"/>
          <w:color w:val="auto"/>
          <w:highlight w:val="none"/>
          <w:lang w:val="en-US" w:eastAsia="zh-CN"/>
        </w:rPr>
        <w:t>保山市财政局政府采购科</w:t>
      </w:r>
      <w:r>
        <w:rPr>
          <w:rFonts w:hint="eastAsia" w:ascii="宋体" w:hAnsi="宋体" w:eastAsia="宋体" w:cs="宋体"/>
          <w:color w:val="auto"/>
          <w:highlight w:val="none"/>
        </w:rPr>
        <w:t>投诉。</w:t>
      </w:r>
    </w:p>
    <w:p w14:paraId="53DAD841">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47" w:name="_Toc86124075"/>
      <w:bookmarkStart w:id="148" w:name="_Toc383175305"/>
      <w:bookmarkStart w:id="149" w:name="_Toc383175503"/>
      <w:bookmarkStart w:id="150" w:name="_Toc383175081"/>
      <w:bookmarkStart w:id="151" w:name="_Toc329810216"/>
      <w:bookmarkStart w:id="152" w:name="_Toc7252761"/>
      <w:r>
        <w:rPr>
          <w:rFonts w:hint="eastAsia" w:ascii="宋体" w:hAnsi="宋体" w:eastAsia="宋体" w:cs="宋体"/>
          <w:b/>
          <w:color w:val="auto"/>
          <w:sz w:val="32"/>
          <w:szCs w:val="32"/>
          <w:highlight w:val="none"/>
        </w:rPr>
        <w:t>采购代理服务费</w:t>
      </w:r>
      <w:bookmarkEnd w:id="147"/>
      <w:bookmarkEnd w:id="148"/>
      <w:bookmarkEnd w:id="149"/>
      <w:bookmarkEnd w:id="150"/>
      <w:bookmarkEnd w:id="151"/>
      <w:bookmarkEnd w:id="152"/>
    </w:p>
    <w:p w14:paraId="6DF8320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23.1</w:t>
      </w:r>
      <w:r>
        <w:rPr>
          <w:rFonts w:hint="eastAsia" w:ascii="宋体" w:hAnsi="宋体" w:eastAsia="宋体" w:cs="宋体"/>
          <w:color w:val="auto"/>
          <w:highlight w:val="none"/>
        </w:rPr>
        <w:tab/>
      </w:r>
      <w:r>
        <w:rPr>
          <w:rFonts w:hint="eastAsia" w:ascii="宋体" w:hAnsi="宋体" w:eastAsia="宋体" w:cs="宋体"/>
          <w:color w:val="auto"/>
          <w:highlight w:val="none"/>
        </w:rPr>
        <w:t>采购代理服务费由采购代理机构向成交人收取，收取标准详见“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510B98B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23.2</w:t>
      </w:r>
      <w:r>
        <w:rPr>
          <w:rFonts w:hint="eastAsia" w:ascii="宋体" w:hAnsi="宋体" w:eastAsia="宋体" w:cs="宋体"/>
          <w:color w:val="auto"/>
          <w:highlight w:val="none"/>
        </w:rPr>
        <w:tab/>
      </w:r>
      <w:r>
        <w:rPr>
          <w:rFonts w:hint="eastAsia" w:ascii="宋体" w:hAnsi="宋体" w:eastAsia="宋体" w:cs="宋体"/>
          <w:color w:val="auto"/>
          <w:highlight w:val="none"/>
        </w:rPr>
        <w:t>成交人应在接受“</w:t>
      </w:r>
      <w:r>
        <w:rPr>
          <w:rFonts w:hint="eastAsia" w:ascii="宋体" w:hAnsi="宋体" w:eastAsia="宋体" w:cs="宋体"/>
          <w:b/>
          <w:bCs/>
          <w:color w:val="auto"/>
          <w:highlight w:val="none"/>
        </w:rPr>
        <w:t>成交通知书</w:t>
      </w:r>
      <w:r>
        <w:rPr>
          <w:rFonts w:hint="eastAsia" w:ascii="宋体" w:hAnsi="宋体" w:eastAsia="宋体" w:cs="宋体"/>
          <w:color w:val="auto"/>
          <w:highlight w:val="none"/>
        </w:rPr>
        <w:t>”时向采购代理机构一次付清代理服务费。</w:t>
      </w:r>
    </w:p>
    <w:p w14:paraId="064EBD1A">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53" w:name="_Toc329810217"/>
      <w:bookmarkStart w:id="154" w:name="_Toc383175306"/>
      <w:bookmarkStart w:id="155" w:name="_Toc7252762"/>
      <w:bookmarkStart w:id="156" w:name="_Toc383175082"/>
      <w:bookmarkStart w:id="157" w:name="_Toc383175504"/>
      <w:r>
        <w:rPr>
          <w:rFonts w:hint="eastAsia" w:ascii="宋体" w:hAnsi="宋体" w:eastAsia="宋体" w:cs="宋体"/>
          <w:b/>
          <w:color w:val="auto"/>
          <w:sz w:val="32"/>
          <w:szCs w:val="32"/>
          <w:highlight w:val="none"/>
        </w:rPr>
        <w:t>磋商文件编制依据</w:t>
      </w:r>
      <w:bookmarkEnd w:id="153"/>
      <w:bookmarkEnd w:id="154"/>
      <w:bookmarkEnd w:id="155"/>
      <w:bookmarkEnd w:id="156"/>
      <w:bookmarkEnd w:id="157"/>
    </w:p>
    <w:p w14:paraId="1EA4CC0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本磋商文件是根据《中华人民共和国政府采购法》及相关法律法规编制。</w:t>
      </w:r>
    </w:p>
    <w:p w14:paraId="186D7676">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58" w:name="_Toc383175083"/>
      <w:bookmarkStart w:id="159" w:name="_Toc383175307"/>
      <w:bookmarkStart w:id="160" w:name="_Toc383175505"/>
      <w:bookmarkStart w:id="161" w:name="_Toc7252763"/>
      <w:bookmarkStart w:id="162" w:name="_Toc329810218"/>
      <w:bookmarkStart w:id="163" w:name="_Toc86124077"/>
      <w:r>
        <w:rPr>
          <w:rFonts w:hint="eastAsia" w:ascii="宋体" w:hAnsi="宋体" w:eastAsia="宋体" w:cs="宋体"/>
          <w:b/>
          <w:color w:val="auto"/>
          <w:sz w:val="32"/>
          <w:szCs w:val="32"/>
          <w:highlight w:val="none"/>
        </w:rPr>
        <w:t>需要补充的其他内容</w:t>
      </w:r>
      <w:bookmarkEnd w:id="158"/>
      <w:bookmarkEnd w:id="159"/>
      <w:bookmarkEnd w:id="160"/>
      <w:bookmarkEnd w:id="161"/>
      <w:bookmarkEnd w:id="162"/>
      <w:bookmarkEnd w:id="163"/>
    </w:p>
    <w:p w14:paraId="4D24992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25.1需要补充的其他内容：见“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w:t>
      </w:r>
    </w:p>
    <w:p w14:paraId="78561475">
      <w:pPr>
        <w:pStyle w:val="48"/>
        <w:numPr>
          <w:ilvl w:val="1"/>
          <w:numId w:val="2"/>
        </w:numPr>
        <w:spacing w:line="360" w:lineRule="auto"/>
        <w:ind w:left="0" w:firstLine="643"/>
        <w:rPr>
          <w:rFonts w:hint="eastAsia" w:ascii="宋体" w:hAnsi="宋体" w:eastAsia="宋体" w:cs="宋体"/>
          <w:b/>
          <w:color w:val="auto"/>
          <w:sz w:val="32"/>
          <w:szCs w:val="32"/>
          <w:highlight w:val="none"/>
        </w:rPr>
      </w:pPr>
      <w:bookmarkStart w:id="164" w:name="_Toc7252765"/>
      <w:r>
        <w:rPr>
          <w:rFonts w:hint="eastAsia" w:ascii="宋体" w:hAnsi="宋体" w:eastAsia="宋体" w:cs="宋体"/>
          <w:b/>
          <w:color w:val="auto"/>
          <w:sz w:val="32"/>
          <w:szCs w:val="32"/>
          <w:highlight w:val="none"/>
        </w:rPr>
        <w:t>特殊事项处理法律依据：</w:t>
      </w:r>
      <w:bookmarkEnd w:id="164"/>
    </w:p>
    <w:p w14:paraId="6B25906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《中华人民共和国政府采购法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中华人民共和国政府采购法实施条例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财政部令第87号、</w:t>
      </w:r>
      <w:r>
        <w:rPr>
          <w:rFonts w:hint="eastAsia" w:ascii="宋体" w:hAnsi="宋体" w:eastAsia="宋体" w:cs="宋体"/>
          <w:color w:val="auto"/>
          <w:highlight w:val="none"/>
          <w:lang w:val="en-US" w:eastAsia="zh-CN"/>
        </w:rPr>
        <w:t>第</w:t>
      </w:r>
      <w:r>
        <w:rPr>
          <w:rFonts w:hint="eastAsia" w:ascii="宋体" w:hAnsi="宋体" w:eastAsia="宋体" w:cs="宋体"/>
          <w:color w:val="auto"/>
          <w:highlight w:val="none"/>
        </w:rPr>
        <w:t>94号、</w:t>
      </w:r>
      <w:r>
        <w:rPr>
          <w:rFonts w:hint="eastAsia" w:ascii="宋体" w:hAnsi="宋体" w:eastAsia="宋体" w:cs="宋体"/>
          <w:color w:val="auto"/>
          <w:highlight w:val="none"/>
          <w:lang w:val="en-US" w:eastAsia="zh-CN"/>
        </w:rPr>
        <w:t>第</w:t>
      </w:r>
      <w:r>
        <w:rPr>
          <w:rFonts w:hint="eastAsia" w:ascii="宋体" w:hAnsi="宋体" w:eastAsia="宋体" w:cs="宋体"/>
          <w:color w:val="auto"/>
          <w:highlight w:val="none"/>
        </w:rPr>
        <w:t>101号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第102号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政府采购竞争性磋商采购方式管理暂行办法</w:t>
      </w:r>
      <w:r>
        <w:rPr>
          <w:rFonts w:hint="eastAsia" w:ascii="宋体" w:hAnsi="宋体" w:eastAsia="宋体" w:cs="宋体"/>
          <w:color w:val="auto"/>
          <w:highlight w:val="none"/>
          <w:lang w:eastAsia="zh-CN"/>
        </w:rPr>
        <w:t>》《云南省政府集中采购目录及标准（202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年版）</w:t>
      </w:r>
      <w:r>
        <w:rPr>
          <w:rFonts w:hint="eastAsia" w:ascii="宋体" w:hAnsi="宋体" w:eastAsia="宋体" w:cs="宋体"/>
          <w:color w:val="auto"/>
          <w:highlight w:val="none"/>
        </w:rPr>
        <w:t>》的相关规定及相关法规性文件。</w:t>
      </w:r>
    </w:p>
    <w:p w14:paraId="7C8B2C84">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785BD70">
      <w:pPr>
        <w:pStyle w:val="3"/>
        <w:spacing w:line="360" w:lineRule="auto"/>
        <w:jc w:val="center"/>
        <w:rPr>
          <w:rFonts w:hint="eastAsia" w:ascii="宋体" w:hAnsi="宋体" w:eastAsia="宋体" w:cs="宋体"/>
          <w:color w:val="auto"/>
          <w:sz w:val="32"/>
          <w:szCs w:val="32"/>
          <w:highlight w:val="none"/>
        </w:rPr>
      </w:pPr>
      <w:bookmarkStart w:id="165" w:name="_Toc7252767"/>
      <w:bookmarkStart w:id="166" w:name="_Toc39092138"/>
      <w:r>
        <w:rPr>
          <w:rFonts w:hint="eastAsia" w:ascii="宋体" w:hAnsi="宋体" w:eastAsia="宋体" w:cs="宋体"/>
          <w:color w:val="auto"/>
          <w:sz w:val="32"/>
          <w:szCs w:val="32"/>
          <w:highlight w:val="none"/>
        </w:rPr>
        <w:t>第三章  合同书样式</w:t>
      </w:r>
      <w:bookmarkEnd w:id="165"/>
      <w:r>
        <w:rPr>
          <w:rFonts w:hint="eastAsia" w:ascii="宋体" w:hAnsi="宋体" w:eastAsia="宋体" w:cs="宋体"/>
          <w:color w:val="auto"/>
          <w:sz w:val="32"/>
          <w:szCs w:val="32"/>
          <w:highlight w:val="none"/>
        </w:rPr>
        <w:t>（参考文本）</w:t>
      </w:r>
      <w:bookmarkEnd w:id="166"/>
    </w:p>
    <w:p w14:paraId="084FD834">
      <w:pPr>
        <w:rPr>
          <w:rFonts w:hint="eastAsia" w:ascii="宋体" w:hAnsi="宋体" w:eastAsia="宋体" w:cs="宋体"/>
          <w:color w:val="auto"/>
          <w:highlight w:val="none"/>
        </w:rPr>
      </w:pPr>
    </w:p>
    <w:p w14:paraId="29E525CB">
      <w:pPr>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（通用合同，仅供参考，具体内容和格式由使用单位及</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单位共同协商拟定）</w:t>
      </w:r>
    </w:p>
    <w:p w14:paraId="692CEA00">
      <w:pPr>
        <w:keepNext/>
        <w:jc w:val="center"/>
        <w:rPr>
          <w:rFonts w:hint="eastAsia" w:ascii="宋体" w:hAnsi="宋体" w:eastAsia="宋体" w:cs="宋体"/>
          <w:b/>
          <w:bCs/>
          <w:color w:val="auto"/>
          <w:kern w:val="0"/>
          <w:sz w:val="24"/>
          <w:highlight w:val="none"/>
        </w:rPr>
      </w:pPr>
    </w:p>
    <w:p w14:paraId="689153B6">
      <w:pPr>
        <w:pStyle w:val="4"/>
        <w:spacing w:line="360" w:lineRule="auto"/>
        <w:jc w:val="center"/>
        <w:rPr>
          <w:rFonts w:hint="eastAsia" w:ascii="宋体" w:hAnsi="宋体" w:eastAsia="宋体" w:cs="宋体"/>
          <w:bCs w:val="0"/>
          <w:color w:val="auto"/>
          <w:sz w:val="44"/>
          <w:szCs w:val="44"/>
          <w:highlight w:val="none"/>
        </w:rPr>
      </w:pPr>
    </w:p>
    <w:tbl>
      <w:tblPr>
        <w:tblStyle w:val="27"/>
        <w:tblW w:w="9750" w:type="dxa"/>
        <w:jc w:val="center"/>
        <w:tblCellSpacing w:w="0" w:type="dxa"/>
        <w:tblLayout w:type="fixed"/>
        <w:tblCellMar>
          <w:top w:w="0" w:type="dxa"/>
          <w:left w:w="0" w:type="dxa"/>
          <w:bottom w:w="0" w:type="dxa"/>
          <w:right w:w="0" w:type="dxa"/>
        </w:tblCellMar>
      </w:tblPr>
      <w:tblGrid>
        <w:gridCol w:w="9750"/>
      </w:tblGrid>
      <w:tr w14:paraId="4DF69D72">
        <w:tblPrEx>
          <w:tblCellMar>
            <w:top w:w="0" w:type="dxa"/>
            <w:left w:w="0" w:type="dxa"/>
            <w:bottom w:w="0" w:type="dxa"/>
            <w:right w:w="0" w:type="dxa"/>
          </w:tblCellMar>
        </w:tblPrEx>
        <w:trPr>
          <w:tblCellSpacing w:w="0" w:type="dxa"/>
          <w:jc w:val="center"/>
        </w:trPr>
        <w:tc>
          <w:tcPr>
            <w:tcW w:w="9750" w:type="dxa"/>
            <w:vAlign w:val="center"/>
          </w:tcPr>
          <w:tbl>
            <w:tblPr>
              <w:tblStyle w:val="27"/>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3D91B0EF">
              <w:tblPrEx>
                <w:tblCellMar>
                  <w:top w:w="0" w:type="dxa"/>
                  <w:left w:w="0" w:type="dxa"/>
                  <w:bottom w:w="0" w:type="dxa"/>
                  <w:right w:w="0" w:type="dxa"/>
                </w:tblCellMar>
              </w:tblPrEx>
              <w:trPr>
                <w:tblCellSpacing w:w="0" w:type="dxa"/>
              </w:trPr>
              <w:tc>
                <w:tcPr>
                  <w:tcW w:w="1306" w:type="dxa"/>
                  <w:vAlign w:val="center"/>
                </w:tcPr>
                <w:p w14:paraId="447D81FE">
                  <w:pPr>
                    <w:widowControl/>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tc>
              <w:tc>
                <w:tcPr>
                  <w:tcW w:w="1281" w:type="dxa"/>
                  <w:vAlign w:val="center"/>
                </w:tcPr>
                <w:p w14:paraId="7767D4D2">
                  <w:pPr>
                    <w:widowControl/>
                    <w:jc w:val="left"/>
                    <w:rPr>
                      <w:rFonts w:hint="eastAsia" w:ascii="宋体" w:hAnsi="宋体" w:eastAsia="宋体" w:cs="宋体"/>
                      <w:color w:val="auto"/>
                      <w:sz w:val="24"/>
                      <w:szCs w:val="24"/>
                      <w:highlight w:val="none"/>
                    </w:rPr>
                  </w:pPr>
                </w:p>
              </w:tc>
              <w:tc>
                <w:tcPr>
                  <w:tcW w:w="1590" w:type="dxa"/>
                  <w:vAlign w:val="center"/>
                </w:tcPr>
                <w:p w14:paraId="7A661BB9">
                  <w:pPr>
                    <w:widowControl/>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合同自编号：</w:t>
                  </w:r>
                </w:p>
              </w:tc>
              <w:tc>
                <w:tcPr>
                  <w:tcW w:w="996" w:type="dxa"/>
                  <w:vAlign w:val="center"/>
                </w:tcPr>
                <w:p w14:paraId="7DA22A48">
                  <w:pPr>
                    <w:widowControl/>
                    <w:jc w:val="left"/>
                    <w:rPr>
                      <w:rFonts w:hint="eastAsia" w:ascii="宋体" w:hAnsi="宋体" w:eastAsia="宋体" w:cs="宋体"/>
                      <w:color w:val="auto"/>
                      <w:sz w:val="24"/>
                      <w:szCs w:val="24"/>
                      <w:highlight w:val="none"/>
                    </w:rPr>
                  </w:pPr>
                </w:p>
              </w:tc>
              <w:tc>
                <w:tcPr>
                  <w:tcW w:w="1138" w:type="dxa"/>
                  <w:vAlign w:val="center"/>
                </w:tcPr>
                <w:p w14:paraId="5C6D4395">
                  <w:pPr>
                    <w:widowControl/>
                    <w:jc w:val="left"/>
                    <w:rPr>
                      <w:rFonts w:hint="eastAsia" w:ascii="宋体" w:hAnsi="宋体" w:eastAsia="宋体" w:cs="宋体"/>
                      <w:color w:val="auto"/>
                      <w:sz w:val="24"/>
                      <w:szCs w:val="24"/>
                      <w:highlight w:val="none"/>
                    </w:rPr>
                  </w:pPr>
                </w:p>
              </w:tc>
              <w:tc>
                <w:tcPr>
                  <w:tcW w:w="1305" w:type="dxa"/>
                  <w:vAlign w:val="center"/>
                </w:tcPr>
                <w:p w14:paraId="4B824197">
                  <w:pPr>
                    <w:widowControl/>
                    <w:spacing w:before="100" w:beforeAutospacing="1" w:after="100" w:afterAutospacing="1"/>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tc>
              <w:tc>
                <w:tcPr>
                  <w:tcW w:w="2134" w:type="dxa"/>
                  <w:vAlign w:val="center"/>
                </w:tcPr>
                <w:p w14:paraId="2151AE90">
                  <w:pPr>
                    <w:widowControl/>
                    <w:jc w:val="left"/>
                    <w:rPr>
                      <w:rFonts w:hint="eastAsia" w:ascii="宋体" w:hAnsi="宋体" w:eastAsia="宋体" w:cs="宋体"/>
                      <w:color w:val="auto"/>
                      <w:sz w:val="24"/>
                      <w:szCs w:val="24"/>
                      <w:highlight w:val="none"/>
                    </w:rPr>
                  </w:pPr>
                </w:p>
              </w:tc>
            </w:tr>
          </w:tbl>
          <w:p w14:paraId="564A558E">
            <w:pPr>
              <w:widowControl/>
              <w:spacing w:after="240"/>
              <w:jc w:val="left"/>
              <w:rPr>
                <w:rFonts w:hint="eastAsia" w:ascii="宋体" w:hAnsi="宋体" w:eastAsia="宋体" w:cs="宋体"/>
                <w:color w:val="auto"/>
                <w:sz w:val="24"/>
                <w:szCs w:val="24"/>
                <w:highlight w:val="none"/>
              </w:rPr>
            </w:pPr>
          </w:p>
          <w:p w14:paraId="25462F52">
            <w:pPr>
              <w:pStyle w:val="26"/>
              <w:ind w:left="560"/>
              <w:rPr>
                <w:rFonts w:hint="eastAsia" w:ascii="宋体" w:hAnsi="宋体" w:eastAsia="宋体" w:cs="宋体"/>
                <w:color w:val="auto"/>
                <w:highlight w:val="none"/>
              </w:rPr>
            </w:pPr>
          </w:p>
        </w:tc>
      </w:tr>
      <w:tr w14:paraId="0F43D410">
        <w:tblPrEx>
          <w:tblCellMar>
            <w:top w:w="0" w:type="dxa"/>
            <w:left w:w="0" w:type="dxa"/>
            <w:bottom w:w="0" w:type="dxa"/>
            <w:right w:w="0" w:type="dxa"/>
          </w:tblCellMar>
        </w:tblPrEx>
        <w:trPr>
          <w:trHeight w:val="1319" w:hRule="atLeast"/>
          <w:tblCellSpacing w:w="0" w:type="dxa"/>
          <w:jc w:val="center"/>
        </w:trPr>
        <w:tc>
          <w:tcPr>
            <w:tcW w:w="9750" w:type="dxa"/>
            <w:vAlign w:val="center"/>
          </w:tcPr>
          <w:p w14:paraId="3AE6C1DF">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●本合同须加盖甲乙双方骑缝章有效</w:t>
            </w:r>
          </w:p>
          <w:p w14:paraId="028E1138">
            <w:pPr>
              <w:pStyle w:val="26"/>
              <w:ind w:left="560"/>
              <w:rPr>
                <w:rFonts w:hint="eastAsia" w:ascii="宋体" w:hAnsi="宋体" w:eastAsia="宋体" w:cs="宋体"/>
                <w:color w:val="auto"/>
                <w:highlight w:val="none"/>
              </w:rPr>
            </w:pPr>
          </w:p>
          <w:p w14:paraId="2C0A1593">
            <w:pPr>
              <w:pStyle w:val="26"/>
              <w:ind w:left="560"/>
              <w:rPr>
                <w:rFonts w:hint="eastAsia" w:ascii="宋体" w:hAnsi="宋体" w:eastAsia="宋体" w:cs="宋体"/>
                <w:color w:val="auto"/>
                <w:highlight w:val="none"/>
              </w:rPr>
            </w:pPr>
          </w:p>
        </w:tc>
      </w:tr>
      <w:tr w14:paraId="0BED6066">
        <w:tblPrEx>
          <w:tblCellMar>
            <w:top w:w="0" w:type="dxa"/>
            <w:left w:w="0" w:type="dxa"/>
            <w:bottom w:w="0" w:type="dxa"/>
            <w:right w:w="0" w:type="dxa"/>
          </w:tblCellMar>
        </w:tblPrEx>
        <w:trPr>
          <w:tblCellSpacing w:w="0" w:type="dxa"/>
          <w:jc w:val="center"/>
        </w:trPr>
        <w:tc>
          <w:tcPr>
            <w:tcW w:w="9750" w:type="dxa"/>
            <w:vAlign w:val="center"/>
          </w:tcPr>
          <w:p w14:paraId="0D9583D3">
            <w:pPr>
              <w:widowControl/>
              <w:spacing w:after="240"/>
              <w:jc w:val="center"/>
              <w:rPr>
                <w:rFonts w:hint="eastAsia" w:ascii="宋体" w:hAnsi="宋体" w:eastAsia="宋体" w:cs="宋体"/>
                <w:color w:val="auto"/>
                <w:sz w:val="24"/>
                <w:szCs w:val="24"/>
                <w:highlight w:val="none"/>
              </w:rPr>
            </w:pPr>
            <w:r>
              <w:rPr>
                <w:rFonts w:hint="eastAsia" w:ascii="宋体" w:hAnsi="宋体" w:eastAsia="宋体" w:cs="宋体"/>
                <w:color w:val="auto"/>
                <w:sz w:val="39"/>
                <w:szCs w:val="39"/>
                <w:highlight w:val="none"/>
              </w:rPr>
              <w:t>云南省政府采购</w:t>
            </w:r>
          </w:p>
        </w:tc>
      </w:tr>
      <w:tr w14:paraId="3C34681E">
        <w:tblPrEx>
          <w:tblCellMar>
            <w:top w:w="0" w:type="dxa"/>
            <w:left w:w="0" w:type="dxa"/>
            <w:bottom w:w="0" w:type="dxa"/>
            <w:right w:w="0" w:type="dxa"/>
          </w:tblCellMar>
        </w:tblPrEx>
        <w:trPr>
          <w:tblCellSpacing w:w="0" w:type="dxa"/>
          <w:jc w:val="center"/>
        </w:trPr>
        <w:tc>
          <w:tcPr>
            <w:tcW w:w="9750" w:type="dxa"/>
            <w:vAlign w:val="center"/>
          </w:tcPr>
          <w:p w14:paraId="2B218E1D">
            <w:pPr>
              <w:widowControl/>
              <w:spacing w:after="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（委托采购） </w:t>
            </w:r>
          </w:p>
          <w:p w14:paraId="5EAC7126">
            <w:pPr>
              <w:pStyle w:val="26"/>
              <w:ind w:left="560"/>
              <w:rPr>
                <w:rFonts w:hint="eastAsia" w:ascii="宋体" w:hAnsi="宋体" w:eastAsia="宋体" w:cs="宋体"/>
                <w:color w:val="auto"/>
                <w:highlight w:val="none"/>
              </w:rPr>
            </w:pPr>
          </w:p>
          <w:p w14:paraId="04A225AC">
            <w:pPr>
              <w:pStyle w:val="26"/>
              <w:ind w:left="560"/>
              <w:rPr>
                <w:rFonts w:hint="eastAsia" w:ascii="宋体" w:hAnsi="宋体" w:eastAsia="宋体" w:cs="宋体"/>
                <w:color w:val="auto"/>
                <w:highlight w:val="none"/>
              </w:rPr>
            </w:pPr>
          </w:p>
        </w:tc>
      </w:tr>
      <w:tr w14:paraId="59C60D2B">
        <w:tblPrEx>
          <w:tblCellMar>
            <w:top w:w="0" w:type="dxa"/>
            <w:left w:w="0" w:type="dxa"/>
            <w:bottom w:w="0" w:type="dxa"/>
            <w:right w:w="0" w:type="dxa"/>
          </w:tblCellMar>
        </w:tblPrEx>
        <w:trPr>
          <w:tblCellSpacing w:w="0" w:type="dxa"/>
          <w:jc w:val="center"/>
        </w:trPr>
        <w:tc>
          <w:tcPr>
            <w:tcW w:w="9750" w:type="dxa"/>
            <w:vAlign w:val="center"/>
          </w:tcPr>
          <w:p w14:paraId="3D69A232">
            <w:pPr>
              <w:widowControl/>
              <w:spacing w:after="240"/>
              <w:jc w:val="center"/>
              <w:rPr>
                <w:rFonts w:hint="eastAsia" w:ascii="宋体" w:hAnsi="宋体" w:eastAsia="宋体" w:cs="宋体"/>
                <w:color w:val="auto"/>
                <w:sz w:val="24"/>
                <w:szCs w:val="24"/>
                <w:highlight w:val="none"/>
              </w:rPr>
            </w:pPr>
            <w:r>
              <w:rPr>
                <w:rFonts w:hint="eastAsia" w:ascii="宋体" w:hAnsi="宋体" w:eastAsia="宋体" w:cs="宋体"/>
                <w:color w:val="auto"/>
                <w:sz w:val="63"/>
                <w:szCs w:val="63"/>
                <w:highlight w:val="none"/>
              </w:rPr>
              <w:t>合</w:t>
            </w:r>
          </w:p>
        </w:tc>
      </w:tr>
      <w:tr w14:paraId="52949F58">
        <w:tblPrEx>
          <w:tblCellMar>
            <w:top w:w="0" w:type="dxa"/>
            <w:left w:w="0" w:type="dxa"/>
            <w:bottom w:w="0" w:type="dxa"/>
            <w:right w:w="0" w:type="dxa"/>
          </w:tblCellMar>
        </w:tblPrEx>
        <w:trPr>
          <w:tblCellSpacing w:w="0" w:type="dxa"/>
          <w:jc w:val="center"/>
        </w:trPr>
        <w:tc>
          <w:tcPr>
            <w:tcW w:w="9750" w:type="dxa"/>
            <w:vAlign w:val="center"/>
          </w:tcPr>
          <w:p w14:paraId="69EBA795">
            <w:pPr>
              <w:widowControl/>
              <w:spacing w:after="240"/>
              <w:jc w:val="center"/>
              <w:rPr>
                <w:rFonts w:hint="eastAsia" w:ascii="宋体" w:hAnsi="宋体" w:eastAsia="宋体" w:cs="宋体"/>
                <w:color w:val="auto"/>
                <w:sz w:val="24"/>
                <w:szCs w:val="24"/>
                <w:highlight w:val="none"/>
              </w:rPr>
            </w:pPr>
            <w:r>
              <w:rPr>
                <w:rFonts w:hint="eastAsia" w:ascii="宋体" w:hAnsi="宋体" w:eastAsia="宋体" w:cs="宋体"/>
                <w:color w:val="auto"/>
                <w:sz w:val="63"/>
                <w:szCs w:val="63"/>
                <w:highlight w:val="none"/>
              </w:rPr>
              <w:t>同</w:t>
            </w:r>
          </w:p>
        </w:tc>
      </w:tr>
      <w:tr w14:paraId="2CDE5184">
        <w:tblPrEx>
          <w:tblCellMar>
            <w:top w:w="0" w:type="dxa"/>
            <w:left w:w="0" w:type="dxa"/>
            <w:bottom w:w="0" w:type="dxa"/>
            <w:right w:w="0" w:type="dxa"/>
          </w:tblCellMar>
        </w:tblPrEx>
        <w:trPr>
          <w:tblCellSpacing w:w="0" w:type="dxa"/>
          <w:jc w:val="center"/>
        </w:trPr>
        <w:tc>
          <w:tcPr>
            <w:tcW w:w="9750" w:type="dxa"/>
            <w:vAlign w:val="center"/>
          </w:tcPr>
          <w:p w14:paraId="3DD331B5">
            <w:pPr>
              <w:widowControl/>
              <w:spacing w:after="240"/>
              <w:jc w:val="center"/>
              <w:rPr>
                <w:rFonts w:hint="eastAsia" w:ascii="宋体" w:hAnsi="宋体" w:eastAsia="宋体" w:cs="宋体"/>
                <w:color w:val="auto"/>
                <w:sz w:val="63"/>
                <w:szCs w:val="63"/>
                <w:highlight w:val="none"/>
              </w:rPr>
            </w:pPr>
            <w:r>
              <w:rPr>
                <w:rFonts w:hint="eastAsia" w:ascii="宋体" w:hAnsi="宋体" w:eastAsia="宋体" w:cs="宋体"/>
                <w:color w:val="auto"/>
                <w:sz w:val="63"/>
                <w:szCs w:val="63"/>
                <w:highlight w:val="none"/>
              </w:rPr>
              <w:t>书</w:t>
            </w:r>
          </w:p>
          <w:p w14:paraId="0638DB99">
            <w:pPr>
              <w:pStyle w:val="26"/>
              <w:ind w:left="560"/>
              <w:rPr>
                <w:rFonts w:hint="eastAsia" w:ascii="宋体" w:hAnsi="宋体" w:eastAsia="宋体" w:cs="宋体"/>
                <w:color w:val="auto"/>
                <w:highlight w:val="none"/>
              </w:rPr>
            </w:pPr>
          </w:p>
          <w:p w14:paraId="5BAE339C">
            <w:pPr>
              <w:pStyle w:val="26"/>
              <w:ind w:left="560"/>
              <w:rPr>
                <w:rFonts w:hint="eastAsia" w:ascii="宋体" w:hAnsi="宋体" w:eastAsia="宋体" w:cs="宋体"/>
                <w:color w:val="auto"/>
                <w:highlight w:val="none"/>
              </w:rPr>
            </w:pPr>
          </w:p>
          <w:p w14:paraId="23433AE7">
            <w:pPr>
              <w:widowControl/>
              <w:spacing w:after="240"/>
              <w:jc w:val="center"/>
              <w:rPr>
                <w:rFonts w:hint="eastAsia" w:ascii="宋体" w:hAnsi="宋体" w:eastAsia="宋体" w:cs="宋体"/>
                <w:color w:val="auto"/>
                <w:sz w:val="24"/>
                <w:szCs w:val="24"/>
                <w:highlight w:val="none"/>
              </w:rPr>
            </w:pPr>
          </w:p>
          <w:p w14:paraId="29FF9DB2">
            <w:pPr>
              <w:pStyle w:val="26"/>
              <w:ind w:left="560"/>
              <w:rPr>
                <w:rFonts w:hint="eastAsia" w:ascii="宋体" w:hAnsi="宋体" w:eastAsia="宋体" w:cs="宋体"/>
                <w:color w:val="auto"/>
                <w:highlight w:val="none"/>
              </w:rPr>
            </w:pPr>
          </w:p>
        </w:tc>
      </w:tr>
      <w:tr w14:paraId="1991A944">
        <w:tblPrEx>
          <w:tblCellMar>
            <w:top w:w="0" w:type="dxa"/>
            <w:left w:w="0" w:type="dxa"/>
            <w:bottom w:w="0" w:type="dxa"/>
            <w:right w:w="0" w:type="dxa"/>
          </w:tblCellMar>
        </w:tblPrEx>
        <w:trPr>
          <w:tblCellSpacing w:w="0" w:type="dxa"/>
          <w:jc w:val="center"/>
        </w:trPr>
        <w:tc>
          <w:tcPr>
            <w:tcW w:w="9750" w:type="dxa"/>
            <w:vAlign w:val="center"/>
          </w:tcPr>
          <w:p w14:paraId="7F67E681">
            <w:pPr>
              <w:widowControl/>
              <w:spacing w:after="24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7"/>
                <w:highlight w:val="none"/>
              </w:rPr>
              <w:t>签订地点：    </w:t>
            </w:r>
          </w:p>
        </w:tc>
      </w:tr>
      <w:tr w14:paraId="17B1AFDF">
        <w:tblPrEx>
          <w:tblCellMar>
            <w:top w:w="0" w:type="dxa"/>
            <w:left w:w="0" w:type="dxa"/>
            <w:bottom w:w="0" w:type="dxa"/>
            <w:right w:w="0" w:type="dxa"/>
          </w:tblCellMar>
        </w:tblPrEx>
        <w:trPr>
          <w:tblCellSpacing w:w="0" w:type="dxa"/>
          <w:jc w:val="center"/>
        </w:trPr>
        <w:tc>
          <w:tcPr>
            <w:tcW w:w="9750" w:type="dxa"/>
            <w:vAlign w:val="center"/>
          </w:tcPr>
          <w:p w14:paraId="663C0D69">
            <w:pPr>
              <w:widowControl/>
              <w:spacing w:after="240"/>
              <w:jc w:val="center"/>
              <w:rPr>
                <w:rFonts w:hint="eastAsia" w:ascii="宋体" w:hAnsi="宋体" w:eastAsia="宋体" w:cs="宋体"/>
                <w:color w:val="auto"/>
                <w:sz w:val="24"/>
                <w:szCs w:val="24"/>
                <w:highlight w:val="none"/>
              </w:rPr>
            </w:pPr>
          </w:p>
        </w:tc>
      </w:tr>
      <w:tr w14:paraId="5BA195AC">
        <w:tblPrEx>
          <w:tblCellMar>
            <w:top w:w="0" w:type="dxa"/>
            <w:left w:w="0" w:type="dxa"/>
            <w:bottom w:w="0" w:type="dxa"/>
            <w:right w:w="0" w:type="dxa"/>
          </w:tblCellMar>
        </w:tblPrEx>
        <w:trPr>
          <w:trHeight w:val="910" w:hRule="atLeast"/>
          <w:tblCellSpacing w:w="0" w:type="dxa"/>
          <w:jc w:val="center"/>
        </w:trPr>
        <w:tc>
          <w:tcPr>
            <w:tcW w:w="9750" w:type="dxa"/>
            <w:vAlign w:val="center"/>
          </w:tcPr>
          <w:p w14:paraId="310B7F90">
            <w:pPr>
              <w:widowControl/>
              <w:spacing w:before="100" w:beforeAutospacing="1" w:after="100" w:afterAutospacing="1"/>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7"/>
                <w:highlight w:val="none"/>
              </w:rPr>
              <w:t>云南省签订合同制</w:t>
            </w:r>
          </w:p>
        </w:tc>
      </w:tr>
    </w:tbl>
    <w:p w14:paraId="2991C4B0">
      <w:pPr>
        <w:spacing w:line="72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rPr>
        <w:t>政府采购合同书</w:t>
      </w:r>
      <w:r>
        <w:rPr>
          <w:rFonts w:hint="eastAsia" w:ascii="宋体" w:hAnsi="宋体" w:eastAsia="宋体" w:cs="宋体"/>
          <w:b/>
          <w:color w:val="auto"/>
          <w:sz w:val="32"/>
          <w:szCs w:val="32"/>
          <w:highlight w:val="none"/>
        </w:rPr>
        <w:t>（格式）</w:t>
      </w:r>
    </w:p>
    <w:p w14:paraId="50A17562">
      <w:pPr>
        <w:snapToGrid w:val="0"/>
        <w:spacing w:line="400" w:lineRule="exact"/>
        <w:ind w:right="480" w:firstLine="5040" w:firstLineChars="2400"/>
        <w:rPr>
          <w:rFonts w:hint="eastAsia" w:ascii="宋体" w:hAnsi="宋体" w:eastAsia="宋体" w:cs="宋体"/>
          <w:color w:val="auto"/>
          <w:szCs w:val="21"/>
          <w:highlight w:val="none"/>
        </w:rPr>
      </w:pPr>
    </w:p>
    <w:p w14:paraId="7C8748D0">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63329120">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79D1647F">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分标号（有分标时填写）：</w:t>
      </w:r>
    </w:p>
    <w:p w14:paraId="4FCF760B">
      <w:pPr>
        <w:spacing w:line="520" w:lineRule="exact"/>
        <w:rPr>
          <w:rFonts w:hint="eastAsia" w:ascii="宋体" w:hAnsi="宋体" w:eastAsia="宋体" w:cs="宋体"/>
          <w:color w:val="auto"/>
          <w:sz w:val="24"/>
          <w:szCs w:val="24"/>
          <w:highlight w:val="none"/>
        </w:rPr>
      </w:pPr>
    </w:p>
    <w:p w14:paraId="33AFF562">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628B7D19">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4AAAEDBA">
      <w:pPr>
        <w:spacing w:line="520" w:lineRule="exact"/>
        <w:rPr>
          <w:rFonts w:hint="eastAsia" w:ascii="宋体" w:hAnsi="宋体" w:eastAsia="宋体" w:cs="宋体"/>
          <w:b/>
          <w:color w:val="auto"/>
          <w:sz w:val="24"/>
          <w:szCs w:val="24"/>
          <w:highlight w:val="none"/>
        </w:rPr>
      </w:pPr>
    </w:p>
    <w:p w14:paraId="4966B647">
      <w:pPr>
        <w:spacing w:line="52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根据  年  月  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政府采购项目的采购结果，甲方接受乙方对本项目的投标文件，甲、乙双方同意签署本合同（以下简称合同）。</w:t>
      </w:r>
    </w:p>
    <w:p w14:paraId="4A2CD2ED">
      <w:pPr>
        <w:spacing w:line="520" w:lineRule="exact"/>
        <w:rPr>
          <w:rFonts w:hint="eastAsia" w:ascii="宋体" w:hAnsi="宋体" w:eastAsia="宋体" w:cs="宋体"/>
          <w:b/>
          <w:color w:val="auto"/>
          <w:sz w:val="24"/>
          <w:szCs w:val="24"/>
          <w:highlight w:val="none"/>
        </w:rPr>
      </w:pPr>
    </w:p>
    <w:p w14:paraId="176283C9">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  采购内容</w:t>
      </w:r>
    </w:p>
    <w:p w14:paraId="2C634095">
      <w:pPr>
        <w:tabs>
          <w:tab w:val="left" w:pos="5220"/>
        </w:tabs>
        <w:spacing w:line="52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 服务名称：</w:t>
      </w:r>
    </w:p>
    <w:p w14:paraId="75F8F6DB">
      <w:pPr>
        <w:tabs>
          <w:tab w:val="left" w:pos="522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1.2采购内容：</w:t>
      </w:r>
    </w:p>
    <w:p w14:paraId="77AF7651">
      <w:pPr>
        <w:tabs>
          <w:tab w:val="left" w:pos="5145"/>
        </w:tabs>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  合同金额</w:t>
      </w:r>
    </w:p>
    <w:p w14:paraId="049F5ABF">
      <w:pPr>
        <w:tabs>
          <w:tab w:val="left" w:pos="5250"/>
          <w:tab w:val="left" w:pos="5940"/>
        </w:tabs>
        <w:spacing w:line="520" w:lineRule="exact"/>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 本合同金额为人民币（大写）：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3041E518">
      <w:pPr>
        <w:tabs>
          <w:tab w:val="left" w:pos="5250"/>
          <w:tab w:val="left" w:pos="5940"/>
        </w:tabs>
        <w:spacing w:line="520" w:lineRule="exact"/>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2.2合同金额明细表</w:t>
      </w:r>
    </w:p>
    <w:p w14:paraId="7E16E1A3">
      <w:pPr>
        <w:pStyle w:val="41"/>
        <w:spacing w:line="520" w:lineRule="exact"/>
        <w:rPr>
          <w:rFonts w:hint="eastAsia" w:ascii="宋体" w:hAnsi="宋体" w:eastAsia="宋体" w:cs="宋体"/>
          <w:color w:val="auto"/>
          <w:sz w:val="24"/>
          <w:szCs w:val="24"/>
          <w:highlight w:val="none"/>
        </w:rPr>
      </w:pPr>
    </w:p>
    <w:p w14:paraId="2538D4F9">
      <w:pPr>
        <w:pStyle w:val="41"/>
        <w:spacing w:line="520" w:lineRule="exact"/>
        <w:rPr>
          <w:rFonts w:hint="eastAsia" w:ascii="宋体" w:hAnsi="宋体" w:eastAsia="宋体" w:cs="宋体"/>
          <w:color w:val="auto"/>
          <w:sz w:val="24"/>
          <w:szCs w:val="24"/>
          <w:highlight w:val="none"/>
        </w:rPr>
      </w:pPr>
    </w:p>
    <w:p w14:paraId="46EE39B2">
      <w:pPr>
        <w:pStyle w:val="41"/>
        <w:spacing w:line="520" w:lineRule="exact"/>
        <w:rPr>
          <w:rFonts w:hint="eastAsia" w:ascii="宋体" w:hAnsi="宋体" w:eastAsia="宋体" w:cs="宋体"/>
          <w:color w:val="auto"/>
          <w:sz w:val="24"/>
          <w:szCs w:val="24"/>
          <w:highlight w:val="none"/>
        </w:rPr>
      </w:pPr>
    </w:p>
    <w:p w14:paraId="07E745C8">
      <w:pPr>
        <w:tabs>
          <w:tab w:val="left" w:pos="5940"/>
        </w:tabs>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  项目完成期限要求</w:t>
      </w:r>
    </w:p>
    <w:p w14:paraId="662B55A4">
      <w:pPr>
        <w:tabs>
          <w:tab w:val="left" w:pos="5220"/>
        </w:tabs>
        <w:spacing w:line="520" w:lineRule="exact"/>
        <w:ind w:firstLine="36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3.1 项目完成期限（合同履行期限）：</w:t>
      </w:r>
    </w:p>
    <w:p w14:paraId="314EDD1F">
      <w:pPr>
        <w:spacing w:line="520" w:lineRule="exact"/>
        <w:ind w:firstLine="3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 项目实施地点：</w:t>
      </w:r>
    </w:p>
    <w:p w14:paraId="75831F3A">
      <w:pPr>
        <w:spacing w:line="520" w:lineRule="exact"/>
        <w:ind w:firstLine="36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3.3</w:t>
      </w:r>
      <w:r>
        <w:rPr>
          <w:rFonts w:hint="eastAsia" w:ascii="宋体" w:hAnsi="宋体" w:eastAsia="宋体" w:cs="宋体"/>
          <w:color w:val="auto"/>
          <w:sz w:val="24"/>
          <w:szCs w:val="24"/>
          <w:highlight w:val="none"/>
        </w:rPr>
        <w:t>乙方必须按</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文件承诺的技术标准、性能要求、质量标准等向甲方提供符合采购要求及验收要求的服务成果。</w:t>
      </w:r>
    </w:p>
    <w:p w14:paraId="366CD31F">
      <w:pPr>
        <w:spacing w:line="520" w:lineRule="exact"/>
        <w:ind w:left="410" w:hanging="410" w:hangingChars="170"/>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4.  履约保证金</w:t>
      </w:r>
    </w:p>
    <w:p w14:paraId="7F30642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乙方在签订后向甲方提供合同总金额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%的履约保证金。</w:t>
      </w:r>
    </w:p>
    <w:p w14:paraId="12CECB7F">
      <w:pPr>
        <w:spacing w:line="520" w:lineRule="exact"/>
        <w:ind w:left="412" w:hanging="412" w:hangingChars="171"/>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5.  产权</w:t>
      </w:r>
    </w:p>
    <w:p w14:paraId="3D332177">
      <w:pPr>
        <w:spacing w:line="52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5.1 乙方应保证所提供的服务或其任何一部分均不会侵犯任何第三方的专利权、商标权或著作权</w:t>
      </w:r>
      <w:r>
        <w:rPr>
          <w:rFonts w:hint="eastAsia" w:ascii="宋体" w:hAnsi="宋体" w:eastAsia="宋体" w:cs="宋体"/>
          <w:bCs/>
          <w:color w:val="auto"/>
          <w:sz w:val="24"/>
          <w:szCs w:val="24"/>
          <w:highlight w:val="none"/>
        </w:rPr>
        <w:t>。</w:t>
      </w:r>
    </w:p>
    <w:p w14:paraId="0E8751DF">
      <w:pPr>
        <w:spacing w:line="520" w:lineRule="exact"/>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5.2 乙方保证所交付服务的所有权完全属于乙方且无任何抵押、查封等产权瑕疵。如乙方所交付服务有产权瑕疵的，视为乙方违约，按照本合同第10.3项的约定处理。但在已经全部支付完合同款后才发现有产权瑕疵的，乙方除了支付违约金还应负担甲方由此产生的一切损失。</w:t>
      </w:r>
    </w:p>
    <w:p w14:paraId="5083D892">
      <w:pPr>
        <w:spacing w:line="52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6.  技术资料</w:t>
      </w:r>
    </w:p>
    <w:p w14:paraId="5506D73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甲方向乙方提供服务的有关技术资料。</w:t>
      </w:r>
    </w:p>
    <w:p w14:paraId="58EDDB4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乙方应在采购文件规定的时间向甲方提供使用服务的有关技术资料。</w:t>
      </w:r>
    </w:p>
    <w:p w14:paraId="323F129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p>
    <w:p w14:paraId="2B81A2DC">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  验收</w:t>
      </w:r>
    </w:p>
    <w:p w14:paraId="41C5D22B">
      <w:pPr>
        <w:tabs>
          <w:tab w:val="left" w:pos="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乙方应对提交的服务成果作出全面检查和整理，并列出清单，作为甲方验收和使用的技术条件依据，清单应随提交的服务成果交给甲方。</w:t>
      </w:r>
    </w:p>
    <w:p w14:paraId="4DB37D40">
      <w:pPr>
        <w:tabs>
          <w:tab w:val="left" w:pos="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乙方在指定地点提交服务成果后，甲方应在  个工作日内依据采购文件、乙方的竞标文件等组织验收，验收完毕后作出书面验收报告。验收时乙方必须在现场。</w:t>
      </w:r>
    </w:p>
    <w:p w14:paraId="22EC086E">
      <w:pPr>
        <w:tabs>
          <w:tab w:val="left" w:pos="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对复杂的服务，甲方可请国家认可的专业机构参与验收，并由其出具验收报告，相关费用由甲方承担。</w:t>
      </w:r>
    </w:p>
    <w:p w14:paraId="05DB56AE">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  合同款支付</w:t>
      </w:r>
    </w:p>
    <w:p w14:paraId="3F57FD3A">
      <w:pPr>
        <w:tabs>
          <w:tab w:val="left" w:pos="5145"/>
          <w:tab w:val="left" w:pos="5355"/>
          <w:tab w:val="left" w:pos="6195"/>
        </w:tabs>
        <w:spacing w:line="520" w:lineRule="exact"/>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8.1 付款方式：    。</w:t>
      </w:r>
    </w:p>
    <w:p w14:paraId="360A5ACC">
      <w:pPr>
        <w:tabs>
          <w:tab w:val="left" w:pos="5145"/>
          <w:tab w:val="left" w:pos="5355"/>
          <w:tab w:val="left" w:pos="6195"/>
        </w:tabs>
        <w:spacing w:line="520" w:lineRule="exact"/>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8.2 付款流程：甲方在上述规定时间内向财政部门提交付款申请，财政部门受理后则视为甲方已向乙方进行支付合同款项。</w:t>
      </w:r>
    </w:p>
    <w:p w14:paraId="650243BC">
      <w:pPr>
        <w:tabs>
          <w:tab w:val="left" w:pos="5145"/>
          <w:tab w:val="left" w:pos="5355"/>
          <w:tab w:val="left" w:pos="6195"/>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政府采购过程中，如采购人、供应商或采购代理机构存在违法行为，政府采购监督管理部门可视情况书面通知采购人暂停采购活动，并延期支付合同款。</w:t>
      </w:r>
    </w:p>
    <w:p w14:paraId="57BE8F1B">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w:t>
      </w:r>
      <w:r>
        <w:rPr>
          <w:rFonts w:hint="eastAsia" w:ascii="宋体" w:hAnsi="宋体" w:eastAsia="宋体" w:cs="宋体"/>
          <w:b/>
          <w:bCs/>
          <w:color w:val="auto"/>
          <w:sz w:val="24"/>
          <w:szCs w:val="24"/>
          <w:highlight w:val="none"/>
          <w:lang w:eastAsia="zh-CN"/>
        </w:rPr>
        <w:t>售后运维服务</w:t>
      </w:r>
      <w:r>
        <w:rPr>
          <w:rFonts w:hint="eastAsia" w:ascii="宋体" w:hAnsi="宋体" w:eastAsia="宋体" w:cs="宋体"/>
          <w:b/>
          <w:bCs/>
          <w:color w:val="auto"/>
          <w:sz w:val="24"/>
          <w:szCs w:val="24"/>
          <w:highlight w:val="none"/>
        </w:rPr>
        <w:t>要求</w:t>
      </w:r>
    </w:p>
    <w:p w14:paraId="0C43AE1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乙方提供服务的质量保证期为：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（自提交服务验收合格之日起计）</w:t>
      </w:r>
    </w:p>
    <w:p w14:paraId="0C3DA74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9.2在本合同第9.1项约定的质量保证期内，乙方应对服务出现的问题负责处理解决并承担一切费用。</w:t>
      </w:r>
    </w:p>
    <w:p w14:paraId="17945BAA">
      <w:pPr>
        <w:tabs>
          <w:tab w:val="left" w:pos="5250"/>
        </w:tabs>
        <w:spacing w:line="52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9.3 其他</w:t>
      </w:r>
      <w:r>
        <w:rPr>
          <w:rFonts w:hint="eastAsia" w:ascii="宋体" w:hAnsi="宋体" w:eastAsia="宋体" w:cs="宋体"/>
          <w:color w:val="auto"/>
          <w:sz w:val="24"/>
          <w:szCs w:val="24"/>
          <w:highlight w:val="none"/>
          <w:lang w:eastAsia="zh-CN"/>
        </w:rPr>
        <w:t>售后运维服务</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u w:val="single"/>
        </w:rPr>
        <w:t xml:space="preserve">                         。</w:t>
      </w:r>
    </w:p>
    <w:p w14:paraId="2F5BE868">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  违约责任</w:t>
      </w:r>
    </w:p>
    <w:p w14:paraId="6F09FF5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甲方无正当理由拒收服务的，甲方向乙方偿付拒收服务费总值的违约金。</w:t>
      </w:r>
    </w:p>
    <w:p w14:paraId="3D3B5A7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甲方无故逾期验收或办理合同款支付手续的，甲方应按逾期付款总额每日向乙方支付违约金。</w:t>
      </w:r>
    </w:p>
    <w:p w14:paraId="3AC1CE0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乙方逾期交付服务的，乙方应按逾期提供服务总额每日向甲方支付违约金，由甲方从待付服务费中扣除。逾期超过约定日期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个工作日不能提供服务的，甲方可解除本合同。乙方因逾期提供服务或因其他违约行为导致甲方解除合同的，乙方应向甲方支付合同总值的违约金，如造成甲方损失超过违约金的，超出部分由乙方继续承担赔偿责任。</w:t>
      </w:r>
    </w:p>
    <w:p w14:paraId="7E26C1D9">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  不可抗力事件处理</w:t>
      </w:r>
    </w:p>
    <w:p w14:paraId="3EAC345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在合同有效期内，任何一方因不可抗力事件导致不能履行合同，则合同履行期可延长，其延长期与不可抗力影响期相同。</w:t>
      </w:r>
    </w:p>
    <w:p w14:paraId="3EE2217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不可抗力事件发生后，应立即通知对方，并寄送有关权威机构出具的证明。</w:t>
      </w:r>
    </w:p>
    <w:p w14:paraId="67B01BD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不可抗力事件延续120天以上，双方应通过友好协商，确定是否继续履行合同。</w:t>
      </w:r>
    </w:p>
    <w:p w14:paraId="60EF21E2">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  诉讼</w:t>
      </w:r>
    </w:p>
    <w:p w14:paraId="06D2608B">
      <w:pPr>
        <w:tabs>
          <w:tab w:val="left" w:pos="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双方在执行合同中所发生的一切争议，应通过协商解决。如协商不成，可向合同签订的法院起诉，合同签订地在此约定为保山市隆阳区。</w:t>
      </w:r>
    </w:p>
    <w:p w14:paraId="64051737">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  合同生效及其他</w:t>
      </w:r>
    </w:p>
    <w:p w14:paraId="3B0CCEF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合同经双方法定代表人或授权委托代理人签字并加盖单位公章后生效。</w:t>
      </w:r>
    </w:p>
    <w:p w14:paraId="759C085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合同执行中涉及采购资金和采购内容修改或补充的，须经本级财政部门审批，并签订书面补充协议报政府采购监督管理部门备案，方可作为主合同不可分割的一部分。</w:t>
      </w:r>
    </w:p>
    <w:p w14:paraId="2E1F259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下述合同附件为本合同不可分割的部分并与本合同具有同等效力：</w:t>
      </w:r>
    </w:p>
    <w:p w14:paraId="45F699F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0891CB7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（2）采购需求；</w:t>
      </w:r>
    </w:p>
    <w:p w14:paraId="43ACA99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（3）文件的澄清和修改；</w:t>
      </w:r>
    </w:p>
    <w:p w14:paraId="574FE1D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（4）投标文件；</w:t>
      </w:r>
    </w:p>
    <w:p w14:paraId="7367F43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（5）相关技术资料表、商务条款偏离表；</w:t>
      </w:r>
    </w:p>
    <w:p w14:paraId="294D695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（6）中标人澄清函（如有）；</w:t>
      </w:r>
    </w:p>
    <w:p w14:paraId="23D68D0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（7）其他与本合同相关的资料。</w:t>
      </w:r>
    </w:p>
    <w:p w14:paraId="06949E0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本合同未尽事宜，遵照《中华人民共和国民法典》有关条文执行。</w:t>
      </w:r>
    </w:p>
    <w:p w14:paraId="2A312D4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13.5本合同一式陆份，具有同等法律效力，甲方肆份，乙方贰份，政府采购监督管理部门一份，由采购人自合同签订之日起三个工作日内报本级政府采购监督管理部门备案。</w:t>
      </w:r>
    </w:p>
    <w:p w14:paraId="2794418B">
      <w:pPr>
        <w:spacing w:line="520" w:lineRule="exact"/>
        <w:ind w:firstLine="360"/>
        <w:rPr>
          <w:rFonts w:hint="eastAsia" w:ascii="宋体" w:hAnsi="宋体" w:eastAsia="宋体" w:cs="宋体"/>
          <w:color w:val="auto"/>
          <w:sz w:val="24"/>
          <w:szCs w:val="24"/>
          <w:highlight w:val="none"/>
        </w:rPr>
      </w:pPr>
    </w:p>
    <w:p w14:paraId="7A768756">
      <w:pP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注：1、本合同书仅供签订正式合同时参</w:t>
      </w:r>
      <w:r>
        <w:rPr>
          <w:rFonts w:hint="eastAsia" w:ascii="宋体" w:hAnsi="宋体" w:eastAsia="宋体" w:cs="宋体"/>
          <w:b/>
          <w:color w:val="auto"/>
          <w:sz w:val="24"/>
          <w:szCs w:val="24"/>
          <w:highlight w:val="none"/>
          <w:lang w:eastAsia="zh-CN"/>
        </w:rPr>
        <w:t>考使</w:t>
      </w:r>
      <w:r>
        <w:rPr>
          <w:rFonts w:hint="eastAsia" w:ascii="宋体" w:hAnsi="宋体" w:eastAsia="宋体" w:cs="宋体"/>
          <w:b/>
          <w:color w:val="auto"/>
          <w:sz w:val="24"/>
          <w:szCs w:val="24"/>
          <w:highlight w:val="none"/>
        </w:rPr>
        <w:t>用，正式合同书应包括此参考格式之内容。</w:t>
      </w:r>
    </w:p>
    <w:p w14:paraId="3D507AB6">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2、合同签订双方可根据项目的具体要求进行修订，但合同条款不得与采购文件和中标人递交的投标文件有实质性偏离。</w:t>
      </w:r>
      <w:r>
        <w:rPr>
          <w:rFonts w:hint="eastAsia" w:ascii="宋体" w:hAnsi="宋体" w:eastAsia="宋体" w:cs="宋体"/>
          <w:color w:val="auto"/>
          <w:sz w:val="24"/>
          <w:szCs w:val="24"/>
          <w:highlight w:val="none"/>
        </w:rPr>
        <w:br w:type="page"/>
      </w:r>
    </w:p>
    <w:p w14:paraId="5A57B1E9">
      <w:pPr>
        <w:spacing w:line="520" w:lineRule="exact"/>
        <w:ind w:firstLine="480"/>
        <w:rPr>
          <w:rFonts w:hint="eastAsia" w:ascii="宋体" w:hAnsi="宋体" w:eastAsia="宋体" w:cs="宋体"/>
          <w:color w:val="auto"/>
          <w:sz w:val="21"/>
          <w:szCs w:val="21"/>
          <w:highlight w:val="none"/>
        </w:rPr>
      </w:pPr>
    </w:p>
    <w:tbl>
      <w:tblPr>
        <w:tblStyle w:val="27"/>
        <w:tblW w:w="9704" w:type="dxa"/>
        <w:jc w:val="center"/>
        <w:tblCellSpacing w:w="0" w:type="dxa"/>
        <w:tblLayout w:type="fixed"/>
        <w:tblCellMar>
          <w:top w:w="0" w:type="dxa"/>
          <w:left w:w="0" w:type="dxa"/>
          <w:bottom w:w="0" w:type="dxa"/>
          <w:right w:w="0" w:type="dxa"/>
        </w:tblCellMar>
      </w:tblPr>
      <w:tblGrid>
        <w:gridCol w:w="1650"/>
        <w:gridCol w:w="8054"/>
      </w:tblGrid>
      <w:tr w14:paraId="5D21CDAB">
        <w:tblPrEx>
          <w:tblCellMar>
            <w:top w:w="0" w:type="dxa"/>
            <w:left w:w="0" w:type="dxa"/>
            <w:bottom w:w="0" w:type="dxa"/>
            <w:right w:w="0" w:type="dxa"/>
          </w:tblCellMar>
        </w:tblPrEx>
        <w:trPr>
          <w:tblCellSpacing w:w="0" w:type="dxa"/>
          <w:jc w:val="center"/>
        </w:trPr>
        <w:tc>
          <w:tcPr>
            <w:tcW w:w="9704" w:type="dxa"/>
            <w:gridSpan w:val="2"/>
            <w:vAlign w:val="center"/>
          </w:tcPr>
          <w:p w14:paraId="72B958EB">
            <w:pPr>
              <w:widowControl/>
              <w:spacing w:after="240"/>
              <w:jc w:val="left"/>
              <w:rPr>
                <w:rFonts w:hint="eastAsia" w:ascii="宋体" w:hAnsi="宋体" w:eastAsia="宋体" w:cs="宋体"/>
                <w:color w:val="auto"/>
                <w:sz w:val="24"/>
                <w:szCs w:val="24"/>
                <w:highlight w:val="none"/>
              </w:rPr>
            </w:pPr>
          </w:p>
          <w:p w14:paraId="714BE973">
            <w:pPr>
              <w:widowControl/>
              <w:spacing w:after="2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甲方（采购人公章）名 称：</w:t>
            </w:r>
            <w:r>
              <w:rPr>
                <w:rFonts w:hint="eastAsia" w:ascii="宋体" w:hAnsi="宋体" w:eastAsia="宋体" w:cs="宋体"/>
                <w:color w:val="auto"/>
                <w:sz w:val="24"/>
                <w:szCs w:val="24"/>
                <w:highlight w:val="none"/>
                <w:lang w:eastAsia="zh-CN"/>
              </w:rPr>
              <w:t>保山市人民医院</w:t>
            </w:r>
          </w:p>
        </w:tc>
      </w:tr>
      <w:tr w14:paraId="0023269E">
        <w:tblPrEx>
          <w:tblCellMar>
            <w:top w:w="0" w:type="dxa"/>
            <w:left w:w="0" w:type="dxa"/>
            <w:bottom w:w="0" w:type="dxa"/>
            <w:right w:w="0" w:type="dxa"/>
          </w:tblCellMar>
        </w:tblPrEx>
        <w:trPr>
          <w:tblCellSpacing w:w="0" w:type="dxa"/>
          <w:jc w:val="center"/>
        </w:trPr>
        <w:tc>
          <w:tcPr>
            <w:tcW w:w="1650" w:type="dxa"/>
            <w:vAlign w:val="center"/>
          </w:tcPr>
          <w:p w14:paraId="21066C54">
            <w:pPr>
              <w:widowControl/>
              <w:jc w:val="left"/>
              <w:rPr>
                <w:rFonts w:hint="eastAsia" w:ascii="宋体" w:hAnsi="宋体" w:eastAsia="宋体" w:cs="宋体"/>
                <w:color w:val="auto"/>
                <w:sz w:val="24"/>
                <w:szCs w:val="24"/>
                <w:highlight w:val="none"/>
              </w:rPr>
            </w:pPr>
          </w:p>
        </w:tc>
        <w:tc>
          <w:tcPr>
            <w:tcW w:w="8054" w:type="dxa"/>
            <w:vAlign w:val="center"/>
          </w:tcPr>
          <w:p w14:paraId="7318DCE6">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tc>
      </w:tr>
      <w:tr w14:paraId="60BE2DB5">
        <w:tblPrEx>
          <w:tblCellMar>
            <w:top w:w="0" w:type="dxa"/>
            <w:left w:w="0" w:type="dxa"/>
            <w:bottom w:w="0" w:type="dxa"/>
            <w:right w:w="0" w:type="dxa"/>
          </w:tblCellMar>
        </w:tblPrEx>
        <w:trPr>
          <w:tblCellSpacing w:w="0" w:type="dxa"/>
          <w:jc w:val="center"/>
        </w:trPr>
        <w:tc>
          <w:tcPr>
            <w:tcW w:w="1650" w:type="dxa"/>
            <w:vAlign w:val="center"/>
          </w:tcPr>
          <w:p w14:paraId="7E11B6F8">
            <w:pPr>
              <w:widowControl/>
              <w:jc w:val="left"/>
              <w:rPr>
                <w:rFonts w:hint="eastAsia" w:ascii="宋体" w:hAnsi="宋体" w:eastAsia="宋体" w:cs="宋体"/>
                <w:color w:val="auto"/>
                <w:sz w:val="24"/>
                <w:szCs w:val="24"/>
                <w:highlight w:val="none"/>
              </w:rPr>
            </w:pPr>
          </w:p>
        </w:tc>
        <w:tc>
          <w:tcPr>
            <w:tcW w:w="8054" w:type="dxa"/>
            <w:vAlign w:val="center"/>
          </w:tcPr>
          <w:p w14:paraId="2BF410C1">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tc>
      </w:tr>
      <w:tr w14:paraId="32A42108">
        <w:tblPrEx>
          <w:tblCellMar>
            <w:top w:w="0" w:type="dxa"/>
            <w:left w:w="0" w:type="dxa"/>
            <w:bottom w:w="0" w:type="dxa"/>
            <w:right w:w="0" w:type="dxa"/>
          </w:tblCellMar>
        </w:tblPrEx>
        <w:trPr>
          <w:tblCellSpacing w:w="0" w:type="dxa"/>
          <w:jc w:val="center"/>
        </w:trPr>
        <w:tc>
          <w:tcPr>
            <w:tcW w:w="1650" w:type="dxa"/>
            <w:vAlign w:val="center"/>
          </w:tcPr>
          <w:p w14:paraId="699BAA12">
            <w:pPr>
              <w:widowControl/>
              <w:jc w:val="left"/>
              <w:rPr>
                <w:rFonts w:hint="eastAsia" w:ascii="宋体" w:hAnsi="宋体" w:eastAsia="宋体" w:cs="宋体"/>
                <w:color w:val="auto"/>
                <w:sz w:val="24"/>
                <w:szCs w:val="24"/>
                <w:highlight w:val="none"/>
              </w:rPr>
            </w:pPr>
          </w:p>
        </w:tc>
        <w:tc>
          <w:tcPr>
            <w:tcW w:w="8054" w:type="dxa"/>
            <w:vAlign w:val="center"/>
          </w:tcPr>
          <w:p w14:paraId="70757FA8">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法定代表人（负责人）或委托代理人：</w:t>
            </w:r>
          </w:p>
        </w:tc>
      </w:tr>
      <w:tr w14:paraId="298157E6">
        <w:tblPrEx>
          <w:tblCellMar>
            <w:top w:w="0" w:type="dxa"/>
            <w:left w:w="0" w:type="dxa"/>
            <w:bottom w:w="0" w:type="dxa"/>
            <w:right w:w="0" w:type="dxa"/>
          </w:tblCellMar>
        </w:tblPrEx>
        <w:trPr>
          <w:tblCellSpacing w:w="0" w:type="dxa"/>
          <w:jc w:val="center"/>
        </w:trPr>
        <w:tc>
          <w:tcPr>
            <w:tcW w:w="1650" w:type="dxa"/>
            <w:vAlign w:val="center"/>
          </w:tcPr>
          <w:p w14:paraId="36B6D0CC">
            <w:pPr>
              <w:widowControl/>
              <w:jc w:val="left"/>
              <w:rPr>
                <w:rFonts w:hint="eastAsia" w:ascii="宋体" w:hAnsi="宋体" w:eastAsia="宋体" w:cs="宋体"/>
                <w:color w:val="auto"/>
                <w:sz w:val="24"/>
                <w:szCs w:val="24"/>
                <w:highlight w:val="none"/>
              </w:rPr>
            </w:pPr>
          </w:p>
        </w:tc>
        <w:tc>
          <w:tcPr>
            <w:tcW w:w="8054" w:type="dxa"/>
            <w:vAlign w:val="center"/>
          </w:tcPr>
          <w:p w14:paraId="192465CF">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r>
      <w:tr w14:paraId="4F71391A">
        <w:tblPrEx>
          <w:tblCellMar>
            <w:top w:w="0" w:type="dxa"/>
            <w:left w:w="0" w:type="dxa"/>
            <w:bottom w:w="0" w:type="dxa"/>
            <w:right w:w="0" w:type="dxa"/>
          </w:tblCellMar>
        </w:tblPrEx>
        <w:trPr>
          <w:tblCellSpacing w:w="0" w:type="dxa"/>
          <w:jc w:val="center"/>
        </w:trPr>
        <w:tc>
          <w:tcPr>
            <w:tcW w:w="1650" w:type="dxa"/>
            <w:vAlign w:val="center"/>
          </w:tcPr>
          <w:p w14:paraId="2AD56C1D">
            <w:pPr>
              <w:widowControl/>
              <w:jc w:val="left"/>
              <w:rPr>
                <w:rFonts w:hint="eastAsia" w:ascii="宋体" w:hAnsi="宋体" w:eastAsia="宋体" w:cs="宋体"/>
                <w:color w:val="auto"/>
                <w:sz w:val="24"/>
                <w:szCs w:val="24"/>
                <w:highlight w:val="none"/>
              </w:rPr>
            </w:pPr>
          </w:p>
        </w:tc>
        <w:tc>
          <w:tcPr>
            <w:tcW w:w="8054" w:type="dxa"/>
            <w:vAlign w:val="center"/>
          </w:tcPr>
          <w:p w14:paraId="64E66ED1">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r>
      <w:tr w14:paraId="210F5E78">
        <w:tblPrEx>
          <w:tblCellMar>
            <w:top w:w="0" w:type="dxa"/>
            <w:left w:w="0" w:type="dxa"/>
            <w:bottom w:w="0" w:type="dxa"/>
            <w:right w:w="0" w:type="dxa"/>
          </w:tblCellMar>
        </w:tblPrEx>
        <w:trPr>
          <w:trHeight w:val="673" w:hRule="atLeast"/>
          <w:tblCellSpacing w:w="0" w:type="dxa"/>
          <w:jc w:val="center"/>
        </w:trPr>
        <w:tc>
          <w:tcPr>
            <w:tcW w:w="1650" w:type="dxa"/>
            <w:vAlign w:val="center"/>
          </w:tcPr>
          <w:p w14:paraId="6C92B42B">
            <w:pPr>
              <w:widowControl/>
              <w:jc w:val="left"/>
              <w:rPr>
                <w:rFonts w:hint="eastAsia" w:ascii="宋体" w:hAnsi="宋体" w:eastAsia="宋体" w:cs="宋体"/>
                <w:color w:val="auto"/>
                <w:sz w:val="24"/>
                <w:szCs w:val="24"/>
                <w:highlight w:val="none"/>
              </w:rPr>
            </w:pPr>
          </w:p>
        </w:tc>
        <w:tc>
          <w:tcPr>
            <w:tcW w:w="8054" w:type="dxa"/>
            <w:vAlign w:val="center"/>
          </w:tcPr>
          <w:p w14:paraId="134152C4">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w:t>
            </w:r>
          </w:p>
        </w:tc>
      </w:tr>
      <w:tr w14:paraId="1B9DEE22">
        <w:tblPrEx>
          <w:tblCellMar>
            <w:top w:w="0" w:type="dxa"/>
            <w:left w:w="0" w:type="dxa"/>
            <w:bottom w:w="0" w:type="dxa"/>
            <w:right w:w="0" w:type="dxa"/>
          </w:tblCellMar>
        </w:tblPrEx>
        <w:trPr>
          <w:tblCellSpacing w:w="0" w:type="dxa"/>
          <w:jc w:val="center"/>
        </w:trPr>
        <w:tc>
          <w:tcPr>
            <w:tcW w:w="9704" w:type="dxa"/>
            <w:gridSpan w:val="2"/>
            <w:vAlign w:val="center"/>
          </w:tcPr>
          <w:p w14:paraId="71768C02">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乙方（中标人公章）名 称： </w:t>
            </w:r>
          </w:p>
        </w:tc>
      </w:tr>
      <w:tr w14:paraId="466E0770">
        <w:tblPrEx>
          <w:tblCellMar>
            <w:top w:w="0" w:type="dxa"/>
            <w:left w:w="0" w:type="dxa"/>
            <w:bottom w:w="0" w:type="dxa"/>
            <w:right w:w="0" w:type="dxa"/>
          </w:tblCellMar>
        </w:tblPrEx>
        <w:trPr>
          <w:tblCellSpacing w:w="0" w:type="dxa"/>
          <w:jc w:val="center"/>
        </w:trPr>
        <w:tc>
          <w:tcPr>
            <w:tcW w:w="1650" w:type="dxa"/>
            <w:vAlign w:val="center"/>
          </w:tcPr>
          <w:p w14:paraId="155F2A49">
            <w:pPr>
              <w:widowControl/>
              <w:jc w:val="left"/>
              <w:rPr>
                <w:rFonts w:hint="eastAsia" w:ascii="宋体" w:hAnsi="宋体" w:eastAsia="宋体" w:cs="宋体"/>
                <w:color w:val="auto"/>
                <w:sz w:val="24"/>
                <w:szCs w:val="24"/>
                <w:highlight w:val="none"/>
              </w:rPr>
            </w:pPr>
          </w:p>
        </w:tc>
        <w:tc>
          <w:tcPr>
            <w:tcW w:w="8054" w:type="dxa"/>
            <w:vAlign w:val="center"/>
          </w:tcPr>
          <w:p w14:paraId="62D45E16">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tc>
      </w:tr>
      <w:tr w14:paraId="1A8B7A48">
        <w:tblPrEx>
          <w:tblCellMar>
            <w:top w:w="0" w:type="dxa"/>
            <w:left w:w="0" w:type="dxa"/>
            <w:bottom w:w="0" w:type="dxa"/>
            <w:right w:w="0" w:type="dxa"/>
          </w:tblCellMar>
        </w:tblPrEx>
        <w:trPr>
          <w:tblCellSpacing w:w="0" w:type="dxa"/>
          <w:jc w:val="center"/>
        </w:trPr>
        <w:tc>
          <w:tcPr>
            <w:tcW w:w="1650" w:type="dxa"/>
            <w:vAlign w:val="center"/>
          </w:tcPr>
          <w:p w14:paraId="75167DE5">
            <w:pPr>
              <w:widowControl/>
              <w:jc w:val="left"/>
              <w:rPr>
                <w:rFonts w:hint="eastAsia" w:ascii="宋体" w:hAnsi="宋体" w:eastAsia="宋体" w:cs="宋体"/>
                <w:color w:val="auto"/>
                <w:sz w:val="24"/>
                <w:szCs w:val="24"/>
                <w:highlight w:val="none"/>
              </w:rPr>
            </w:pPr>
          </w:p>
        </w:tc>
        <w:tc>
          <w:tcPr>
            <w:tcW w:w="8054" w:type="dxa"/>
            <w:vAlign w:val="center"/>
          </w:tcPr>
          <w:p w14:paraId="6391D57F">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tc>
      </w:tr>
      <w:tr w14:paraId="1467F705">
        <w:tblPrEx>
          <w:tblCellMar>
            <w:top w:w="0" w:type="dxa"/>
            <w:left w:w="0" w:type="dxa"/>
            <w:bottom w:w="0" w:type="dxa"/>
            <w:right w:w="0" w:type="dxa"/>
          </w:tblCellMar>
        </w:tblPrEx>
        <w:trPr>
          <w:tblCellSpacing w:w="0" w:type="dxa"/>
          <w:jc w:val="center"/>
        </w:trPr>
        <w:tc>
          <w:tcPr>
            <w:tcW w:w="1650" w:type="dxa"/>
            <w:vAlign w:val="center"/>
          </w:tcPr>
          <w:p w14:paraId="33F79D81">
            <w:pPr>
              <w:widowControl/>
              <w:jc w:val="left"/>
              <w:rPr>
                <w:rFonts w:hint="eastAsia" w:ascii="宋体" w:hAnsi="宋体" w:eastAsia="宋体" w:cs="宋体"/>
                <w:color w:val="auto"/>
                <w:sz w:val="24"/>
                <w:szCs w:val="24"/>
                <w:highlight w:val="none"/>
              </w:rPr>
            </w:pPr>
          </w:p>
        </w:tc>
        <w:tc>
          <w:tcPr>
            <w:tcW w:w="8054" w:type="dxa"/>
            <w:vAlign w:val="center"/>
          </w:tcPr>
          <w:p w14:paraId="00F397CC">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法定代表人（负责人）或委托代理人：</w:t>
            </w:r>
          </w:p>
        </w:tc>
      </w:tr>
      <w:tr w14:paraId="684C82F0">
        <w:tblPrEx>
          <w:tblCellMar>
            <w:top w:w="0" w:type="dxa"/>
            <w:left w:w="0" w:type="dxa"/>
            <w:bottom w:w="0" w:type="dxa"/>
            <w:right w:w="0" w:type="dxa"/>
          </w:tblCellMar>
        </w:tblPrEx>
        <w:trPr>
          <w:tblCellSpacing w:w="0" w:type="dxa"/>
          <w:jc w:val="center"/>
        </w:trPr>
        <w:tc>
          <w:tcPr>
            <w:tcW w:w="1650" w:type="dxa"/>
            <w:vAlign w:val="center"/>
          </w:tcPr>
          <w:p w14:paraId="169D9FEF">
            <w:pPr>
              <w:widowControl/>
              <w:jc w:val="left"/>
              <w:rPr>
                <w:rFonts w:hint="eastAsia" w:ascii="宋体" w:hAnsi="宋体" w:eastAsia="宋体" w:cs="宋体"/>
                <w:color w:val="auto"/>
                <w:sz w:val="24"/>
                <w:szCs w:val="24"/>
                <w:highlight w:val="none"/>
              </w:rPr>
            </w:pPr>
          </w:p>
        </w:tc>
        <w:tc>
          <w:tcPr>
            <w:tcW w:w="8054" w:type="dxa"/>
            <w:vAlign w:val="center"/>
          </w:tcPr>
          <w:p w14:paraId="5CED8BD4">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p w14:paraId="35DBFB42">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经办人：</w:t>
            </w:r>
          </w:p>
        </w:tc>
      </w:tr>
      <w:tr w14:paraId="0403EB6C">
        <w:tblPrEx>
          <w:tblCellMar>
            <w:top w:w="0" w:type="dxa"/>
            <w:left w:w="0" w:type="dxa"/>
            <w:bottom w:w="0" w:type="dxa"/>
            <w:right w:w="0" w:type="dxa"/>
          </w:tblCellMar>
        </w:tblPrEx>
        <w:trPr>
          <w:tblCellSpacing w:w="0" w:type="dxa"/>
          <w:jc w:val="center"/>
        </w:trPr>
        <w:tc>
          <w:tcPr>
            <w:tcW w:w="1650" w:type="dxa"/>
            <w:vAlign w:val="center"/>
          </w:tcPr>
          <w:p w14:paraId="2AABB814">
            <w:pPr>
              <w:widowControl/>
              <w:jc w:val="left"/>
              <w:rPr>
                <w:rFonts w:hint="eastAsia" w:ascii="宋体" w:hAnsi="宋体" w:eastAsia="宋体" w:cs="宋体"/>
                <w:color w:val="auto"/>
                <w:sz w:val="24"/>
                <w:szCs w:val="24"/>
                <w:highlight w:val="none"/>
              </w:rPr>
            </w:pPr>
          </w:p>
        </w:tc>
        <w:tc>
          <w:tcPr>
            <w:tcW w:w="8054" w:type="dxa"/>
            <w:vAlign w:val="center"/>
          </w:tcPr>
          <w:p w14:paraId="01A49C07">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r>
      <w:tr w14:paraId="385404A2">
        <w:tblPrEx>
          <w:tblCellMar>
            <w:top w:w="0" w:type="dxa"/>
            <w:left w:w="0" w:type="dxa"/>
            <w:bottom w:w="0" w:type="dxa"/>
            <w:right w:w="0" w:type="dxa"/>
          </w:tblCellMar>
        </w:tblPrEx>
        <w:trPr>
          <w:tblCellSpacing w:w="0" w:type="dxa"/>
          <w:jc w:val="center"/>
        </w:trPr>
        <w:tc>
          <w:tcPr>
            <w:tcW w:w="1650" w:type="dxa"/>
            <w:vAlign w:val="center"/>
          </w:tcPr>
          <w:p w14:paraId="13403BB8">
            <w:pPr>
              <w:widowControl/>
              <w:jc w:val="left"/>
              <w:rPr>
                <w:rFonts w:hint="eastAsia" w:ascii="宋体" w:hAnsi="宋体" w:eastAsia="宋体" w:cs="宋体"/>
                <w:color w:val="auto"/>
                <w:sz w:val="24"/>
                <w:szCs w:val="24"/>
                <w:highlight w:val="none"/>
              </w:rPr>
            </w:pPr>
          </w:p>
        </w:tc>
        <w:tc>
          <w:tcPr>
            <w:tcW w:w="8054" w:type="dxa"/>
            <w:vAlign w:val="center"/>
          </w:tcPr>
          <w:p w14:paraId="5AD080FE">
            <w:pPr>
              <w:widowControl/>
              <w:spacing w:after="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w:t>
            </w:r>
          </w:p>
        </w:tc>
      </w:tr>
    </w:tbl>
    <w:p w14:paraId="5D053CD4">
      <w:pPr>
        <w:spacing w:line="520" w:lineRule="exact"/>
        <w:ind w:firstLine="480"/>
        <w:rPr>
          <w:rFonts w:hint="eastAsia" w:ascii="宋体" w:hAnsi="宋体" w:eastAsia="宋体" w:cs="宋体"/>
          <w:color w:val="auto"/>
          <w:highlight w:val="none"/>
        </w:rPr>
      </w:pPr>
    </w:p>
    <w:p w14:paraId="6E2B267E">
      <w:pPr>
        <w:adjustRightInd w:val="0"/>
        <w:snapToGrid w:val="0"/>
        <w:spacing w:line="360" w:lineRule="auto"/>
        <w:jc w:val="left"/>
        <w:rPr>
          <w:rFonts w:hint="eastAsia" w:ascii="宋体" w:hAnsi="宋体" w:eastAsia="宋体" w:cs="宋体"/>
          <w:color w:val="auto"/>
          <w:szCs w:val="21"/>
          <w:highlight w:val="none"/>
        </w:rPr>
      </w:pPr>
    </w:p>
    <w:p w14:paraId="21F99AF0">
      <w:pPr>
        <w:spacing w:line="560" w:lineRule="exact"/>
        <w:ind w:firstLine="480" w:firstLineChars="200"/>
        <w:jc w:val="left"/>
        <w:rPr>
          <w:rFonts w:hint="eastAsia" w:ascii="宋体" w:hAnsi="宋体" w:eastAsia="宋体" w:cs="宋体"/>
          <w:color w:val="auto"/>
          <w:sz w:val="24"/>
          <w:szCs w:val="24"/>
          <w:highlight w:val="none"/>
        </w:rPr>
      </w:pPr>
    </w:p>
    <w:p w14:paraId="06192C40">
      <w:pPr>
        <w:spacing w:line="560" w:lineRule="exact"/>
        <w:ind w:firstLine="480" w:firstLineChars="200"/>
        <w:rPr>
          <w:rFonts w:hint="eastAsia" w:ascii="宋体" w:hAnsi="宋体" w:eastAsia="宋体" w:cs="宋体"/>
          <w:color w:val="auto"/>
          <w:sz w:val="24"/>
          <w:szCs w:val="24"/>
          <w:highlight w:val="none"/>
        </w:rPr>
      </w:pPr>
    </w:p>
    <w:p w14:paraId="4255CC4D">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r>
    </w:p>
    <w:p w14:paraId="693E2919">
      <w:pPr>
        <w:spacing w:line="360" w:lineRule="auto"/>
        <w:ind w:firstLine="420" w:firstLineChars="200"/>
        <w:rPr>
          <w:rFonts w:hint="eastAsia" w:ascii="宋体" w:hAnsi="宋体" w:eastAsia="宋体" w:cs="宋体"/>
          <w:color w:val="auto"/>
          <w:highlight w:val="none"/>
        </w:rPr>
      </w:pPr>
    </w:p>
    <w:p w14:paraId="29A5C441">
      <w:pPr>
        <w:spacing w:line="360" w:lineRule="auto"/>
        <w:ind w:firstLine="420" w:firstLineChars="200"/>
        <w:rPr>
          <w:rFonts w:hint="eastAsia" w:ascii="宋体" w:hAnsi="宋体" w:eastAsia="宋体" w:cs="宋体"/>
          <w:color w:val="auto"/>
          <w:highlight w:val="none"/>
        </w:rPr>
      </w:pPr>
    </w:p>
    <w:p w14:paraId="4599AF9C">
      <w:pPr>
        <w:spacing w:line="360" w:lineRule="auto"/>
        <w:ind w:firstLine="420" w:firstLineChars="200"/>
        <w:rPr>
          <w:rFonts w:hint="eastAsia" w:ascii="宋体" w:hAnsi="宋体" w:eastAsia="宋体" w:cs="宋体"/>
          <w:color w:val="auto"/>
          <w:highlight w:val="none"/>
        </w:rPr>
      </w:pPr>
    </w:p>
    <w:p w14:paraId="243D5079">
      <w:pPr>
        <w:spacing w:line="360" w:lineRule="auto"/>
        <w:ind w:firstLine="420" w:firstLineChars="200"/>
        <w:rPr>
          <w:rFonts w:hint="eastAsia" w:ascii="宋体" w:hAnsi="宋体" w:eastAsia="宋体" w:cs="宋体"/>
          <w:color w:val="auto"/>
          <w:highlight w:val="none"/>
        </w:rPr>
      </w:pPr>
    </w:p>
    <w:p w14:paraId="0717DCFF">
      <w:pPr>
        <w:spacing w:line="360" w:lineRule="auto"/>
        <w:ind w:firstLine="420" w:firstLineChars="200"/>
        <w:rPr>
          <w:rFonts w:hint="eastAsia" w:ascii="宋体" w:hAnsi="宋体" w:eastAsia="宋体" w:cs="宋体"/>
          <w:color w:val="auto"/>
          <w:highlight w:val="none"/>
        </w:rPr>
      </w:pPr>
    </w:p>
    <w:p w14:paraId="56F0988A">
      <w:pPr>
        <w:spacing w:line="360" w:lineRule="auto"/>
        <w:ind w:firstLine="420" w:firstLineChars="200"/>
        <w:rPr>
          <w:rFonts w:hint="eastAsia" w:ascii="宋体" w:hAnsi="宋体" w:eastAsia="宋体" w:cs="宋体"/>
          <w:color w:val="auto"/>
          <w:highlight w:val="none"/>
        </w:rPr>
      </w:pPr>
    </w:p>
    <w:p w14:paraId="14E8C65B">
      <w:pPr>
        <w:spacing w:line="360" w:lineRule="auto"/>
        <w:ind w:firstLine="420" w:firstLineChars="200"/>
        <w:rPr>
          <w:rFonts w:hint="eastAsia" w:ascii="宋体" w:hAnsi="宋体" w:eastAsia="宋体" w:cs="宋体"/>
          <w:color w:val="auto"/>
          <w:highlight w:val="none"/>
        </w:rPr>
      </w:pPr>
    </w:p>
    <w:p w14:paraId="08DFB8A8">
      <w:pPr>
        <w:spacing w:line="360" w:lineRule="auto"/>
        <w:ind w:firstLine="420" w:firstLineChars="200"/>
        <w:rPr>
          <w:rFonts w:hint="eastAsia" w:ascii="宋体" w:hAnsi="宋体" w:eastAsia="宋体" w:cs="宋体"/>
          <w:color w:val="auto"/>
          <w:highlight w:val="none"/>
        </w:rPr>
      </w:pPr>
    </w:p>
    <w:p w14:paraId="4F2AA484">
      <w:pPr>
        <w:spacing w:line="360" w:lineRule="auto"/>
        <w:ind w:firstLine="420" w:firstLineChars="200"/>
        <w:rPr>
          <w:rFonts w:hint="eastAsia" w:ascii="宋体" w:hAnsi="宋体" w:eastAsia="宋体" w:cs="宋体"/>
          <w:color w:val="auto"/>
          <w:highlight w:val="none"/>
        </w:rPr>
      </w:pPr>
    </w:p>
    <w:p w14:paraId="747D6D57">
      <w:pPr>
        <w:spacing w:line="360" w:lineRule="auto"/>
        <w:ind w:firstLine="420" w:firstLineChars="200"/>
        <w:rPr>
          <w:rFonts w:hint="eastAsia" w:ascii="宋体" w:hAnsi="宋体" w:eastAsia="宋体" w:cs="宋体"/>
          <w:color w:val="auto"/>
          <w:highlight w:val="none"/>
        </w:rPr>
      </w:pPr>
    </w:p>
    <w:p w14:paraId="5B5AD859">
      <w:pPr>
        <w:pStyle w:val="3"/>
        <w:spacing w:line="360" w:lineRule="auto"/>
        <w:jc w:val="center"/>
        <w:rPr>
          <w:rFonts w:hint="eastAsia" w:ascii="宋体" w:hAnsi="宋体" w:eastAsia="宋体" w:cs="宋体"/>
          <w:color w:val="auto"/>
          <w:sz w:val="32"/>
          <w:szCs w:val="32"/>
          <w:highlight w:val="none"/>
        </w:rPr>
      </w:pPr>
      <w:bookmarkStart w:id="167" w:name="_Toc39092139"/>
      <w:r>
        <w:rPr>
          <w:rFonts w:hint="eastAsia" w:ascii="宋体" w:hAnsi="宋体" w:eastAsia="宋体" w:cs="宋体"/>
          <w:color w:val="auto"/>
          <w:sz w:val="32"/>
          <w:szCs w:val="32"/>
          <w:highlight w:val="none"/>
        </w:rPr>
        <w:t>第四章  响应文件格式</w:t>
      </w:r>
      <w:bookmarkEnd w:id="167"/>
    </w:p>
    <w:p w14:paraId="515F69EB">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A5E4721">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磋商响应文件封面格式</w:t>
      </w:r>
    </w:p>
    <w:p w14:paraId="38D0AA8F">
      <w:pPr>
        <w:spacing w:line="360" w:lineRule="auto"/>
        <w:jc w:val="center"/>
        <w:rPr>
          <w:rFonts w:hint="eastAsia" w:ascii="宋体" w:hAnsi="宋体" w:eastAsia="宋体" w:cs="宋体"/>
          <w:b/>
          <w:bCs/>
          <w:color w:val="auto"/>
          <w:sz w:val="48"/>
          <w:szCs w:val="48"/>
          <w:highlight w:val="none"/>
        </w:rPr>
      </w:pPr>
    </w:p>
    <w:p w14:paraId="3D4558DE">
      <w:pPr>
        <w:spacing w:line="360" w:lineRule="auto"/>
        <w:jc w:val="center"/>
        <w:rPr>
          <w:rFonts w:hint="eastAsia" w:ascii="宋体" w:hAnsi="宋体" w:eastAsia="宋体" w:cs="宋体"/>
          <w:b/>
          <w:bCs/>
          <w:color w:val="auto"/>
          <w:sz w:val="44"/>
          <w:szCs w:val="40"/>
          <w:highlight w:val="none"/>
          <w:lang w:eastAsia="zh-CN"/>
        </w:rPr>
      </w:pPr>
      <w:r>
        <w:rPr>
          <w:rFonts w:hint="eastAsia" w:ascii="宋体" w:hAnsi="宋体" w:eastAsia="宋体" w:cs="宋体"/>
          <w:b/>
          <w:bCs/>
          <w:color w:val="auto"/>
          <w:sz w:val="68"/>
          <w:szCs w:val="68"/>
          <w:highlight w:val="none"/>
          <w:lang w:eastAsia="zh-CN"/>
        </w:rPr>
        <w:t>昌宁县医共体中心药房管理系统采购项目</w:t>
      </w:r>
    </w:p>
    <w:p w14:paraId="3C114304">
      <w:pPr>
        <w:spacing w:line="360" w:lineRule="auto"/>
        <w:jc w:val="center"/>
        <w:rPr>
          <w:rFonts w:hint="eastAsia" w:ascii="宋体" w:hAnsi="宋体" w:eastAsia="宋体" w:cs="宋体"/>
          <w:color w:val="auto"/>
          <w:sz w:val="24"/>
          <w:szCs w:val="24"/>
          <w:highlight w:val="none"/>
        </w:rPr>
      </w:pPr>
    </w:p>
    <w:p w14:paraId="369035B4">
      <w:pPr>
        <w:pStyle w:val="41"/>
        <w:rPr>
          <w:rFonts w:hint="eastAsia" w:ascii="宋体" w:hAnsi="宋体" w:eastAsia="宋体" w:cs="宋体"/>
          <w:color w:val="auto"/>
          <w:sz w:val="24"/>
          <w:szCs w:val="24"/>
          <w:highlight w:val="none"/>
        </w:rPr>
      </w:pPr>
    </w:p>
    <w:p w14:paraId="5B8B8D88">
      <w:pPr>
        <w:pStyle w:val="16"/>
        <w:spacing w:line="360" w:lineRule="auto"/>
        <w:jc w:val="center"/>
        <w:rPr>
          <w:rFonts w:hint="eastAsia" w:ascii="宋体" w:hAnsi="宋体" w:eastAsia="宋体" w:cs="宋体"/>
          <w:b/>
          <w:bCs/>
          <w:color w:val="auto"/>
          <w:sz w:val="84"/>
          <w:szCs w:val="84"/>
          <w:highlight w:val="none"/>
        </w:rPr>
      </w:pPr>
    </w:p>
    <w:p w14:paraId="507BF91E">
      <w:pPr>
        <w:pStyle w:val="16"/>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竞争性磋商响应文件</w:t>
      </w:r>
    </w:p>
    <w:p w14:paraId="2A2EF8BC">
      <w:pPr>
        <w:spacing w:line="360" w:lineRule="auto"/>
        <w:jc w:val="center"/>
        <w:rPr>
          <w:rFonts w:hint="eastAsia" w:ascii="宋体" w:hAnsi="宋体" w:eastAsia="宋体" w:cs="宋体"/>
          <w:b/>
          <w:bCs/>
          <w:color w:val="auto"/>
          <w:sz w:val="24"/>
          <w:szCs w:val="24"/>
          <w:highlight w:val="none"/>
        </w:rPr>
      </w:pPr>
    </w:p>
    <w:p w14:paraId="79CE70E8">
      <w:pPr>
        <w:pStyle w:val="16"/>
        <w:spacing w:line="360" w:lineRule="auto"/>
        <w:ind w:firstLine="3058" w:firstLineChars="1088"/>
        <w:rPr>
          <w:rFonts w:hint="eastAsia" w:ascii="宋体" w:hAnsi="宋体" w:eastAsia="宋体" w:cs="宋体"/>
          <w:b/>
          <w:bCs/>
          <w:color w:val="auto"/>
          <w:sz w:val="28"/>
          <w:szCs w:val="28"/>
          <w:highlight w:val="none"/>
        </w:rPr>
      </w:pPr>
    </w:p>
    <w:p w14:paraId="65A7749F">
      <w:pPr>
        <w:pStyle w:val="16"/>
        <w:spacing w:line="360" w:lineRule="auto"/>
        <w:ind w:firstLine="3058" w:firstLineChars="1088"/>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lang w:eastAsia="zh-CN"/>
        </w:rPr>
        <w:t>项目编号</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u w:val="single"/>
        </w:rPr>
        <w:t xml:space="preserve">              </w:t>
      </w:r>
    </w:p>
    <w:p w14:paraId="60718278">
      <w:pPr>
        <w:spacing w:line="360" w:lineRule="auto"/>
        <w:jc w:val="center"/>
        <w:rPr>
          <w:rFonts w:hint="eastAsia" w:ascii="宋体" w:hAnsi="宋体" w:eastAsia="宋体" w:cs="宋体"/>
          <w:color w:val="auto"/>
          <w:sz w:val="24"/>
          <w:szCs w:val="24"/>
          <w:highlight w:val="none"/>
        </w:rPr>
      </w:pPr>
    </w:p>
    <w:p w14:paraId="071A9AF6">
      <w:pPr>
        <w:spacing w:line="360" w:lineRule="auto"/>
        <w:jc w:val="center"/>
        <w:rPr>
          <w:rFonts w:hint="eastAsia" w:ascii="宋体" w:hAnsi="宋体" w:eastAsia="宋体" w:cs="宋体"/>
          <w:color w:val="auto"/>
          <w:sz w:val="24"/>
          <w:szCs w:val="24"/>
          <w:highlight w:val="none"/>
        </w:rPr>
      </w:pPr>
    </w:p>
    <w:p w14:paraId="26FE6123">
      <w:pPr>
        <w:spacing w:line="360" w:lineRule="auto"/>
        <w:jc w:val="center"/>
        <w:rPr>
          <w:rFonts w:hint="eastAsia" w:ascii="宋体" w:hAnsi="宋体" w:eastAsia="宋体" w:cs="宋体"/>
          <w:color w:val="auto"/>
          <w:sz w:val="24"/>
          <w:szCs w:val="24"/>
          <w:highlight w:val="none"/>
        </w:rPr>
      </w:pPr>
    </w:p>
    <w:p w14:paraId="229EB524">
      <w:pPr>
        <w:pStyle w:val="41"/>
        <w:rPr>
          <w:rFonts w:hint="eastAsia" w:ascii="宋体" w:hAnsi="宋体" w:eastAsia="宋体" w:cs="宋体"/>
          <w:color w:val="auto"/>
          <w:highlight w:val="none"/>
        </w:rPr>
      </w:pPr>
    </w:p>
    <w:p w14:paraId="18B4325F">
      <w:pPr>
        <w:spacing w:line="360" w:lineRule="auto"/>
        <w:jc w:val="center"/>
        <w:rPr>
          <w:rFonts w:hint="eastAsia" w:ascii="宋体" w:hAnsi="宋体" w:eastAsia="宋体" w:cs="宋体"/>
          <w:color w:val="auto"/>
          <w:sz w:val="24"/>
          <w:szCs w:val="24"/>
          <w:highlight w:val="none"/>
        </w:rPr>
      </w:pPr>
    </w:p>
    <w:p w14:paraId="226E0553">
      <w:pPr>
        <w:spacing w:line="360" w:lineRule="auto"/>
        <w:jc w:val="center"/>
        <w:rPr>
          <w:rFonts w:hint="eastAsia" w:ascii="宋体" w:hAnsi="宋体" w:eastAsia="宋体" w:cs="宋体"/>
          <w:color w:val="auto"/>
          <w:sz w:val="24"/>
          <w:szCs w:val="24"/>
          <w:highlight w:val="none"/>
        </w:rPr>
      </w:pPr>
    </w:p>
    <w:p w14:paraId="3122C76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盖单位公章</w:t>
      </w:r>
      <w:r>
        <w:rPr>
          <w:rFonts w:hint="eastAsia" w:ascii="宋体" w:hAnsi="宋体" w:eastAsia="宋体" w:cs="宋体"/>
          <w:color w:val="auto"/>
          <w:sz w:val="24"/>
          <w:szCs w:val="24"/>
          <w:highlight w:val="none"/>
        </w:rPr>
        <w:t>）</w:t>
      </w:r>
    </w:p>
    <w:p w14:paraId="0BC00E5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签字或盖个人印章</w:t>
      </w:r>
      <w:r>
        <w:rPr>
          <w:rFonts w:hint="eastAsia" w:ascii="宋体" w:hAnsi="宋体" w:eastAsia="宋体" w:cs="宋体"/>
          <w:color w:val="auto"/>
          <w:sz w:val="24"/>
          <w:szCs w:val="24"/>
          <w:highlight w:val="none"/>
        </w:rPr>
        <w:t>）</w:t>
      </w:r>
    </w:p>
    <w:p w14:paraId="64847944">
      <w:pPr>
        <w:spacing w:line="360" w:lineRule="auto"/>
        <w:ind w:firstLine="1980" w:firstLineChars="825"/>
        <w:jc w:val="center"/>
        <w:rPr>
          <w:rFonts w:hint="eastAsia" w:ascii="宋体" w:hAnsi="宋体" w:eastAsia="宋体" w:cs="宋体"/>
          <w:color w:val="auto"/>
          <w:sz w:val="24"/>
          <w:szCs w:val="24"/>
          <w:highlight w:val="none"/>
        </w:rPr>
      </w:pPr>
    </w:p>
    <w:p w14:paraId="7058BDA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06B10C1">
      <w:pPr>
        <w:spacing w:line="360" w:lineRule="auto"/>
        <w:jc w:val="center"/>
        <w:rPr>
          <w:rFonts w:hint="eastAsia" w:ascii="宋体" w:hAnsi="宋体" w:eastAsia="宋体" w:cs="宋体"/>
          <w:color w:val="auto"/>
          <w:sz w:val="24"/>
          <w:szCs w:val="24"/>
          <w:highlight w:val="none"/>
        </w:rPr>
      </w:pPr>
    </w:p>
    <w:p w14:paraId="2C3D9E2C">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744269B">
      <w:pPr>
        <w:spacing w:line="360" w:lineRule="auto"/>
        <w:ind w:firstLine="643" w:firstLineChars="200"/>
        <w:jc w:val="center"/>
        <w:rPr>
          <w:rFonts w:hint="eastAsia" w:ascii="宋体" w:hAnsi="宋体" w:eastAsia="宋体" w:cs="宋体"/>
          <w:b/>
          <w:bCs/>
          <w:color w:val="auto"/>
          <w:sz w:val="32"/>
          <w:szCs w:val="36"/>
          <w:highlight w:val="none"/>
        </w:rPr>
      </w:pPr>
      <w:r>
        <w:rPr>
          <w:rFonts w:hint="eastAsia" w:ascii="宋体" w:hAnsi="宋体" w:eastAsia="宋体" w:cs="宋体"/>
          <w:b/>
          <w:bCs/>
          <w:color w:val="auto"/>
          <w:sz w:val="32"/>
          <w:szCs w:val="36"/>
          <w:highlight w:val="none"/>
        </w:rPr>
        <w:t>目 录</w:t>
      </w:r>
    </w:p>
    <w:p w14:paraId="4BB216ED">
      <w:pPr>
        <w:spacing w:line="360" w:lineRule="auto"/>
        <w:ind w:firstLine="420" w:firstLineChars="200"/>
        <w:rPr>
          <w:rFonts w:hint="eastAsia" w:ascii="宋体" w:hAnsi="宋体" w:eastAsia="宋体" w:cs="宋体"/>
          <w:color w:val="auto"/>
          <w:highlight w:val="none"/>
        </w:rPr>
      </w:pPr>
    </w:p>
    <w:p w14:paraId="6C621C8A">
      <w:pPr>
        <w:spacing w:line="360" w:lineRule="auto"/>
        <w:ind w:firstLine="420" w:firstLineChars="200"/>
        <w:rPr>
          <w:rFonts w:hint="eastAsia" w:ascii="宋体" w:hAnsi="宋体" w:eastAsia="宋体" w:cs="宋体"/>
          <w:color w:val="auto"/>
          <w:highlight w:val="none"/>
        </w:rPr>
      </w:pPr>
    </w:p>
    <w:p w14:paraId="6D94DC84">
      <w:pPr>
        <w:spacing w:line="360" w:lineRule="auto"/>
        <w:ind w:firstLine="422" w:firstLineChars="200"/>
        <w:rPr>
          <w:rFonts w:hint="eastAsia" w:ascii="宋体" w:hAnsi="宋体" w:eastAsia="宋体" w:cs="宋体"/>
          <w:b/>
          <w:bCs/>
          <w:color w:val="auto"/>
          <w:highlight w:val="none"/>
        </w:rPr>
      </w:pPr>
    </w:p>
    <w:p w14:paraId="490C9496">
      <w:pPr>
        <w:spacing w:line="360" w:lineRule="auto"/>
        <w:ind w:firstLine="42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注：</w:t>
      </w:r>
      <w:r>
        <w:rPr>
          <w:rFonts w:hint="eastAsia" w:ascii="宋体" w:hAnsi="宋体" w:eastAsia="宋体" w:cs="宋体"/>
          <w:b/>
          <w:bCs/>
          <w:color w:val="auto"/>
          <w:highlight w:val="none"/>
          <w:lang w:val="en-US" w:eastAsia="zh-CN"/>
        </w:rPr>
        <w:t>1.</w:t>
      </w:r>
      <w:r>
        <w:rPr>
          <w:rFonts w:hint="eastAsia" w:ascii="宋体" w:hAnsi="宋体" w:eastAsia="宋体" w:cs="宋体"/>
          <w:b/>
          <w:bCs/>
          <w:color w:val="auto"/>
          <w:highlight w:val="none"/>
        </w:rPr>
        <w:t>请自行编制磋商响应文件目录，并按要求进行装订，并标注页码。</w:t>
      </w:r>
    </w:p>
    <w:p w14:paraId="0A3E12EF">
      <w:pPr>
        <w:spacing w:line="360" w:lineRule="auto"/>
        <w:ind w:firstLine="843" w:firstLineChars="400"/>
        <w:jc w:val="lef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磋商申请人应在磋商响应文件提交截止时间前</w:t>
      </w:r>
      <w:r>
        <w:rPr>
          <w:rFonts w:hint="eastAsia" w:ascii="宋体" w:hAnsi="宋体" w:eastAsia="宋体" w:cs="宋体"/>
          <w:b/>
          <w:bCs/>
          <w:color w:val="auto"/>
          <w:highlight w:val="none"/>
          <w:lang w:val="en-US" w:eastAsia="zh-CN"/>
        </w:rPr>
        <w:t>将电子竞争性磋商响应文件通过云南省政府采购电子交易平台（www.zcygov.cn）上传指定的采购项目的磋商响应文件，以保证正常进行磋商程序。</w:t>
      </w:r>
    </w:p>
    <w:p w14:paraId="671C600F">
      <w:pPr>
        <w:spacing w:line="360" w:lineRule="auto"/>
        <w:ind w:firstLine="843" w:firstLineChars="400"/>
        <w:jc w:val="lef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3.建议在云南省政府采购电子交易平台上传电子磋商响应文件时，将完整电子磋商响应文件上传到商务技术部分，以避免出现遗漏情况。</w:t>
      </w:r>
    </w:p>
    <w:p w14:paraId="570B7F43">
      <w:pPr>
        <w:widowControl/>
        <w:jc w:val="left"/>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r>
    </w:p>
    <w:p w14:paraId="05F0C2E7">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第一部分</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资格审查部分</w:t>
      </w:r>
    </w:p>
    <w:p w14:paraId="33F4521A">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格式1</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资格审查申请函</w:t>
      </w:r>
    </w:p>
    <w:p w14:paraId="005FED8B">
      <w:pPr>
        <w:spacing w:line="360" w:lineRule="auto"/>
        <w:ind w:firstLine="420" w:firstLineChars="200"/>
        <w:jc w:val="left"/>
        <w:rPr>
          <w:rFonts w:hint="eastAsia" w:ascii="宋体" w:hAnsi="宋体" w:eastAsia="宋体" w:cs="宋体"/>
          <w:color w:val="auto"/>
          <w:highlight w:val="none"/>
        </w:rPr>
      </w:pPr>
    </w:p>
    <w:p w14:paraId="2E952E29">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 xml:space="preserve">               （采购人名称）</w:t>
      </w:r>
    </w:p>
    <w:p w14:paraId="09EC3872">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我方仔细研究了</w:t>
      </w:r>
      <w:r>
        <w:rPr>
          <w:rFonts w:hint="eastAsia" w:ascii="宋体" w:hAnsi="宋体" w:eastAsia="宋体" w:cs="宋体"/>
          <w:color w:val="auto"/>
          <w:highlight w:val="none"/>
          <w:u w:val="single"/>
        </w:rPr>
        <w:t xml:space="preserve">（项目名称）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）项目竞争性磋商文件的全部内容，我方正式授权下述签字人</w:t>
      </w:r>
      <w:r>
        <w:rPr>
          <w:rFonts w:hint="eastAsia" w:ascii="宋体" w:hAnsi="宋体" w:eastAsia="宋体" w:cs="宋体"/>
          <w:color w:val="auto"/>
          <w:highlight w:val="none"/>
          <w:u w:val="single"/>
        </w:rPr>
        <w:t xml:space="preserve">   （姓名和职务）     </w:t>
      </w:r>
      <w:r>
        <w:rPr>
          <w:rFonts w:hint="eastAsia" w:ascii="宋体" w:hAnsi="宋体" w:eastAsia="宋体" w:cs="宋体"/>
          <w:color w:val="auto"/>
          <w:highlight w:val="none"/>
        </w:rPr>
        <w:t>全权代表</w:t>
      </w:r>
      <w:r>
        <w:rPr>
          <w:rFonts w:hint="eastAsia" w:ascii="宋体" w:hAnsi="宋体" w:eastAsia="宋体" w:cs="宋体"/>
          <w:color w:val="auto"/>
          <w:highlight w:val="none"/>
          <w:u w:val="single"/>
        </w:rPr>
        <w:t xml:space="preserve">  （磋商申请人全称）   </w:t>
      </w:r>
      <w:r>
        <w:rPr>
          <w:rFonts w:hint="eastAsia" w:ascii="宋体" w:hAnsi="宋体" w:eastAsia="宋体" w:cs="宋体"/>
          <w:color w:val="auto"/>
          <w:highlight w:val="none"/>
        </w:rPr>
        <w:t>参加磋商，并提交</w:t>
      </w:r>
      <w:r>
        <w:rPr>
          <w:rFonts w:hint="eastAsia" w:ascii="宋体" w:hAnsi="宋体" w:eastAsia="宋体" w:cs="宋体"/>
          <w:color w:val="auto"/>
          <w:highlight w:val="none"/>
          <w:lang w:val="en-US" w:eastAsia="zh-CN"/>
        </w:rPr>
        <w:t>磋商响应文件</w:t>
      </w:r>
      <w:r>
        <w:rPr>
          <w:rFonts w:hint="eastAsia" w:ascii="宋体" w:hAnsi="宋体" w:eastAsia="宋体" w:cs="宋体"/>
          <w:color w:val="auto"/>
          <w:highlight w:val="none"/>
        </w:rPr>
        <w:t>电子文件1份</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若有幸成交，向贵单位提供纸质磋商响应文件</w:t>
      </w:r>
      <w:r>
        <w:rPr>
          <w:rFonts w:hint="eastAsia" w:ascii="宋体" w:hAnsi="宋体" w:eastAsia="宋体" w:cs="宋体"/>
          <w:color w:val="auto"/>
          <w:highlight w:val="none"/>
        </w:rPr>
        <w:t>。</w:t>
      </w:r>
    </w:p>
    <w:p w14:paraId="08198303">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据此申请书，签字人兹宣布同意如下：</w:t>
      </w:r>
    </w:p>
    <w:p w14:paraId="18207D7E">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1.我方同意将按竞争性磋商文件的规定履行合同责任和义务。</w:t>
      </w:r>
    </w:p>
    <w:p w14:paraId="622A0C4D">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2.我方已详细审查全部竞争性磋商文件，包括修改文件以及全部参考资料和所有附件。我们完全理解并认为该磋商文件公平公正，不存在倾向性，且同意放弃对这方面有不明及误解的权利。</w:t>
      </w:r>
    </w:p>
    <w:p w14:paraId="11168A7B">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3.本磋商自响应文件开启之日起有效期为</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0天。</w:t>
      </w:r>
    </w:p>
    <w:p w14:paraId="60F9F753">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4.我方同意磋商申请人须知中关于没收保证金的规定。</w:t>
      </w:r>
    </w:p>
    <w:p w14:paraId="7415D4AD">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5.同意应贵方要求提供与本次磋商有关的任何数据和资料，并保证数据和资料的完整性和真实性。</w:t>
      </w:r>
    </w:p>
    <w:p w14:paraId="3EC05D96">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6.同意因资格条件不符合资格要求不得再参与磋商的规定。</w:t>
      </w:r>
    </w:p>
    <w:p w14:paraId="27CCE9B9">
      <w:pPr>
        <w:keepNext/>
        <w:spacing w:line="360" w:lineRule="auto"/>
        <w:ind w:firstLine="420" w:firstLineChars="200"/>
        <w:jc w:val="left"/>
        <w:rPr>
          <w:rFonts w:hint="eastAsia" w:ascii="宋体" w:hAnsi="宋体" w:eastAsia="宋体" w:cs="宋体"/>
          <w:color w:val="auto"/>
          <w:highlight w:val="none"/>
        </w:rPr>
      </w:pPr>
    </w:p>
    <w:p w14:paraId="1656A9C4">
      <w:pPr>
        <w:keepNext/>
        <w:spacing w:line="360" w:lineRule="auto"/>
        <w:ind w:firstLine="420" w:firstLineChars="200"/>
        <w:jc w:val="left"/>
        <w:rPr>
          <w:rFonts w:hint="eastAsia" w:ascii="宋体" w:hAnsi="宋体" w:eastAsia="宋体" w:cs="宋体"/>
          <w:color w:val="auto"/>
          <w:highlight w:val="none"/>
        </w:rPr>
      </w:pPr>
    </w:p>
    <w:p w14:paraId="1E192232">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与本次磋商有关的正式通讯地址为：</w:t>
      </w:r>
    </w:p>
    <w:p w14:paraId="1794FFBC">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邮政编码：</w:t>
      </w:r>
      <w:r>
        <w:rPr>
          <w:rFonts w:hint="eastAsia" w:ascii="宋体" w:hAnsi="宋体" w:eastAsia="宋体" w:cs="宋体"/>
          <w:color w:val="auto"/>
          <w:highlight w:val="none"/>
          <w:u w:val="single"/>
        </w:rPr>
        <w:t xml:space="preserve">                </w:t>
      </w:r>
    </w:p>
    <w:p w14:paraId="79026C2A">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highlight w:val="none"/>
          <w:u w:val="single"/>
        </w:rPr>
        <w:t>　　　　　　　　</w:t>
      </w:r>
    </w:p>
    <w:p w14:paraId="410F1C40">
      <w:pPr>
        <w:spacing w:line="360" w:lineRule="auto"/>
        <w:ind w:firstLine="420" w:firstLineChars="200"/>
        <w:jc w:val="left"/>
        <w:rPr>
          <w:rFonts w:hint="eastAsia" w:ascii="宋体" w:hAnsi="宋体" w:eastAsia="宋体" w:cs="宋体"/>
          <w:color w:val="auto"/>
          <w:highlight w:val="none"/>
          <w:u w:val="single"/>
        </w:rPr>
      </w:pPr>
      <w:r>
        <w:rPr>
          <w:rFonts w:hint="eastAsia" w:ascii="宋体" w:hAnsi="宋体" w:eastAsia="宋体" w:cs="宋体"/>
          <w:color w:val="auto"/>
          <w:highlight w:val="none"/>
        </w:rPr>
        <w:t>开户名称：</w:t>
      </w:r>
      <w:r>
        <w:rPr>
          <w:rFonts w:hint="eastAsia" w:ascii="宋体" w:hAnsi="宋体" w:eastAsia="宋体" w:cs="宋体"/>
          <w:color w:val="auto"/>
          <w:highlight w:val="none"/>
          <w:u w:val="single"/>
        </w:rPr>
        <w:t xml:space="preserve">                                                    </w:t>
      </w:r>
    </w:p>
    <w:p w14:paraId="28DE047D">
      <w:pPr>
        <w:spacing w:line="360" w:lineRule="auto"/>
        <w:ind w:firstLine="420" w:firstLineChars="200"/>
        <w:jc w:val="left"/>
        <w:rPr>
          <w:rFonts w:hint="eastAsia" w:ascii="宋体" w:hAnsi="宋体" w:eastAsia="宋体" w:cs="宋体"/>
          <w:color w:val="auto"/>
          <w:highlight w:val="none"/>
          <w:u w:val="single"/>
        </w:rPr>
      </w:pPr>
      <w:r>
        <w:rPr>
          <w:rFonts w:hint="eastAsia" w:ascii="宋体" w:hAnsi="宋体" w:eastAsia="宋体" w:cs="宋体"/>
          <w:color w:val="auto"/>
          <w:highlight w:val="none"/>
        </w:rPr>
        <w:t>开户银行：</w:t>
      </w:r>
      <w:r>
        <w:rPr>
          <w:rFonts w:hint="eastAsia" w:ascii="宋体" w:hAnsi="宋体" w:eastAsia="宋体" w:cs="宋体"/>
          <w:color w:val="auto"/>
          <w:highlight w:val="none"/>
          <w:u w:val="single"/>
        </w:rPr>
        <w:t xml:space="preserve">                                                    </w:t>
      </w:r>
    </w:p>
    <w:p w14:paraId="0D55B7F7">
      <w:pPr>
        <w:spacing w:line="360" w:lineRule="auto"/>
        <w:ind w:firstLine="420" w:firstLineChars="200"/>
        <w:jc w:val="left"/>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账</w:t>
      </w:r>
      <w:r>
        <w:rPr>
          <w:rFonts w:hint="eastAsia" w:ascii="宋体" w:hAnsi="宋体" w:eastAsia="宋体" w:cs="宋体"/>
          <w:color w:val="auto"/>
          <w:highlight w:val="none"/>
        </w:rPr>
        <w:t xml:space="preserve">    号：</w:t>
      </w:r>
      <w:r>
        <w:rPr>
          <w:rFonts w:hint="eastAsia" w:ascii="宋体" w:hAnsi="宋体" w:eastAsia="宋体" w:cs="宋体"/>
          <w:color w:val="auto"/>
          <w:highlight w:val="none"/>
          <w:u w:val="single"/>
        </w:rPr>
        <w:t xml:space="preserve">                                                    </w:t>
      </w:r>
    </w:p>
    <w:p w14:paraId="451922A3">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（全称）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盖单位公章</w:t>
      </w:r>
      <w:r>
        <w:rPr>
          <w:rFonts w:hint="eastAsia" w:ascii="宋体" w:hAnsi="宋体" w:eastAsia="宋体" w:cs="宋体"/>
          <w:color w:val="auto"/>
          <w:highlight w:val="none"/>
        </w:rPr>
        <w:t>）</w:t>
      </w:r>
    </w:p>
    <w:p w14:paraId="3A71A281">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法定代表人（负责人）或其委托代理人：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签字或盖个人印章</w:t>
      </w:r>
      <w:r>
        <w:rPr>
          <w:rFonts w:hint="eastAsia" w:ascii="宋体" w:hAnsi="宋体" w:eastAsia="宋体" w:cs="宋体"/>
          <w:color w:val="auto"/>
          <w:highlight w:val="none"/>
        </w:rPr>
        <w:t>）</w:t>
      </w:r>
    </w:p>
    <w:p w14:paraId="6B5E2691">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6C42A65">
      <w:pPr>
        <w:keepNext/>
        <w:jc w:val="left"/>
        <w:rPr>
          <w:rFonts w:hint="eastAsia" w:ascii="宋体" w:hAnsi="宋体" w:eastAsia="宋体" w:cs="宋体"/>
          <w:color w:val="auto"/>
          <w:highlight w:val="none"/>
        </w:rPr>
      </w:pPr>
    </w:p>
    <w:p w14:paraId="3682D578">
      <w:pPr>
        <w:keepNext/>
        <w:jc w:val="center"/>
        <w:rPr>
          <w:rFonts w:hint="eastAsia" w:ascii="宋体" w:hAnsi="宋体" w:eastAsia="宋体" w:cs="宋体"/>
          <w:b/>
          <w:bCs/>
          <w:color w:val="auto"/>
          <w:sz w:val="28"/>
          <w:szCs w:val="28"/>
          <w:highlight w:val="none"/>
        </w:rPr>
      </w:pPr>
      <w:r>
        <w:rPr>
          <w:rFonts w:hint="eastAsia" w:ascii="宋体" w:hAnsi="宋体" w:eastAsia="宋体" w:cs="宋体"/>
          <w:b/>
          <w:color w:val="auto"/>
          <w:highlight w:val="none"/>
        </w:rPr>
        <w:br w:type="page"/>
      </w:r>
      <w:bookmarkStart w:id="168" w:name="_Toc7252771"/>
      <w:r>
        <w:rPr>
          <w:rFonts w:hint="eastAsia" w:ascii="宋体" w:hAnsi="宋体" w:eastAsia="宋体" w:cs="宋体"/>
          <w:b/>
          <w:bCs/>
          <w:color w:val="auto"/>
          <w:sz w:val="28"/>
          <w:szCs w:val="28"/>
          <w:highlight w:val="none"/>
        </w:rPr>
        <w:t>格式2</w:t>
      </w:r>
      <w:bookmarkEnd w:id="168"/>
      <w:r>
        <w:rPr>
          <w:rFonts w:hint="eastAsia" w:ascii="宋体" w:hAnsi="宋体" w:eastAsia="宋体" w:cs="宋体"/>
          <w:b/>
          <w:bCs/>
          <w:color w:val="auto"/>
          <w:sz w:val="28"/>
          <w:szCs w:val="28"/>
          <w:highlight w:val="none"/>
        </w:rPr>
        <w:t xml:space="preserve">： </w:t>
      </w:r>
      <w:bookmarkStart w:id="169" w:name="_Toc21569"/>
      <w:r>
        <w:rPr>
          <w:rFonts w:hint="eastAsia" w:ascii="宋体" w:hAnsi="宋体" w:eastAsia="宋体" w:cs="宋体"/>
          <w:b/>
          <w:bCs/>
          <w:color w:val="auto"/>
          <w:sz w:val="28"/>
          <w:szCs w:val="28"/>
          <w:highlight w:val="none"/>
        </w:rPr>
        <w:t>磋商申请人应具有独立承担民事责任的能力</w:t>
      </w:r>
      <w:bookmarkEnd w:id="169"/>
    </w:p>
    <w:p w14:paraId="05022A09">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格式－2.1提供有效营业执照等能证明具有独立承担民事责任能力材料：</w:t>
      </w:r>
    </w:p>
    <w:p w14:paraId="32E5439C">
      <w:pPr>
        <w:spacing w:line="460" w:lineRule="exact"/>
        <w:jc w:val="center"/>
        <w:rPr>
          <w:rFonts w:hint="eastAsia" w:ascii="宋体" w:hAnsi="宋体" w:eastAsia="宋体" w:cs="宋体"/>
          <w:color w:val="auto"/>
          <w:sz w:val="24"/>
          <w:szCs w:val="24"/>
          <w:highlight w:val="none"/>
        </w:rPr>
      </w:pPr>
    </w:p>
    <w:p w14:paraId="273D8D09">
      <w:pPr>
        <w:spacing w:line="460" w:lineRule="exact"/>
        <w:ind w:firstLine="42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磋商申请人有效的《营业执照》或</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统一社会信用代码证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或其他法人组织机构证书</w:t>
      </w:r>
      <w:r>
        <w:rPr>
          <w:rFonts w:hint="eastAsia" w:ascii="宋体" w:hAnsi="宋体" w:eastAsia="宋体" w:cs="宋体"/>
          <w:color w:val="auto"/>
          <w:szCs w:val="21"/>
          <w:highlight w:val="none"/>
        </w:rPr>
        <w:t>或其他组织证件或自然人身份证件等能证明具有独立承担民事责任能</w:t>
      </w:r>
      <w:r>
        <w:rPr>
          <w:rFonts w:hint="eastAsia" w:ascii="宋体" w:hAnsi="宋体" w:eastAsia="宋体" w:cs="宋体"/>
          <w:color w:val="auto"/>
          <w:szCs w:val="21"/>
          <w:highlight w:val="none"/>
          <w:lang w:eastAsia="zh-CN"/>
        </w:rPr>
        <w:t>力的</w:t>
      </w:r>
      <w:r>
        <w:rPr>
          <w:rFonts w:hint="eastAsia" w:ascii="宋体" w:hAnsi="宋体" w:eastAsia="宋体" w:cs="宋体"/>
          <w:color w:val="auto"/>
          <w:szCs w:val="21"/>
          <w:highlight w:val="none"/>
        </w:rPr>
        <w:t>材料。</w:t>
      </w:r>
    </w:p>
    <w:p w14:paraId="189EAF78">
      <w:pPr>
        <w:spacing w:line="420" w:lineRule="exact"/>
        <w:jc w:val="left"/>
        <w:rPr>
          <w:rFonts w:hint="eastAsia" w:ascii="宋体" w:hAnsi="宋体" w:eastAsia="宋体" w:cs="宋体"/>
          <w:b/>
          <w:color w:val="auto"/>
          <w:highlight w:val="none"/>
          <w:lang w:eastAsia="zh-CN"/>
        </w:rPr>
      </w:pPr>
    </w:p>
    <w:p w14:paraId="21A62F6B">
      <w:pPr>
        <w:spacing w:line="420" w:lineRule="exact"/>
        <w:jc w:val="left"/>
        <w:rPr>
          <w:rFonts w:hint="eastAsia" w:ascii="宋体" w:hAnsi="宋体" w:eastAsia="宋体" w:cs="宋体"/>
          <w:color w:val="auto"/>
          <w:szCs w:val="21"/>
          <w:highlight w:val="none"/>
        </w:rPr>
      </w:pPr>
    </w:p>
    <w:p w14:paraId="58872C79">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sz w:val="28"/>
          <w:szCs w:val="28"/>
          <w:highlight w:val="none"/>
        </w:rPr>
        <w:t>格式2-2：法定代表人（负责人）身份证明书</w:t>
      </w:r>
    </w:p>
    <w:p w14:paraId="5508CEDA">
      <w:pPr>
        <w:spacing w:line="360" w:lineRule="auto"/>
        <w:ind w:firstLine="602" w:firstLineChars="200"/>
        <w:rPr>
          <w:rFonts w:hint="eastAsia" w:ascii="宋体" w:hAnsi="宋体" w:eastAsia="宋体" w:cs="宋体"/>
          <w:b/>
          <w:bCs/>
          <w:color w:val="auto"/>
          <w:sz w:val="30"/>
          <w:szCs w:val="30"/>
          <w:highlight w:val="none"/>
        </w:rPr>
      </w:pPr>
    </w:p>
    <w:p w14:paraId="710C2CA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磋商申请人名称：</w:t>
      </w:r>
      <w:r>
        <w:rPr>
          <w:rFonts w:hint="eastAsia" w:ascii="宋体" w:hAnsi="宋体" w:eastAsia="宋体" w:cs="宋体"/>
          <w:color w:val="auto"/>
          <w:highlight w:val="none"/>
          <w:u w:val="single"/>
        </w:rPr>
        <w:t xml:space="preserve">                        </w:t>
      </w:r>
    </w:p>
    <w:p w14:paraId="7F35E88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单位性质：</w:t>
      </w:r>
      <w:r>
        <w:rPr>
          <w:rFonts w:hint="eastAsia" w:ascii="宋体" w:hAnsi="宋体" w:eastAsia="宋体" w:cs="宋体"/>
          <w:color w:val="auto"/>
          <w:highlight w:val="none"/>
          <w:u w:val="single"/>
        </w:rPr>
        <w:t xml:space="preserve">                          </w:t>
      </w:r>
    </w:p>
    <w:p w14:paraId="3FF2C9A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88BD34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经营期限：</w:t>
      </w:r>
      <w:r>
        <w:rPr>
          <w:rFonts w:hint="eastAsia" w:ascii="宋体" w:hAnsi="宋体" w:eastAsia="宋体" w:cs="宋体"/>
          <w:color w:val="auto"/>
          <w:highlight w:val="none"/>
          <w:u w:val="single"/>
        </w:rPr>
        <w:t xml:space="preserve">                          </w:t>
      </w:r>
    </w:p>
    <w:p w14:paraId="6441276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p>
    <w:p w14:paraId="3138436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（磋商申请人名称）的法定代表人（负责人）。</w:t>
      </w:r>
    </w:p>
    <w:p w14:paraId="52ECEB21">
      <w:pPr>
        <w:spacing w:line="360" w:lineRule="auto"/>
        <w:ind w:firstLine="420" w:firstLineChars="200"/>
        <w:rPr>
          <w:rFonts w:hint="eastAsia" w:ascii="宋体" w:hAnsi="宋体" w:eastAsia="宋体" w:cs="宋体"/>
          <w:color w:val="auto"/>
          <w:highlight w:val="none"/>
        </w:rPr>
      </w:pPr>
    </w:p>
    <w:p w14:paraId="45660E92">
      <w:pPr>
        <w:spacing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3CD1B4F1">
      <w:pPr>
        <w:spacing w:line="360" w:lineRule="auto"/>
        <w:ind w:firstLine="482" w:firstLineChars="200"/>
        <w:rPr>
          <w:rFonts w:hint="eastAsia" w:ascii="宋体" w:hAnsi="宋体" w:eastAsia="宋体" w:cs="宋体"/>
          <w:b/>
          <w:bCs/>
          <w:color w:val="auto"/>
          <w:sz w:val="24"/>
          <w:szCs w:val="24"/>
          <w:highlight w:val="none"/>
        </w:rPr>
      </w:pPr>
    </w:p>
    <w:p w14:paraId="3C75D7F7">
      <w:pPr>
        <w:spacing w:line="360" w:lineRule="auto"/>
        <w:ind w:firstLine="42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注：后附法定代表人（负责人）身份证复印件。</w:t>
      </w:r>
    </w:p>
    <w:p w14:paraId="34E6BADB">
      <w:pPr>
        <w:spacing w:line="360" w:lineRule="auto"/>
        <w:ind w:firstLine="420" w:firstLineChars="200"/>
        <w:rPr>
          <w:rFonts w:hint="eastAsia" w:ascii="宋体" w:hAnsi="宋体" w:eastAsia="宋体" w:cs="宋体"/>
          <w:color w:val="auto"/>
          <w:highlight w:val="none"/>
        </w:rPr>
      </w:pPr>
    </w:p>
    <w:p w14:paraId="706E2395">
      <w:pPr>
        <w:spacing w:line="360" w:lineRule="auto"/>
        <w:ind w:left="3780" w:leftChars="180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全称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加盖单位公章</w:t>
      </w:r>
      <w:r>
        <w:rPr>
          <w:rFonts w:hint="eastAsia" w:ascii="宋体" w:hAnsi="宋体" w:eastAsia="宋体" w:cs="宋体"/>
          <w:color w:val="auto"/>
          <w:highlight w:val="none"/>
        </w:rPr>
        <w:t>）</w:t>
      </w:r>
    </w:p>
    <w:p w14:paraId="0A6884A0">
      <w:pPr>
        <w:spacing w:line="360" w:lineRule="auto"/>
        <w:ind w:left="3780" w:leftChars="1800" w:firstLine="1050" w:firstLineChars="5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226C782">
      <w:pPr>
        <w:pStyle w:val="42"/>
        <w:rPr>
          <w:rFonts w:hint="eastAsia" w:ascii="宋体" w:hAnsi="宋体" w:eastAsia="宋体" w:cs="宋体"/>
          <w:color w:val="auto"/>
          <w:highlight w:val="none"/>
          <w:lang w:eastAsia="zh-CN"/>
        </w:rPr>
      </w:pPr>
    </w:p>
    <w:p w14:paraId="1D6972C3">
      <w:pPr>
        <w:pStyle w:val="43"/>
        <w:rPr>
          <w:rFonts w:hint="eastAsia" w:ascii="宋体" w:hAnsi="宋体" w:eastAsia="宋体" w:cs="宋体"/>
          <w:color w:val="auto"/>
          <w:highlight w:val="none"/>
          <w:lang w:eastAsia="zh-CN"/>
        </w:rPr>
      </w:pPr>
    </w:p>
    <w:p w14:paraId="0E5134E9">
      <w:pPr>
        <w:spacing w:line="360" w:lineRule="auto"/>
        <w:ind w:firstLine="420" w:firstLineChars="200"/>
        <w:rPr>
          <w:rFonts w:hint="eastAsia" w:ascii="宋体" w:hAnsi="宋体" w:eastAsia="宋体" w:cs="宋体"/>
          <w:color w:val="auto"/>
          <w:highlight w:val="none"/>
        </w:rPr>
      </w:pPr>
    </w:p>
    <w:p w14:paraId="3554256D">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F0F9D04">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格式2-3：法定代表人（负责人）授权委托书</w:t>
      </w:r>
    </w:p>
    <w:p w14:paraId="6BF2C142">
      <w:pPr>
        <w:spacing w:line="360" w:lineRule="auto"/>
        <w:ind w:firstLine="420" w:firstLineChars="200"/>
        <w:rPr>
          <w:rFonts w:hint="eastAsia" w:ascii="宋体" w:hAnsi="宋体" w:eastAsia="宋体" w:cs="宋体"/>
          <w:color w:val="auto"/>
          <w:highlight w:val="none"/>
        </w:rPr>
      </w:pPr>
    </w:p>
    <w:p w14:paraId="444A9912">
      <w:pPr>
        <w:spacing w:line="360" w:lineRule="auto"/>
        <w:ind w:firstLine="420" w:firstLineChars="200"/>
        <w:rPr>
          <w:rFonts w:hint="eastAsia" w:ascii="宋体" w:hAnsi="宋体" w:eastAsia="宋体" w:cs="宋体"/>
          <w:color w:val="auto"/>
          <w:highlight w:val="none"/>
        </w:rPr>
      </w:pPr>
    </w:p>
    <w:p w14:paraId="1D0B8E0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eastAsia="宋体" w:cs="宋体"/>
          <w:color w:val="auto"/>
          <w:highlight w:val="none"/>
          <w:u w:val="single"/>
        </w:rPr>
        <w:t xml:space="preserve">       （磋商申请人全称）     </w:t>
      </w:r>
      <w:r>
        <w:rPr>
          <w:rFonts w:hint="eastAsia" w:ascii="宋体" w:hAnsi="宋体" w:eastAsia="宋体" w:cs="宋体"/>
          <w:color w:val="auto"/>
          <w:highlight w:val="none"/>
        </w:rPr>
        <w:t>的法定代表人（负责人）代表本公司授权</w:t>
      </w:r>
      <w:r>
        <w:rPr>
          <w:rFonts w:hint="eastAsia" w:ascii="宋体" w:hAnsi="宋体" w:eastAsia="宋体" w:cs="宋体"/>
          <w:color w:val="auto"/>
          <w:highlight w:val="none"/>
          <w:u w:val="single"/>
        </w:rPr>
        <w:t xml:space="preserve">   （委托代理人姓名）   </w:t>
      </w:r>
      <w:r>
        <w:rPr>
          <w:rFonts w:hint="eastAsia" w:ascii="宋体" w:hAnsi="宋体" w:eastAsia="宋体" w:cs="宋体"/>
          <w:color w:val="auto"/>
          <w:highlight w:val="none"/>
        </w:rPr>
        <w:t>为本公司（单位）合法代理人，以本单位名义</w:t>
      </w:r>
      <w:r>
        <w:rPr>
          <w:rFonts w:hint="eastAsia" w:ascii="宋体" w:hAnsi="宋体" w:eastAsia="宋体" w:cs="宋体"/>
          <w:color w:val="auto"/>
          <w:highlight w:val="none"/>
          <w:lang w:eastAsia="zh-CN"/>
        </w:rPr>
        <w:t>出席</w:t>
      </w:r>
      <w:r>
        <w:rPr>
          <w:rFonts w:hint="eastAsia" w:ascii="宋体" w:hAnsi="宋体" w:eastAsia="宋体" w:cs="宋体"/>
          <w:color w:val="auto"/>
          <w:highlight w:val="none"/>
        </w:rPr>
        <w:t>参加贵方组织的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项目名称、项目编号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项目的磋商。代理人在本项目磋商过程中所签署的一切文件和处理与之有关的一切事务，我方均</w:t>
      </w:r>
      <w:r>
        <w:rPr>
          <w:rFonts w:hint="eastAsia" w:ascii="宋体" w:hAnsi="宋体" w:eastAsia="宋体" w:cs="宋体"/>
          <w:color w:val="auto"/>
          <w:highlight w:val="none"/>
          <w:lang w:eastAsia="zh-CN"/>
        </w:rPr>
        <w:t>予以</w:t>
      </w:r>
      <w:r>
        <w:rPr>
          <w:rFonts w:hint="eastAsia" w:ascii="宋体" w:hAnsi="宋体" w:eastAsia="宋体" w:cs="宋体"/>
          <w:color w:val="auto"/>
          <w:highlight w:val="none"/>
        </w:rPr>
        <w:t>承认。</w:t>
      </w:r>
    </w:p>
    <w:p w14:paraId="3F434A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66242F05">
      <w:pPr>
        <w:spacing w:line="360" w:lineRule="auto"/>
        <w:ind w:firstLine="420" w:firstLineChars="200"/>
        <w:rPr>
          <w:rFonts w:hint="eastAsia" w:ascii="宋体" w:hAnsi="宋体" w:eastAsia="宋体" w:cs="宋体"/>
          <w:color w:val="auto"/>
          <w:highlight w:val="none"/>
        </w:rPr>
      </w:pPr>
    </w:p>
    <w:p w14:paraId="48045D1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（全称）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加盖单位公章</w:t>
      </w:r>
      <w:r>
        <w:rPr>
          <w:rFonts w:hint="eastAsia" w:ascii="宋体" w:hAnsi="宋体" w:eastAsia="宋体" w:cs="宋体"/>
          <w:color w:val="auto"/>
          <w:highlight w:val="none"/>
        </w:rPr>
        <w:t>）</w:t>
      </w:r>
    </w:p>
    <w:p w14:paraId="3680E7B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法定代表人（负责人）：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签字或加盖个人印章</w:t>
      </w:r>
      <w:r>
        <w:rPr>
          <w:rFonts w:hint="eastAsia" w:ascii="宋体" w:hAnsi="宋体" w:eastAsia="宋体" w:cs="宋体"/>
          <w:color w:val="auto"/>
          <w:highlight w:val="none"/>
        </w:rPr>
        <w:t>）</w:t>
      </w:r>
    </w:p>
    <w:p w14:paraId="67A210A0">
      <w:pPr>
        <w:spacing w:line="360" w:lineRule="auto"/>
        <w:ind w:firstLine="420" w:firstLineChars="200"/>
        <w:rPr>
          <w:rFonts w:hint="eastAsia" w:ascii="宋体" w:hAnsi="宋体" w:eastAsia="宋体" w:cs="宋体"/>
          <w:color w:val="auto"/>
          <w:highlight w:val="none"/>
        </w:rPr>
      </w:pPr>
    </w:p>
    <w:p w14:paraId="58BB16A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委托代理人相关信息</w:t>
      </w:r>
    </w:p>
    <w:p w14:paraId="6D53FFA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签字或加盖个人印章</w:t>
      </w:r>
      <w:r>
        <w:rPr>
          <w:rFonts w:hint="eastAsia" w:ascii="宋体" w:hAnsi="宋体" w:eastAsia="宋体" w:cs="宋体"/>
          <w:color w:val="auto"/>
          <w:highlight w:val="none"/>
        </w:rPr>
        <w:t>）</w:t>
      </w:r>
    </w:p>
    <w:p w14:paraId="0C6471F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p>
    <w:p w14:paraId="0B4C308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代理人身份证号码：</w:t>
      </w:r>
      <w:r>
        <w:rPr>
          <w:rFonts w:hint="eastAsia" w:ascii="宋体" w:hAnsi="宋体" w:eastAsia="宋体" w:cs="宋体"/>
          <w:color w:val="auto"/>
          <w:highlight w:val="none"/>
          <w:u w:val="single"/>
        </w:rPr>
        <w:t xml:space="preserve">                       </w:t>
      </w:r>
    </w:p>
    <w:p w14:paraId="77D25357">
      <w:pPr>
        <w:spacing w:line="360" w:lineRule="auto"/>
        <w:ind w:firstLine="42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委托代理人详细地址：</w:t>
      </w:r>
      <w:r>
        <w:rPr>
          <w:rFonts w:hint="eastAsia" w:ascii="宋体" w:hAnsi="宋体" w:eastAsia="宋体" w:cs="宋体"/>
          <w:color w:val="auto"/>
          <w:highlight w:val="none"/>
          <w:u w:val="single"/>
        </w:rPr>
        <w:t xml:space="preserve">                             </w:t>
      </w:r>
    </w:p>
    <w:p w14:paraId="1974064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6F1C9F73">
      <w:pPr>
        <w:spacing w:line="360" w:lineRule="auto"/>
        <w:ind w:firstLine="420" w:firstLineChars="200"/>
        <w:rPr>
          <w:rFonts w:hint="eastAsia" w:ascii="宋体" w:hAnsi="宋体" w:eastAsia="宋体" w:cs="宋体"/>
          <w:color w:val="auto"/>
          <w:highlight w:val="none"/>
          <w:u w:val="single"/>
        </w:rPr>
      </w:pPr>
    </w:p>
    <w:p w14:paraId="000E48C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A9C02B9">
      <w:pPr>
        <w:spacing w:line="360" w:lineRule="auto"/>
        <w:ind w:firstLine="420" w:firstLineChars="200"/>
        <w:rPr>
          <w:rFonts w:hint="eastAsia" w:ascii="宋体" w:hAnsi="宋体" w:eastAsia="宋体" w:cs="宋体"/>
          <w:color w:val="auto"/>
          <w:highlight w:val="none"/>
        </w:rPr>
      </w:pPr>
    </w:p>
    <w:p w14:paraId="6150EC89">
      <w:pPr>
        <w:spacing w:line="360" w:lineRule="auto"/>
        <w:ind w:firstLine="420" w:firstLineChars="200"/>
        <w:rPr>
          <w:rFonts w:hint="eastAsia" w:ascii="宋体" w:hAnsi="宋体" w:eastAsia="宋体" w:cs="宋体"/>
          <w:color w:val="auto"/>
          <w:highlight w:val="none"/>
        </w:rPr>
      </w:pPr>
    </w:p>
    <w:p w14:paraId="102F5401">
      <w:pPr>
        <w:spacing w:line="360" w:lineRule="auto"/>
        <w:ind w:firstLine="422" w:firstLineChars="200"/>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后附被授权人身份证复印件及近期三个月内社保证明（成立未满3个月的单位无需提供授权人的社保证明）</w:t>
      </w:r>
      <w:r>
        <w:rPr>
          <w:rFonts w:hint="eastAsia" w:ascii="宋体" w:hAnsi="宋体" w:eastAsia="宋体" w:cs="宋体"/>
          <w:b/>
          <w:color w:val="auto"/>
          <w:szCs w:val="21"/>
          <w:highlight w:val="none"/>
          <w:lang w:eastAsia="zh-CN"/>
        </w:rPr>
        <w:t>。</w:t>
      </w:r>
    </w:p>
    <w:p w14:paraId="746E4A78">
      <w:pPr>
        <w:pStyle w:val="42"/>
        <w:rPr>
          <w:rFonts w:hint="eastAsia" w:ascii="宋体" w:hAnsi="宋体" w:eastAsia="宋体" w:cs="宋体"/>
          <w:b/>
          <w:color w:val="auto"/>
          <w:szCs w:val="21"/>
          <w:highlight w:val="none"/>
          <w:lang w:eastAsia="zh-CN"/>
        </w:rPr>
      </w:pPr>
    </w:p>
    <w:p w14:paraId="2A2AF786">
      <w:pPr>
        <w:pStyle w:val="43"/>
        <w:rPr>
          <w:rFonts w:hint="eastAsia" w:ascii="宋体" w:hAnsi="宋体" w:eastAsia="宋体" w:cs="宋体"/>
          <w:b/>
          <w:color w:val="auto"/>
          <w:szCs w:val="21"/>
          <w:highlight w:val="none"/>
        </w:rPr>
      </w:pPr>
    </w:p>
    <w:p w14:paraId="69B818B5">
      <w:pPr>
        <w:pStyle w:val="42"/>
        <w:rPr>
          <w:rFonts w:hint="eastAsia" w:ascii="宋体" w:hAnsi="宋体" w:eastAsia="宋体" w:cs="宋体"/>
          <w:color w:val="auto"/>
          <w:highlight w:val="none"/>
          <w:lang w:eastAsia="zh-CN"/>
        </w:rPr>
      </w:pPr>
    </w:p>
    <w:p w14:paraId="364DE597">
      <w:pPr>
        <w:keepNext/>
        <w:spacing w:line="360" w:lineRule="auto"/>
        <w:ind w:firstLine="422" w:firstLineChars="200"/>
        <w:rPr>
          <w:rFonts w:hint="eastAsia" w:ascii="宋体" w:hAnsi="宋体" w:eastAsia="宋体" w:cs="宋体"/>
          <w:b/>
          <w:color w:val="auto"/>
          <w:szCs w:val="21"/>
          <w:highlight w:val="none"/>
        </w:rPr>
      </w:pPr>
    </w:p>
    <w:p w14:paraId="78F0B638">
      <w:pPr>
        <w:widowControl/>
        <w:jc w:val="left"/>
        <w:rPr>
          <w:rFonts w:hint="eastAsia" w:ascii="宋体" w:hAnsi="宋体" w:eastAsia="宋体" w:cs="宋体"/>
          <w:b/>
          <w:bCs/>
          <w:color w:val="auto"/>
          <w:szCs w:val="21"/>
          <w:highlight w:val="none"/>
        </w:rPr>
      </w:pPr>
    </w:p>
    <w:p w14:paraId="169E2F42">
      <w:pPr>
        <w:spacing w:line="460" w:lineRule="exact"/>
        <w:jc w:val="center"/>
        <w:rPr>
          <w:rFonts w:hint="eastAsia" w:ascii="宋体" w:hAnsi="宋体" w:eastAsia="宋体" w:cs="宋体"/>
          <w:b/>
          <w:bCs/>
          <w:color w:val="auto"/>
          <w:sz w:val="30"/>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bCs/>
          <w:color w:val="auto"/>
          <w:sz w:val="28"/>
          <w:szCs w:val="28"/>
          <w:highlight w:val="none"/>
        </w:rPr>
        <w:t>格式2-4：</w:t>
      </w:r>
      <w:r>
        <w:rPr>
          <w:rFonts w:hint="eastAsia" w:ascii="宋体" w:hAnsi="宋体" w:eastAsia="宋体" w:cs="宋体"/>
          <w:b/>
          <w:bCs/>
          <w:color w:val="auto"/>
          <w:sz w:val="30"/>
          <w:highlight w:val="none"/>
        </w:rPr>
        <w:t>磋商申请人若不属于联合体的请按以下格式填写</w:t>
      </w:r>
    </w:p>
    <w:p w14:paraId="165CB5FC">
      <w:pPr>
        <w:spacing w:line="480" w:lineRule="exact"/>
        <w:jc w:val="center"/>
        <w:rPr>
          <w:rFonts w:hint="eastAsia" w:ascii="宋体" w:hAnsi="宋体" w:eastAsia="宋体" w:cs="宋体"/>
          <w:b/>
          <w:bCs/>
          <w:color w:val="auto"/>
          <w:sz w:val="30"/>
          <w:highlight w:val="none"/>
        </w:rPr>
      </w:pPr>
    </w:p>
    <w:p w14:paraId="50D40EC5">
      <w:pPr>
        <w:spacing w:line="480" w:lineRule="exact"/>
        <w:jc w:val="cente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t xml:space="preserve">声明书 </w:t>
      </w:r>
    </w:p>
    <w:p w14:paraId="7373C1C4">
      <w:pPr>
        <w:spacing w:line="480" w:lineRule="exact"/>
        <w:rPr>
          <w:rFonts w:hint="eastAsia" w:ascii="宋体" w:hAnsi="宋体" w:eastAsia="宋体" w:cs="宋体"/>
          <w:b/>
          <w:bCs/>
          <w:color w:val="auto"/>
          <w:sz w:val="24"/>
          <w:szCs w:val="24"/>
          <w:highlight w:val="none"/>
        </w:rPr>
      </w:pPr>
    </w:p>
    <w:p w14:paraId="03AA3B3F">
      <w:pPr>
        <w:spacing w:line="48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（采购人名称）       </w:t>
      </w:r>
    </w:p>
    <w:p w14:paraId="28A7FFFA">
      <w:pPr>
        <w:spacing w:line="500" w:lineRule="exact"/>
        <w:rPr>
          <w:rFonts w:hint="eastAsia" w:ascii="宋体" w:hAnsi="宋体" w:eastAsia="宋体" w:cs="宋体"/>
          <w:b/>
          <w:color w:val="auto"/>
          <w:szCs w:val="21"/>
          <w:highlight w:val="none"/>
        </w:rPr>
      </w:pPr>
    </w:p>
    <w:p w14:paraId="00EAD68F">
      <w:pPr>
        <w:spacing w:line="500" w:lineRule="exact"/>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在审阅了贵方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项目名称、项目编号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竞争性磋商文件包括确已收到第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号补充文件（若有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若无补充文件，请填写“/”</w:t>
      </w:r>
      <w:r>
        <w:rPr>
          <w:rFonts w:hint="eastAsia" w:ascii="宋体" w:hAnsi="宋体" w:eastAsia="宋体" w:cs="宋体"/>
          <w:color w:val="auto"/>
          <w:szCs w:val="21"/>
          <w:highlight w:val="none"/>
        </w:rPr>
        <w:t>），我方被授权签字人在此申明我方就本项目采购为独立参与磋商，我方不属于</w:t>
      </w:r>
      <w:r>
        <w:rPr>
          <w:rFonts w:hint="eastAsia" w:ascii="宋体" w:hAnsi="宋体" w:eastAsia="宋体" w:cs="宋体"/>
          <w:b/>
          <w:color w:val="auto"/>
          <w:szCs w:val="21"/>
          <w:highlight w:val="none"/>
        </w:rPr>
        <w:t>联合体</w:t>
      </w:r>
      <w:r>
        <w:rPr>
          <w:rFonts w:hint="eastAsia" w:ascii="宋体" w:hAnsi="宋体" w:eastAsia="宋体" w:cs="宋体"/>
          <w:b/>
          <w:color w:val="auto"/>
          <w:szCs w:val="21"/>
          <w:highlight w:val="none"/>
          <w:lang w:eastAsia="zh-CN"/>
        </w:rPr>
        <w:t>，</w:t>
      </w:r>
      <w:r>
        <w:rPr>
          <w:rFonts w:hint="eastAsia" w:ascii="宋体" w:hAnsi="宋体" w:eastAsia="宋体" w:cs="宋体"/>
          <w:color w:val="auto"/>
          <w:szCs w:val="21"/>
          <w:highlight w:val="none"/>
        </w:rPr>
        <w:t>我方不属于</w:t>
      </w:r>
      <w:r>
        <w:rPr>
          <w:rFonts w:hint="eastAsia" w:ascii="宋体" w:hAnsi="宋体" w:eastAsia="宋体" w:cs="宋体"/>
          <w:b/>
          <w:color w:val="auto"/>
          <w:szCs w:val="21"/>
          <w:highlight w:val="none"/>
        </w:rPr>
        <w:t>联合体，与其他磋商申请人不存在单位负责人为同一人或者存在直接控股、管理关系的情况。</w:t>
      </w:r>
    </w:p>
    <w:p w14:paraId="154AC477">
      <w:pPr>
        <w:spacing w:line="500" w:lineRule="exact"/>
        <w:ind w:firstLine="420" w:firstLineChars="200"/>
        <w:jc w:val="left"/>
        <w:rPr>
          <w:rFonts w:hint="eastAsia" w:ascii="宋体" w:hAnsi="宋体" w:eastAsia="宋体" w:cs="宋体"/>
          <w:color w:val="auto"/>
          <w:sz w:val="21"/>
          <w:szCs w:val="21"/>
          <w:highlight w:val="none"/>
        </w:rPr>
      </w:pPr>
    </w:p>
    <w:p w14:paraId="7E4273AE">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462EF0E9">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549A82CE">
      <w:pPr>
        <w:spacing w:line="460" w:lineRule="exact"/>
        <w:ind w:firstLine="279" w:firstLineChars="133"/>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0D54E10">
      <w:pPr>
        <w:spacing w:line="500" w:lineRule="exact"/>
        <w:jc w:val="left"/>
        <w:rPr>
          <w:rFonts w:hint="eastAsia" w:ascii="宋体" w:hAnsi="宋体" w:eastAsia="宋体" w:cs="宋体"/>
          <w:color w:val="auto"/>
          <w:szCs w:val="21"/>
          <w:highlight w:val="none"/>
        </w:rPr>
      </w:pPr>
    </w:p>
    <w:p w14:paraId="7010776B">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6E21F149">
      <w:pPr>
        <w:keepNext/>
        <w:jc w:val="center"/>
        <w:rPr>
          <w:rFonts w:hint="eastAsia" w:ascii="宋体" w:hAnsi="宋体" w:eastAsia="宋体" w:cs="宋体"/>
          <w:b/>
          <w:bCs/>
          <w:color w:val="auto"/>
          <w:sz w:val="28"/>
          <w:szCs w:val="28"/>
          <w:highlight w:val="none"/>
        </w:rPr>
      </w:pPr>
      <w:bookmarkStart w:id="170" w:name="_Toc25357"/>
      <w:r>
        <w:rPr>
          <w:rFonts w:hint="eastAsia" w:ascii="宋体" w:hAnsi="宋体" w:eastAsia="宋体" w:cs="宋体"/>
          <w:b/>
          <w:bCs/>
          <w:color w:val="auto"/>
          <w:sz w:val="28"/>
          <w:szCs w:val="28"/>
          <w:highlight w:val="none"/>
        </w:rPr>
        <w:t>格式3：具有良好的商业信誉和健全的财务会计制度</w:t>
      </w:r>
      <w:bookmarkEnd w:id="170"/>
    </w:p>
    <w:p w14:paraId="582CCA65">
      <w:pPr>
        <w:spacing w:line="460" w:lineRule="exact"/>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格式3-1：具有良好的商业信誉。</w:t>
      </w:r>
    </w:p>
    <w:p w14:paraId="55F6AB7B">
      <w:pPr>
        <w:spacing w:line="460" w:lineRule="exact"/>
        <w:jc w:val="left"/>
        <w:rPr>
          <w:rFonts w:hint="eastAsia" w:ascii="宋体" w:hAnsi="宋体" w:eastAsia="宋体" w:cs="宋体"/>
          <w:color w:val="auto"/>
          <w:sz w:val="24"/>
          <w:szCs w:val="24"/>
          <w:highlight w:val="none"/>
        </w:rPr>
      </w:pPr>
    </w:p>
    <w:p w14:paraId="1348BCEF">
      <w:pPr>
        <w:spacing w:line="460" w:lineRule="exact"/>
        <w:jc w:val="left"/>
        <w:rPr>
          <w:rFonts w:hint="eastAsia" w:ascii="宋体" w:hAnsi="宋体" w:eastAsia="宋体" w:cs="宋体"/>
          <w:color w:val="auto"/>
          <w:sz w:val="24"/>
          <w:szCs w:val="24"/>
          <w:highlight w:val="none"/>
        </w:rPr>
      </w:pPr>
    </w:p>
    <w:p w14:paraId="6ACC3746">
      <w:pPr>
        <w:spacing w:line="46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请提供具有良好的商业信誉的声明函。</w:t>
      </w:r>
    </w:p>
    <w:p w14:paraId="3B2E6A3D">
      <w:pPr>
        <w:spacing w:line="460" w:lineRule="exact"/>
        <w:jc w:val="left"/>
        <w:rPr>
          <w:rFonts w:hint="eastAsia" w:ascii="宋体" w:hAnsi="宋体" w:eastAsia="宋体" w:cs="宋体"/>
          <w:color w:val="auto"/>
          <w:szCs w:val="21"/>
          <w:highlight w:val="none"/>
        </w:rPr>
      </w:pPr>
    </w:p>
    <w:p w14:paraId="774DA32B">
      <w:pPr>
        <w:spacing w:line="460" w:lineRule="exact"/>
        <w:jc w:val="left"/>
        <w:rPr>
          <w:rFonts w:hint="eastAsia" w:ascii="宋体" w:hAnsi="宋体" w:eastAsia="宋体" w:cs="宋体"/>
          <w:color w:val="auto"/>
          <w:szCs w:val="21"/>
          <w:highlight w:val="none"/>
        </w:rPr>
      </w:pPr>
    </w:p>
    <w:p w14:paraId="3C110587">
      <w:pPr>
        <w:spacing w:line="460" w:lineRule="exact"/>
        <w:ind w:firstLine="1200" w:firstLineChars="5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格式自拟</w:t>
      </w:r>
    </w:p>
    <w:p w14:paraId="50D0E6C1">
      <w:pPr>
        <w:pStyle w:val="14"/>
        <w:rPr>
          <w:rFonts w:hint="eastAsia" w:ascii="宋体" w:hAnsi="宋体" w:eastAsia="宋体" w:cs="宋体"/>
          <w:color w:val="auto"/>
          <w:sz w:val="24"/>
          <w:szCs w:val="24"/>
          <w:highlight w:val="none"/>
          <w:lang w:val="en-US" w:eastAsia="zh-CN"/>
        </w:rPr>
      </w:pPr>
    </w:p>
    <w:p w14:paraId="0FD428A0">
      <w:pPr>
        <w:pStyle w:val="38"/>
        <w:rPr>
          <w:rFonts w:hint="eastAsia" w:ascii="宋体" w:hAnsi="宋体" w:eastAsia="宋体" w:cs="宋体"/>
          <w:color w:val="auto"/>
          <w:sz w:val="24"/>
          <w:szCs w:val="24"/>
          <w:highlight w:val="none"/>
          <w:lang w:val="en-US" w:eastAsia="zh-CN"/>
        </w:rPr>
      </w:pPr>
    </w:p>
    <w:p w14:paraId="302123D4">
      <w:pPr>
        <w:pStyle w:val="38"/>
        <w:rPr>
          <w:rFonts w:hint="eastAsia" w:ascii="宋体" w:hAnsi="宋体" w:eastAsia="宋体" w:cs="宋体"/>
          <w:color w:val="auto"/>
          <w:sz w:val="24"/>
          <w:szCs w:val="24"/>
          <w:highlight w:val="none"/>
          <w:lang w:val="en-US" w:eastAsia="zh-CN"/>
        </w:rPr>
      </w:pPr>
    </w:p>
    <w:p w14:paraId="49EE3D5B">
      <w:pPr>
        <w:pStyle w:val="38"/>
        <w:rPr>
          <w:rFonts w:hint="eastAsia" w:ascii="宋体" w:hAnsi="宋体" w:eastAsia="宋体" w:cs="宋体"/>
          <w:color w:val="auto"/>
          <w:sz w:val="24"/>
          <w:szCs w:val="24"/>
          <w:highlight w:val="none"/>
          <w:lang w:val="en-US" w:eastAsia="zh-CN"/>
        </w:rPr>
      </w:pPr>
    </w:p>
    <w:p w14:paraId="67058976">
      <w:pPr>
        <w:pStyle w:val="38"/>
        <w:rPr>
          <w:rFonts w:hint="eastAsia" w:ascii="宋体" w:hAnsi="宋体" w:eastAsia="宋体" w:cs="宋体"/>
          <w:color w:val="auto"/>
          <w:sz w:val="24"/>
          <w:szCs w:val="24"/>
          <w:highlight w:val="none"/>
          <w:lang w:val="en-US" w:eastAsia="zh-CN"/>
        </w:rPr>
      </w:pPr>
    </w:p>
    <w:p w14:paraId="0E949911">
      <w:pPr>
        <w:pStyle w:val="38"/>
        <w:rPr>
          <w:rFonts w:hint="eastAsia" w:ascii="宋体" w:hAnsi="宋体" w:eastAsia="宋体" w:cs="宋体"/>
          <w:color w:val="auto"/>
          <w:sz w:val="24"/>
          <w:szCs w:val="24"/>
          <w:highlight w:val="none"/>
          <w:lang w:val="en-US" w:eastAsia="zh-CN"/>
        </w:rPr>
      </w:pPr>
    </w:p>
    <w:p w14:paraId="1F05D184">
      <w:pPr>
        <w:pStyle w:val="38"/>
        <w:rPr>
          <w:rFonts w:hint="eastAsia" w:ascii="宋体" w:hAnsi="宋体" w:eastAsia="宋体" w:cs="宋体"/>
          <w:color w:val="auto"/>
          <w:sz w:val="24"/>
          <w:szCs w:val="24"/>
          <w:highlight w:val="none"/>
          <w:lang w:val="en-US" w:eastAsia="zh-CN"/>
        </w:rPr>
      </w:pPr>
    </w:p>
    <w:p w14:paraId="1C1C8F98">
      <w:pPr>
        <w:pStyle w:val="38"/>
        <w:rPr>
          <w:rFonts w:hint="eastAsia" w:ascii="宋体" w:hAnsi="宋体" w:eastAsia="宋体" w:cs="宋体"/>
          <w:color w:val="auto"/>
          <w:sz w:val="24"/>
          <w:szCs w:val="24"/>
          <w:highlight w:val="none"/>
          <w:lang w:val="en-US" w:eastAsia="zh-CN"/>
        </w:rPr>
      </w:pPr>
    </w:p>
    <w:p w14:paraId="0D516CA7">
      <w:pPr>
        <w:pStyle w:val="38"/>
        <w:rPr>
          <w:rFonts w:hint="eastAsia" w:ascii="宋体" w:hAnsi="宋体" w:eastAsia="宋体" w:cs="宋体"/>
          <w:color w:val="auto"/>
          <w:sz w:val="24"/>
          <w:szCs w:val="24"/>
          <w:highlight w:val="none"/>
          <w:lang w:val="en-US" w:eastAsia="zh-CN"/>
        </w:rPr>
      </w:pPr>
    </w:p>
    <w:p w14:paraId="1555FFEC">
      <w:pPr>
        <w:pStyle w:val="38"/>
        <w:rPr>
          <w:rFonts w:hint="eastAsia" w:ascii="宋体" w:hAnsi="宋体" w:eastAsia="宋体" w:cs="宋体"/>
          <w:color w:val="auto"/>
          <w:sz w:val="24"/>
          <w:szCs w:val="24"/>
          <w:highlight w:val="none"/>
          <w:lang w:val="en-US" w:eastAsia="zh-CN"/>
        </w:rPr>
      </w:pPr>
    </w:p>
    <w:p w14:paraId="587D2501">
      <w:pPr>
        <w:pStyle w:val="38"/>
        <w:rPr>
          <w:rFonts w:hint="eastAsia" w:ascii="宋体" w:hAnsi="宋体" w:eastAsia="宋体" w:cs="宋体"/>
          <w:color w:val="auto"/>
          <w:sz w:val="24"/>
          <w:szCs w:val="24"/>
          <w:highlight w:val="none"/>
          <w:lang w:val="en-US" w:eastAsia="zh-CN"/>
        </w:rPr>
      </w:pPr>
    </w:p>
    <w:p w14:paraId="154B615F">
      <w:pPr>
        <w:spacing w:line="360" w:lineRule="auto"/>
        <w:ind w:left="3780" w:leftChars="1800"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w:t>
      </w:r>
      <w:r>
        <w:rPr>
          <w:rFonts w:hint="eastAsia" w:ascii="宋体" w:hAnsi="宋体" w:eastAsia="宋体" w:cs="宋体"/>
          <w:color w:val="auto"/>
          <w:sz w:val="21"/>
          <w:szCs w:val="21"/>
          <w:highlight w:val="none"/>
          <w:u w:val="single"/>
        </w:rPr>
        <w:t>（全称）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加盖单位公章</w:t>
      </w:r>
      <w:r>
        <w:rPr>
          <w:rFonts w:hint="eastAsia" w:ascii="宋体" w:hAnsi="宋体" w:eastAsia="宋体" w:cs="宋体"/>
          <w:color w:val="auto"/>
          <w:highlight w:val="none"/>
        </w:rPr>
        <w:t>）</w:t>
      </w:r>
    </w:p>
    <w:p w14:paraId="2074ABA0">
      <w:pPr>
        <w:spacing w:line="360" w:lineRule="auto"/>
        <w:ind w:left="3780" w:leftChars="1800" w:firstLine="1050" w:firstLineChars="5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9A2FE67">
      <w:pPr>
        <w:spacing w:line="460" w:lineRule="exact"/>
        <w:jc w:val="left"/>
        <w:rPr>
          <w:rFonts w:hint="eastAsia" w:ascii="宋体" w:hAnsi="宋体" w:eastAsia="宋体" w:cs="宋体"/>
          <w:b/>
          <w:color w:val="auto"/>
          <w:highlight w:val="none"/>
        </w:rPr>
      </w:pPr>
    </w:p>
    <w:p w14:paraId="34F2FDF4">
      <w:pPr>
        <w:spacing w:line="460" w:lineRule="exact"/>
        <w:jc w:val="left"/>
        <w:rPr>
          <w:rFonts w:hint="eastAsia" w:ascii="宋体" w:hAnsi="宋体" w:eastAsia="宋体" w:cs="宋体"/>
          <w:color w:val="auto"/>
          <w:szCs w:val="21"/>
          <w:highlight w:val="none"/>
        </w:rPr>
      </w:pPr>
    </w:p>
    <w:p w14:paraId="6F1D2985">
      <w:pPr>
        <w:spacing w:line="460" w:lineRule="exact"/>
        <w:jc w:val="left"/>
        <w:rPr>
          <w:rFonts w:hint="eastAsia" w:ascii="宋体" w:hAnsi="宋体" w:eastAsia="宋体" w:cs="宋体"/>
          <w:color w:val="auto"/>
          <w:szCs w:val="21"/>
          <w:highlight w:val="none"/>
          <w:lang w:eastAsia="zh-CN"/>
        </w:rPr>
      </w:pPr>
    </w:p>
    <w:p w14:paraId="2813A07B">
      <w:pPr>
        <w:spacing w:line="460" w:lineRule="exact"/>
        <w:jc w:val="left"/>
        <w:rPr>
          <w:rFonts w:hint="eastAsia" w:ascii="宋体" w:hAnsi="宋体" w:eastAsia="宋体" w:cs="宋体"/>
          <w:color w:val="auto"/>
          <w:szCs w:val="21"/>
          <w:highlight w:val="none"/>
        </w:rPr>
      </w:pPr>
    </w:p>
    <w:p w14:paraId="79A4B41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8A3E049">
      <w:pPr>
        <w:spacing w:line="460" w:lineRule="exact"/>
        <w:jc w:val="left"/>
        <w:rPr>
          <w:rFonts w:hint="eastAsia" w:ascii="宋体" w:hAnsi="宋体" w:eastAsia="宋体" w:cs="宋体"/>
          <w:b/>
          <w:bCs/>
          <w:color w:val="auto"/>
          <w:sz w:val="22"/>
          <w:highlight w:val="none"/>
        </w:rPr>
      </w:pPr>
      <w:r>
        <w:rPr>
          <w:rFonts w:hint="eastAsia" w:ascii="宋体" w:hAnsi="宋体" w:eastAsia="宋体" w:cs="宋体"/>
          <w:b/>
          <w:bCs/>
          <w:color w:val="auto"/>
          <w:sz w:val="28"/>
          <w:szCs w:val="28"/>
          <w:highlight w:val="none"/>
        </w:rPr>
        <w:t>格式3-2：提供</w:t>
      </w:r>
      <w:r>
        <w:rPr>
          <w:rFonts w:hint="eastAsia" w:ascii="宋体" w:hAnsi="宋体" w:eastAsia="宋体" w:cs="宋体"/>
          <w:b/>
          <w:bCs/>
          <w:color w:val="auto"/>
          <w:sz w:val="28"/>
          <w:szCs w:val="28"/>
          <w:highlight w:val="none"/>
          <w:lang w:val="en-US" w:eastAsia="zh-CN"/>
        </w:rPr>
        <w:t>磋商申请人</w:t>
      </w:r>
      <w:r>
        <w:rPr>
          <w:rFonts w:hint="eastAsia" w:ascii="宋体" w:hAnsi="宋体" w:eastAsia="宋体" w:cs="宋体"/>
          <w:b/>
          <w:bCs/>
          <w:color w:val="auto"/>
          <w:sz w:val="28"/>
          <w:szCs w:val="28"/>
          <w:highlight w:val="none"/>
          <w:lang w:eastAsia="zh-CN"/>
        </w:rPr>
        <w:t>2024年度至今任一年度</w:t>
      </w:r>
      <w:r>
        <w:rPr>
          <w:rFonts w:hint="eastAsia" w:ascii="宋体" w:hAnsi="宋体" w:eastAsia="宋体" w:cs="宋体"/>
          <w:b/>
          <w:bCs/>
          <w:color w:val="auto"/>
          <w:sz w:val="28"/>
          <w:szCs w:val="28"/>
          <w:highlight w:val="none"/>
        </w:rPr>
        <w:t>经审计的财务报告；</w:t>
      </w:r>
      <w:r>
        <w:rPr>
          <w:rFonts w:hint="eastAsia" w:ascii="宋体" w:hAnsi="宋体" w:eastAsia="宋体" w:cs="宋体"/>
          <w:b/>
          <w:bCs/>
          <w:color w:val="auto"/>
          <w:sz w:val="28"/>
          <w:szCs w:val="28"/>
          <w:highlight w:val="none"/>
          <w:lang w:val="en-US" w:eastAsia="zh-CN"/>
        </w:rPr>
        <w:t>磋商申请</w:t>
      </w:r>
      <w:r>
        <w:rPr>
          <w:rFonts w:hint="eastAsia" w:ascii="宋体" w:hAnsi="宋体" w:eastAsia="宋体" w:cs="宋体"/>
          <w:b/>
          <w:bCs/>
          <w:color w:val="auto"/>
          <w:sz w:val="28"/>
          <w:szCs w:val="28"/>
          <w:highlight w:val="none"/>
        </w:rPr>
        <w:t>人（含成立未满3个月的单位）不能提供</w:t>
      </w:r>
      <w:r>
        <w:rPr>
          <w:rFonts w:hint="eastAsia" w:ascii="宋体" w:hAnsi="宋体" w:eastAsia="宋体" w:cs="宋体"/>
          <w:b/>
          <w:bCs/>
          <w:color w:val="auto"/>
          <w:sz w:val="28"/>
          <w:szCs w:val="28"/>
          <w:highlight w:val="none"/>
          <w:lang w:eastAsia="zh-CN"/>
        </w:rPr>
        <w:t>2024年度至今任一年度</w:t>
      </w:r>
      <w:r>
        <w:rPr>
          <w:rFonts w:hint="eastAsia" w:ascii="宋体" w:hAnsi="宋体" w:eastAsia="宋体" w:cs="宋体"/>
          <w:b/>
          <w:bCs/>
          <w:color w:val="auto"/>
          <w:sz w:val="28"/>
          <w:szCs w:val="28"/>
          <w:highlight w:val="none"/>
        </w:rPr>
        <w:t>经审计的财务报告的，也可以提供自</w:t>
      </w:r>
      <w:r>
        <w:rPr>
          <w:rFonts w:hint="eastAsia" w:ascii="宋体" w:hAnsi="宋体" w:eastAsia="宋体" w:cs="宋体"/>
          <w:b/>
          <w:bCs/>
          <w:color w:val="auto"/>
          <w:sz w:val="28"/>
          <w:szCs w:val="28"/>
          <w:highlight w:val="none"/>
          <w:lang w:val="en-US" w:eastAsia="zh-CN"/>
        </w:rPr>
        <w:t>磋商响应</w:t>
      </w:r>
      <w:r>
        <w:rPr>
          <w:rFonts w:hint="eastAsia" w:ascii="宋体" w:hAnsi="宋体" w:eastAsia="宋体" w:cs="宋体"/>
          <w:b/>
          <w:bCs/>
          <w:color w:val="auto"/>
          <w:sz w:val="28"/>
          <w:szCs w:val="28"/>
          <w:highlight w:val="none"/>
        </w:rPr>
        <w:t>文件提交截止时间前三个月内银行出具的资信证明或担保机构出具的投标担保函等能证明具有健全的财务会计制度的证明材料。</w:t>
      </w:r>
    </w:p>
    <w:p w14:paraId="64CFBEDF">
      <w:pPr>
        <w:keepNext w:val="0"/>
        <w:keepLines w:val="0"/>
        <w:pageBreakBefore w:val="0"/>
        <w:widowControl w:val="0"/>
        <w:kinsoku/>
        <w:wordWrap/>
        <w:overflowPunct/>
        <w:topLinePunct w:val="0"/>
        <w:autoSpaceDE/>
        <w:autoSpaceDN/>
        <w:bidi w:val="0"/>
        <w:adjustRightInd/>
        <w:snapToGrid/>
        <w:spacing w:line="560" w:lineRule="exact"/>
        <w:ind w:firstLine="456" w:firstLineChars="200"/>
        <w:textAlignment w:val="auto"/>
        <w:rPr>
          <w:rFonts w:hint="eastAsia" w:ascii="宋体" w:hAnsi="宋体" w:eastAsia="宋体" w:cs="宋体"/>
          <w:color w:val="auto"/>
          <w:spacing w:val="-6"/>
          <w:sz w:val="24"/>
          <w:szCs w:val="24"/>
          <w:highlight w:val="none"/>
        </w:rPr>
      </w:pPr>
    </w:p>
    <w:p w14:paraId="3AD922AB">
      <w:pPr>
        <w:keepNext w:val="0"/>
        <w:keepLines w:val="0"/>
        <w:pageBreakBefore w:val="0"/>
        <w:widowControl w:val="0"/>
        <w:kinsoku/>
        <w:wordWrap/>
        <w:overflowPunct/>
        <w:topLinePunct w:val="0"/>
        <w:autoSpaceDE/>
        <w:autoSpaceDN/>
        <w:bidi w:val="0"/>
        <w:adjustRightInd/>
        <w:snapToGrid/>
        <w:spacing w:line="560" w:lineRule="exact"/>
        <w:ind w:firstLine="456" w:firstLineChars="200"/>
        <w:textAlignment w:val="auto"/>
        <w:rPr>
          <w:rFonts w:hint="eastAsia" w:ascii="宋体" w:hAnsi="宋体" w:eastAsia="宋体" w:cs="宋体"/>
          <w:color w:val="auto"/>
          <w:spacing w:val="-6"/>
          <w:sz w:val="24"/>
          <w:szCs w:val="24"/>
          <w:highlight w:val="none"/>
        </w:rPr>
      </w:pPr>
    </w:p>
    <w:p w14:paraId="24ECAD38">
      <w:pPr>
        <w:keepNext w:val="0"/>
        <w:keepLines w:val="0"/>
        <w:pageBreakBefore w:val="0"/>
        <w:widowControl w:val="0"/>
        <w:kinsoku/>
        <w:wordWrap/>
        <w:overflowPunct/>
        <w:topLinePunct w:val="0"/>
        <w:autoSpaceDE/>
        <w:autoSpaceDN/>
        <w:bidi w:val="0"/>
        <w:adjustRightInd/>
        <w:snapToGrid/>
        <w:spacing w:line="560" w:lineRule="exact"/>
        <w:ind w:firstLine="456" w:firstLineChars="200"/>
        <w:textAlignment w:val="auto"/>
        <w:rPr>
          <w:rFonts w:hint="eastAsia" w:ascii="宋体" w:hAnsi="宋体" w:eastAsia="宋体" w:cs="宋体"/>
          <w:color w:val="auto"/>
          <w:spacing w:val="-6"/>
          <w:sz w:val="24"/>
          <w:szCs w:val="24"/>
          <w:highlight w:val="none"/>
          <w:lang w:eastAsia="zh-CN"/>
        </w:rPr>
      </w:pPr>
    </w:p>
    <w:p w14:paraId="0D8D1E78">
      <w:pPr>
        <w:keepNext w:val="0"/>
        <w:keepLines w:val="0"/>
        <w:pageBreakBefore w:val="0"/>
        <w:widowControl w:val="0"/>
        <w:kinsoku/>
        <w:wordWrap/>
        <w:overflowPunct/>
        <w:topLinePunct w:val="0"/>
        <w:autoSpaceDE/>
        <w:autoSpaceDN/>
        <w:bidi w:val="0"/>
        <w:adjustRightInd/>
        <w:snapToGrid/>
        <w:spacing w:line="560" w:lineRule="exact"/>
        <w:ind w:firstLine="456" w:firstLineChars="200"/>
        <w:textAlignment w:val="auto"/>
        <w:rPr>
          <w:rFonts w:hint="eastAsia" w:ascii="宋体" w:hAnsi="宋体" w:eastAsia="宋体" w:cs="宋体"/>
          <w:color w:val="auto"/>
          <w:spacing w:val="-6"/>
          <w:sz w:val="24"/>
          <w:szCs w:val="24"/>
          <w:highlight w:val="none"/>
        </w:rPr>
      </w:pPr>
    </w:p>
    <w:p w14:paraId="4FA0F3A4">
      <w:pPr>
        <w:keepNext w:val="0"/>
        <w:keepLines w:val="0"/>
        <w:pageBreakBefore w:val="0"/>
        <w:widowControl w:val="0"/>
        <w:kinsoku/>
        <w:wordWrap/>
        <w:overflowPunct/>
        <w:topLinePunct w:val="0"/>
        <w:autoSpaceDE/>
        <w:autoSpaceDN/>
        <w:bidi w:val="0"/>
        <w:adjustRightInd/>
        <w:snapToGrid/>
        <w:spacing w:line="560" w:lineRule="exact"/>
        <w:ind w:firstLine="456" w:firstLineChars="200"/>
        <w:textAlignment w:val="auto"/>
        <w:rPr>
          <w:rFonts w:hint="eastAsia" w:ascii="宋体" w:hAnsi="宋体" w:eastAsia="宋体" w:cs="宋体"/>
          <w:color w:val="auto"/>
          <w:spacing w:val="-6"/>
          <w:sz w:val="24"/>
          <w:szCs w:val="24"/>
          <w:highlight w:val="none"/>
        </w:rPr>
      </w:pPr>
    </w:p>
    <w:p w14:paraId="0C08ED3A">
      <w:pPr>
        <w:pStyle w:val="6"/>
        <w:tabs>
          <w:tab w:val="left" w:pos="432"/>
        </w:tabs>
        <w:spacing w:before="0" w:after="0" w:line="480" w:lineRule="exact"/>
        <w:jc w:val="center"/>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171" w:name="_Toc29168"/>
      <w:bookmarkStart w:id="172" w:name="_Toc119421999"/>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：具备履行合同所必需的设备和专业技术能力</w:t>
      </w:r>
      <w:bookmarkEnd w:id="171"/>
      <w:bookmarkEnd w:id="172"/>
    </w:p>
    <w:p w14:paraId="39E5153C">
      <w:pPr>
        <w:jc w:val="left"/>
        <w:rPr>
          <w:rFonts w:hint="eastAsia" w:ascii="宋体" w:hAnsi="宋体" w:eastAsia="宋体" w:cs="宋体"/>
          <w:b/>
          <w:color w:val="auto"/>
          <w:sz w:val="24"/>
          <w:szCs w:val="24"/>
          <w:highlight w:val="none"/>
        </w:rPr>
      </w:pPr>
    </w:p>
    <w:p w14:paraId="6DF38B9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提供磋商申请人能证明其具备履行合同所必需的设备和专业技术能力</w:t>
      </w:r>
      <w:r>
        <w:rPr>
          <w:rFonts w:hint="eastAsia" w:ascii="宋体" w:hAnsi="宋体" w:eastAsia="宋体" w:cs="宋体"/>
          <w:color w:val="auto"/>
          <w:szCs w:val="21"/>
          <w:highlight w:val="none"/>
          <w:lang w:val="en-US" w:eastAsia="zh-CN"/>
        </w:rPr>
        <w:t>的书面声明函或证明材料</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加盖单位公章确认</w:t>
      </w:r>
      <w:r>
        <w:rPr>
          <w:rFonts w:hint="eastAsia" w:ascii="宋体" w:hAnsi="宋体" w:eastAsia="宋体" w:cs="宋体"/>
          <w:color w:val="auto"/>
          <w:szCs w:val="21"/>
          <w:highlight w:val="none"/>
        </w:rPr>
        <w:t>）；</w:t>
      </w:r>
    </w:p>
    <w:p w14:paraId="348C251B">
      <w:pPr>
        <w:pStyle w:val="41"/>
        <w:rPr>
          <w:rFonts w:hint="eastAsia" w:ascii="宋体" w:hAnsi="宋体" w:eastAsia="宋体" w:cs="宋体"/>
          <w:color w:val="auto"/>
          <w:szCs w:val="21"/>
          <w:highlight w:val="none"/>
        </w:rPr>
      </w:pPr>
    </w:p>
    <w:p w14:paraId="7DE55711">
      <w:pPr>
        <w:pStyle w:val="41"/>
        <w:rPr>
          <w:rFonts w:hint="eastAsia" w:ascii="宋体" w:hAnsi="宋体" w:eastAsia="宋体" w:cs="宋体"/>
          <w:color w:val="auto"/>
          <w:szCs w:val="21"/>
          <w:highlight w:val="none"/>
        </w:rPr>
      </w:pPr>
    </w:p>
    <w:p w14:paraId="66736B41">
      <w:pPr>
        <w:pStyle w:val="41"/>
        <w:rPr>
          <w:rFonts w:hint="eastAsia" w:ascii="宋体" w:hAnsi="宋体" w:eastAsia="宋体" w:cs="宋体"/>
          <w:color w:val="auto"/>
          <w:szCs w:val="21"/>
          <w:highlight w:val="none"/>
          <w:lang w:eastAsia="zh-CN"/>
        </w:rPr>
      </w:pPr>
    </w:p>
    <w:p w14:paraId="24A94900">
      <w:pPr>
        <w:pStyle w:val="13"/>
        <w:rPr>
          <w:rFonts w:hint="eastAsia" w:ascii="宋体" w:hAnsi="宋体" w:eastAsia="宋体" w:cs="宋体"/>
          <w:color w:val="auto"/>
          <w:szCs w:val="21"/>
          <w:highlight w:val="none"/>
        </w:rPr>
      </w:pPr>
    </w:p>
    <w:p w14:paraId="3339EDDB">
      <w:pPr>
        <w:pStyle w:val="23"/>
        <w:rPr>
          <w:rFonts w:hint="eastAsia" w:ascii="宋体" w:hAnsi="宋体" w:eastAsia="宋体" w:cs="宋体"/>
          <w:color w:val="auto"/>
          <w:szCs w:val="21"/>
          <w:highlight w:val="none"/>
        </w:rPr>
        <w:sectPr>
          <w:footerReference r:id="rId6" w:type="default"/>
          <w:pgSz w:w="11906" w:h="16838"/>
          <w:pgMar w:top="936" w:right="1134" w:bottom="1089" w:left="1134" w:header="851" w:footer="992" w:gutter="0"/>
          <w:pgNumType w:fmt="decimal"/>
          <w:cols w:space="425" w:num="1"/>
          <w:docGrid w:type="lines" w:linePitch="312" w:charSpace="0"/>
        </w:sectPr>
      </w:pPr>
    </w:p>
    <w:p w14:paraId="76B233F8">
      <w:pPr>
        <w:pStyle w:val="6"/>
        <w:tabs>
          <w:tab w:val="left" w:pos="432"/>
        </w:tabs>
        <w:spacing w:before="0" w:after="0" w:line="480" w:lineRule="exact"/>
        <w:jc w:val="center"/>
        <w:rPr>
          <w:rFonts w:hint="eastAsia" w:ascii="宋体" w:hAnsi="宋体" w:eastAsia="宋体" w:cs="宋体"/>
          <w:b w:val="0"/>
          <w:color w:val="auto"/>
          <w:sz w:val="28"/>
          <w:szCs w:val="28"/>
          <w:highlight w:val="none"/>
        </w:rPr>
      </w:pPr>
      <w:bookmarkStart w:id="173" w:name="_Toc3902"/>
      <w:bookmarkStart w:id="174" w:name="_Toc119421998"/>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：有依法缴纳税收和社会保障资金的良好记录</w:t>
      </w:r>
      <w:bookmarkEnd w:id="173"/>
      <w:bookmarkEnd w:id="174"/>
    </w:p>
    <w:p w14:paraId="4AD586A4">
      <w:pPr>
        <w:spacing w:line="360" w:lineRule="auto"/>
        <w:ind w:firstLine="480" w:firstLineChars="200"/>
        <w:jc w:val="left"/>
        <w:rPr>
          <w:rFonts w:hint="eastAsia" w:ascii="宋体" w:hAnsi="宋体" w:eastAsia="宋体" w:cs="宋体"/>
          <w:color w:val="auto"/>
          <w:sz w:val="24"/>
          <w:szCs w:val="24"/>
          <w:highlight w:val="none"/>
        </w:rPr>
      </w:pPr>
    </w:p>
    <w:p w14:paraId="71FDEEA6">
      <w:pPr>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磋商申请人</w:t>
      </w:r>
      <w:r>
        <w:rPr>
          <w:rFonts w:hint="eastAsia" w:ascii="宋体" w:hAnsi="宋体" w:eastAsia="宋体" w:cs="宋体"/>
          <w:color w:val="auto"/>
          <w:sz w:val="21"/>
          <w:szCs w:val="21"/>
          <w:highlight w:val="none"/>
          <w:lang w:eastAsia="zh-CN"/>
        </w:rPr>
        <w:t>2025年05月</w:t>
      </w:r>
      <w:r>
        <w:rPr>
          <w:rFonts w:hint="eastAsia" w:ascii="宋体" w:hAnsi="宋体" w:eastAsia="宋体" w:cs="宋体"/>
          <w:color w:val="auto"/>
          <w:sz w:val="21"/>
          <w:szCs w:val="21"/>
          <w:highlight w:val="none"/>
        </w:rPr>
        <w:t>至今期间（税款所属时期）任意1个月的税务局税收通用缴款书原件扫描件或银行电子缴税（费）凭证原件扫描件或税务局出具纳税情况的相关证明原件的扫描件；</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人2025年05月</w:t>
      </w:r>
      <w:r>
        <w:rPr>
          <w:rFonts w:hint="eastAsia" w:ascii="宋体" w:hAnsi="宋体" w:eastAsia="宋体" w:cs="宋体"/>
          <w:color w:val="auto"/>
          <w:sz w:val="21"/>
          <w:szCs w:val="21"/>
          <w:highlight w:val="none"/>
        </w:rPr>
        <w:t>至今期间（费款所属时期）任意1个月的社会保险费缴款书原件扫描件或银行电子缴税（费）凭证原件扫描件或社保管理部门出具的有效的缴款证明原件的扫描件</w:t>
      </w:r>
      <w:r>
        <w:rPr>
          <w:rFonts w:hint="eastAsia" w:ascii="宋体" w:hAnsi="宋体" w:eastAsia="宋体" w:cs="宋体"/>
          <w:color w:val="auto"/>
          <w:sz w:val="21"/>
          <w:szCs w:val="21"/>
          <w:highlight w:val="none"/>
          <w:lang w:eastAsia="zh-CN"/>
        </w:rPr>
        <w:t>。</w:t>
      </w:r>
    </w:p>
    <w:p w14:paraId="003A5630">
      <w:pPr>
        <w:spacing w:line="360" w:lineRule="auto"/>
        <w:ind w:firstLine="422" w:firstLineChars="200"/>
        <w:jc w:val="left"/>
        <w:rPr>
          <w:rFonts w:hint="eastAsia" w:ascii="宋体" w:hAnsi="宋体" w:eastAsia="宋体" w:cs="宋体"/>
          <w:b/>
          <w:color w:val="auto"/>
          <w:szCs w:val="21"/>
          <w:highlight w:val="none"/>
        </w:rPr>
      </w:pPr>
      <w:r>
        <w:rPr>
          <w:rFonts w:hint="eastAsia" w:ascii="宋体" w:hAnsi="宋体" w:eastAsia="宋体" w:cs="宋体"/>
          <w:b/>
          <w:bCs/>
          <w:color w:val="auto"/>
          <w:sz w:val="21"/>
          <w:szCs w:val="21"/>
          <w:highlight w:val="none"/>
        </w:rPr>
        <w:t>注：成立未满</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个月的</w:t>
      </w:r>
      <w:r>
        <w:rPr>
          <w:rFonts w:hint="eastAsia" w:ascii="宋体" w:hAnsi="宋体" w:eastAsia="宋体" w:cs="宋体"/>
          <w:b/>
          <w:bCs/>
          <w:color w:val="auto"/>
          <w:sz w:val="21"/>
          <w:szCs w:val="21"/>
          <w:highlight w:val="none"/>
          <w:lang w:val="en-US" w:eastAsia="zh-CN"/>
        </w:rPr>
        <w:t>单位须</w:t>
      </w:r>
      <w:r>
        <w:rPr>
          <w:rFonts w:hint="eastAsia" w:ascii="宋体" w:hAnsi="宋体" w:eastAsia="宋体" w:cs="宋体"/>
          <w:b/>
          <w:bCs/>
          <w:color w:val="auto"/>
          <w:sz w:val="21"/>
          <w:szCs w:val="21"/>
          <w:highlight w:val="none"/>
        </w:rPr>
        <w:t>提供成立以来的税收和社会保障资金缴纳凭证或相关情况说明；依法免税或不需要缴纳社会保障资金的</w:t>
      </w:r>
      <w:r>
        <w:rPr>
          <w:rFonts w:hint="eastAsia" w:ascii="宋体" w:hAnsi="宋体" w:eastAsia="宋体" w:cs="宋体"/>
          <w:b/>
          <w:bCs/>
          <w:color w:val="auto"/>
          <w:sz w:val="21"/>
          <w:szCs w:val="21"/>
          <w:highlight w:val="none"/>
          <w:lang w:val="en-US" w:eastAsia="zh-CN"/>
        </w:rPr>
        <w:t>磋商申请人</w:t>
      </w:r>
      <w:r>
        <w:rPr>
          <w:rFonts w:hint="eastAsia" w:ascii="宋体" w:hAnsi="宋体" w:eastAsia="宋体" w:cs="宋体"/>
          <w:b/>
          <w:bCs/>
          <w:color w:val="auto"/>
          <w:sz w:val="21"/>
          <w:szCs w:val="21"/>
          <w:highlight w:val="none"/>
        </w:rPr>
        <w:t>，应提供相应文件证明其依法免税或不需要缴纳社会保障资金。</w:t>
      </w:r>
    </w:p>
    <w:p w14:paraId="284C4458">
      <w:pPr>
        <w:ind w:firstLine="422" w:firstLineChars="200"/>
        <w:jc w:val="left"/>
        <w:rPr>
          <w:rFonts w:hint="eastAsia" w:ascii="宋体" w:hAnsi="宋体" w:eastAsia="宋体" w:cs="宋体"/>
          <w:b/>
          <w:color w:val="auto"/>
          <w:szCs w:val="21"/>
          <w:highlight w:val="none"/>
        </w:rPr>
      </w:pPr>
    </w:p>
    <w:p w14:paraId="4EFA30A3">
      <w:pPr>
        <w:ind w:firstLine="420" w:firstLineChars="200"/>
        <w:jc w:val="left"/>
        <w:rPr>
          <w:rFonts w:hint="eastAsia" w:ascii="宋体" w:hAnsi="宋体" w:eastAsia="宋体" w:cs="宋体"/>
          <w:color w:val="auto"/>
          <w:szCs w:val="28"/>
          <w:highlight w:val="none"/>
        </w:rPr>
      </w:pPr>
    </w:p>
    <w:p w14:paraId="22499B23">
      <w:pPr>
        <w:pStyle w:val="23"/>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rPr>
        <w:br w:type="page"/>
      </w:r>
    </w:p>
    <w:p w14:paraId="29AE5E64">
      <w:pPr>
        <w:pStyle w:val="6"/>
        <w:tabs>
          <w:tab w:val="left" w:pos="432"/>
        </w:tabs>
        <w:spacing w:before="0" w:after="0" w:line="480" w:lineRule="exact"/>
        <w:jc w:val="center"/>
        <w:rPr>
          <w:rFonts w:hint="eastAsia" w:ascii="宋体" w:hAnsi="宋体" w:eastAsia="宋体" w:cs="宋体"/>
          <w:b w:val="0"/>
          <w:color w:val="auto"/>
          <w:sz w:val="28"/>
          <w:szCs w:val="28"/>
          <w:highlight w:val="none"/>
        </w:rPr>
      </w:pPr>
      <w:bookmarkStart w:id="175" w:name="_Toc5886"/>
      <w:bookmarkStart w:id="176" w:name="_Toc119422000"/>
      <w:r>
        <w:rPr>
          <w:rFonts w:hint="eastAsia" w:ascii="宋体" w:hAnsi="宋体" w:eastAsia="宋体" w:cs="宋体"/>
          <w:color w:val="auto"/>
          <w:sz w:val="28"/>
          <w:szCs w:val="28"/>
          <w:highlight w:val="none"/>
        </w:rPr>
        <w:t>格式6：无重大违法声明</w:t>
      </w:r>
      <w:bookmarkEnd w:id="175"/>
      <w:bookmarkEnd w:id="176"/>
    </w:p>
    <w:p w14:paraId="17345E6D">
      <w:pPr>
        <w:spacing w:line="360" w:lineRule="auto"/>
        <w:ind w:firstLine="210" w:firstLineChars="100"/>
        <w:jc w:val="left"/>
        <w:rPr>
          <w:rFonts w:hint="eastAsia" w:ascii="宋体" w:hAnsi="宋体" w:eastAsia="宋体" w:cs="宋体"/>
          <w:color w:val="auto"/>
          <w:szCs w:val="21"/>
          <w:highlight w:val="none"/>
        </w:rPr>
      </w:pPr>
    </w:p>
    <w:p w14:paraId="6EA2649A">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提供参加采购活动前3年内在经营活动中没有重大违法记录的书面声明（重大违法记录是指：因违法经营受到刑事处罚或者责令停产停业、吊销许可证或者执照、较大数额罚款等行政处罚）。格式自拟（</w:t>
      </w:r>
      <w:r>
        <w:rPr>
          <w:rFonts w:hint="eastAsia" w:ascii="宋体" w:hAnsi="宋体" w:eastAsia="宋体" w:cs="宋体"/>
          <w:color w:val="auto"/>
          <w:szCs w:val="21"/>
          <w:highlight w:val="none"/>
          <w:lang w:eastAsia="zh-CN"/>
        </w:rPr>
        <w:t>加盖单位公章确认</w:t>
      </w:r>
      <w:r>
        <w:rPr>
          <w:rFonts w:hint="eastAsia" w:ascii="宋体" w:hAnsi="宋体" w:eastAsia="宋体" w:cs="宋体"/>
          <w:color w:val="auto"/>
          <w:szCs w:val="21"/>
          <w:highlight w:val="none"/>
        </w:rPr>
        <w:t>）。</w:t>
      </w:r>
    </w:p>
    <w:p w14:paraId="4EC2046C">
      <w:pPr>
        <w:ind w:firstLine="240" w:firstLineChars="100"/>
        <w:jc w:val="left"/>
        <w:rPr>
          <w:rFonts w:hint="eastAsia" w:ascii="宋体" w:hAnsi="宋体" w:eastAsia="宋体" w:cs="宋体"/>
          <w:color w:val="auto"/>
          <w:sz w:val="24"/>
          <w:highlight w:val="none"/>
        </w:rPr>
      </w:pPr>
    </w:p>
    <w:p w14:paraId="0E54EC58">
      <w:pPr>
        <w:widowControl/>
        <w:jc w:val="left"/>
        <w:rPr>
          <w:rFonts w:hint="eastAsia" w:ascii="宋体" w:hAnsi="宋体" w:eastAsia="宋体" w:cs="宋体"/>
          <w:b/>
          <w:color w:val="auto"/>
          <w:highlight w:val="none"/>
        </w:rPr>
      </w:pPr>
      <w:r>
        <w:rPr>
          <w:rFonts w:hint="eastAsia" w:ascii="宋体" w:hAnsi="宋体" w:eastAsia="宋体" w:cs="宋体"/>
          <w:color w:val="auto"/>
          <w:sz w:val="28"/>
          <w:szCs w:val="28"/>
          <w:highlight w:val="none"/>
        </w:rPr>
        <w:br w:type="page"/>
      </w:r>
    </w:p>
    <w:p w14:paraId="037F19C3">
      <w:pPr>
        <w:pStyle w:val="6"/>
        <w:tabs>
          <w:tab w:val="left" w:pos="432"/>
        </w:tabs>
        <w:spacing w:before="0" w:after="0" w:line="48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格式7：磋商申请人资格要求</w:t>
      </w:r>
    </w:p>
    <w:p w14:paraId="44F9C93B">
      <w:pPr>
        <w:spacing w:line="360" w:lineRule="auto"/>
        <w:ind w:firstLine="420" w:firstLineChars="200"/>
        <w:jc w:val="left"/>
        <w:rPr>
          <w:rFonts w:hint="eastAsia" w:ascii="宋体" w:hAnsi="宋体" w:eastAsia="宋体" w:cs="宋体"/>
          <w:color w:val="auto"/>
          <w:szCs w:val="21"/>
          <w:highlight w:val="none"/>
        </w:rPr>
      </w:pPr>
    </w:p>
    <w:p w14:paraId="743884DC">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lang w:val="en-US" w:eastAsia="zh-CN"/>
        </w:rPr>
        <w:t>1</w:t>
      </w:r>
      <w:r>
        <w:rPr>
          <w:rFonts w:hint="eastAsia" w:ascii="宋体" w:hAnsi="宋体" w:eastAsia="宋体" w:cs="宋体"/>
          <w:color w:val="auto"/>
          <w:kern w:val="0"/>
          <w:highlight w:val="none"/>
        </w:rPr>
        <w:t>.本项目不接受</w:t>
      </w:r>
      <w:r>
        <w:rPr>
          <w:rFonts w:hint="eastAsia" w:ascii="宋体" w:hAnsi="宋体" w:eastAsia="宋体" w:cs="宋体"/>
          <w:color w:val="auto"/>
          <w:kern w:val="0"/>
          <w:highlight w:val="none"/>
          <w:lang w:val="en-US" w:eastAsia="zh-CN"/>
        </w:rPr>
        <w:t>成交</w:t>
      </w:r>
      <w:r>
        <w:rPr>
          <w:rFonts w:hint="eastAsia" w:ascii="宋体" w:hAnsi="宋体" w:eastAsia="宋体" w:cs="宋体"/>
          <w:color w:val="auto"/>
          <w:kern w:val="0"/>
          <w:highlight w:val="none"/>
        </w:rPr>
        <w:t>后再次转包、分包开展相应服务工作，</w:t>
      </w:r>
      <w:r>
        <w:rPr>
          <w:rFonts w:hint="eastAsia" w:ascii="宋体" w:hAnsi="宋体" w:eastAsia="宋体" w:cs="宋体"/>
          <w:color w:val="auto"/>
          <w:kern w:val="0"/>
          <w:highlight w:val="none"/>
          <w:lang w:val="en-US" w:eastAsia="zh-CN"/>
        </w:rPr>
        <w:t>磋商申请</w:t>
      </w:r>
      <w:r>
        <w:rPr>
          <w:rFonts w:hint="eastAsia" w:ascii="宋体" w:hAnsi="宋体" w:eastAsia="宋体" w:cs="宋体"/>
          <w:color w:val="auto"/>
          <w:kern w:val="0"/>
          <w:highlight w:val="none"/>
        </w:rPr>
        <w:t>人须提供针对本项目不转包、分包的书面承诺</w:t>
      </w:r>
      <w:r>
        <w:rPr>
          <w:rFonts w:hint="eastAsia" w:ascii="宋体" w:hAnsi="宋体" w:eastAsia="宋体" w:cs="宋体"/>
          <w:b w:val="0"/>
          <w:bCs w:val="0"/>
          <w:color w:val="auto"/>
          <w:kern w:val="0"/>
          <w:sz w:val="21"/>
          <w:szCs w:val="21"/>
          <w:highlight w:val="none"/>
          <w:lang w:eastAsia="zh-CN"/>
        </w:rPr>
        <w:t>并加</w:t>
      </w:r>
      <w:r>
        <w:rPr>
          <w:rFonts w:hint="eastAsia" w:ascii="宋体" w:hAnsi="宋体" w:eastAsia="宋体" w:cs="宋体"/>
          <w:b w:val="0"/>
          <w:bCs w:val="0"/>
          <w:color w:val="auto"/>
          <w:kern w:val="0"/>
          <w:sz w:val="21"/>
          <w:szCs w:val="21"/>
          <w:highlight w:val="none"/>
        </w:rPr>
        <w:t>盖单位公章确认</w:t>
      </w:r>
      <w:r>
        <w:rPr>
          <w:rFonts w:hint="eastAsia" w:ascii="宋体" w:hAnsi="宋体" w:eastAsia="宋体" w:cs="宋体"/>
          <w:color w:val="auto"/>
          <w:kern w:val="0"/>
          <w:highlight w:val="none"/>
        </w:rPr>
        <w:t>。</w:t>
      </w:r>
    </w:p>
    <w:p w14:paraId="1F8BBA0C">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kern w:val="0"/>
          <w:highlight w:val="none"/>
        </w:rPr>
      </w:pPr>
      <w:r>
        <w:rPr>
          <w:rFonts w:hint="eastAsia" w:ascii="宋体" w:hAnsi="宋体" w:eastAsia="宋体" w:cs="宋体"/>
          <w:b w:val="0"/>
          <w:bCs w:val="0"/>
          <w:color w:val="auto"/>
          <w:kern w:val="0"/>
          <w:sz w:val="21"/>
          <w:szCs w:val="21"/>
          <w:highlight w:val="none"/>
          <w:lang w:val="en-US" w:eastAsia="zh-CN"/>
        </w:rPr>
        <w:t>2.磋商申请人不存在拒绝参加本次采购活动的情形，磋商申请人</w:t>
      </w:r>
      <w:r>
        <w:rPr>
          <w:rFonts w:hint="eastAsia" w:ascii="宋体" w:hAnsi="宋体" w:eastAsia="宋体" w:cs="宋体"/>
          <w:b w:val="0"/>
          <w:bCs w:val="0"/>
          <w:color w:val="auto"/>
          <w:kern w:val="0"/>
          <w:sz w:val="21"/>
          <w:szCs w:val="21"/>
          <w:highlight w:val="none"/>
        </w:rPr>
        <w:t>须提供书面承诺</w:t>
      </w:r>
      <w:r>
        <w:rPr>
          <w:rFonts w:hint="eastAsia" w:ascii="宋体" w:hAnsi="宋体" w:eastAsia="宋体" w:cs="宋体"/>
          <w:b w:val="0"/>
          <w:bCs w:val="0"/>
          <w:color w:val="auto"/>
          <w:kern w:val="0"/>
          <w:sz w:val="21"/>
          <w:szCs w:val="21"/>
          <w:highlight w:val="none"/>
          <w:lang w:eastAsia="zh-CN"/>
        </w:rPr>
        <w:t>并加</w:t>
      </w:r>
      <w:r>
        <w:rPr>
          <w:rFonts w:hint="eastAsia" w:ascii="宋体" w:hAnsi="宋体" w:eastAsia="宋体" w:cs="宋体"/>
          <w:b w:val="0"/>
          <w:bCs w:val="0"/>
          <w:color w:val="auto"/>
          <w:kern w:val="0"/>
          <w:sz w:val="21"/>
          <w:szCs w:val="21"/>
          <w:highlight w:val="none"/>
        </w:rPr>
        <w:t>盖单位公章确认。</w:t>
      </w:r>
    </w:p>
    <w:p w14:paraId="6B9963A2">
      <w:pPr>
        <w:ind w:firstLine="420" w:firstLineChars="200"/>
        <w:rPr>
          <w:rFonts w:hint="eastAsia" w:ascii="宋体" w:hAnsi="宋体" w:eastAsia="宋体" w:cs="宋体"/>
          <w:color w:val="auto"/>
          <w:kern w:val="0"/>
          <w:highlight w:val="none"/>
        </w:rPr>
      </w:pPr>
    </w:p>
    <w:p w14:paraId="5AEE8A8C">
      <w:pPr>
        <w:ind w:firstLine="420" w:firstLineChars="200"/>
        <w:rPr>
          <w:rFonts w:hint="eastAsia" w:ascii="宋体" w:hAnsi="宋体" w:eastAsia="宋体" w:cs="宋体"/>
          <w:color w:val="auto"/>
          <w:kern w:val="0"/>
          <w:highlight w:val="none"/>
        </w:rPr>
      </w:pPr>
    </w:p>
    <w:p w14:paraId="3E15AA13">
      <w:pPr>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71C162AC">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8：</w:t>
      </w:r>
      <w:r>
        <w:rPr>
          <w:rFonts w:hint="eastAsia" w:ascii="宋体" w:hAnsi="宋体" w:eastAsia="宋体" w:cs="宋体"/>
          <w:b/>
          <w:bCs/>
          <w:color w:val="auto"/>
          <w:sz w:val="28"/>
          <w:szCs w:val="28"/>
          <w:highlight w:val="none"/>
        </w:rPr>
        <w:t>磋商申请人资格要求中要求的其他文件</w:t>
      </w:r>
    </w:p>
    <w:p w14:paraId="76B8A27D">
      <w:pPr>
        <w:pStyle w:val="16"/>
        <w:spacing w:line="360" w:lineRule="auto"/>
        <w:ind w:firstLine="241" w:firstLineChars="100"/>
        <w:rPr>
          <w:rFonts w:hint="eastAsia" w:ascii="宋体" w:hAnsi="宋体" w:eastAsia="宋体" w:cs="宋体"/>
          <w:b/>
          <w:bCs/>
          <w:color w:val="auto"/>
          <w:sz w:val="24"/>
          <w:szCs w:val="24"/>
          <w:highlight w:val="none"/>
        </w:rPr>
      </w:pPr>
    </w:p>
    <w:p w14:paraId="10638BA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详见第二章“</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”，有格式的请按给定格式填写，无格式要求的请自拟格式。</w:t>
      </w:r>
    </w:p>
    <w:p w14:paraId="3B1ACADC">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02F04CE">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第二部分  磋商报价部分</w:t>
      </w:r>
    </w:p>
    <w:p w14:paraId="352A0A3A">
      <w:pPr>
        <w:jc w:val="center"/>
        <w:rPr>
          <w:rFonts w:hint="eastAsia" w:ascii="宋体" w:hAnsi="宋体" w:eastAsia="宋体" w:cs="宋体"/>
          <w:b/>
          <w:color w:val="auto"/>
          <w:sz w:val="28"/>
          <w:szCs w:val="28"/>
          <w:highlight w:val="none"/>
        </w:rPr>
      </w:pPr>
      <w:bookmarkStart w:id="177" w:name="_Toc7252779"/>
      <w:bookmarkStart w:id="178" w:name="_Toc347849253"/>
      <w:bookmarkStart w:id="179" w:name="_Toc383175516"/>
      <w:bookmarkStart w:id="180" w:name="_Toc346496609"/>
      <w:bookmarkStart w:id="181" w:name="_Toc37179795"/>
      <w:r>
        <w:rPr>
          <w:rFonts w:hint="eastAsia" w:ascii="宋体" w:hAnsi="宋体" w:eastAsia="宋体" w:cs="宋体"/>
          <w:b/>
          <w:color w:val="auto"/>
          <w:sz w:val="28"/>
          <w:szCs w:val="28"/>
          <w:highlight w:val="none"/>
        </w:rPr>
        <w:t>格式</w:t>
      </w:r>
      <w:bookmarkEnd w:id="177"/>
      <w:bookmarkEnd w:id="178"/>
      <w:bookmarkEnd w:id="179"/>
      <w:r>
        <w:rPr>
          <w:rFonts w:hint="eastAsia" w:ascii="宋体" w:hAnsi="宋体" w:eastAsia="宋体" w:cs="宋体"/>
          <w:b/>
          <w:color w:val="auto"/>
          <w:sz w:val="28"/>
          <w:szCs w:val="28"/>
          <w:highlight w:val="none"/>
          <w:lang w:val="en-US" w:eastAsia="zh-CN"/>
        </w:rPr>
        <w:t>1</w:t>
      </w:r>
      <w:r>
        <w:rPr>
          <w:rFonts w:hint="eastAsia" w:ascii="宋体" w:hAnsi="宋体" w:eastAsia="宋体" w:cs="宋体"/>
          <w:b/>
          <w:color w:val="auto"/>
          <w:sz w:val="28"/>
          <w:szCs w:val="28"/>
          <w:highlight w:val="none"/>
          <w:lang w:eastAsia="zh-CN"/>
        </w:rPr>
        <w:t>：</w:t>
      </w:r>
      <w:bookmarkStart w:id="182" w:name="_Toc347849254"/>
      <w:bookmarkStart w:id="183" w:name="_Toc383175517"/>
      <w:bookmarkStart w:id="184" w:name="_Toc7252780"/>
      <w:r>
        <w:rPr>
          <w:rFonts w:hint="eastAsia" w:ascii="宋体" w:hAnsi="宋体" w:eastAsia="宋体" w:cs="宋体"/>
          <w:b/>
          <w:color w:val="auto"/>
          <w:sz w:val="28"/>
          <w:szCs w:val="28"/>
          <w:highlight w:val="none"/>
          <w:lang w:val="en-US" w:eastAsia="zh-CN"/>
        </w:rPr>
        <w:t>磋商</w:t>
      </w:r>
      <w:r>
        <w:rPr>
          <w:rFonts w:hint="eastAsia" w:ascii="宋体" w:hAnsi="宋体" w:eastAsia="宋体" w:cs="宋体"/>
          <w:b/>
          <w:color w:val="auto"/>
          <w:sz w:val="28"/>
          <w:szCs w:val="28"/>
          <w:highlight w:val="none"/>
        </w:rPr>
        <w:t>报价一览表</w:t>
      </w:r>
      <w:bookmarkEnd w:id="180"/>
      <w:bookmarkEnd w:id="182"/>
      <w:bookmarkEnd w:id="183"/>
      <w:bookmarkEnd w:id="184"/>
    </w:p>
    <w:p w14:paraId="0C2037C9">
      <w:pPr>
        <w:jc w:val="left"/>
        <w:rPr>
          <w:rFonts w:hint="eastAsia" w:ascii="宋体" w:hAnsi="宋体" w:eastAsia="宋体" w:cs="宋体"/>
          <w:b/>
          <w:bCs/>
          <w:color w:val="auto"/>
          <w:highlight w:val="none"/>
        </w:rPr>
      </w:pPr>
    </w:p>
    <w:tbl>
      <w:tblPr>
        <w:tblStyle w:val="27"/>
        <w:tblW w:w="99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835"/>
        <w:gridCol w:w="6423"/>
      </w:tblGrid>
      <w:tr w14:paraId="574FB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720" w:type="dxa"/>
            <w:vAlign w:val="center"/>
          </w:tcPr>
          <w:p w14:paraId="368C5619">
            <w:pPr>
              <w:spacing w:line="28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835" w:type="dxa"/>
            <w:vAlign w:val="center"/>
          </w:tcPr>
          <w:p w14:paraId="09AF216F">
            <w:pPr>
              <w:spacing w:line="28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项目名称</w:t>
            </w:r>
          </w:p>
        </w:tc>
        <w:tc>
          <w:tcPr>
            <w:tcW w:w="6423" w:type="dxa"/>
            <w:vAlign w:val="center"/>
          </w:tcPr>
          <w:p w14:paraId="05A27639">
            <w:pPr>
              <w:spacing w:line="280" w:lineRule="exact"/>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昌宁县医共体中心药房管理系统采购项目</w:t>
            </w:r>
          </w:p>
        </w:tc>
      </w:tr>
      <w:tr w14:paraId="0BD5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vAlign w:val="center"/>
          </w:tcPr>
          <w:p w14:paraId="6945EEE1">
            <w:pPr>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835" w:type="dxa"/>
            <w:vAlign w:val="center"/>
          </w:tcPr>
          <w:p w14:paraId="659AC87B">
            <w:pPr>
              <w:spacing w:line="44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bCs/>
                <w:color w:val="auto"/>
                <w:sz w:val="21"/>
                <w:szCs w:val="21"/>
                <w:highlight w:val="none"/>
                <w:lang w:val="en-US" w:eastAsia="zh-CN"/>
              </w:rPr>
              <w:t>磋商</w:t>
            </w:r>
            <w:r>
              <w:rPr>
                <w:rFonts w:hint="eastAsia" w:ascii="宋体" w:hAnsi="宋体" w:eastAsia="宋体" w:cs="宋体"/>
                <w:bCs/>
                <w:color w:val="auto"/>
                <w:sz w:val="21"/>
                <w:szCs w:val="21"/>
                <w:highlight w:val="none"/>
              </w:rPr>
              <w:t>报价总价</w:t>
            </w:r>
          </w:p>
        </w:tc>
        <w:tc>
          <w:tcPr>
            <w:tcW w:w="6423" w:type="dxa"/>
            <w:vAlign w:val="center"/>
          </w:tcPr>
          <w:p w14:paraId="2C6B0519">
            <w:pPr>
              <w:spacing w:line="440" w:lineRule="exact"/>
              <w:jc w:val="center"/>
              <w:rPr>
                <w:rFonts w:hint="eastAsia" w:ascii="宋体" w:hAnsi="宋体" w:eastAsia="宋体" w:cs="宋体"/>
                <w:color w:val="auto"/>
                <w:kern w:val="0"/>
                <w:sz w:val="21"/>
                <w:szCs w:val="21"/>
                <w:highlight w:val="none"/>
                <w:lang w:val="en-US" w:eastAsia="zh-CN"/>
              </w:rPr>
            </w:pPr>
          </w:p>
        </w:tc>
      </w:tr>
      <w:tr w14:paraId="488E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vAlign w:val="center"/>
          </w:tcPr>
          <w:p w14:paraId="4BD1CD55">
            <w:pPr>
              <w:spacing w:line="28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835" w:type="dxa"/>
            <w:shd w:val="clear" w:color="auto" w:fill="auto"/>
            <w:vAlign w:val="center"/>
          </w:tcPr>
          <w:p w14:paraId="45376DA0">
            <w:pPr>
              <w:spacing w:line="44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rPr>
              <w:t>合同履行期限</w:t>
            </w:r>
          </w:p>
        </w:tc>
        <w:tc>
          <w:tcPr>
            <w:tcW w:w="6423" w:type="dxa"/>
            <w:vAlign w:val="center"/>
          </w:tcPr>
          <w:p w14:paraId="0134EBE6">
            <w:pPr>
              <w:spacing w:line="440" w:lineRule="exact"/>
              <w:jc w:val="center"/>
              <w:rPr>
                <w:rFonts w:hint="eastAsia" w:ascii="宋体" w:hAnsi="宋体" w:eastAsia="宋体" w:cs="宋体"/>
                <w:color w:val="auto"/>
                <w:kern w:val="0"/>
                <w:sz w:val="21"/>
                <w:szCs w:val="21"/>
                <w:highlight w:val="none"/>
                <w:lang w:val="en-US" w:eastAsia="zh-CN"/>
              </w:rPr>
            </w:pPr>
          </w:p>
        </w:tc>
      </w:tr>
      <w:tr w14:paraId="298B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shd w:val="clear" w:color="auto" w:fill="auto"/>
            <w:vAlign w:val="center"/>
          </w:tcPr>
          <w:p w14:paraId="30509377">
            <w:pPr>
              <w:spacing w:line="2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2835" w:type="dxa"/>
            <w:shd w:val="clear" w:color="auto" w:fill="auto"/>
            <w:vAlign w:val="center"/>
          </w:tcPr>
          <w:p w14:paraId="6D5FE8D9">
            <w:pPr>
              <w:spacing w:line="44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项目服务地点</w:t>
            </w:r>
          </w:p>
        </w:tc>
        <w:tc>
          <w:tcPr>
            <w:tcW w:w="6423" w:type="dxa"/>
            <w:vAlign w:val="center"/>
          </w:tcPr>
          <w:p w14:paraId="383C4870">
            <w:pPr>
              <w:spacing w:line="280" w:lineRule="exact"/>
              <w:jc w:val="center"/>
              <w:rPr>
                <w:rFonts w:hint="eastAsia" w:ascii="宋体" w:hAnsi="宋体" w:eastAsia="宋体" w:cs="宋体"/>
                <w:color w:val="auto"/>
                <w:sz w:val="21"/>
                <w:szCs w:val="21"/>
                <w:highlight w:val="none"/>
                <w:lang w:val="en-US" w:eastAsia="zh-CN"/>
              </w:rPr>
            </w:pPr>
          </w:p>
        </w:tc>
      </w:tr>
      <w:tr w14:paraId="7CDE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0" w:type="dxa"/>
            <w:shd w:val="clear" w:color="auto" w:fill="auto"/>
            <w:vAlign w:val="center"/>
          </w:tcPr>
          <w:p w14:paraId="5DCE1599">
            <w:pPr>
              <w:spacing w:line="2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2835" w:type="dxa"/>
            <w:shd w:val="clear" w:color="auto" w:fill="auto"/>
            <w:vAlign w:val="center"/>
          </w:tcPr>
          <w:p w14:paraId="7443E51D">
            <w:pPr>
              <w:spacing w:line="44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项目售后运维服务期限</w:t>
            </w:r>
          </w:p>
        </w:tc>
        <w:tc>
          <w:tcPr>
            <w:tcW w:w="6423" w:type="dxa"/>
            <w:vAlign w:val="center"/>
          </w:tcPr>
          <w:p w14:paraId="20D8D843">
            <w:pPr>
              <w:spacing w:line="280" w:lineRule="exact"/>
              <w:jc w:val="center"/>
              <w:rPr>
                <w:rFonts w:hint="eastAsia" w:ascii="宋体" w:hAnsi="宋体" w:eastAsia="宋体" w:cs="宋体"/>
                <w:color w:val="auto"/>
                <w:sz w:val="21"/>
                <w:szCs w:val="21"/>
                <w:highlight w:val="none"/>
                <w:lang w:val="en-US" w:eastAsia="zh-CN"/>
              </w:rPr>
            </w:pPr>
          </w:p>
        </w:tc>
      </w:tr>
      <w:tr w14:paraId="11A3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shd w:val="clear" w:color="auto" w:fill="auto"/>
            <w:vAlign w:val="center"/>
          </w:tcPr>
          <w:p w14:paraId="60E2F9D9">
            <w:pPr>
              <w:spacing w:line="2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2835" w:type="dxa"/>
            <w:shd w:val="clear" w:color="auto" w:fill="auto"/>
            <w:vAlign w:val="center"/>
          </w:tcPr>
          <w:p w14:paraId="3DC3A677">
            <w:pPr>
              <w:spacing w:line="44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项目负责人</w:t>
            </w:r>
          </w:p>
        </w:tc>
        <w:tc>
          <w:tcPr>
            <w:tcW w:w="6423" w:type="dxa"/>
            <w:vAlign w:val="center"/>
          </w:tcPr>
          <w:p w14:paraId="2205761C">
            <w:pPr>
              <w:spacing w:line="280" w:lineRule="exact"/>
              <w:jc w:val="center"/>
              <w:rPr>
                <w:rFonts w:hint="eastAsia" w:ascii="宋体" w:hAnsi="宋体" w:eastAsia="宋体" w:cs="宋体"/>
                <w:color w:val="auto"/>
                <w:sz w:val="21"/>
                <w:szCs w:val="21"/>
                <w:highlight w:val="none"/>
                <w:lang w:val="en-US" w:eastAsia="zh-CN"/>
              </w:rPr>
            </w:pPr>
          </w:p>
        </w:tc>
      </w:tr>
      <w:tr w14:paraId="3FADC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shd w:val="clear" w:color="auto" w:fill="auto"/>
            <w:vAlign w:val="center"/>
          </w:tcPr>
          <w:p w14:paraId="28A44C3B">
            <w:pPr>
              <w:spacing w:line="2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p>
        </w:tc>
        <w:tc>
          <w:tcPr>
            <w:tcW w:w="2835" w:type="dxa"/>
            <w:shd w:val="clear" w:color="auto" w:fill="auto"/>
            <w:vAlign w:val="center"/>
          </w:tcPr>
          <w:p w14:paraId="4232F8DB">
            <w:pPr>
              <w:spacing w:line="44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val="en-US" w:eastAsia="zh-CN"/>
              </w:rPr>
              <w:t>磋商保证金金额及缴纳方式</w:t>
            </w:r>
          </w:p>
        </w:tc>
        <w:tc>
          <w:tcPr>
            <w:tcW w:w="6423" w:type="dxa"/>
            <w:vAlign w:val="center"/>
          </w:tcPr>
          <w:p w14:paraId="7FF64EA4">
            <w:pPr>
              <w:spacing w:line="280" w:lineRule="exact"/>
              <w:jc w:val="center"/>
              <w:rPr>
                <w:rFonts w:hint="eastAsia" w:ascii="宋体" w:hAnsi="宋体" w:eastAsia="宋体" w:cs="宋体"/>
                <w:color w:val="auto"/>
                <w:sz w:val="21"/>
                <w:szCs w:val="21"/>
                <w:highlight w:val="none"/>
                <w:lang w:val="en-US" w:eastAsia="zh-CN"/>
              </w:rPr>
            </w:pPr>
          </w:p>
        </w:tc>
      </w:tr>
      <w:tr w14:paraId="6697A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20" w:type="dxa"/>
            <w:shd w:val="clear" w:color="auto" w:fill="auto"/>
            <w:vAlign w:val="center"/>
          </w:tcPr>
          <w:p w14:paraId="65A65CCB">
            <w:pPr>
              <w:spacing w:line="2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7</w:t>
            </w:r>
          </w:p>
        </w:tc>
        <w:tc>
          <w:tcPr>
            <w:tcW w:w="2835" w:type="dxa"/>
            <w:shd w:val="clear" w:color="auto" w:fill="auto"/>
            <w:vAlign w:val="center"/>
          </w:tcPr>
          <w:p w14:paraId="3468E4D6">
            <w:pPr>
              <w:spacing w:line="44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备注</w:t>
            </w:r>
          </w:p>
        </w:tc>
        <w:tc>
          <w:tcPr>
            <w:tcW w:w="6423" w:type="dxa"/>
            <w:vAlign w:val="center"/>
          </w:tcPr>
          <w:p w14:paraId="2A604758">
            <w:pPr>
              <w:spacing w:line="280" w:lineRule="exact"/>
              <w:jc w:val="center"/>
              <w:rPr>
                <w:rFonts w:hint="eastAsia" w:ascii="宋体" w:hAnsi="宋体" w:eastAsia="宋体" w:cs="宋体"/>
                <w:color w:val="auto"/>
                <w:sz w:val="21"/>
                <w:szCs w:val="21"/>
                <w:highlight w:val="none"/>
                <w:lang w:val="en-US" w:eastAsia="zh-CN"/>
              </w:rPr>
            </w:pPr>
          </w:p>
        </w:tc>
      </w:tr>
    </w:tbl>
    <w:p w14:paraId="2C03754B">
      <w:pPr>
        <w:jc w:val="left"/>
        <w:rPr>
          <w:rFonts w:hint="eastAsia" w:ascii="宋体" w:hAnsi="宋体" w:eastAsia="宋体" w:cs="宋体"/>
          <w:b/>
          <w:bCs/>
          <w:color w:val="auto"/>
          <w:highlight w:val="none"/>
        </w:rPr>
      </w:pPr>
    </w:p>
    <w:p w14:paraId="4673D27F">
      <w:pPr>
        <w:spacing w:line="480" w:lineRule="exact"/>
        <w:ind w:firstLine="843" w:firstLineChars="400"/>
        <w:rPr>
          <w:rFonts w:hint="eastAsia" w:ascii="宋体" w:hAnsi="宋体" w:eastAsia="宋体" w:cs="宋体"/>
          <w:b/>
          <w:bCs/>
          <w:color w:val="auto"/>
          <w:kern w:val="2"/>
          <w:sz w:val="21"/>
          <w:szCs w:val="22"/>
          <w:highlight w:val="none"/>
          <w:lang w:val="en-US" w:eastAsia="zh-CN" w:bidi="ar-SA"/>
        </w:rPr>
      </w:pPr>
      <w:r>
        <w:rPr>
          <w:rFonts w:hint="eastAsia" w:ascii="宋体" w:hAnsi="宋体" w:eastAsia="宋体" w:cs="宋体"/>
          <w:b/>
          <w:bCs/>
          <w:color w:val="auto"/>
          <w:kern w:val="2"/>
          <w:sz w:val="21"/>
          <w:szCs w:val="22"/>
          <w:highlight w:val="none"/>
          <w:lang w:val="en-US" w:eastAsia="zh-CN" w:bidi="ar-SA"/>
        </w:rPr>
        <w:t>注：1.磋商报价保留2位小数，合同执行货币为人民币。</w:t>
      </w:r>
    </w:p>
    <w:p w14:paraId="0667F70F">
      <w:pPr>
        <w:pStyle w:val="16"/>
        <w:spacing w:line="480" w:lineRule="exact"/>
        <w:ind w:firstLine="575"/>
        <w:rPr>
          <w:rFonts w:hint="eastAsia" w:ascii="宋体" w:hAnsi="宋体" w:eastAsia="宋体" w:cs="宋体"/>
          <w:color w:val="auto"/>
          <w:sz w:val="21"/>
          <w:szCs w:val="21"/>
          <w:highlight w:val="none"/>
          <w:lang w:val="en-US" w:eastAsia="zh-CN"/>
        </w:rPr>
      </w:pPr>
    </w:p>
    <w:p w14:paraId="6FD92BB5">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2C0324FC">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1B8AF9E5">
      <w:pPr>
        <w:pStyle w:val="16"/>
        <w:spacing w:line="480" w:lineRule="exact"/>
        <w:ind w:firstLine="575"/>
        <w:rPr>
          <w:rFonts w:hint="eastAsia" w:ascii="宋体" w:hAnsi="宋体" w:eastAsia="宋体" w:cs="宋体"/>
          <w:b/>
          <w:bCs/>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3DDA8DAC">
      <w:pPr>
        <w:rPr>
          <w:rFonts w:hint="eastAsia" w:ascii="宋体" w:hAnsi="宋体" w:eastAsia="宋体" w:cs="宋体"/>
          <w:color w:val="auto"/>
          <w:highlight w:val="none"/>
        </w:rPr>
      </w:pPr>
    </w:p>
    <w:p w14:paraId="301FB1A3">
      <w:pPr>
        <w:jc w:val="center"/>
        <w:rPr>
          <w:rFonts w:hint="eastAsia" w:ascii="宋体" w:hAnsi="宋体" w:eastAsia="宋体" w:cs="宋体"/>
          <w:b/>
          <w:color w:val="auto"/>
          <w:sz w:val="28"/>
          <w:szCs w:val="28"/>
          <w:highlight w:val="none"/>
        </w:rPr>
      </w:pPr>
    </w:p>
    <w:p w14:paraId="1527E918">
      <w:pPr>
        <w:spacing w:line="360" w:lineRule="auto"/>
        <w:rPr>
          <w:rFonts w:hint="eastAsia" w:ascii="宋体" w:hAnsi="宋体" w:eastAsia="宋体" w:cs="宋体"/>
          <w:b/>
          <w:bCs/>
          <w:color w:val="auto"/>
          <w:highlight w:val="none"/>
          <w:u w:val="single"/>
        </w:rPr>
      </w:pPr>
    </w:p>
    <w:p w14:paraId="0BC42D9B">
      <w:pPr>
        <w:pStyle w:val="13"/>
        <w:rPr>
          <w:rFonts w:hint="eastAsia" w:ascii="宋体" w:hAnsi="宋体" w:eastAsia="宋体" w:cs="宋体"/>
          <w:color w:val="auto"/>
          <w:highlight w:val="none"/>
        </w:rPr>
      </w:pPr>
    </w:p>
    <w:p w14:paraId="7B8F0A2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6C9DC53">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格式2：</w:t>
      </w:r>
      <w:r>
        <w:rPr>
          <w:rFonts w:hint="eastAsia" w:ascii="宋体" w:hAnsi="宋体" w:eastAsia="宋体" w:cs="宋体"/>
          <w:b/>
          <w:bCs/>
          <w:color w:val="auto"/>
          <w:sz w:val="28"/>
          <w:szCs w:val="28"/>
          <w:highlight w:val="none"/>
          <w:lang w:val="en-US" w:eastAsia="zh-CN"/>
        </w:rPr>
        <w:t>竞争性磋商分项报价表</w:t>
      </w:r>
    </w:p>
    <w:p w14:paraId="79CEFA17">
      <w:pPr>
        <w:snapToGrid w:val="0"/>
        <w:spacing w:after="165" w:afterLines="50" w:line="46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bl>
      <w:tblPr>
        <w:tblStyle w:val="27"/>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550"/>
        <w:gridCol w:w="1700"/>
        <w:gridCol w:w="1592"/>
        <w:gridCol w:w="725"/>
        <w:gridCol w:w="1040"/>
        <w:gridCol w:w="1642"/>
        <w:gridCol w:w="736"/>
      </w:tblGrid>
      <w:tr w14:paraId="0E2A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539" w:type="dxa"/>
            <w:shd w:val="clear" w:color="auto" w:fill="auto"/>
            <w:vAlign w:val="center"/>
          </w:tcPr>
          <w:p w14:paraId="1BC74B4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550" w:type="dxa"/>
            <w:shd w:val="clear" w:color="auto" w:fill="auto"/>
            <w:vAlign w:val="center"/>
          </w:tcPr>
          <w:p w14:paraId="3CDF46C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项目服务工作名称</w:t>
            </w:r>
          </w:p>
        </w:tc>
        <w:tc>
          <w:tcPr>
            <w:tcW w:w="1700" w:type="dxa"/>
            <w:shd w:val="clear" w:color="auto" w:fill="auto"/>
            <w:vAlign w:val="center"/>
          </w:tcPr>
          <w:p w14:paraId="0FC1DEE8">
            <w:pPr>
              <w:widowControl/>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开展相应服务工作主要工作内容</w:t>
            </w:r>
          </w:p>
        </w:tc>
        <w:tc>
          <w:tcPr>
            <w:tcW w:w="1592" w:type="dxa"/>
            <w:shd w:val="clear" w:color="auto" w:fill="auto"/>
            <w:vAlign w:val="center"/>
          </w:tcPr>
          <w:p w14:paraId="123C341A">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全费用单价（元）</w:t>
            </w:r>
          </w:p>
        </w:tc>
        <w:tc>
          <w:tcPr>
            <w:tcW w:w="725" w:type="dxa"/>
            <w:shd w:val="clear" w:color="auto" w:fill="auto"/>
            <w:vAlign w:val="center"/>
          </w:tcPr>
          <w:p w14:paraId="2FE67B1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1040" w:type="dxa"/>
            <w:shd w:val="clear" w:color="auto" w:fill="auto"/>
            <w:vAlign w:val="center"/>
          </w:tcPr>
          <w:p w14:paraId="320EAB63">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642" w:type="dxa"/>
            <w:shd w:val="clear" w:color="auto" w:fill="auto"/>
            <w:vAlign w:val="center"/>
          </w:tcPr>
          <w:p w14:paraId="76F3CDA2">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总价（元）</w:t>
            </w:r>
          </w:p>
        </w:tc>
        <w:tc>
          <w:tcPr>
            <w:tcW w:w="736" w:type="dxa"/>
            <w:shd w:val="clear" w:color="auto" w:fill="auto"/>
            <w:vAlign w:val="center"/>
          </w:tcPr>
          <w:p w14:paraId="67FE431D">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6089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65EACA6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50" w:type="dxa"/>
            <w:shd w:val="clear" w:color="auto" w:fill="auto"/>
            <w:vAlign w:val="center"/>
          </w:tcPr>
          <w:p w14:paraId="1A1E02BD">
            <w:pPr>
              <w:widowControl/>
              <w:jc w:val="center"/>
              <w:rPr>
                <w:rFonts w:hint="eastAsia" w:ascii="宋体" w:hAnsi="宋体" w:eastAsia="宋体" w:cs="宋体"/>
                <w:color w:val="auto"/>
                <w:sz w:val="21"/>
                <w:szCs w:val="21"/>
                <w:highlight w:val="none"/>
              </w:rPr>
            </w:pPr>
          </w:p>
        </w:tc>
        <w:tc>
          <w:tcPr>
            <w:tcW w:w="1700" w:type="dxa"/>
            <w:shd w:val="clear" w:color="auto" w:fill="auto"/>
            <w:vAlign w:val="center"/>
          </w:tcPr>
          <w:p w14:paraId="04406F0B">
            <w:pPr>
              <w:widowControl/>
              <w:jc w:val="center"/>
              <w:rPr>
                <w:rFonts w:hint="eastAsia" w:ascii="宋体" w:hAnsi="宋体" w:eastAsia="宋体" w:cs="宋体"/>
                <w:color w:val="auto"/>
                <w:sz w:val="21"/>
                <w:szCs w:val="21"/>
                <w:highlight w:val="none"/>
              </w:rPr>
            </w:pPr>
          </w:p>
        </w:tc>
        <w:tc>
          <w:tcPr>
            <w:tcW w:w="1592" w:type="dxa"/>
            <w:shd w:val="clear" w:color="auto" w:fill="auto"/>
            <w:vAlign w:val="center"/>
          </w:tcPr>
          <w:p w14:paraId="4E2FBF9B">
            <w:pPr>
              <w:widowControl/>
              <w:jc w:val="center"/>
              <w:rPr>
                <w:rFonts w:hint="eastAsia" w:ascii="宋体" w:hAnsi="宋体" w:eastAsia="宋体" w:cs="宋体"/>
                <w:color w:val="auto"/>
                <w:sz w:val="21"/>
                <w:szCs w:val="21"/>
                <w:highlight w:val="none"/>
              </w:rPr>
            </w:pPr>
          </w:p>
        </w:tc>
        <w:tc>
          <w:tcPr>
            <w:tcW w:w="725" w:type="dxa"/>
            <w:shd w:val="clear" w:color="auto" w:fill="auto"/>
            <w:vAlign w:val="center"/>
          </w:tcPr>
          <w:p w14:paraId="5EA8F502">
            <w:pPr>
              <w:widowControl/>
              <w:jc w:val="center"/>
              <w:rPr>
                <w:rFonts w:hint="eastAsia" w:ascii="宋体" w:hAnsi="宋体" w:eastAsia="宋体" w:cs="宋体"/>
                <w:color w:val="auto"/>
                <w:sz w:val="21"/>
                <w:szCs w:val="21"/>
                <w:highlight w:val="none"/>
              </w:rPr>
            </w:pPr>
          </w:p>
        </w:tc>
        <w:tc>
          <w:tcPr>
            <w:tcW w:w="1040" w:type="dxa"/>
            <w:shd w:val="clear" w:color="auto" w:fill="auto"/>
            <w:vAlign w:val="center"/>
          </w:tcPr>
          <w:p w14:paraId="25850116">
            <w:pPr>
              <w:widowControl/>
              <w:jc w:val="center"/>
              <w:rPr>
                <w:rFonts w:hint="eastAsia" w:ascii="宋体" w:hAnsi="宋体" w:eastAsia="宋体" w:cs="宋体"/>
                <w:color w:val="auto"/>
                <w:sz w:val="21"/>
                <w:szCs w:val="21"/>
                <w:highlight w:val="none"/>
              </w:rPr>
            </w:pPr>
          </w:p>
        </w:tc>
        <w:tc>
          <w:tcPr>
            <w:tcW w:w="1642" w:type="dxa"/>
            <w:shd w:val="clear" w:color="auto" w:fill="auto"/>
            <w:vAlign w:val="center"/>
          </w:tcPr>
          <w:p w14:paraId="694DAC47">
            <w:pPr>
              <w:widowControl/>
              <w:jc w:val="center"/>
              <w:rPr>
                <w:rFonts w:hint="eastAsia" w:ascii="宋体" w:hAnsi="宋体" w:eastAsia="宋体" w:cs="宋体"/>
                <w:color w:val="auto"/>
                <w:sz w:val="21"/>
                <w:szCs w:val="21"/>
                <w:highlight w:val="none"/>
              </w:rPr>
            </w:pPr>
          </w:p>
        </w:tc>
        <w:tc>
          <w:tcPr>
            <w:tcW w:w="736" w:type="dxa"/>
            <w:shd w:val="clear" w:color="auto" w:fill="auto"/>
            <w:vAlign w:val="center"/>
          </w:tcPr>
          <w:p w14:paraId="5802DF53">
            <w:pPr>
              <w:widowControl/>
              <w:jc w:val="center"/>
              <w:rPr>
                <w:rFonts w:hint="eastAsia" w:ascii="宋体" w:hAnsi="宋体" w:eastAsia="宋体" w:cs="宋体"/>
                <w:color w:val="auto"/>
                <w:sz w:val="21"/>
                <w:szCs w:val="21"/>
                <w:highlight w:val="none"/>
              </w:rPr>
            </w:pPr>
          </w:p>
        </w:tc>
      </w:tr>
      <w:tr w14:paraId="5F02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730D7B3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50" w:type="dxa"/>
            <w:shd w:val="clear" w:color="auto" w:fill="auto"/>
            <w:vAlign w:val="center"/>
          </w:tcPr>
          <w:p w14:paraId="1CAF80A8">
            <w:pPr>
              <w:widowControl/>
              <w:jc w:val="center"/>
              <w:rPr>
                <w:rFonts w:hint="eastAsia" w:ascii="宋体" w:hAnsi="宋体" w:eastAsia="宋体" w:cs="宋体"/>
                <w:color w:val="auto"/>
                <w:sz w:val="21"/>
                <w:szCs w:val="21"/>
                <w:highlight w:val="none"/>
              </w:rPr>
            </w:pPr>
          </w:p>
        </w:tc>
        <w:tc>
          <w:tcPr>
            <w:tcW w:w="1700" w:type="dxa"/>
            <w:shd w:val="clear" w:color="auto" w:fill="auto"/>
            <w:vAlign w:val="center"/>
          </w:tcPr>
          <w:p w14:paraId="30063BB9">
            <w:pPr>
              <w:widowControl/>
              <w:jc w:val="center"/>
              <w:rPr>
                <w:rFonts w:hint="eastAsia" w:ascii="宋体" w:hAnsi="宋体" w:eastAsia="宋体" w:cs="宋体"/>
                <w:color w:val="auto"/>
                <w:sz w:val="21"/>
                <w:szCs w:val="21"/>
                <w:highlight w:val="none"/>
              </w:rPr>
            </w:pPr>
          </w:p>
        </w:tc>
        <w:tc>
          <w:tcPr>
            <w:tcW w:w="1592" w:type="dxa"/>
            <w:shd w:val="clear" w:color="auto" w:fill="auto"/>
            <w:vAlign w:val="center"/>
          </w:tcPr>
          <w:p w14:paraId="3A9A2527">
            <w:pPr>
              <w:widowControl/>
              <w:jc w:val="center"/>
              <w:rPr>
                <w:rFonts w:hint="eastAsia" w:ascii="宋体" w:hAnsi="宋体" w:eastAsia="宋体" w:cs="宋体"/>
                <w:color w:val="auto"/>
                <w:sz w:val="21"/>
                <w:szCs w:val="21"/>
                <w:highlight w:val="none"/>
              </w:rPr>
            </w:pPr>
          </w:p>
        </w:tc>
        <w:tc>
          <w:tcPr>
            <w:tcW w:w="725" w:type="dxa"/>
            <w:shd w:val="clear" w:color="auto" w:fill="auto"/>
            <w:vAlign w:val="center"/>
          </w:tcPr>
          <w:p w14:paraId="7A043C39">
            <w:pPr>
              <w:widowControl/>
              <w:jc w:val="center"/>
              <w:rPr>
                <w:rFonts w:hint="eastAsia" w:ascii="宋体" w:hAnsi="宋体" w:eastAsia="宋体" w:cs="宋体"/>
                <w:color w:val="auto"/>
                <w:sz w:val="21"/>
                <w:szCs w:val="21"/>
                <w:highlight w:val="none"/>
              </w:rPr>
            </w:pPr>
          </w:p>
        </w:tc>
        <w:tc>
          <w:tcPr>
            <w:tcW w:w="1040" w:type="dxa"/>
            <w:shd w:val="clear" w:color="auto" w:fill="auto"/>
            <w:vAlign w:val="center"/>
          </w:tcPr>
          <w:p w14:paraId="727937F1">
            <w:pPr>
              <w:widowControl/>
              <w:jc w:val="center"/>
              <w:rPr>
                <w:rFonts w:hint="eastAsia" w:ascii="宋体" w:hAnsi="宋体" w:eastAsia="宋体" w:cs="宋体"/>
                <w:color w:val="auto"/>
                <w:sz w:val="21"/>
                <w:szCs w:val="21"/>
                <w:highlight w:val="none"/>
              </w:rPr>
            </w:pPr>
          </w:p>
        </w:tc>
        <w:tc>
          <w:tcPr>
            <w:tcW w:w="1642" w:type="dxa"/>
            <w:shd w:val="clear" w:color="auto" w:fill="auto"/>
            <w:vAlign w:val="center"/>
          </w:tcPr>
          <w:p w14:paraId="008E23A5">
            <w:pPr>
              <w:widowControl/>
              <w:jc w:val="center"/>
              <w:rPr>
                <w:rFonts w:hint="eastAsia" w:ascii="宋体" w:hAnsi="宋体" w:eastAsia="宋体" w:cs="宋体"/>
                <w:color w:val="auto"/>
                <w:sz w:val="21"/>
                <w:szCs w:val="21"/>
                <w:highlight w:val="none"/>
              </w:rPr>
            </w:pPr>
          </w:p>
        </w:tc>
        <w:tc>
          <w:tcPr>
            <w:tcW w:w="736" w:type="dxa"/>
            <w:shd w:val="clear" w:color="auto" w:fill="auto"/>
            <w:vAlign w:val="center"/>
          </w:tcPr>
          <w:p w14:paraId="6DCD5834">
            <w:pPr>
              <w:widowControl/>
              <w:jc w:val="center"/>
              <w:rPr>
                <w:rFonts w:hint="eastAsia" w:ascii="宋体" w:hAnsi="宋体" w:eastAsia="宋体" w:cs="宋体"/>
                <w:color w:val="auto"/>
                <w:sz w:val="21"/>
                <w:szCs w:val="21"/>
                <w:highlight w:val="none"/>
              </w:rPr>
            </w:pPr>
          </w:p>
        </w:tc>
      </w:tr>
      <w:tr w14:paraId="6CCA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15050CAE">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550" w:type="dxa"/>
            <w:shd w:val="clear" w:color="auto" w:fill="auto"/>
            <w:vAlign w:val="center"/>
          </w:tcPr>
          <w:p w14:paraId="21AE8B53">
            <w:pPr>
              <w:widowControl/>
              <w:jc w:val="center"/>
              <w:rPr>
                <w:rFonts w:hint="eastAsia" w:ascii="宋体" w:hAnsi="宋体" w:eastAsia="宋体" w:cs="宋体"/>
                <w:color w:val="auto"/>
                <w:sz w:val="21"/>
                <w:szCs w:val="21"/>
                <w:highlight w:val="none"/>
              </w:rPr>
            </w:pPr>
          </w:p>
        </w:tc>
        <w:tc>
          <w:tcPr>
            <w:tcW w:w="1700" w:type="dxa"/>
            <w:shd w:val="clear" w:color="auto" w:fill="auto"/>
            <w:vAlign w:val="center"/>
          </w:tcPr>
          <w:p w14:paraId="11E527D0">
            <w:pPr>
              <w:widowControl/>
              <w:jc w:val="center"/>
              <w:rPr>
                <w:rFonts w:hint="eastAsia" w:ascii="宋体" w:hAnsi="宋体" w:eastAsia="宋体" w:cs="宋体"/>
                <w:color w:val="auto"/>
                <w:sz w:val="21"/>
                <w:szCs w:val="21"/>
                <w:highlight w:val="none"/>
              </w:rPr>
            </w:pPr>
          </w:p>
        </w:tc>
        <w:tc>
          <w:tcPr>
            <w:tcW w:w="1592" w:type="dxa"/>
            <w:shd w:val="clear" w:color="auto" w:fill="auto"/>
            <w:vAlign w:val="center"/>
          </w:tcPr>
          <w:p w14:paraId="6AD79381">
            <w:pPr>
              <w:widowControl/>
              <w:jc w:val="center"/>
              <w:rPr>
                <w:rFonts w:hint="eastAsia" w:ascii="宋体" w:hAnsi="宋体" w:eastAsia="宋体" w:cs="宋体"/>
                <w:color w:val="auto"/>
                <w:sz w:val="21"/>
                <w:szCs w:val="21"/>
                <w:highlight w:val="none"/>
              </w:rPr>
            </w:pPr>
          </w:p>
        </w:tc>
        <w:tc>
          <w:tcPr>
            <w:tcW w:w="725" w:type="dxa"/>
            <w:shd w:val="clear" w:color="auto" w:fill="auto"/>
            <w:vAlign w:val="center"/>
          </w:tcPr>
          <w:p w14:paraId="1EB967CE">
            <w:pPr>
              <w:widowControl/>
              <w:jc w:val="center"/>
              <w:rPr>
                <w:rFonts w:hint="eastAsia" w:ascii="宋体" w:hAnsi="宋体" w:eastAsia="宋体" w:cs="宋体"/>
                <w:color w:val="auto"/>
                <w:sz w:val="21"/>
                <w:szCs w:val="21"/>
                <w:highlight w:val="none"/>
              </w:rPr>
            </w:pPr>
          </w:p>
        </w:tc>
        <w:tc>
          <w:tcPr>
            <w:tcW w:w="1040" w:type="dxa"/>
            <w:shd w:val="clear" w:color="auto" w:fill="auto"/>
            <w:vAlign w:val="center"/>
          </w:tcPr>
          <w:p w14:paraId="0249BAB1">
            <w:pPr>
              <w:widowControl/>
              <w:jc w:val="center"/>
              <w:rPr>
                <w:rFonts w:hint="eastAsia" w:ascii="宋体" w:hAnsi="宋体" w:eastAsia="宋体" w:cs="宋体"/>
                <w:color w:val="auto"/>
                <w:sz w:val="21"/>
                <w:szCs w:val="21"/>
                <w:highlight w:val="none"/>
              </w:rPr>
            </w:pPr>
          </w:p>
        </w:tc>
        <w:tc>
          <w:tcPr>
            <w:tcW w:w="1642" w:type="dxa"/>
            <w:shd w:val="clear" w:color="auto" w:fill="auto"/>
            <w:vAlign w:val="center"/>
          </w:tcPr>
          <w:p w14:paraId="7E31F793">
            <w:pPr>
              <w:widowControl/>
              <w:jc w:val="center"/>
              <w:rPr>
                <w:rFonts w:hint="eastAsia" w:ascii="宋体" w:hAnsi="宋体" w:eastAsia="宋体" w:cs="宋体"/>
                <w:color w:val="auto"/>
                <w:sz w:val="21"/>
                <w:szCs w:val="21"/>
                <w:highlight w:val="none"/>
              </w:rPr>
            </w:pPr>
          </w:p>
        </w:tc>
        <w:tc>
          <w:tcPr>
            <w:tcW w:w="736" w:type="dxa"/>
            <w:shd w:val="clear" w:color="auto" w:fill="auto"/>
            <w:vAlign w:val="center"/>
          </w:tcPr>
          <w:p w14:paraId="7B15911D">
            <w:pPr>
              <w:widowControl/>
              <w:jc w:val="center"/>
              <w:rPr>
                <w:rFonts w:hint="eastAsia" w:ascii="宋体" w:hAnsi="宋体" w:eastAsia="宋体" w:cs="宋体"/>
                <w:color w:val="auto"/>
                <w:sz w:val="21"/>
                <w:szCs w:val="21"/>
                <w:highlight w:val="none"/>
              </w:rPr>
            </w:pPr>
          </w:p>
        </w:tc>
      </w:tr>
      <w:tr w14:paraId="44D7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16C7BEA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550" w:type="dxa"/>
            <w:shd w:val="clear" w:color="auto" w:fill="auto"/>
            <w:vAlign w:val="center"/>
          </w:tcPr>
          <w:p w14:paraId="056EF4B4">
            <w:pPr>
              <w:widowControl/>
              <w:jc w:val="center"/>
              <w:rPr>
                <w:rFonts w:hint="eastAsia" w:ascii="宋体" w:hAnsi="宋体" w:eastAsia="宋体" w:cs="宋体"/>
                <w:color w:val="auto"/>
                <w:sz w:val="21"/>
                <w:szCs w:val="21"/>
                <w:highlight w:val="none"/>
              </w:rPr>
            </w:pPr>
          </w:p>
        </w:tc>
        <w:tc>
          <w:tcPr>
            <w:tcW w:w="1700" w:type="dxa"/>
            <w:shd w:val="clear" w:color="auto" w:fill="auto"/>
            <w:vAlign w:val="center"/>
          </w:tcPr>
          <w:p w14:paraId="459921C7">
            <w:pPr>
              <w:widowControl/>
              <w:jc w:val="center"/>
              <w:rPr>
                <w:rFonts w:hint="eastAsia" w:ascii="宋体" w:hAnsi="宋体" w:eastAsia="宋体" w:cs="宋体"/>
                <w:color w:val="auto"/>
                <w:sz w:val="21"/>
                <w:szCs w:val="21"/>
                <w:highlight w:val="none"/>
              </w:rPr>
            </w:pPr>
          </w:p>
        </w:tc>
        <w:tc>
          <w:tcPr>
            <w:tcW w:w="1592" w:type="dxa"/>
            <w:shd w:val="clear" w:color="auto" w:fill="auto"/>
            <w:vAlign w:val="center"/>
          </w:tcPr>
          <w:p w14:paraId="53D24F8A">
            <w:pPr>
              <w:widowControl/>
              <w:jc w:val="center"/>
              <w:rPr>
                <w:rFonts w:hint="eastAsia" w:ascii="宋体" w:hAnsi="宋体" w:eastAsia="宋体" w:cs="宋体"/>
                <w:color w:val="auto"/>
                <w:sz w:val="21"/>
                <w:szCs w:val="21"/>
                <w:highlight w:val="none"/>
              </w:rPr>
            </w:pPr>
          </w:p>
        </w:tc>
        <w:tc>
          <w:tcPr>
            <w:tcW w:w="725" w:type="dxa"/>
            <w:shd w:val="clear" w:color="auto" w:fill="auto"/>
            <w:vAlign w:val="center"/>
          </w:tcPr>
          <w:p w14:paraId="4B534119">
            <w:pPr>
              <w:widowControl/>
              <w:jc w:val="center"/>
              <w:rPr>
                <w:rFonts w:hint="eastAsia" w:ascii="宋体" w:hAnsi="宋体" w:eastAsia="宋体" w:cs="宋体"/>
                <w:color w:val="auto"/>
                <w:sz w:val="21"/>
                <w:szCs w:val="21"/>
                <w:highlight w:val="none"/>
              </w:rPr>
            </w:pPr>
          </w:p>
        </w:tc>
        <w:tc>
          <w:tcPr>
            <w:tcW w:w="1040" w:type="dxa"/>
            <w:shd w:val="clear" w:color="auto" w:fill="auto"/>
            <w:vAlign w:val="center"/>
          </w:tcPr>
          <w:p w14:paraId="2E78B435">
            <w:pPr>
              <w:widowControl/>
              <w:jc w:val="center"/>
              <w:rPr>
                <w:rFonts w:hint="eastAsia" w:ascii="宋体" w:hAnsi="宋体" w:eastAsia="宋体" w:cs="宋体"/>
                <w:color w:val="auto"/>
                <w:sz w:val="21"/>
                <w:szCs w:val="21"/>
                <w:highlight w:val="none"/>
              </w:rPr>
            </w:pPr>
          </w:p>
        </w:tc>
        <w:tc>
          <w:tcPr>
            <w:tcW w:w="1642" w:type="dxa"/>
            <w:shd w:val="clear" w:color="auto" w:fill="auto"/>
            <w:vAlign w:val="center"/>
          </w:tcPr>
          <w:p w14:paraId="788AB4E5">
            <w:pPr>
              <w:widowControl/>
              <w:jc w:val="center"/>
              <w:rPr>
                <w:rFonts w:hint="eastAsia" w:ascii="宋体" w:hAnsi="宋体" w:eastAsia="宋体" w:cs="宋体"/>
                <w:color w:val="auto"/>
                <w:sz w:val="21"/>
                <w:szCs w:val="21"/>
                <w:highlight w:val="none"/>
              </w:rPr>
            </w:pPr>
          </w:p>
        </w:tc>
        <w:tc>
          <w:tcPr>
            <w:tcW w:w="736" w:type="dxa"/>
            <w:shd w:val="clear" w:color="auto" w:fill="auto"/>
            <w:vAlign w:val="center"/>
          </w:tcPr>
          <w:p w14:paraId="05997965">
            <w:pPr>
              <w:widowControl/>
              <w:jc w:val="center"/>
              <w:rPr>
                <w:rFonts w:hint="eastAsia" w:ascii="宋体" w:hAnsi="宋体" w:eastAsia="宋体" w:cs="宋体"/>
                <w:color w:val="auto"/>
                <w:sz w:val="21"/>
                <w:szCs w:val="21"/>
                <w:highlight w:val="none"/>
              </w:rPr>
            </w:pPr>
          </w:p>
        </w:tc>
      </w:tr>
      <w:tr w14:paraId="3755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146" w:type="dxa"/>
            <w:gridSpan w:val="6"/>
            <w:shd w:val="clear" w:color="auto" w:fill="auto"/>
            <w:vAlign w:val="center"/>
          </w:tcPr>
          <w:p w14:paraId="18FA5F80">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642" w:type="dxa"/>
            <w:shd w:val="clear" w:color="auto" w:fill="auto"/>
            <w:vAlign w:val="center"/>
          </w:tcPr>
          <w:p w14:paraId="3F2CF47C">
            <w:pPr>
              <w:widowControl/>
              <w:jc w:val="center"/>
              <w:rPr>
                <w:rFonts w:hint="eastAsia" w:ascii="宋体" w:hAnsi="宋体" w:eastAsia="宋体" w:cs="宋体"/>
                <w:color w:val="auto"/>
                <w:sz w:val="21"/>
                <w:szCs w:val="21"/>
                <w:highlight w:val="none"/>
              </w:rPr>
            </w:pPr>
          </w:p>
        </w:tc>
        <w:tc>
          <w:tcPr>
            <w:tcW w:w="736" w:type="dxa"/>
            <w:shd w:val="clear" w:color="auto" w:fill="auto"/>
            <w:vAlign w:val="center"/>
          </w:tcPr>
          <w:p w14:paraId="4E570405">
            <w:pPr>
              <w:widowControl/>
              <w:jc w:val="center"/>
              <w:rPr>
                <w:rFonts w:hint="eastAsia" w:ascii="宋体" w:hAnsi="宋体" w:eastAsia="宋体" w:cs="宋体"/>
                <w:color w:val="auto"/>
                <w:sz w:val="21"/>
                <w:szCs w:val="21"/>
                <w:highlight w:val="none"/>
              </w:rPr>
            </w:pPr>
          </w:p>
        </w:tc>
      </w:tr>
    </w:tbl>
    <w:p w14:paraId="5D1E94E7">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val="en-US" w:eastAsia="zh-CN"/>
        </w:rPr>
        <w:t>注：</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lang w:val="en-US" w:eastAsia="zh-CN"/>
        </w:rPr>
        <w:t>说明和</w:t>
      </w:r>
      <w:r>
        <w:rPr>
          <w:rFonts w:hint="eastAsia" w:ascii="宋体" w:hAnsi="宋体" w:eastAsia="宋体" w:cs="宋体"/>
          <w:color w:val="auto"/>
          <w:sz w:val="21"/>
          <w:szCs w:val="21"/>
          <w:highlight w:val="none"/>
          <w:lang w:eastAsia="zh-CN"/>
        </w:rPr>
        <w:t>要求：</w:t>
      </w:r>
    </w:p>
    <w:p w14:paraId="1DBB1B8B">
      <w:pPr>
        <w:pageBreakBefore w:val="0"/>
        <w:numPr>
          <w:ilvl w:val="0"/>
          <w:numId w:val="0"/>
        </w:numPr>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rPr>
        <w:t>磋商报价要求：</w:t>
      </w:r>
      <w:r>
        <w:rPr>
          <w:rFonts w:hint="eastAsia" w:ascii="宋体" w:hAnsi="宋体" w:eastAsia="宋体" w:cs="宋体"/>
          <w:color w:val="auto"/>
          <w:sz w:val="21"/>
          <w:szCs w:val="21"/>
          <w:highlight w:val="none"/>
          <w:lang w:eastAsia="zh-CN"/>
        </w:rPr>
        <w:t>参与本项目的</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人须根据</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lang w:eastAsia="zh-CN"/>
        </w:rPr>
        <w:t>文件要求分别填报</w:t>
      </w:r>
      <w:r>
        <w:rPr>
          <w:rFonts w:hint="eastAsia" w:ascii="宋体" w:hAnsi="宋体" w:eastAsia="宋体" w:cs="宋体"/>
          <w:color w:val="auto"/>
          <w:sz w:val="21"/>
          <w:szCs w:val="21"/>
          <w:highlight w:val="none"/>
          <w:lang w:val="en-US" w:eastAsia="zh-CN"/>
        </w:rPr>
        <w:t>磋商报价</w:t>
      </w:r>
      <w:r>
        <w:rPr>
          <w:rFonts w:hint="eastAsia" w:ascii="宋体" w:hAnsi="宋体" w:eastAsia="宋体" w:cs="宋体"/>
          <w:color w:val="auto"/>
          <w:sz w:val="21"/>
          <w:szCs w:val="21"/>
          <w:highlight w:val="none"/>
          <w:lang w:eastAsia="zh-CN"/>
        </w:rPr>
        <w:t>总价、分项报价等信息，</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报价须包含本</w:t>
      </w:r>
      <w:r>
        <w:rPr>
          <w:rFonts w:hint="eastAsia" w:ascii="宋体" w:hAnsi="宋体" w:eastAsia="宋体" w:cs="宋体"/>
          <w:color w:val="auto"/>
          <w:sz w:val="21"/>
          <w:szCs w:val="21"/>
          <w:highlight w:val="none"/>
          <w:lang w:val="en-US" w:eastAsia="zh-CN"/>
        </w:rPr>
        <w:t>项目采购所涉及的“</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sz w:val="21"/>
          <w:szCs w:val="21"/>
          <w:highlight w:val="none"/>
          <w:lang w:val="en-US" w:eastAsia="zh-CN"/>
        </w:rPr>
        <w:t>”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w:t>
      </w:r>
      <w:r>
        <w:rPr>
          <w:rFonts w:hint="eastAsia" w:ascii="宋体" w:hAnsi="宋体" w:eastAsia="宋体" w:cs="宋体"/>
          <w:color w:val="auto"/>
          <w:sz w:val="21"/>
          <w:szCs w:val="21"/>
          <w:highlight w:val="none"/>
          <w:lang w:eastAsia="zh-CN"/>
        </w:rPr>
        <w:t>项目管理费、人工费、差旅费</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必需的税费（</w:t>
      </w:r>
      <w:r>
        <w:rPr>
          <w:rFonts w:hint="eastAsia" w:ascii="宋体" w:hAnsi="宋体" w:eastAsia="宋体" w:cs="宋体"/>
          <w:color w:val="auto"/>
          <w:sz w:val="21"/>
          <w:szCs w:val="21"/>
          <w:highlight w:val="none"/>
          <w:lang w:val="en-US" w:eastAsia="zh-CN"/>
        </w:rPr>
        <w:t>参与本项目采购活动所必须的相关费用）</w:t>
      </w:r>
      <w:r>
        <w:rPr>
          <w:rFonts w:hint="eastAsia" w:ascii="宋体" w:hAnsi="宋体" w:eastAsia="宋体" w:cs="宋体"/>
          <w:color w:val="auto"/>
          <w:sz w:val="21"/>
          <w:szCs w:val="21"/>
          <w:highlight w:val="none"/>
          <w:lang w:eastAsia="zh-CN"/>
        </w:rPr>
        <w:t>、风险</w:t>
      </w:r>
      <w:r>
        <w:rPr>
          <w:rFonts w:hint="eastAsia" w:ascii="宋体" w:hAnsi="宋体" w:eastAsia="宋体" w:cs="宋体"/>
          <w:color w:val="auto"/>
          <w:sz w:val="21"/>
          <w:szCs w:val="21"/>
          <w:highlight w:val="none"/>
          <w:lang w:val="en-US" w:eastAsia="zh-CN"/>
        </w:rPr>
        <w:t>（含不可预见费）</w:t>
      </w:r>
      <w:r>
        <w:rPr>
          <w:rFonts w:hint="eastAsia" w:ascii="宋体" w:hAnsi="宋体" w:eastAsia="宋体" w:cs="宋体"/>
          <w:color w:val="auto"/>
          <w:sz w:val="21"/>
          <w:szCs w:val="21"/>
          <w:highlight w:val="none"/>
          <w:lang w:eastAsia="zh-CN"/>
        </w:rPr>
        <w:t>等所有费用，</w:t>
      </w:r>
      <w:r>
        <w:rPr>
          <w:rFonts w:hint="eastAsia" w:ascii="宋体" w:hAnsi="宋体" w:eastAsia="宋体" w:cs="宋体"/>
          <w:color w:val="auto"/>
          <w:sz w:val="21"/>
          <w:szCs w:val="21"/>
          <w:highlight w:val="none"/>
          <w:lang w:val="en-US" w:eastAsia="zh-CN"/>
        </w:rPr>
        <w:t>以上各项费用应核算到项目的单价和总价报价中，无需单列。</w:t>
      </w:r>
    </w:p>
    <w:p w14:paraId="682E9EA0">
      <w:pPr>
        <w:spacing w:line="360" w:lineRule="auto"/>
        <w:ind w:firstLine="420" w:firstLineChars="20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 w:val="21"/>
          <w:szCs w:val="21"/>
          <w:highlight w:val="none"/>
          <w:lang w:val="en-US" w:eastAsia="zh-CN"/>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1ED56BE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2.如果按单价计算的结果与总价不一致，以单价为准修正总价；</w:t>
      </w:r>
    </w:p>
    <w:p w14:paraId="677A26B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.如果不提供详细分项报价将视为没有实质性响应竞争性磋商文件，其磋商响应文件将被拒绝。</w:t>
      </w:r>
    </w:p>
    <w:p w14:paraId="044BE703">
      <w:pPr>
        <w:pStyle w:val="16"/>
        <w:spacing w:line="480" w:lineRule="exact"/>
        <w:ind w:firstLine="575"/>
        <w:rPr>
          <w:rFonts w:hint="eastAsia" w:ascii="宋体" w:hAnsi="宋体" w:eastAsia="宋体" w:cs="宋体"/>
          <w:color w:val="auto"/>
          <w:sz w:val="21"/>
          <w:szCs w:val="21"/>
          <w:highlight w:val="none"/>
          <w:lang w:val="en-US" w:eastAsia="zh-CN"/>
        </w:rPr>
      </w:pPr>
    </w:p>
    <w:p w14:paraId="062C1CC4">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44554A80">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306E1A3F">
      <w:pPr>
        <w:pStyle w:val="16"/>
        <w:spacing w:line="480" w:lineRule="exact"/>
        <w:ind w:firstLine="575"/>
        <w:rPr>
          <w:rFonts w:hint="eastAsia" w:ascii="宋体" w:hAnsi="宋体" w:eastAsia="宋体" w:cs="宋体"/>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58412B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5B4E5AD">
      <w:pPr>
        <w:pStyle w:val="13"/>
        <w:rPr>
          <w:rFonts w:hint="eastAsia" w:ascii="宋体" w:hAnsi="宋体" w:eastAsia="宋体" w:cs="宋体"/>
          <w:color w:val="auto"/>
          <w:highlight w:val="none"/>
        </w:rPr>
        <w:sectPr>
          <w:footerReference r:id="rId7" w:type="default"/>
          <w:pgSz w:w="11906" w:h="16838"/>
          <w:pgMar w:top="936" w:right="892" w:bottom="1089" w:left="1134" w:header="851" w:footer="992" w:gutter="0"/>
          <w:pgNumType w:fmt="decimal"/>
          <w:cols w:space="425" w:num="1"/>
          <w:docGrid w:type="lines" w:linePitch="312" w:charSpace="0"/>
        </w:sectPr>
      </w:pPr>
    </w:p>
    <w:bookmarkEnd w:id="181"/>
    <w:p w14:paraId="3A22B2FE">
      <w:pPr>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rPr>
        <w:t>：《中小企业声明函》或《残疾人福利性单位声明函》或《监狱企业声明函》</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如有</w:t>
      </w:r>
      <w:r>
        <w:rPr>
          <w:rFonts w:hint="eastAsia" w:ascii="宋体" w:hAnsi="宋体" w:eastAsia="宋体" w:cs="宋体"/>
          <w:b/>
          <w:bCs/>
          <w:color w:val="auto"/>
          <w:sz w:val="28"/>
          <w:szCs w:val="28"/>
          <w:highlight w:val="none"/>
          <w:lang w:eastAsia="zh-CN"/>
        </w:rPr>
        <w:t>）</w:t>
      </w:r>
    </w:p>
    <w:p w14:paraId="5B0907A3">
      <w:pPr>
        <w:widowControl/>
        <w:jc w:val="left"/>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val="en-US" w:eastAsia="zh-CN"/>
        </w:rPr>
        <w:t>1.磋商申请人</w:t>
      </w:r>
      <w:r>
        <w:rPr>
          <w:rFonts w:hint="eastAsia" w:ascii="宋体" w:hAnsi="宋体" w:eastAsia="宋体" w:cs="宋体"/>
          <w:b/>
          <w:color w:val="auto"/>
          <w:sz w:val="21"/>
          <w:szCs w:val="21"/>
          <w:highlight w:val="none"/>
        </w:rPr>
        <w:t>应对其提交的《中小企业声明函》《残疾人福利性单位声明函》《监狱企业声明函》的真实性负责，提交的声明函不真实的，应承担相应的法律责任。若</w:t>
      </w:r>
      <w:r>
        <w:rPr>
          <w:rFonts w:hint="eastAsia" w:ascii="宋体" w:hAnsi="宋体" w:eastAsia="宋体" w:cs="宋体"/>
          <w:b/>
          <w:color w:val="auto"/>
          <w:sz w:val="21"/>
          <w:szCs w:val="21"/>
          <w:highlight w:val="none"/>
          <w:lang w:val="en-US" w:eastAsia="zh-CN"/>
        </w:rPr>
        <w:t>磋商申请人</w:t>
      </w:r>
      <w:r>
        <w:rPr>
          <w:rFonts w:hint="eastAsia" w:ascii="宋体" w:hAnsi="宋体" w:eastAsia="宋体" w:cs="宋体"/>
          <w:b/>
          <w:color w:val="auto"/>
          <w:sz w:val="21"/>
          <w:szCs w:val="21"/>
          <w:highlight w:val="none"/>
        </w:rPr>
        <w:t>不属于该三类企业单位，则可以删除三类企业声明函，并自行编制相应声明材料即可，若未提供任何声明函、说明材料或未按要求填写编制的，则不予认可</w:t>
      </w:r>
      <w:r>
        <w:rPr>
          <w:rFonts w:hint="eastAsia" w:ascii="宋体" w:hAnsi="宋体" w:eastAsia="宋体" w:cs="宋体"/>
          <w:b/>
          <w:color w:val="auto"/>
          <w:sz w:val="21"/>
          <w:szCs w:val="21"/>
          <w:highlight w:val="none"/>
          <w:lang w:val="en-US" w:eastAsia="zh-CN"/>
        </w:rPr>
        <w:t>磋商申请人</w:t>
      </w:r>
      <w:r>
        <w:rPr>
          <w:rFonts w:hint="eastAsia" w:ascii="宋体" w:hAnsi="宋体" w:eastAsia="宋体" w:cs="宋体"/>
          <w:b/>
          <w:color w:val="auto"/>
          <w:sz w:val="21"/>
          <w:szCs w:val="21"/>
          <w:highlight w:val="none"/>
        </w:rPr>
        <w:t>属于此三类企业单位。</w:t>
      </w:r>
    </w:p>
    <w:p w14:paraId="02E14E1E">
      <w:pPr>
        <w:widowControl/>
        <w:ind w:firstLine="422" w:firstLineChars="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Cs w:val="21"/>
          <w:highlight w:val="none"/>
        </w:rPr>
        <w:t>本项目属于服务类项目，行业为软件和信息技术服务业。</w:t>
      </w:r>
    </w:p>
    <w:p w14:paraId="7F2DDA5F">
      <w:pPr>
        <w:widowControl/>
        <w:jc w:val="left"/>
        <w:rPr>
          <w:rFonts w:hint="eastAsia" w:ascii="宋体" w:hAnsi="宋体" w:eastAsia="宋体" w:cs="宋体"/>
          <w:b/>
          <w:bCs/>
          <w:color w:val="auto"/>
          <w:sz w:val="21"/>
          <w:szCs w:val="21"/>
          <w:highlight w:val="none"/>
        </w:rPr>
      </w:pPr>
    </w:p>
    <w:p w14:paraId="22F3353D">
      <w:pPr>
        <w:widowControl/>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color w:val="auto"/>
          <w:sz w:val="21"/>
          <w:szCs w:val="21"/>
          <w:highlight w:val="none"/>
        </w:rPr>
        <w:t>《中小企业声明函》格式</w:t>
      </w:r>
    </w:p>
    <w:p w14:paraId="12EDB6AD">
      <w:pPr>
        <w:pStyle w:val="90"/>
        <w:spacing w:before="162"/>
        <w:rPr>
          <w:rFonts w:hint="eastAsia" w:ascii="宋体" w:hAnsi="宋体" w:eastAsia="宋体" w:cs="宋体"/>
          <w:color w:val="auto"/>
          <w:sz w:val="21"/>
          <w:szCs w:val="21"/>
          <w:highlight w:val="none"/>
        </w:rPr>
      </w:pPr>
      <w:bookmarkStart w:id="185" w:name="_Toc20647"/>
      <w:bookmarkStart w:id="186" w:name="_Toc17309"/>
      <w:bookmarkStart w:id="187" w:name="_Toc29984"/>
      <w:bookmarkStart w:id="188" w:name="_Toc23139"/>
      <w:bookmarkStart w:id="189" w:name="_Toc9727"/>
      <w:r>
        <w:rPr>
          <w:rFonts w:hint="eastAsia" w:ascii="宋体" w:hAnsi="宋体" w:eastAsia="宋体" w:cs="宋体"/>
          <w:color w:val="auto"/>
          <w:sz w:val="28"/>
          <w:szCs w:val="28"/>
          <w:highlight w:val="none"/>
        </w:rPr>
        <w:t>中小企业声明函（</w:t>
      </w:r>
      <w:r>
        <w:rPr>
          <w:rFonts w:hint="eastAsia" w:ascii="宋体" w:hAnsi="宋体" w:eastAsia="宋体" w:cs="宋体"/>
          <w:color w:val="auto"/>
          <w:sz w:val="28"/>
          <w:szCs w:val="28"/>
          <w:highlight w:val="none"/>
          <w:lang w:val="en-US" w:eastAsia="zh-CN"/>
        </w:rPr>
        <w:t>服务</w:t>
      </w:r>
      <w:r>
        <w:rPr>
          <w:rFonts w:hint="eastAsia" w:ascii="宋体" w:hAnsi="宋体" w:eastAsia="宋体" w:cs="宋体"/>
          <w:color w:val="auto"/>
          <w:sz w:val="28"/>
          <w:szCs w:val="28"/>
          <w:highlight w:val="none"/>
        </w:rPr>
        <w:t>）</w:t>
      </w:r>
      <w:bookmarkEnd w:id="185"/>
      <w:bookmarkEnd w:id="186"/>
      <w:bookmarkEnd w:id="187"/>
      <w:bookmarkEnd w:id="188"/>
      <w:bookmarkEnd w:id="189"/>
    </w:p>
    <w:p w14:paraId="7ECCC28B">
      <w:pPr>
        <w:pStyle w:val="13"/>
        <w:spacing w:before="2"/>
        <w:rPr>
          <w:rFonts w:hint="eastAsia" w:ascii="宋体" w:hAnsi="宋体" w:eastAsia="宋体" w:cs="宋体"/>
          <w:color w:val="auto"/>
          <w:sz w:val="21"/>
          <w:szCs w:val="21"/>
          <w:highlight w:val="none"/>
        </w:rPr>
      </w:pPr>
    </w:p>
    <w:p w14:paraId="0D29A99D">
      <w:pPr>
        <w:pStyle w:val="13"/>
        <w:keepNext/>
        <w:spacing w:line="360" w:lineRule="auto"/>
        <w:ind w:right="415" w:firstLine="47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本单位</w:t>
      </w:r>
      <w:r>
        <w:rPr>
          <w:rFonts w:hint="eastAsia" w:ascii="宋体" w:hAnsi="宋体" w:eastAsia="宋体" w:cs="宋体"/>
          <w:color w:val="auto"/>
          <w:sz w:val="21"/>
          <w:szCs w:val="21"/>
          <w:highlight w:val="none"/>
        </w:rPr>
        <w:t>（联合体）郑重声明，根据《政府采购促进中小企业发展管理办法》（财库﹝2020﹞46 号）的规定，</w:t>
      </w:r>
      <w:r>
        <w:rPr>
          <w:rFonts w:hint="eastAsia" w:ascii="宋体" w:hAnsi="宋体" w:eastAsia="宋体" w:cs="宋体"/>
          <w:color w:val="auto"/>
          <w:sz w:val="21"/>
          <w:szCs w:val="21"/>
          <w:highlight w:val="none"/>
          <w:lang w:eastAsia="zh-CN"/>
        </w:rPr>
        <w:t>本单位</w:t>
      </w:r>
      <w:r>
        <w:rPr>
          <w:rFonts w:hint="eastAsia" w:ascii="宋体" w:hAnsi="宋体" w:eastAsia="宋体" w:cs="宋体"/>
          <w:color w:val="auto"/>
          <w:sz w:val="21"/>
          <w:szCs w:val="21"/>
          <w:highlight w:val="none"/>
        </w:rPr>
        <w:t>（联合体）参加</w:t>
      </w:r>
      <w:r>
        <w:rPr>
          <w:rFonts w:hint="eastAsia" w:ascii="宋体" w:hAnsi="宋体" w:eastAsia="宋体" w:cs="宋体"/>
          <w:iCs/>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iCs/>
          <w:color w:val="auto"/>
          <w:sz w:val="21"/>
          <w:szCs w:val="21"/>
          <w:highlight w:val="none"/>
          <w:u w:val="single"/>
        </w:rPr>
        <w:t>（项目名称）</w:t>
      </w:r>
      <w:r>
        <w:rPr>
          <w:rFonts w:hint="eastAsia" w:ascii="宋体" w:hAnsi="宋体" w:eastAsia="宋体" w:cs="宋体"/>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7CBDB3F">
      <w:pPr>
        <w:pStyle w:val="56"/>
        <w:keepNext/>
        <w:numPr>
          <w:ilvl w:val="0"/>
          <w:numId w:val="8"/>
        </w:numPr>
        <w:autoSpaceDE w:val="0"/>
        <w:autoSpaceDN w:val="0"/>
        <w:spacing w:before="94" w:line="360" w:lineRule="auto"/>
        <w:ind w:left="5" w:right="236" w:firstLine="415" w:firstLineChars="0"/>
        <w:rPr>
          <w:rFonts w:hint="eastAsia" w:ascii="宋体" w:hAnsi="宋体" w:eastAsia="宋体" w:cs="宋体"/>
          <w:color w:val="auto"/>
          <w:sz w:val="21"/>
          <w:szCs w:val="21"/>
          <w:highlight w:val="none"/>
          <w:u w:val="single"/>
        </w:rPr>
      </w:pPr>
      <w:r>
        <w:rPr>
          <w:rFonts w:hint="eastAsia" w:ascii="宋体" w:hAnsi="宋体" w:eastAsia="宋体" w:cs="宋体"/>
          <w:iCs/>
          <w:color w:val="auto"/>
          <w:sz w:val="21"/>
          <w:szCs w:val="21"/>
          <w:highlight w:val="none"/>
          <w:u w:val="single"/>
        </w:rPr>
        <w:t>（标的名称）</w:t>
      </w:r>
      <w:r>
        <w:rPr>
          <w:rFonts w:hint="eastAsia" w:ascii="宋体" w:hAnsi="宋体" w:eastAsia="宋体" w:cs="宋体"/>
          <w:color w:val="auto"/>
          <w:sz w:val="21"/>
          <w:szCs w:val="21"/>
          <w:highlight w:val="none"/>
          <w:u w:val="single"/>
        </w:rPr>
        <w:t>，属于</w:t>
      </w:r>
      <w:r>
        <w:rPr>
          <w:rFonts w:hint="eastAsia" w:ascii="宋体" w:hAnsi="宋体" w:eastAsia="宋体" w:cs="宋体"/>
          <w:iCs/>
          <w:color w:val="auto"/>
          <w:sz w:val="21"/>
          <w:szCs w:val="21"/>
          <w:highlight w:val="none"/>
          <w:u w:val="single"/>
        </w:rPr>
        <w:t>（采购文件中明确的所属行业）</w:t>
      </w:r>
      <w:r>
        <w:rPr>
          <w:rFonts w:hint="eastAsia" w:ascii="宋体" w:hAnsi="宋体" w:eastAsia="宋体" w:cs="宋体"/>
          <w:color w:val="auto"/>
          <w:sz w:val="21"/>
          <w:szCs w:val="21"/>
          <w:highlight w:val="none"/>
          <w:u w:val="single"/>
        </w:rPr>
        <w:t>；承建（承接）企业为</w:t>
      </w:r>
      <w:r>
        <w:rPr>
          <w:rFonts w:hint="eastAsia" w:ascii="宋体" w:hAnsi="宋体" w:eastAsia="宋体" w:cs="宋体"/>
          <w:iCs/>
          <w:color w:val="auto"/>
          <w:sz w:val="21"/>
          <w:szCs w:val="21"/>
          <w:highlight w:val="none"/>
          <w:u w:val="single"/>
        </w:rPr>
        <w:t>（企业名称）</w:t>
      </w:r>
      <w:r>
        <w:rPr>
          <w:rFonts w:hint="eastAsia" w:ascii="宋体" w:hAnsi="宋体" w:eastAsia="宋体" w:cs="宋体"/>
          <w:color w:val="auto"/>
          <w:sz w:val="21"/>
          <w:szCs w:val="21"/>
          <w:highlight w:val="none"/>
          <w:u w:val="single"/>
        </w:rPr>
        <w:t xml:space="preserve">，从业人员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人，营业收入为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万元，资产总额为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万元</w:t>
      </w:r>
      <w:r>
        <w:rPr>
          <w:rFonts w:hint="eastAsia" w:ascii="宋体" w:hAnsi="宋体" w:eastAsia="宋体" w:cs="宋体"/>
          <w:color w:val="auto"/>
          <w:sz w:val="21"/>
          <w:szCs w:val="21"/>
          <w:highlight w:val="none"/>
          <w:u w:val="single"/>
          <w:vertAlign w:val="superscript"/>
        </w:rPr>
        <w:t>1</w:t>
      </w:r>
      <w:r>
        <w:rPr>
          <w:rFonts w:hint="eastAsia" w:ascii="宋体" w:hAnsi="宋体" w:eastAsia="宋体" w:cs="宋体"/>
          <w:color w:val="auto"/>
          <w:sz w:val="21"/>
          <w:szCs w:val="21"/>
          <w:highlight w:val="none"/>
          <w:u w:val="single"/>
        </w:rPr>
        <w:t>，属于</w:t>
      </w:r>
      <w:r>
        <w:rPr>
          <w:rFonts w:hint="eastAsia" w:ascii="宋体" w:hAnsi="宋体" w:eastAsia="宋体" w:cs="宋体"/>
          <w:iCs/>
          <w:color w:val="auto"/>
          <w:sz w:val="21"/>
          <w:szCs w:val="21"/>
          <w:highlight w:val="none"/>
          <w:u w:val="single"/>
        </w:rPr>
        <w:t>（中型企业、小型企业、微型企业）</w:t>
      </w:r>
      <w:r>
        <w:rPr>
          <w:rFonts w:hint="eastAsia" w:ascii="宋体" w:hAnsi="宋体" w:eastAsia="宋体" w:cs="宋体"/>
          <w:color w:val="auto"/>
          <w:sz w:val="21"/>
          <w:szCs w:val="21"/>
          <w:highlight w:val="none"/>
          <w:u w:val="single"/>
        </w:rPr>
        <w:t>；</w:t>
      </w:r>
    </w:p>
    <w:p w14:paraId="463341D8">
      <w:pPr>
        <w:pStyle w:val="56"/>
        <w:keepNext/>
        <w:numPr>
          <w:ilvl w:val="0"/>
          <w:numId w:val="8"/>
        </w:numPr>
        <w:autoSpaceDE w:val="0"/>
        <w:autoSpaceDN w:val="0"/>
        <w:spacing w:before="94" w:line="360" w:lineRule="auto"/>
        <w:ind w:left="5" w:right="236" w:firstLine="415" w:firstLineChars="0"/>
        <w:rPr>
          <w:rFonts w:hint="eastAsia" w:ascii="宋体" w:hAnsi="宋体" w:eastAsia="宋体" w:cs="宋体"/>
          <w:color w:val="auto"/>
          <w:sz w:val="21"/>
          <w:szCs w:val="21"/>
          <w:highlight w:val="none"/>
          <w:u w:val="single"/>
        </w:rPr>
      </w:pPr>
      <w:r>
        <w:rPr>
          <w:rFonts w:hint="eastAsia" w:ascii="宋体" w:hAnsi="宋体" w:eastAsia="宋体" w:cs="宋体"/>
          <w:iCs/>
          <w:color w:val="auto"/>
          <w:sz w:val="21"/>
          <w:szCs w:val="21"/>
          <w:highlight w:val="none"/>
          <w:u w:val="single"/>
        </w:rPr>
        <w:t>（标的名称）</w:t>
      </w:r>
      <w:r>
        <w:rPr>
          <w:rFonts w:hint="eastAsia" w:ascii="宋体" w:hAnsi="宋体" w:eastAsia="宋体" w:cs="宋体"/>
          <w:color w:val="auto"/>
          <w:sz w:val="21"/>
          <w:szCs w:val="21"/>
          <w:highlight w:val="none"/>
          <w:u w:val="single"/>
        </w:rPr>
        <w:t>，属于</w:t>
      </w:r>
      <w:r>
        <w:rPr>
          <w:rFonts w:hint="eastAsia" w:ascii="宋体" w:hAnsi="宋体" w:eastAsia="宋体" w:cs="宋体"/>
          <w:iCs/>
          <w:color w:val="auto"/>
          <w:sz w:val="21"/>
          <w:szCs w:val="21"/>
          <w:highlight w:val="none"/>
          <w:u w:val="single"/>
        </w:rPr>
        <w:t>（采购文件中明确的所属行业）</w:t>
      </w:r>
      <w:r>
        <w:rPr>
          <w:rFonts w:hint="eastAsia" w:ascii="宋体" w:hAnsi="宋体" w:eastAsia="宋体" w:cs="宋体"/>
          <w:color w:val="auto"/>
          <w:sz w:val="21"/>
          <w:szCs w:val="21"/>
          <w:highlight w:val="none"/>
          <w:u w:val="single"/>
        </w:rPr>
        <w:t>；           承建（承接）企业为</w:t>
      </w:r>
      <w:r>
        <w:rPr>
          <w:rFonts w:hint="eastAsia" w:ascii="宋体" w:hAnsi="宋体" w:eastAsia="宋体" w:cs="宋体"/>
          <w:iCs/>
          <w:color w:val="auto"/>
          <w:sz w:val="21"/>
          <w:szCs w:val="21"/>
          <w:highlight w:val="none"/>
          <w:u w:val="single"/>
        </w:rPr>
        <w:t>（企业名称）</w:t>
      </w:r>
      <w:r>
        <w:rPr>
          <w:rFonts w:hint="eastAsia" w:ascii="宋体" w:hAnsi="宋体" w:eastAsia="宋体" w:cs="宋体"/>
          <w:color w:val="auto"/>
          <w:sz w:val="21"/>
          <w:szCs w:val="21"/>
          <w:highlight w:val="none"/>
          <w:u w:val="single"/>
        </w:rPr>
        <w:t xml:space="preserve">，从业人员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人，营业收入为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万元，资产总额为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万元，属于</w:t>
      </w:r>
      <w:r>
        <w:rPr>
          <w:rFonts w:hint="eastAsia" w:ascii="宋体" w:hAnsi="宋体" w:eastAsia="宋体" w:cs="宋体"/>
          <w:iCs/>
          <w:color w:val="auto"/>
          <w:sz w:val="21"/>
          <w:szCs w:val="21"/>
          <w:highlight w:val="none"/>
          <w:u w:val="single"/>
        </w:rPr>
        <w:t>（中型企业、小型企业、微型企业）</w:t>
      </w:r>
      <w:r>
        <w:rPr>
          <w:rFonts w:hint="eastAsia" w:ascii="宋体" w:hAnsi="宋体" w:eastAsia="宋体" w:cs="宋体"/>
          <w:color w:val="auto"/>
          <w:sz w:val="21"/>
          <w:szCs w:val="21"/>
          <w:highlight w:val="none"/>
          <w:u w:val="single"/>
        </w:rPr>
        <w:t>；</w:t>
      </w:r>
    </w:p>
    <w:p w14:paraId="3242A161">
      <w:pPr>
        <w:pStyle w:val="13"/>
        <w:keepNext/>
        <w:spacing w:before="11" w:line="360" w:lineRule="auto"/>
        <w:ind w:left="8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8953F67">
      <w:pPr>
        <w:pStyle w:val="13"/>
        <w:keepNext/>
        <w:spacing w:before="108" w:line="360" w:lineRule="auto"/>
        <w:ind w:right="417" w:firstLine="64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71304EF7">
      <w:pPr>
        <w:pStyle w:val="13"/>
        <w:keepNext/>
        <w:spacing w:line="360" w:lineRule="auto"/>
        <w:ind w:right="375"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7CF8A498">
      <w:pPr>
        <w:pStyle w:val="13"/>
        <w:keepNext/>
        <w:spacing w:before="29" w:line="360" w:lineRule="auto"/>
        <w:ind w:left="4060" w:right="21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477FD2CA">
      <w:pPr>
        <w:pStyle w:val="13"/>
        <w:keepNext/>
        <w:spacing w:before="29" w:line="360" w:lineRule="auto"/>
        <w:ind w:left="4060" w:right="21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6A155CF2">
      <w:pPr>
        <w:widowControl/>
        <w:jc w:val="left"/>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注：从业人员、营业收入、资产总额填报上一年度数据，无上一年度数据的新成立企业可不填报。</w:t>
      </w:r>
    </w:p>
    <w:p w14:paraId="7F49D4CF">
      <w:pPr>
        <w:widowControl/>
        <w:jc w:val="left"/>
        <w:rPr>
          <w:rFonts w:hint="eastAsia" w:ascii="宋体" w:hAnsi="宋体" w:eastAsia="宋体" w:cs="宋体"/>
          <w:b/>
          <w:color w:val="auto"/>
          <w:sz w:val="24"/>
          <w:szCs w:val="24"/>
          <w:highlight w:val="none"/>
        </w:rPr>
      </w:pPr>
    </w:p>
    <w:p w14:paraId="096225C5">
      <w:pPr>
        <w:widowControl/>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1AAB883">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（2）《残疾人福利性单位声明函》格式</w:t>
      </w:r>
    </w:p>
    <w:p w14:paraId="3A4F589E">
      <w:pPr>
        <w:widowControl/>
        <w:jc w:val="left"/>
        <w:rPr>
          <w:rFonts w:hint="eastAsia" w:ascii="宋体" w:hAnsi="宋体" w:eastAsia="宋体" w:cs="宋体"/>
          <w:b/>
          <w:color w:val="auto"/>
          <w:sz w:val="24"/>
          <w:szCs w:val="24"/>
          <w:highlight w:val="none"/>
        </w:rPr>
      </w:pPr>
    </w:p>
    <w:p w14:paraId="61420B14">
      <w:pPr>
        <w:spacing w:line="588" w:lineRule="exact"/>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残疾人福利性单位声明函</w:t>
      </w:r>
    </w:p>
    <w:p w14:paraId="14E14560">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（不属于残疾人福利性单位的无需填写）</w:t>
      </w:r>
    </w:p>
    <w:p w14:paraId="36F4DD7E">
      <w:pPr>
        <w:widowControl/>
        <w:jc w:val="left"/>
        <w:rPr>
          <w:rFonts w:hint="eastAsia" w:ascii="宋体" w:hAnsi="宋体" w:eastAsia="宋体" w:cs="宋体"/>
          <w:b/>
          <w:color w:val="auto"/>
          <w:sz w:val="24"/>
          <w:szCs w:val="24"/>
          <w:highlight w:val="none"/>
        </w:rPr>
      </w:pPr>
    </w:p>
    <w:p w14:paraId="6A7752BB">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w:t>
      </w:r>
    </w:p>
    <w:p w14:paraId="6D52B734">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5A2B6FB">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3126DDAD">
      <w:pPr>
        <w:widowControl/>
        <w:spacing w:line="360" w:lineRule="auto"/>
        <w:ind w:firstLine="420" w:firstLineChars="200"/>
        <w:jc w:val="left"/>
        <w:rPr>
          <w:rFonts w:hint="eastAsia" w:ascii="宋体" w:hAnsi="宋体" w:eastAsia="宋体" w:cs="宋体"/>
          <w:color w:val="auto"/>
          <w:sz w:val="21"/>
          <w:szCs w:val="21"/>
          <w:highlight w:val="none"/>
        </w:rPr>
      </w:pPr>
    </w:p>
    <w:p w14:paraId="4AC4F711">
      <w:pPr>
        <w:widowControl/>
        <w:spacing w:line="360" w:lineRule="auto"/>
        <w:ind w:firstLine="420" w:firstLineChars="200"/>
        <w:jc w:val="left"/>
        <w:rPr>
          <w:rFonts w:hint="eastAsia" w:ascii="宋体" w:hAnsi="宋体" w:eastAsia="宋体" w:cs="宋体"/>
          <w:color w:val="auto"/>
          <w:sz w:val="21"/>
          <w:szCs w:val="21"/>
          <w:highlight w:val="none"/>
        </w:rPr>
      </w:pPr>
    </w:p>
    <w:p w14:paraId="2EE2FA96">
      <w:pPr>
        <w:widowControl/>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注：请单独列出所供残疾人福利性单位制造的货物产品或提供的服务或实施的工程的单价和总价。</w:t>
      </w:r>
    </w:p>
    <w:p w14:paraId="2E80B4CE">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（若磋商响应文件中无上述材料，则在评审时不考虑对该小、微企业的相关优惠。）</w:t>
      </w:r>
    </w:p>
    <w:p w14:paraId="626AC9A9">
      <w:pPr>
        <w:widowControl/>
        <w:spacing w:line="360" w:lineRule="auto"/>
        <w:ind w:firstLine="420" w:firstLineChars="200"/>
        <w:jc w:val="left"/>
        <w:rPr>
          <w:rFonts w:hint="eastAsia" w:ascii="宋体" w:hAnsi="宋体" w:eastAsia="宋体" w:cs="宋体"/>
          <w:color w:val="auto"/>
          <w:sz w:val="21"/>
          <w:szCs w:val="21"/>
          <w:highlight w:val="none"/>
        </w:rPr>
      </w:pPr>
    </w:p>
    <w:p w14:paraId="3BA26B3E">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磋商申请人（盖单位公章）</w:t>
      </w:r>
      <w:r>
        <w:rPr>
          <w:rFonts w:hint="eastAsia" w:ascii="宋体" w:hAnsi="宋体" w:eastAsia="宋体" w:cs="宋体"/>
          <w:color w:val="auto"/>
          <w:sz w:val="21"/>
          <w:szCs w:val="21"/>
          <w:highlight w:val="none"/>
        </w:rPr>
        <w:t>：</w:t>
      </w:r>
    </w:p>
    <w:p w14:paraId="479735E2">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01C6167C">
      <w:pPr>
        <w:widowControl/>
        <w:spacing w:line="360" w:lineRule="auto"/>
        <w:ind w:firstLine="420" w:firstLineChars="200"/>
        <w:jc w:val="left"/>
        <w:rPr>
          <w:rFonts w:hint="eastAsia" w:ascii="宋体" w:hAnsi="宋体" w:eastAsia="宋体" w:cs="宋体"/>
          <w:color w:val="auto"/>
          <w:sz w:val="21"/>
          <w:szCs w:val="21"/>
          <w:highlight w:val="none"/>
        </w:rPr>
      </w:pPr>
    </w:p>
    <w:p w14:paraId="28903B08">
      <w:pPr>
        <w:widowControl/>
        <w:spacing w:line="360" w:lineRule="auto"/>
        <w:ind w:firstLine="420" w:firstLineChars="200"/>
        <w:jc w:val="left"/>
        <w:rPr>
          <w:rFonts w:hint="eastAsia" w:ascii="宋体" w:hAnsi="宋体" w:eastAsia="宋体" w:cs="宋体"/>
          <w:color w:val="auto"/>
          <w:sz w:val="21"/>
          <w:szCs w:val="21"/>
          <w:highlight w:val="none"/>
        </w:rPr>
      </w:pPr>
    </w:p>
    <w:p w14:paraId="06450D5D">
      <w:pPr>
        <w:widowControl/>
        <w:spacing w:line="360" w:lineRule="auto"/>
        <w:ind w:firstLine="42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符合条件的残疾人福利性单位在参加政府采购活动时，应当提供本通知规定的《残疾人福利性单位声明函》，并对声明的真实性负责。采购代理机构在随成交、成交结果同时公告其《残疾人福利性单位声明函》，接受社会监督。磋商申请人提供的《残疾人福利性单位声明函》与事实不符的，依照</w:t>
      </w:r>
      <w:r>
        <w:rPr>
          <w:rFonts w:hint="eastAsia" w:ascii="宋体" w:hAnsi="宋体" w:eastAsia="宋体" w:cs="宋体"/>
          <w:color w:val="auto"/>
          <w:sz w:val="21"/>
          <w:szCs w:val="21"/>
          <w:highlight w:val="none"/>
          <w:lang w:eastAsia="zh-CN"/>
        </w:rPr>
        <w:t>《中华人民共和国政府采购法》</w:t>
      </w:r>
      <w:r>
        <w:rPr>
          <w:rFonts w:hint="eastAsia" w:ascii="宋体" w:hAnsi="宋体" w:eastAsia="宋体" w:cs="宋体"/>
          <w:color w:val="auto"/>
          <w:sz w:val="21"/>
          <w:szCs w:val="21"/>
          <w:highlight w:val="none"/>
        </w:rPr>
        <w:t>第七十七条第一款的规定追究法律责任。</w:t>
      </w:r>
    </w:p>
    <w:p w14:paraId="32BA1E3A">
      <w:pPr>
        <w:widowControl/>
        <w:jc w:val="left"/>
        <w:rPr>
          <w:rFonts w:hint="eastAsia" w:ascii="宋体" w:hAnsi="宋体" w:eastAsia="宋体" w:cs="宋体"/>
          <w:b/>
          <w:color w:val="auto"/>
          <w:sz w:val="24"/>
          <w:szCs w:val="24"/>
          <w:highlight w:val="none"/>
        </w:rPr>
      </w:pPr>
    </w:p>
    <w:p w14:paraId="2B94A856">
      <w:pPr>
        <w:widowControl/>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1B22EF70">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（3）《监狱企业声明函》格式</w:t>
      </w:r>
    </w:p>
    <w:p w14:paraId="340350F2">
      <w:pPr>
        <w:spacing w:line="588" w:lineRule="exact"/>
        <w:jc w:val="center"/>
        <w:rPr>
          <w:rFonts w:hint="eastAsia" w:ascii="宋体" w:hAnsi="宋体" w:eastAsia="宋体" w:cs="宋体"/>
          <w:b/>
          <w:color w:val="auto"/>
          <w:spacing w:val="6"/>
          <w:sz w:val="32"/>
          <w:szCs w:val="32"/>
          <w:highlight w:val="none"/>
        </w:rPr>
      </w:pPr>
    </w:p>
    <w:p w14:paraId="0E5C46B3">
      <w:pPr>
        <w:spacing w:line="588" w:lineRule="exact"/>
        <w:jc w:val="center"/>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监狱企业声明函</w:t>
      </w:r>
    </w:p>
    <w:p w14:paraId="3A7B7685">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（不属于监狱企业的无需填写）</w:t>
      </w:r>
    </w:p>
    <w:p w14:paraId="51255614">
      <w:pPr>
        <w:widowControl/>
        <w:spacing w:line="360" w:lineRule="auto"/>
        <w:ind w:firstLine="480" w:firstLineChars="200"/>
        <w:jc w:val="left"/>
        <w:rPr>
          <w:rFonts w:hint="eastAsia" w:ascii="宋体" w:hAnsi="宋体" w:eastAsia="宋体" w:cs="宋体"/>
          <w:color w:val="auto"/>
          <w:sz w:val="24"/>
          <w:szCs w:val="24"/>
          <w:highlight w:val="none"/>
        </w:rPr>
      </w:pPr>
    </w:p>
    <w:p w14:paraId="1DBFD6E3">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公司郑重声明，根据《关于政府采购支持监狱企业发展有关问题的通知》 （财库</w:t>
      </w:r>
      <w:r>
        <w:rPr>
          <w:rFonts w:hint="eastAsia" w:ascii="宋体" w:hAnsi="宋体" w:eastAsia="宋体" w:cs="宋体"/>
          <w:color w:val="auto"/>
          <w:sz w:val="21"/>
          <w:szCs w:val="21"/>
          <w:highlight w:val="none"/>
          <w:lang w:eastAsia="zh-CN"/>
        </w:rPr>
        <w:t>〔2014〕</w:t>
      </w:r>
      <w:r>
        <w:rPr>
          <w:rFonts w:hint="eastAsia" w:ascii="宋体" w:hAnsi="宋体" w:eastAsia="宋体" w:cs="宋体"/>
          <w:color w:val="auto"/>
          <w:sz w:val="21"/>
          <w:szCs w:val="21"/>
          <w:highlight w:val="none"/>
        </w:rPr>
        <w:t>68 号）的规定，本公司为监狱企业。</w:t>
      </w:r>
    </w:p>
    <w:p w14:paraId="008D687E">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根据上述标准，我公司属于监狱企业的理由为：   。</w:t>
      </w:r>
    </w:p>
    <w:p w14:paraId="2BBEBF92">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本公司为参加 </w:t>
      </w:r>
      <w:r>
        <w:rPr>
          <w:rFonts w:hint="eastAsia" w:ascii="宋体" w:hAnsi="宋体" w:eastAsia="宋体" w:cs="宋体"/>
          <w:color w:val="auto"/>
          <w:sz w:val="21"/>
          <w:szCs w:val="21"/>
          <w:highlight w:val="none"/>
          <w:u w:val="single"/>
        </w:rPr>
        <w:t>（项目名称） （</w:t>
      </w:r>
      <w:r>
        <w:rPr>
          <w:rFonts w:hint="eastAsia" w:ascii="宋体" w:hAnsi="宋体" w:eastAsia="宋体" w:cs="宋体"/>
          <w:color w:val="auto"/>
          <w:sz w:val="21"/>
          <w:szCs w:val="21"/>
          <w:highlight w:val="none"/>
          <w:u w:val="single"/>
          <w:lang w:val="en-US" w:eastAsia="zh-CN"/>
        </w:rPr>
        <w:t>项目编号</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采购活动提供本企业（填写制造的货物，</w:t>
      </w:r>
    </w:p>
    <w:p w14:paraId="7D39A6CD">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由本企业承担工程、提供服务）。</w:t>
      </w:r>
    </w:p>
    <w:p w14:paraId="2A33B3ED">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本条所称货物不包括使用大型企业注册商标的货物和服务。</w:t>
      </w:r>
    </w:p>
    <w:p w14:paraId="646D8BC3">
      <w:pPr>
        <w:widowControl/>
        <w:spacing w:line="360" w:lineRule="auto"/>
        <w:ind w:firstLine="420" w:firstLineChars="200"/>
        <w:jc w:val="left"/>
        <w:rPr>
          <w:rFonts w:hint="eastAsia" w:ascii="宋体" w:hAnsi="宋体" w:eastAsia="宋体" w:cs="宋体"/>
          <w:color w:val="auto"/>
          <w:sz w:val="21"/>
          <w:szCs w:val="21"/>
          <w:highlight w:val="none"/>
        </w:rPr>
      </w:pPr>
    </w:p>
    <w:p w14:paraId="63561498">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本公司对上述声明的真实性负责。如有虚假，将依法承担相应责任</w:t>
      </w:r>
    </w:p>
    <w:p w14:paraId="3E28D79D">
      <w:pPr>
        <w:widowControl/>
        <w:spacing w:line="360" w:lineRule="auto"/>
        <w:ind w:firstLine="420" w:firstLineChars="200"/>
        <w:jc w:val="left"/>
        <w:rPr>
          <w:rFonts w:hint="eastAsia" w:ascii="宋体" w:hAnsi="宋体" w:eastAsia="宋体" w:cs="宋体"/>
          <w:color w:val="auto"/>
          <w:sz w:val="21"/>
          <w:szCs w:val="21"/>
          <w:highlight w:val="none"/>
        </w:rPr>
      </w:pPr>
    </w:p>
    <w:p w14:paraId="3655775A">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磋商申请人（盖单位公章）</w:t>
      </w:r>
      <w:r>
        <w:rPr>
          <w:rFonts w:hint="eastAsia" w:ascii="宋体" w:hAnsi="宋体" w:eastAsia="宋体" w:cs="宋体"/>
          <w:color w:val="auto"/>
          <w:sz w:val="21"/>
          <w:szCs w:val="21"/>
          <w:highlight w:val="none"/>
        </w:rPr>
        <w:t>：</w:t>
      </w:r>
    </w:p>
    <w:p w14:paraId="64090703">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48F4F3DA">
      <w:pPr>
        <w:widowControl/>
        <w:spacing w:line="360" w:lineRule="auto"/>
        <w:ind w:firstLine="420" w:firstLineChars="200"/>
        <w:jc w:val="left"/>
        <w:rPr>
          <w:rFonts w:hint="eastAsia" w:ascii="宋体" w:hAnsi="宋体" w:eastAsia="宋体" w:cs="宋体"/>
          <w:color w:val="auto"/>
          <w:sz w:val="21"/>
          <w:szCs w:val="21"/>
          <w:highlight w:val="none"/>
        </w:rPr>
      </w:pPr>
    </w:p>
    <w:p w14:paraId="63823A36">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B4A23E2">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否则在评审时将不考虑对该监狱企业的相关优惠。</w:t>
      </w:r>
    </w:p>
    <w:p w14:paraId="150D56E6">
      <w:pPr>
        <w:pStyle w:val="16"/>
        <w:spacing w:line="480" w:lineRule="exact"/>
        <w:ind w:firstLine="575"/>
        <w:rPr>
          <w:rFonts w:hint="eastAsia" w:ascii="宋体" w:hAnsi="宋体" w:eastAsia="宋体" w:cs="宋体"/>
          <w:color w:val="auto"/>
          <w:highlight w:val="none"/>
        </w:rPr>
      </w:pPr>
      <w:r>
        <w:rPr>
          <w:rFonts w:hint="eastAsia" w:ascii="宋体" w:hAnsi="宋体" w:eastAsia="宋体" w:cs="宋体"/>
          <w:color w:val="auto"/>
          <w:sz w:val="21"/>
          <w:szCs w:val="21"/>
          <w:highlight w:val="none"/>
        </w:rPr>
        <w:t>监狱企业视同小型、微型企业，享受评审中价格扣除等政府采购促进中小企业发展的政府采购政策。</w:t>
      </w:r>
    </w:p>
    <w:p w14:paraId="61772C06">
      <w:pPr>
        <w:widowControl/>
        <w:jc w:val="left"/>
        <w:rPr>
          <w:rFonts w:hint="eastAsia" w:ascii="宋体" w:hAnsi="宋体" w:eastAsia="宋体" w:cs="宋体"/>
          <w:color w:val="auto"/>
          <w:highlight w:val="none"/>
        </w:rPr>
      </w:pPr>
    </w:p>
    <w:p w14:paraId="41692CD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9BD3486">
      <w:pPr>
        <w:pStyle w:val="13"/>
        <w:rPr>
          <w:rFonts w:hint="eastAsia" w:ascii="宋体" w:hAnsi="宋体" w:eastAsia="宋体" w:cs="宋体"/>
          <w:color w:val="auto"/>
          <w:highlight w:val="none"/>
        </w:rPr>
        <w:sectPr>
          <w:footerReference r:id="rId8" w:type="default"/>
          <w:pgSz w:w="11906" w:h="16838"/>
          <w:pgMar w:top="936" w:right="892" w:bottom="1089" w:left="1134" w:header="851" w:footer="992" w:gutter="0"/>
          <w:pgNumType w:fmt="decimal"/>
          <w:cols w:space="425" w:num="1"/>
          <w:docGrid w:type="lines" w:linePitch="312" w:charSpace="0"/>
        </w:sectPr>
      </w:pPr>
    </w:p>
    <w:p w14:paraId="14C583D3">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磋商申请人认为需要提供的其他报价材料</w:t>
      </w:r>
      <w:r>
        <w:rPr>
          <w:rFonts w:hint="eastAsia" w:ascii="宋体" w:hAnsi="宋体" w:eastAsia="宋体" w:cs="宋体"/>
          <w:b/>
          <w:bCs/>
          <w:color w:val="auto"/>
          <w:sz w:val="28"/>
          <w:szCs w:val="28"/>
          <w:highlight w:val="none"/>
          <w:lang w:val="en-US" w:eastAsia="zh-CN"/>
        </w:rPr>
        <w:br w:type="page"/>
      </w:r>
    </w:p>
    <w:p w14:paraId="73EBF78B">
      <w:pPr>
        <w:pStyle w:val="48"/>
        <w:numPr>
          <w:ilvl w:val="0"/>
          <w:numId w:val="0"/>
        </w:numPr>
        <w:spacing w:before="156"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第三部分  </w:t>
      </w:r>
      <w:r>
        <w:rPr>
          <w:rFonts w:hint="eastAsia" w:ascii="宋体" w:hAnsi="宋体" w:eastAsia="宋体" w:cs="宋体"/>
          <w:b/>
          <w:bCs/>
          <w:color w:val="auto"/>
          <w:sz w:val="28"/>
          <w:szCs w:val="28"/>
          <w:highlight w:val="none"/>
        </w:rPr>
        <w:t>商务及技术响应文件</w:t>
      </w:r>
    </w:p>
    <w:p w14:paraId="78D6975C">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（一）商务文件</w:t>
      </w:r>
    </w:p>
    <w:p w14:paraId="61F50E3B">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格式1：实质性</w:t>
      </w:r>
      <w:r>
        <w:rPr>
          <w:rFonts w:hint="eastAsia" w:ascii="宋体" w:hAnsi="宋体" w:eastAsia="宋体" w:cs="宋体"/>
          <w:b/>
          <w:bCs/>
          <w:color w:val="auto"/>
          <w:sz w:val="28"/>
          <w:szCs w:val="28"/>
          <w:highlight w:val="none"/>
        </w:rPr>
        <w:t>商务条款偏离表</w:t>
      </w:r>
    </w:p>
    <w:p w14:paraId="4E0E5765">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p>
    <w:tbl>
      <w:tblPr>
        <w:tblStyle w:val="27"/>
        <w:tblW w:w="9674"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246"/>
        <w:gridCol w:w="2813"/>
        <w:gridCol w:w="2487"/>
        <w:gridCol w:w="1476"/>
      </w:tblGrid>
      <w:tr w14:paraId="31B12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652" w:type="dxa"/>
            <w:noWrap w:val="0"/>
            <w:vAlign w:val="center"/>
          </w:tcPr>
          <w:p w14:paraId="7F12316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序号</w:t>
            </w:r>
          </w:p>
        </w:tc>
        <w:tc>
          <w:tcPr>
            <w:tcW w:w="2246" w:type="dxa"/>
            <w:noWrap w:val="0"/>
            <w:vAlign w:val="center"/>
          </w:tcPr>
          <w:p w14:paraId="09A6D13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竞争性磋商</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val="en-US" w:eastAsia="zh-CN"/>
              </w:rPr>
              <w:t>实质性</w:t>
            </w:r>
            <w:r>
              <w:rPr>
                <w:rFonts w:hint="eastAsia" w:ascii="宋体" w:hAnsi="宋体" w:eastAsia="宋体" w:cs="宋体"/>
                <w:color w:val="auto"/>
                <w:szCs w:val="21"/>
                <w:highlight w:val="none"/>
              </w:rPr>
              <w:t>商务条款</w:t>
            </w:r>
          </w:p>
        </w:tc>
        <w:tc>
          <w:tcPr>
            <w:tcW w:w="2813" w:type="dxa"/>
            <w:noWrap w:val="0"/>
            <w:vAlign w:val="center"/>
          </w:tcPr>
          <w:p w14:paraId="5C2F831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磋商响应</w:t>
            </w:r>
            <w:r>
              <w:rPr>
                <w:rFonts w:hint="eastAsia" w:ascii="宋体" w:hAnsi="宋体" w:eastAsia="宋体" w:cs="宋体"/>
                <w:color w:val="auto"/>
                <w:szCs w:val="21"/>
                <w:highlight w:val="none"/>
              </w:rPr>
              <w:t>文件</w:t>
            </w:r>
            <w:r>
              <w:rPr>
                <w:rFonts w:hint="eastAsia" w:ascii="宋体" w:hAnsi="宋体" w:eastAsia="宋体" w:cs="宋体"/>
                <w:color w:val="auto"/>
                <w:szCs w:val="21"/>
                <w:highlight w:val="none"/>
                <w:lang w:val="en-US" w:eastAsia="zh-CN"/>
              </w:rPr>
              <w:t>实质性</w:t>
            </w:r>
            <w:r>
              <w:rPr>
                <w:rFonts w:hint="eastAsia" w:ascii="宋体" w:hAnsi="宋体" w:eastAsia="宋体" w:cs="宋体"/>
                <w:color w:val="auto"/>
                <w:szCs w:val="21"/>
                <w:highlight w:val="none"/>
              </w:rPr>
              <w:t>商务条款</w:t>
            </w:r>
            <w:r>
              <w:rPr>
                <w:rFonts w:hint="eastAsia" w:ascii="宋体" w:hAnsi="宋体" w:eastAsia="宋体" w:cs="宋体"/>
                <w:color w:val="auto"/>
                <w:sz w:val="21"/>
                <w:szCs w:val="21"/>
                <w:highlight w:val="none"/>
              </w:rPr>
              <w:t>响应情况</w:t>
            </w:r>
          </w:p>
        </w:tc>
        <w:tc>
          <w:tcPr>
            <w:tcW w:w="2487" w:type="dxa"/>
            <w:noWrap w:val="0"/>
            <w:vAlign w:val="center"/>
          </w:tcPr>
          <w:p w14:paraId="31B975C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相关佐证材料或承诺索引（注明对应条款中在比选响应标文件的页码）</w:t>
            </w:r>
          </w:p>
        </w:tc>
        <w:tc>
          <w:tcPr>
            <w:tcW w:w="1476" w:type="dxa"/>
            <w:noWrap w:val="0"/>
            <w:vAlign w:val="center"/>
          </w:tcPr>
          <w:p w14:paraId="12DBC1C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条款偏离情况</w:t>
            </w:r>
          </w:p>
        </w:tc>
      </w:tr>
      <w:tr w14:paraId="4A8D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noWrap w:val="0"/>
            <w:vAlign w:val="top"/>
          </w:tcPr>
          <w:p w14:paraId="4F5C75E3">
            <w:pPr>
              <w:snapToGrid w:val="0"/>
              <w:spacing w:line="800" w:lineRule="atLeast"/>
              <w:rPr>
                <w:rFonts w:hint="eastAsia" w:ascii="宋体" w:hAnsi="宋体" w:eastAsia="宋体" w:cs="宋体"/>
                <w:color w:val="auto"/>
                <w:sz w:val="21"/>
                <w:szCs w:val="21"/>
                <w:highlight w:val="none"/>
              </w:rPr>
            </w:pPr>
          </w:p>
        </w:tc>
        <w:tc>
          <w:tcPr>
            <w:tcW w:w="2246" w:type="dxa"/>
            <w:noWrap w:val="0"/>
            <w:vAlign w:val="top"/>
          </w:tcPr>
          <w:p w14:paraId="021B89A9">
            <w:pPr>
              <w:snapToGrid w:val="0"/>
              <w:spacing w:line="800" w:lineRule="atLeast"/>
              <w:rPr>
                <w:rFonts w:hint="eastAsia" w:ascii="宋体" w:hAnsi="宋体" w:eastAsia="宋体" w:cs="宋体"/>
                <w:color w:val="auto"/>
                <w:sz w:val="21"/>
                <w:szCs w:val="21"/>
                <w:highlight w:val="none"/>
              </w:rPr>
            </w:pPr>
          </w:p>
        </w:tc>
        <w:tc>
          <w:tcPr>
            <w:tcW w:w="2813" w:type="dxa"/>
            <w:noWrap w:val="0"/>
            <w:vAlign w:val="top"/>
          </w:tcPr>
          <w:p w14:paraId="27910956">
            <w:pPr>
              <w:snapToGrid w:val="0"/>
              <w:spacing w:line="800" w:lineRule="atLeast"/>
              <w:rPr>
                <w:rFonts w:hint="eastAsia" w:ascii="宋体" w:hAnsi="宋体" w:eastAsia="宋体" w:cs="宋体"/>
                <w:color w:val="auto"/>
                <w:sz w:val="21"/>
                <w:szCs w:val="21"/>
                <w:highlight w:val="none"/>
              </w:rPr>
            </w:pPr>
          </w:p>
        </w:tc>
        <w:tc>
          <w:tcPr>
            <w:tcW w:w="2487" w:type="dxa"/>
            <w:noWrap w:val="0"/>
            <w:vAlign w:val="top"/>
          </w:tcPr>
          <w:p w14:paraId="2CF05F92">
            <w:pPr>
              <w:snapToGrid w:val="0"/>
              <w:spacing w:line="800" w:lineRule="atLeast"/>
              <w:rPr>
                <w:rFonts w:hint="eastAsia" w:ascii="宋体" w:hAnsi="宋体" w:eastAsia="宋体" w:cs="宋体"/>
                <w:color w:val="auto"/>
                <w:sz w:val="21"/>
                <w:szCs w:val="21"/>
                <w:highlight w:val="none"/>
              </w:rPr>
            </w:pPr>
          </w:p>
        </w:tc>
        <w:tc>
          <w:tcPr>
            <w:tcW w:w="1476" w:type="dxa"/>
            <w:noWrap w:val="0"/>
            <w:vAlign w:val="top"/>
          </w:tcPr>
          <w:p w14:paraId="602C1041">
            <w:pPr>
              <w:snapToGrid w:val="0"/>
              <w:spacing w:line="800" w:lineRule="atLeast"/>
              <w:rPr>
                <w:rFonts w:hint="eastAsia" w:ascii="宋体" w:hAnsi="宋体" w:eastAsia="宋体" w:cs="宋体"/>
                <w:color w:val="auto"/>
                <w:sz w:val="21"/>
                <w:szCs w:val="21"/>
                <w:highlight w:val="none"/>
              </w:rPr>
            </w:pPr>
          </w:p>
        </w:tc>
      </w:tr>
      <w:tr w14:paraId="2A3A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52" w:type="dxa"/>
            <w:noWrap w:val="0"/>
            <w:vAlign w:val="top"/>
          </w:tcPr>
          <w:p w14:paraId="16992F0E">
            <w:pPr>
              <w:snapToGrid w:val="0"/>
              <w:spacing w:line="800" w:lineRule="atLeast"/>
              <w:rPr>
                <w:rFonts w:hint="eastAsia" w:ascii="宋体" w:hAnsi="宋体" w:eastAsia="宋体" w:cs="宋体"/>
                <w:color w:val="auto"/>
                <w:sz w:val="21"/>
                <w:szCs w:val="21"/>
                <w:highlight w:val="none"/>
              </w:rPr>
            </w:pPr>
          </w:p>
        </w:tc>
        <w:tc>
          <w:tcPr>
            <w:tcW w:w="2246" w:type="dxa"/>
            <w:noWrap w:val="0"/>
            <w:vAlign w:val="top"/>
          </w:tcPr>
          <w:p w14:paraId="3EB194C9">
            <w:pPr>
              <w:snapToGrid w:val="0"/>
              <w:spacing w:line="800" w:lineRule="atLeast"/>
              <w:rPr>
                <w:rFonts w:hint="eastAsia" w:ascii="宋体" w:hAnsi="宋体" w:eastAsia="宋体" w:cs="宋体"/>
                <w:color w:val="auto"/>
                <w:sz w:val="21"/>
                <w:szCs w:val="21"/>
                <w:highlight w:val="none"/>
              </w:rPr>
            </w:pPr>
          </w:p>
        </w:tc>
        <w:tc>
          <w:tcPr>
            <w:tcW w:w="2813" w:type="dxa"/>
            <w:noWrap w:val="0"/>
            <w:vAlign w:val="top"/>
          </w:tcPr>
          <w:p w14:paraId="454D430D">
            <w:pPr>
              <w:snapToGrid w:val="0"/>
              <w:spacing w:line="800" w:lineRule="atLeast"/>
              <w:rPr>
                <w:rFonts w:hint="eastAsia" w:ascii="宋体" w:hAnsi="宋体" w:eastAsia="宋体" w:cs="宋体"/>
                <w:color w:val="auto"/>
                <w:sz w:val="21"/>
                <w:szCs w:val="21"/>
                <w:highlight w:val="none"/>
              </w:rPr>
            </w:pPr>
          </w:p>
        </w:tc>
        <w:tc>
          <w:tcPr>
            <w:tcW w:w="2487" w:type="dxa"/>
            <w:noWrap w:val="0"/>
            <w:vAlign w:val="top"/>
          </w:tcPr>
          <w:p w14:paraId="15737C35">
            <w:pPr>
              <w:snapToGrid w:val="0"/>
              <w:spacing w:line="800" w:lineRule="atLeast"/>
              <w:rPr>
                <w:rFonts w:hint="eastAsia" w:ascii="宋体" w:hAnsi="宋体" w:eastAsia="宋体" w:cs="宋体"/>
                <w:color w:val="auto"/>
                <w:sz w:val="21"/>
                <w:szCs w:val="21"/>
                <w:highlight w:val="none"/>
              </w:rPr>
            </w:pPr>
          </w:p>
        </w:tc>
        <w:tc>
          <w:tcPr>
            <w:tcW w:w="1476" w:type="dxa"/>
            <w:noWrap w:val="0"/>
            <w:vAlign w:val="top"/>
          </w:tcPr>
          <w:p w14:paraId="4A0686AA">
            <w:pPr>
              <w:snapToGrid w:val="0"/>
              <w:spacing w:line="800" w:lineRule="atLeast"/>
              <w:rPr>
                <w:rFonts w:hint="eastAsia" w:ascii="宋体" w:hAnsi="宋体" w:eastAsia="宋体" w:cs="宋体"/>
                <w:color w:val="auto"/>
                <w:sz w:val="21"/>
                <w:szCs w:val="21"/>
                <w:highlight w:val="none"/>
              </w:rPr>
            </w:pPr>
          </w:p>
        </w:tc>
      </w:tr>
      <w:tr w14:paraId="1CC5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52" w:type="dxa"/>
            <w:noWrap w:val="0"/>
            <w:vAlign w:val="top"/>
          </w:tcPr>
          <w:p w14:paraId="7394C05C">
            <w:pPr>
              <w:snapToGrid w:val="0"/>
              <w:spacing w:line="800" w:lineRule="atLeast"/>
              <w:rPr>
                <w:rFonts w:hint="eastAsia" w:ascii="宋体" w:hAnsi="宋体" w:eastAsia="宋体" w:cs="宋体"/>
                <w:color w:val="auto"/>
                <w:sz w:val="21"/>
                <w:szCs w:val="21"/>
                <w:highlight w:val="none"/>
              </w:rPr>
            </w:pPr>
          </w:p>
        </w:tc>
        <w:tc>
          <w:tcPr>
            <w:tcW w:w="2246" w:type="dxa"/>
            <w:noWrap w:val="0"/>
            <w:vAlign w:val="top"/>
          </w:tcPr>
          <w:p w14:paraId="1C32999E">
            <w:pPr>
              <w:snapToGrid w:val="0"/>
              <w:spacing w:line="800" w:lineRule="atLeast"/>
              <w:rPr>
                <w:rFonts w:hint="eastAsia" w:ascii="宋体" w:hAnsi="宋体" w:eastAsia="宋体" w:cs="宋体"/>
                <w:color w:val="auto"/>
                <w:sz w:val="21"/>
                <w:szCs w:val="21"/>
                <w:highlight w:val="none"/>
              </w:rPr>
            </w:pPr>
          </w:p>
        </w:tc>
        <w:tc>
          <w:tcPr>
            <w:tcW w:w="2813" w:type="dxa"/>
            <w:noWrap w:val="0"/>
            <w:vAlign w:val="top"/>
          </w:tcPr>
          <w:p w14:paraId="01F40096">
            <w:pPr>
              <w:snapToGrid w:val="0"/>
              <w:spacing w:line="800" w:lineRule="atLeast"/>
              <w:rPr>
                <w:rFonts w:hint="eastAsia" w:ascii="宋体" w:hAnsi="宋体" w:eastAsia="宋体" w:cs="宋体"/>
                <w:color w:val="auto"/>
                <w:sz w:val="21"/>
                <w:szCs w:val="21"/>
                <w:highlight w:val="none"/>
              </w:rPr>
            </w:pPr>
          </w:p>
        </w:tc>
        <w:tc>
          <w:tcPr>
            <w:tcW w:w="2487" w:type="dxa"/>
            <w:noWrap w:val="0"/>
            <w:vAlign w:val="top"/>
          </w:tcPr>
          <w:p w14:paraId="46BEA8AB">
            <w:pPr>
              <w:snapToGrid w:val="0"/>
              <w:spacing w:line="800" w:lineRule="atLeast"/>
              <w:rPr>
                <w:rFonts w:hint="eastAsia" w:ascii="宋体" w:hAnsi="宋体" w:eastAsia="宋体" w:cs="宋体"/>
                <w:color w:val="auto"/>
                <w:sz w:val="21"/>
                <w:szCs w:val="21"/>
                <w:highlight w:val="none"/>
              </w:rPr>
            </w:pPr>
          </w:p>
        </w:tc>
        <w:tc>
          <w:tcPr>
            <w:tcW w:w="1476" w:type="dxa"/>
            <w:noWrap w:val="0"/>
            <w:vAlign w:val="top"/>
          </w:tcPr>
          <w:p w14:paraId="111F7A1C">
            <w:pPr>
              <w:snapToGrid w:val="0"/>
              <w:spacing w:line="800" w:lineRule="atLeast"/>
              <w:rPr>
                <w:rFonts w:hint="eastAsia" w:ascii="宋体" w:hAnsi="宋体" w:eastAsia="宋体" w:cs="宋体"/>
                <w:color w:val="auto"/>
                <w:sz w:val="21"/>
                <w:szCs w:val="21"/>
                <w:highlight w:val="none"/>
              </w:rPr>
            </w:pPr>
          </w:p>
        </w:tc>
      </w:tr>
    </w:tbl>
    <w:p w14:paraId="0F7913B4">
      <w:pPr>
        <w:topLinePunct/>
        <w:spacing w:line="2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1、实质性商务条款包含合同履行期限、项目服务地点、项目售后运维服务期限等非技术要求的指标</w:t>
      </w:r>
      <w:r>
        <w:rPr>
          <w:rFonts w:hint="eastAsia" w:ascii="宋体" w:hAnsi="宋体" w:eastAsia="宋体" w:cs="宋体"/>
          <w:b/>
          <w:bCs/>
          <w:color w:val="auto"/>
          <w:kern w:val="0"/>
          <w:sz w:val="21"/>
          <w:szCs w:val="21"/>
          <w:highlight w:val="none"/>
          <w:lang w:val="en-US" w:eastAsia="zh-CN"/>
        </w:rPr>
        <w:t>。</w:t>
      </w:r>
      <w:r>
        <w:rPr>
          <w:rFonts w:hint="eastAsia" w:ascii="宋体" w:hAnsi="宋体" w:eastAsia="宋体" w:cs="宋体"/>
          <w:b/>
          <w:bCs/>
          <w:color w:val="auto"/>
          <w:sz w:val="21"/>
          <w:szCs w:val="21"/>
          <w:highlight w:val="none"/>
          <w:lang w:val="en-US" w:eastAsia="zh-CN"/>
        </w:rPr>
        <w:t>2、条款偏离情况须按照磋商申请人自身情况填报无偏离、正偏离、负偏离。3、若表格不够填写，可自行扩展。</w:t>
      </w:r>
    </w:p>
    <w:p w14:paraId="017C4B75">
      <w:pPr>
        <w:widowControl/>
        <w:jc w:val="left"/>
        <w:rPr>
          <w:rFonts w:hint="eastAsia" w:ascii="宋体" w:hAnsi="宋体" w:eastAsia="宋体" w:cs="宋体"/>
          <w:b/>
          <w:bCs/>
          <w:color w:val="auto"/>
          <w:sz w:val="21"/>
          <w:szCs w:val="21"/>
          <w:highlight w:val="none"/>
        </w:rPr>
      </w:pPr>
    </w:p>
    <w:p w14:paraId="49498F37">
      <w:pPr>
        <w:spacing w:line="500" w:lineRule="exact"/>
        <w:ind w:firstLine="420" w:firstLineChars="200"/>
        <w:jc w:val="left"/>
        <w:rPr>
          <w:rFonts w:hint="eastAsia" w:ascii="宋体" w:hAnsi="宋体" w:eastAsia="宋体" w:cs="宋体"/>
          <w:color w:val="auto"/>
          <w:sz w:val="21"/>
          <w:szCs w:val="21"/>
          <w:highlight w:val="none"/>
        </w:rPr>
      </w:pPr>
    </w:p>
    <w:p w14:paraId="7D11F31E">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525DB3A7">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2A899ED2">
      <w:pPr>
        <w:spacing w:line="460" w:lineRule="exact"/>
        <w:ind w:firstLine="279" w:firstLineChars="133"/>
        <w:rPr>
          <w:rFonts w:hint="eastAsia" w:ascii="宋体" w:hAnsi="宋体" w:eastAsia="宋体" w:cs="宋体"/>
          <w:b/>
          <w:color w:val="auto"/>
          <w:sz w:val="28"/>
          <w:szCs w:val="28"/>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r>
        <w:rPr>
          <w:rFonts w:hint="eastAsia" w:ascii="宋体" w:hAnsi="宋体" w:eastAsia="宋体" w:cs="宋体"/>
          <w:b/>
          <w:color w:val="auto"/>
          <w:sz w:val="28"/>
          <w:szCs w:val="28"/>
          <w:highlight w:val="none"/>
        </w:rPr>
        <w:br w:type="page"/>
      </w:r>
    </w:p>
    <w:p w14:paraId="4C73B523">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格式2：关于拟开发设计的软件产品和提供的服务不受第三方侵权的书面承诺</w:t>
      </w:r>
    </w:p>
    <w:p w14:paraId="382194FA">
      <w:pPr>
        <w:spacing w:line="360" w:lineRule="auto"/>
        <w:jc w:val="center"/>
        <w:rPr>
          <w:rFonts w:hint="eastAsia" w:ascii="宋体" w:hAnsi="宋体" w:eastAsia="宋体" w:cs="宋体"/>
          <w:b/>
          <w:bCs/>
          <w:color w:val="auto"/>
          <w:sz w:val="28"/>
          <w:szCs w:val="28"/>
          <w:highlight w:val="none"/>
          <w:lang w:val="en-US" w:eastAsia="zh-CN"/>
        </w:rPr>
      </w:pPr>
    </w:p>
    <w:p w14:paraId="1BEDABB4">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val="0"/>
          <w:bCs w:val="0"/>
          <w:color w:val="auto"/>
          <w:sz w:val="22"/>
          <w:szCs w:val="22"/>
          <w:highlight w:val="none"/>
          <w:lang w:val="en-US" w:eastAsia="zh-CN"/>
        </w:rPr>
        <w:t>（格式自拟，并加盖单位公章确认）</w:t>
      </w:r>
      <w:r>
        <w:rPr>
          <w:rFonts w:hint="eastAsia" w:ascii="宋体" w:hAnsi="宋体" w:eastAsia="宋体" w:cs="宋体"/>
          <w:b/>
          <w:bCs/>
          <w:color w:val="auto"/>
          <w:sz w:val="28"/>
          <w:szCs w:val="28"/>
          <w:highlight w:val="none"/>
          <w:lang w:val="en-US" w:eastAsia="zh-CN"/>
        </w:rPr>
        <w:br w:type="page"/>
      </w:r>
    </w:p>
    <w:p w14:paraId="262B4F1C">
      <w:pPr>
        <w:spacing w:line="360" w:lineRule="auto"/>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格式3：无串通投标行为的承诺函</w:t>
      </w:r>
    </w:p>
    <w:p w14:paraId="3AA2E6EE">
      <w:pPr>
        <w:spacing w:line="360" w:lineRule="auto"/>
        <w:rPr>
          <w:rFonts w:hint="eastAsia" w:ascii="宋体" w:hAnsi="宋体" w:eastAsia="宋体" w:cs="宋体"/>
          <w:b/>
          <w:color w:val="auto"/>
          <w:kern w:val="0"/>
          <w:szCs w:val="21"/>
          <w:highlight w:val="none"/>
        </w:rPr>
      </w:pPr>
    </w:p>
    <w:p w14:paraId="6338A98A">
      <w:pPr>
        <w:spacing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昌宁县人民医院：</w:t>
      </w:r>
    </w:p>
    <w:p w14:paraId="69390CC3">
      <w:pPr>
        <w:spacing w:line="360" w:lineRule="auto"/>
        <w:ind w:firstLine="420" w:firstLineChars="20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我公司</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磋商申请人名称</w:t>
      </w:r>
      <w:r>
        <w:rPr>
          <w:rFonts w:hint="eastAsia" w:ascii="宋体" w:hAnsi="宋体" w:eastAsia="宋体" w:cs="宋体"/>
          <w:color w:val="auto"/>
          <w:sz w:val="21"/>
          <w:szCs w:val="21"/>
          <w:highlight w:val="none"/>
          <w:u w:val="single"/>
        </w:rPr>
        <w:t>）</w:t>
      </w:r>
      <w:r>
        <w:rPr>
          <w:rFonts w:hint="eastAsia" w:ascii="宋体" w:hAnsi="宋体" w:eastAsia="宋体" w:cs="宋体"/>
          <w:color w:val="auto"/>
          <w:kern w:val="0"/>
          <w:sz w:val="21"/>
          <w:szCs w:val="21"/>
          <w:highlight w:val="none"/>
          <w:lang w:val="en-US" w:eastAsia="zh-CN"/>
        </w:rPr>
        <w:t>参加</w:t>
      </w:r>
      <w:r>
        <w:rPr>
          <w:rFonts w:hint="eastAsia" w:ascii="宋体" w:hAnsi="宋体" w:eastAsia="宋体" w:cs="宋体"/>
          <w:color w:val="auto"/>
          <w:szCs w:val="21"/>
          <w:highlight w:val="none"/>
          <w:u w:val="single"/>
          <w:lang w:val="en-US" w:eastAsia="zh-CN"/>
        </w:rPr>
        <w:t xml:space="preserve">   （项目名称、项目编号）  </w:t>
      </w:r>
      <w:r>
        <w:rPr>
          <w:rFonts w:hint="eastAsia" w:ascii="宋体" w:hAnsi="宋体" w:eastAsia="宋体" w:cs="宋体"/>
          <w:color w:val="auto"/>
          <w:sz w:val="21"/>
          <w:szCs w:val="21"/>
          <w:highlight w:val="none"/>
          <w:u w:val="none"/>
          <w:lang w:val="en-US" w:eastAsia="zh-CN"/>
        </w:rPr>
        <w:t>的采购活动，我单位承诺不存在以下情形：</w:t>
      </w:r>
    </w:p>
    <w:p w14:paraId="06C0190F">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直接或者间接从采购人或者采购代理机构处获得其他</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的相关情况并修改其</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或者</w:t>
      </w:r>
      <w:r>
        <w:rPr>
          <w:rFonts w:hint="eastAsia" w:ascii="宋体" w:hAnsi="宋体" w:eastAsia="宋体" w:cs="宋体"/>
          <w:color w:val="auto"/>
          <w:kern w:val="0"/>
          <w:sz w:val="21"/>
          <w:szCs w:val="21"/>
          <w:highlight w:val="none"/>
          <w:lang w:val="en-US" w:eastAsia="zh-CN"/>
        </w:rPr>
        <w:t>其他</w:t>
      </w:r>
      <w:r>
        <w:rPr>
          <w:rFonts w:hint="eastAsia" w:ascii="宋体" w:hAnsi="宋体" w:eastAsia="宋体" w:cs="宋体"/>
          <w:color w:val="auto"/>
          <w:kern w:val="0"/>
          <w:sz w:val="21"/>
          <w:szCs w:val="21"/>
          <w:highlight w:val="none"/>
        </w:rPr>
        <w:t>响应文件；</w:t>
      </w:r>
    </w:p>
    <w:p w14:paraId="1D2BDF10">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按照采购人或者采购代理机构的授意撤换</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修改</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或者</w:t>
      </w:r>
      <w:r>
        <w:rPr>
          <w:rFonts w:hint="eastAsia" w:ascii="宋体" w:hAnsi="宋体" w:eastAsia="宋体" w:cs="宋体"/>
          <w:color w:val="auto"/>
          <w:kern w:val="0"/>
          <w:sz w:val="21"/>
          <w:szCs w:val="21"/>
          <w:highlight w:val="none"/>
          <w:lang w:val="en-US" w:eastAsia="zh-CN"/>
        </w:rPr>
        <w:t>其他</w:t>
      </w:r>
      <w:r>
        <w:rPr>
          <w:rFonts w:hint="eastAsia" w:ascii="宋体" w:hAnsi="宋体" w:eastAsia="宋体" w:cs="宋体"/>
          <w:color w:val="auto"/>
          <w:kern w:val="0"/>
          <w:sz w:val="21"/>
          <w:szCs w:val="21"/>
          <w:highlight w:val="none"/>
        </w:rPr>
        <w:t>响应文件；</w:t>
      </w:r>
    </w:p>
    <w:p w14:paraId="6D420728">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之间协商报价</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技术方案等</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或者响应文件的实质性内容；</w:t>
      </w:r>
    </w:p>
    <w:p w14:paraId="14F5D9E0">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（四）属于同一集团</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协会</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商会等组织成员的</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按照该组织要求协同参加采购活动；</w:t>
      </w:r>
    </w:p>
    <w:p w14:paraId="54AB833A">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之间事先约定由某一特定</w:t>
      </w:r>
      <w:r>
        <w:rPr>
          <w:rFonts w:hint="eastAsia" w:ascii="宋体" w:hAnsi="宋体" w:eastAsia="宋体" w:cs="宋体"/>
          <w:color w:val="auto"/>
          <w:kern w:val="0"/>
          <w:sz w:val="21"/>
          <w:szCs w:val="21"/>
          <w:highlight w:val="none"/>
          <w:lang w:eastAsia="zh-CN"/>
        </w:rPr>
        <w:t>供应商中标（</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27F88279">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之间商定部分</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放弃参加采购活动或者放弃</w:t>
      </w:r>
      <w:r>
        <w:rPr>
          <w:rFonts w:hint="eastAsia" w:ascii="宋体" w:hAnsi="宋体" w:eastAsia="宋体" w:cs="宋体"/>
          <w:color w:val="auto"/>
          <w:kern w:val="0"/>
          <w:sz w:val="21"/>
          <w:szCs w:val="21"/>
          <w:highlight w:val="none"/>
          <w:lang w:eastAsia="zh-CN"/>
        </w:rPr>
        <w:t>中标（</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2959D39B">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与采购人或者采购代理机构之间</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相互之间，为谋求特定</w:t>
      </w:r>
      <w:r>
        <w:rPr>
          <w:rFonts w:hint="eastAsia" w:ascii="宋体" w:hAnsi="宋体" w:eastAsia="宋体" w:cs="宋体"/>
          <w:color w:val="auto"/>
          <w:kern w:val="0"/>
          <w:sz w:val="21"/>
          <w:szCs w:val="21"/>
          <w:highlight w:val="none"/>
          <w:lang w:eastAsia="zh-CN"/>
        </w:rPr>
        <w:t>供应商中标（</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或者排斥其他</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的其他串通行为。</w:t>
      </w:r>
    </w:p>
    <w:p w14:paraId="475D0DF4">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八</w:t>
      </w:r>
      <w:r>
        <w:rPr>
          <w:rFonts w:hint="eastAsia" w:ascii="宋体" w:hAnsi="宋体" w:eastAsia="宋体" w:cs="宋体"/>
          <w:color w:val="auto"/>
          <w:kern w:val="0"/>
          <w:sz w:val="21"/>
          <w:szCs w:val="21"/>
          <w:highlight w:val="none"/>
        </w:rPr>
        <w:t>）不同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由同一单位或者个人编制；</w:t>
      </w:r>
    </w:p>
    <w:p w14:paraId="44CA6F08">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九</w:t>
      </w:r>
      <w:r>
        <w:rPr>
          <w:rFonts w:hint="eastAsia" w:ascii="宋体" w:hAnsi="宋体" w:eastAsia="宋体" w:cs="宋体"/>
          <w:color w:val="auto"/>
          <w:kern w:val="0"/>
          <w:sz w:val="21"/>
          <w:szCs w:val="21"/>
          <w:highlight w:val="none"/>
        </w:rPr>
        <w:t>）不同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委托同一单位或者个人办理投标事宜；</w:t>
      </w:r>
    </w:p>
    <w:p w14:paraId="419D5A33">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十</w:t>
      </w:r>
      <w:r>
        <w:rPr>
          <w:rFonts w:hint="eastAsia" w:ascii="宋体" w:hAnsi="宋体" w:eastAsia="宋体" w:cs="宋体"/>
          <w:color w:val="auto"/>
          <w:kern w:val="0"/>
          <w:sz w:val="21"/>
          <w:szCs w:val="21"/>
          <w:highlight w:val="none"/>
        </w:rPr>
        <w:t>）不同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载明的项目管理成员或者联系人员为同一人；</w:t>
      </w:r>
    </w:p>
    <w:p w14:paraId="112FBA9A">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十一</w:t>
      </w:r>
      <w:r>
        <w:rPr>
          <w:rFonts w:hint="eastAsia" w:ascii="宋体" w:hAnsi="宋体" w:eastAsia="宋体" w:cs="宋体"/>
          <w:color w:val="auto"/>
          <w:kern w:val="0"/>
          <w:sz w:val="21"/>
          <w:szCs w:val="21"/>
          <w:highlight w:val="none"/>
        </w:rPr>
        <w:t>）不同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异常一致或者</w:t>
      </w:r>
      <w:r>
        <w:rPr>
          <w:rFonts w:hint="eastAsia" w:ascii="宋体" w:hAnsi="宋体" w:eastAsia="宋体" w:cs="宋体"/>
          <w:color w:val="auto"/>
          <w:kern w:val="0"/>
          <w:sz w:val="21"/>
          <w:szCs w:val="21"/>
          <w:highlight w:val="none"/>
          <w:lang w:eastAsia="zh-CN"/>
        </w:rPr>
        <w:t>磋商报价</w:t>
      </w:r>
      <w:r>
        <w:rPr>
          <w:rFonts w:hint="eastAsia" w:ascii="宋体" w:hAnsi="宋体" w:eastAsia="宋体" w:cs="宋体"/>
          <w:color w:val="auto"/>
          <w:kern w:val="0"/>
          <w:sz w:val="21"/>
          <w:szCs w:val="21"/>
          <w:highlight w:val="none"/>
        </w:rPr>
        <w:t>呈规律性差异；</w:t>
      </w:r>
    </w:p>
    <w:p w14:paraId="25F7309B">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十二</w:t>
      </w:r>
      <w:r>
        <w:rPr>
          <w:rFonts w:hint="eastAsia" w:ascii="宋体" w:hAnsi="宋体" w:eastAsia="宋体" w:cs="宋体"/>
          <w:color w:val="auto"/>
          <w:kern w:val="0"/>
          <w:sz w:val="21"/>
          <w:szCs w:val="21"/>
          <w:highlight w:val="none"/>
        </w:rPr>
        <w:t>）不同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lang w:eastAsia="zh-CN"/>
        </w:rPr>
        <w:t>磋商响应文件</w:t>
      </w:r>
      <w:r>
        <w:rPr>
          <w:rFonts w:hint="eastAsia" w:ascii="宋体" w:hAnsi="宋体" w:eastAsia="宋体" w:cs="宋体"/>
          <w:color w:val="auto"/>
          <w:kern w:val="0"/>
          <w:sz w:val="21"/>
          <w:szCs w:val="21"/>
          <w:highlight w:val="none"/>
        </w:rPr>
        <w:t>相互混装；</w:t>
      </w:r>
    </w:p>
    <w:p w14:paraId="092D3274">
      <w:pPr>
        <w:spacing w:line="360" w:lineRule="auto"/>
        <w:ind w:left="0" w:leftChars="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十三</w:t>
      </w:r>
      <w:r>
        <w:rPr>
          <w:rFonts w:hint="eastAsia" w:ascii="宋体" w:hAnsi="宋体" w:eastAsia="宋体" w:cs="宋体"/>
          <w:color w:val="auto"/>
          <w:kern w:val="0"/>
          <w:sz w:val="21"/>
          <w:szCs w:val="21"/>
          <w:highlight w:val="none"/>
        </w:rPr>
        <w:t>）不同</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的保证金从同一单位或者个人的账户转出。</w:t>
      </w:r>
    </w:p>
    <w:p w14:paraId="5BD9371A">
      <w:pPr>
        <w:spacing w:line="360" w:lineRule="auto"/>
        <w:ind w:left="0" w:leftChars="0" w:firstLine="420" w:firstLineChars="200"/>
        <w:rPr>
          <w:rFonts w:hint="eastAsia" w:ascii="宋体" w:hAnsi="宋体" w:eastAsia="宋体" w:cs="宋体"/>
          <w:color w:val="auto"/>
          <w:kern w:val="0"/>
          <w:sz w:val="21"/>
          <w:szCs w:val="21"/>
          <w:highlight w:val="none"/>
        </w:rPr>
      </w:pPr>
    </w:p>
    <w:p w14:paraId="07EC5A04">
      <w:pPr>
        <w:spacing w:line="360" w:lineRule="auto"/>
        <w:ind w:left="0" w:leftChars="0" w:firstLine="422" w:firstLineChars="200"/>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请</w:t>
      </w:r>
      <w:r>
        <w:rPr>
          <w:rFonts w:hint="eastAsia" w:ascii="宋体" w:hAnsi="宋体" w:eastAsia="宋体" w:cs="宋体"/>
          <w:b/>
          <w:color w:val="auto"/>
          <w:kern w:val="0"/>
          <w:sz w:val="21"/>
          <w:szCs w:val="21"/>
          <w:highlight w:val="none"/>
          <w:lang w:eastAsia="zh-CN"/>
        </w:rPr>
        <w:t>磋商申请人</w:t>
      </w:r>
      <w:r>
        <w:rPr>
          <w:rFonts w:hint="eastAsia" w:ascii="宋体" w:hAnsi="宋体" w:eastAsia="宋体" w:cs="宋体"/>
          <w:b/>
          <w:color w:val="auto"/>
          <w:kern w:val="0"/>
          <w:sz w:val="21"/>
          <w:szCs w:val="21"/>
          <w:highlight w:val="none"/>
        </w:rPr>
        <w:t>出具是否存在上述情形的承诺函。如出现上述情形的，依照政府采购法第七十七条第一款的规定追究法律责任，并按附表1格式填写相关内容。</w:t>
      </w:r>
    </w:p>
    <w:p w14:paraId="3673B841">
      <w:pPr>
        <w:spacing w:line="500" w:lineRule="exact"/>
        <w:ind w:firstLine="420" w:firstLineChars="200"/>
        <w:jc w:val="left"/>
        <w:rPr>
          <w:rFonts w:hint="eastAsia" w:ascii="宋体" w:hAnsi="宋体" w:eastAsia="宋体" w:cs="宋体"/>
          <w:color w:val="auto"/>
          <w:sz w:val="21"/>
          <w:szCs w:val="21"/>
          <w:highlight w:val="none"/>
        </w:rPr>
      </w:pPr>
    </w:p>
    <w:p w14:paraId="0AEBF098">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67D51EB2">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1F8A2CE4">
      <w:pPr>
        <w:spacing w:line="460" w:lineRule="exact"/>
        <w:ind w:firstLine="279" w:firstLineChars="133"/>
        <w:rPr>
          <w:rFonts w:hint="eastAsia" w:ascii="宋体" w:hAnsi="宋体" w:eastAsia="宋体" w:cs="宋体"/>
          <w:b/>
          <w:color w:val="auto"/>
          <w:kern w:val="0"/>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9E1ED16">
      <w:pPr>
        <w:spacing w:line="360" w:lineRule="auto"/>
        <w:rPr>
          <w:rFonts w:hint="eastAsia" w:ascii="宋体" w:hAnsi="宋体" w:eastAsia="宋体" w:cs="宋体"/>
          <w:b/>
          <w:color w:val="auto"/>
          <w:sz w:val="21"/>
          <w:szCs w:val="21"/>
          <w:highlight w:val="none"/>
        </w:rPr>
      </w:pPr>
    </w:p>
    <w:p w14:paraId="252879DC">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302E310D">
      <w:pPr>
        <w:spacing w:before="60" w:after="60" w:line="560" w:lineRule="exact"/>
        <w:ind w:firstLine="51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附表1：</w:t>
      </w:r>
      <w:r>
        <w:rPr>
          <w:rFonts w:hint="eastAsia" w:ascii="宋体" w:hAnsi="宋体" w:eastAsia="宋体" w:cs="宋体"/>
          <w:b/>
          <w:bCs/>
          <w:color w:val="auto"/>
          <w:sz w:val="28"/>
          <w:szCs w:val="28"/>
          <w:highlight w:val="none"/>
          <w:lang w:eastAsia="zh-CN"/>
        </w:rPr>
        <w:t>磋商申请人</w:t>
      </w:r>
      <w:r>
        <w:rPr>
          <w:rFonts w:hint="eastAsia" w:ascii="宋体" w:hAnsi="宋体" w:eastAsia="宋体" w:cs="宋体"/>
          <w:b/>
          <w:bCs/>
          <w:color w:val="auto"/>
          <w:sz w:val="28"/>
          <w:szCs w:val="28"/>
          <w:highlight w:val="none"/>
        </w:rPr>
        <w:t>在职人员情况表</w:t>
      </w:r>
    </w:p>
    <w:p w14:paraId="7AA85E41">
      <w:pPr>
        <w:rPr>
          <w:rFonts w:hint="eastAsia" w:ascii="宋体" w:hAnsi="宋体" w:eastAsia="宋体" w:cs="宋体"/>
          <w:color w:val="auto"/>
          <w:highlight w:val="none"/>
        </w:rPr>
      </w:pPr>
    </w:p>
    <w:tbl>
      <w:tblPr>
        <w:tblStyle w:val="2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9"/>
        <w:gridCol w:w="1660"/>
        <w:gridCol w:w="1385"/>
        <w:gridCol w:w="1647"/>
        <w:gridCol w:w="3970"/>
      </w:tblGrid>
      <w:tr w14:paraId="43214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vAlign w:val="top"/>
          </w:tcPr>
          <w:p w14:paraId="17BBE111">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660" w:type="dxa"/>
            <w:noWrap/>
            <w:vAlign w:val="top"/>
          </w:tcPr>
          <w:p w14:paraId="2A601D9C">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姓名</w:t>
            </w:r>
          </w:p>
        </w:tc>
        <w:tc>
          <w:tcPr>
            <w:tcW w:w="1385" w:type="dxa"/>
            <w:noWrap/>
            <w:vAlign w:val="top"/>
          </w:tcPr>
          <w:p w14:paraId="1FC46F23">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性别</w:t>
            </w:r>
          </w:p>
        </w:tc>
        <w:tc>
          <w:tcPr>
            <w:tcW w:w="1647" w:type="dxa"/>
            <w:noWrap/>
            <w:vAlign w:val="top"/>
          </w:tcPr>
          <w:p w14:paraId="7FE62F56">
            <w:pPr>
              <w:spacing w:line="360" w:lineRule="auto"/>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在职单位</w:t>
            </w:r>
          </w:p>
        </w:tc>
        <w:tc>
          <w:tcPr>
            <w:tcW w:w="3970" w:type="dxa"/>
            <w:noWrap/>
            <w:vAlign w:val="top"/>
          </w:tcPr>
          <w:p w14:paraId="11BF650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身份证号</w:t>
            </w:r>
          </w:p>
        </w:tc>
      </w:tr>
      <w:tr w14:paraId="48890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vAlign w:val="top"/>
          </w:tcPr>
          <w:p w14:paraId="1FCCA96E">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660" w:type="dxa"/>
            <w:noWrap/>
            <w:vAlign w:val="top"/>
          </w:tcPr>
          <w:p w14:paraId="42122D89">
            <w:pPr>
              <w:spacing w:line="360" w:lineRule="auto"/>
              <w:jc w:val="right"/>
              <w:rPr>
                <w:rFonts w:hint="eastAsia" w:ascii="宋体" w:hAnsi="宋体" w:eastAsia="宋体" w:cs="宋体"/>
                <w:b/>
                <w:color w:val="auto"/>
                <w:sz w:val="21"/>
                <w:szCs w:val="21"/>
                <w:highlight w:val="none"/>
              </w:rPr>
            </w:pPr>
          </w:p>
        </w:tc>
        <w:tc>
          <w:tcPr>
            <w:tcW w:w="1385" w:type="dxa"/>
            <w:noWrap/>
            <w:vAlign w:val="top"/>
          </w:tcPr>
          <w:p w14:paraId="4EA4D706">
            <w:pPr>
              <w:spacing w:line="360" w:lineRule="auto"/>
              <w:jc w:val="center"/>
              <w:rPr>
                <w:rFonts w:hint="eastAsia" w:ascii="宋体" w:hAnsi="宋体" w:eastAsia="宋体" w:cs="宋体"/>
                <w:b/>
                <w:color w:val="auto"/>
                <w:sz w:val="21"/>
                <w:szCs w:val="21"/>
                <w:highlight w:val="none"/>
              </w:rPr>
            </w:pPr>
          </w:p>
        </w:tc>
        <w:tc>
          <w:tcPr>
            <w:tcW w:w="1647" w:type="dxa"/>
            <w:noWrap/>
            <w:vAlign w:val="top"/>
          </w:tcPr>
          <w:p w14:paraId="1FC7C647">
            <w:pPr>
              <w:spacing w:line="360" w:lineRule="auto"/>
              <w:jc w:val="center"/>
              <w:rPr>
                <w:rFonts w:hint="eastAsia" w:ascii="宋体" w:hAnsi="宋体" w:eastAsia="宋体" w:cs="宋体"/>
                <w:b/>
                <w:color w:val="auto"/>
                <w:sz w:val="21"/>
                <w:szCs w:val="21"/>
                <w:highlight w:val="none"/>
              </w:rPr>
            </w:pPr>
          </w:p>
        </w:tc>
        <w:tc>
          <w:tcPr>
            <w:tcW w:w="3970" w:type="dxa"/>
            <w:noWrap/>
            <w:vAlign w:val="top"/>
          </w:tcPr>
          <w:p w14:paraId="0C6C8298">
            <w:pPr>
              <w:spacing w:line="360" w:lineRule="auto"/>
              <w:jc w:val="center"/>
              <w:rPr>
                <w:rFonts w:hint="eastAsia" w:ascii="宋体" w:hAnsi="宋体" w:eastAsia="宋体" w:cs="宋体"/>
                <w:b/>
                <w:color w:val="auto"/>
                <w:sz w:val="21"/>
                <w:szCs w:val="21"/>
                <w:highlight w:val="none"/>
              </w:rPr>
            </w:pPr>
          </w:p>
        </w:tc>
      </w:tr>
      <w:tr w14:paraId="5FBF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vAlign w:val="top"/>
          </w:tcPr>
          <w:p w14:paraId="3AC2CFF0">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p>
        </w:tc>
        <w:tc>
          <w:tcPr>
            <w:tcW w:w="1660" w:type="dxa"/>
            <w:noWrap/>
            <w:vAlign w:val="top"/>
          </w:tcPr>
          <w:p w14:paraId="59810EA0">
            <w:pPr>
              <w:spacing w:line="360" w:lineRule="auto"/>
              <w:jc w:val="center"/>
              <w:rPr>
                <w:rFonts w:hint="eastAsia" w:ascii="宋体" w:hAnsi="宋体" w:eastAsia="宋体" w:cs="宋体"/>
                <w:b/>
                <w:color w:val="auto"/>
                <w:sz w:val="21"/>
                <w:szCs w:val="21"/>
                <w:highlight w:val="none"/>
              </w:rPr>
            </w:pPr>
          </w:p>
        </w:tc>
        <w:tc>
          <w:tcPr>
            <w:tcW w:w="1385" w:type="dxa"/>
            <w:noWrap/>
            <w:vAlign w:val="top"/>
          </w:tcPr>
          <w:p w14:paraId="00701FE4">
            <w:pPr>
              <w:spacing w:line="360" w:lineRule="auto"/>
              <w:jc w:val="center"/>
              <w:rPr>
                <w:rFonts w:hint="eastAsia" w:ascii="宋体" w:hAnsi="宋体" w:eastAsia="宋体" w:cs="宋体"/>
                <w:b/>
                <w:color w:val="auto"/>
                <w:sz w:val="21"/>
                <w:szCs w:val="21"/>
                <w:highlight w:val="none"/>
              </w:rPr>
            </w:pPr>
          </w:p>
        </w:tc>
        <w:tc>
          <w:tcPr>
            <w:tcW w:w="1647" w:type="dxa"/>
            <w:noWrap/>
            <w:vAlign w:val="top"/>
          </w:tcPr>
          <w:p w14:paraId="4241D429">
            <w:pPr>
              <w:spacing w:line="360" w:lineRule="auto"/>
              <w:jc w:val="center"/>
              <w:rPr>
                <w:rFonts w:hint="eastAsia" w:ascii="宋体" w:hAnsi="宋体" w:eastAsia="宋体" w:cs="宋体"/>
                <w:b/>
                <w:color w:val="auto"/>
                <w:sz w:val="21"/>
                <w:szCs w:val="21"/>
                <w:highlight w:val="none"/>
              </w:rPr>
            </w:pPr>
          </w:p>
        </w:tc>
        <w:tc>
          <w:tcPr>
            <w:tcW w:w="3970" w:type="dxa"/>
            <w:noWrap/>
            <w:vAlign w:val="top"/>
          </w:tcPr>
          <w:p w14:paraId="5FED74CA">
            <w:pPr>
              <w:spacing w:line="360" w:lineRule="auto"/>
              <w:jc w:val="center"/>
              <w:rPr>
                <w:rFonts w:hint="eastAsia" w:ascii="宋体" w:hAnsi="宋体" w:eastAsia="宋体" w:cs="宋体"/>
                <w:b/>
                <w:color w:val="auto"/>
                <w:sz w:val="21"/>
                <w:szCs w:val="21"/>
                <w:highlight w:val="none"/>
              </w:rPr>
            </w:pPr>
          </w:p>
        </w:tc>
      </w:tr>
      <w:tr w14:paraId="3C69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vAlign w:val="top"/>
          </w:tcPr>
          <w:p w14:paraId="3C97AD68">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w:t>
            </w:r>
          </w:p>
        </w:tc>
        <w:tc>
          <w:tcPr>
            <w:tcW w:w="1660" w:type="dxa"/>
            <w:noWrap/>
            <w:vAlign w:val="top"/>
          </w:tcPr>
          <w:p w14:paraId="29EA14E3">
            <w:pPr>
              <w:spacing w:line="360" w:lineRule="auto"/>
              <w:jc w:val="center"/>
              <w:rPr>
                <w:rFonts w:hint="eastAsia" w:ascii="宋体" w:hAnsi="宋体" w:eastAsia="宋体" w:cs="宋体"/>
                <w:b/>
                <w:color w:val="auto"/>
                <w:sz w:val="21"/>
                <w:szCs w:val="21"/>
                <w:highlight w:val="none"/>
              </w:rPr>
            </w:pPr>
          </w:p>
        </w:tc>
        <w:tc>
          <w:tcPr>
            <w:tcW w:w="1385" w:type="dxa"/>
            <w:noWrap/>
            <w:vAlign w:val="top"/>
          </w:tcPr>
          <w:p w14:paraId="37609FE6">
            <w:pPr>
              <w:spacing w:line="360" w:lineRule="auto"/>
              <w:jc w:val="center"/>
              <w:rPr>
                <w:rFonts w:hint="eastAsia" w:ascii="宋体" w:hAnsi="宋体" w:eastAsia="宋体" w:cs="宋体"/>
                <w:b/>
                <w:color w:val="auto"/>
                <w:sz w:val="21"/>
                <w:szCs w:val="21"/>
                <w:highlight w:val="none"/>
              </w:rPr>
            </w:pPr>
          </w:p>
        </w:tc>
        <w:tc>
          <w:tcPr>
            <w:tcW w:w="1647" w:type="dxa"/>
            <w:noWrap/>
            <w:vAlign w:val="top"/>
          </w:tcPr>
          <w:p w14:paraId="63355B6F">
            <w:pPr>
              <w:spacing w:line="360" w:lineRule="auto"/>
              <w:jc w:val="center"/>
              <w:rPr>
                <w:rFonts w:hint="eastAsia" w:ascii="宋体" w:hAnsi="宋体" w:eastAsia="宋体" w:cs="宋体"/>
                <w:b/>
                <w:color w:val="auto"/>
                <w:sz w:val="21"/>
                <w:szCs w:val="21"/>
                <w:highlight w:val="none"/>
              </w:rPr>
            </w:pPr>
          </w:p>
        </w:tc>
        <w:tc>
          <w:tcPr>
            <w:tcW w:w="3970" w:type="dxa"/>
            <w:noWrap/>
            <w:vAlign w:val="top"/>
          </w:tcPr>
          <w:p w14:paraId="5C1FDBE5">
            <w:pPr>
              <w:spacing w:line="360" w:lineRule="auto"/>
              <w:jc w:val="center"/>
              <w:rPr>
                <w:rFonts w:hint="eastAsia" w:ascii="宋体" w:hAnsi="宋体" w:eastAsia="宋体" w:cs="宋体"/>
                <w:b/>
                <w:color w:val="auto"/>
                <w:sz w:val="21"/>
                <w:szCs w:val="21"/>
                <w:highlight w:val="none"/>
              </w:rPr>
            </w:pPr>
          </w:p>
        </w:tc>
      </w:tr>
      <w:tr w14:paraId="5BA9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9" w:type="dxa"/>
            <w:noWrap/>
            <w:vAlign w:val="top"/>
          </w:tcPr>
          <w:p w14:paraId="3EA6B64D">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p>
        </w:tc>
        <w:tc>
          <w:tcPr>
            <w:tcW w:w="1660" w:type="dxa"/>
            <w:noWrap/>
            <w:vAlign w:val="top"/>
          </w:tcPr>
          <w:p w14:paraId="2291AC86">
            <w:pPr>
              <w:spacing w:line="360" w:lineRule="auto"/>
              <w:jc w:val="center"/>
              <w:rPr>
                <w:rFonts w:hint="eastAsia" w:ascii="宋体" w:hAnsi="宋体" w:eastAsia="宋体" w:cs="宋体"/>
                <w:b/>
                <w:color w:val="auto"/>
                <w:sz w:val="21"/>
                <w:szCs w:val="21"/>
                <w:highlight w:val="none"/>
              </w:rPr>
            </w:pPr>
          </w:p>
        </w:tc>
        <w:tc>
          <w:tcPr>
            <w:tcW w:w="1385" w:type="dxa"/>
            <w:noWrap/>
            <w:vAlign w:val="top"/>
          </w:tcPr>
          <w:p w14:paraId="019951CA">
            <w:pPr>
              <w:spacing w:line="360" w:lineRule="auto"/>
              <w:jc w:val="center"/>
              <w:rPr>
                <w:rFonts w:hint="eastAsia" w:ascii="宋体" w:hAnsi="宋体" w:eastAsia="宋体" w:cs="宋体"/>
                <w:b/>
                <w:color w:val="auto"/>
                <w:sz w:val="21"/>
                <w:szCs w:val="21"/>
                <w:highlight w:val="none"/>
              </w:rPr>
            </w:pPr>
          </w:p>
        </w:tc>
        <w:tc>
          <w:tcPr>
            <w:tcW w:w="1647" w:type="dxa"/>
            <w:noWrap/>
            <w:vAlign w:val="top"/>
          </w:tcPr>
          <w:p w14:paraId="3A4AD92B">
            <w:pPr>
              <w:spacing w:line="360" w:lineRule="auto"/>
              <w:jc w:val="center"/>
              <w:rPr>
                <w:rFonts w:hint="eastAsia" w:ascii="宋体" w:hAnsi="宋体" w:eastAsia="宋体" w:cs="宋体"/>
                <w:b/>
                <w:color w:val="auto"/>
                <w:sz w:val="21"/>
                <w:szCs w:val="21"/>
                <w:highlight w:val="none"/>
              </w:rPr>
            </w:pPr>
          </w:p>
        </w:tc>
        <w:tc>
          <w:tcPr>
            <w:tcW w:w="3970" w:type="dxa"/>
            <w:noWrap/>
            <w:vAlign w:val="top"/>
          </w:tcPr>
          <w:p w14:paraId="327BB4BE">
            <w:pPr>
              <w:spacing w:line="360" w:lineRule="auto"/>
              <w:jc w:val="center"/>
              <w:rPr>
                <w:rFonts w:hint="eastAsia" w:ascii="宋体" w:hAnsi="宋体" w:eastAsia="宋体" w:cs="宋体"/>
                <w:b/>
                <w:color w:val="auto"/>
                <w:sz w:val="21"/>
                <w:szCs w:val="21"/>
                <w:highlight w:val="none"/>
              </w:rPr>
            </w:pPr>
          </w:p>
        </w:tc>
      </w:tr>
    </w:tbl>
    <w:p w14:paraId="4A6906A4">
      <w:pPr>
        <w:spacing w:line="360" w:lineRule="auto"/>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val="en-US" w:eastAsia="zh-CN"/>
        </w:rPr>
        <w:t>：1、磋商申请人须如实填写单位所有在职人员。</w:t>
      </w:r>
    </w:p>
    <w:p w14:paraId="7B8B527F">
      <w:pPr>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2、磋商小组如发现磋商申</w:t>
      </w:r>
      <w:r>
        <w:rPr>
          <w:rFonts w:hint="eastAsia" w:ascii="宋体" w:hAnsi="宋体" w:eastAsia="宋体" w:cs="宋体"/>
          <w:b/>
          <w:color w:val="auto"/>
          <w:sz w:val="21"/>
          <w:szCs w:val="21"/>
          <w:highlight w:val="none"/>
          <w:lang w:eastAsia="zh-CN"/>
        </w:rPr>
        <w:t>请人</w:t>
      </w:r>
      <w:r>
        <w:rPr>
          <w:rFonts w:hint="eastAsia" w:ascii="宋体" w:hAnsi="宋体" w:eastAsia="宋体" w:cs="宋体"/>
          <w:b/>
          <w:color w:val="auto"/>
          <w:sz w:val="21"/>
          <w:szCs w:val="21"/>
          <w:highlight w:val="none"/>
        </w:rPr>
        <w:t>提供的在职人员与其他</w:t>
      </w:r>
      <w:r>
        <w:rPr>
          <w:rFonts w:hint="eastAsia" w:ascii="宋体" w:hAnsi="宋体" w:eastAsia="宋体" w:cs="宋体"/>
          <w:b/>
          <w:color w:val="auto"/>
          <w:sz w:val="21"/>
          <w:szCs w:val="21"/>
          <w:highlight w:val="none"/>
          <w:lang w:eastAsia="zh-CN"/>
        </w:rPr>
        <w:t>磋商申请人</w:t>
      </w:r>
      <w:r>
        <w:rPr>
          <w:rFonts w:hint="eastAsia" w:ascii="宋体" w:hAnsi="宋体" w:eastAsia="宋体" w:cs="宋体"/>
          <w:b/>
          <w:color w:val="auto"/>
          <w:sz w:val="21"/>
          <w:szCs w:val="21"/>
          <w:highlight w:val="none"/>
        </w:rPr>
        <w:t>所提供的在职人员存在重复的，相关</w:t>
      </w:r>
      <w:r>
        <w:rPr>
          <w:rFonts w:hint="eastAsia" w:ascii="宋体" w:hAnsi="宋体" w:eastAsia="宋体" w:cs="宋体"/>
          <w:b/>
          <w:color w:val="auto"/>
          <w:sz w:val="21"/>
          <w:szCs w:val="21"/>
          <w:highlight w:val="none"/>
          <w:lang w:val="en-US" w:eastAsia="zh-CN"/>
        </w:rPr>
        <w:t>磋商申请人</w:t>
      </w:r>
      <w:r>
        <w:rPr>
          <w:rFonts w:hint="eastAsia" w:ascii="宋体" w:hAnsi="宋体" w:eastAsia="宋体" w:cs="宋体"/>
          <w:b/>
          <w:color w:val="auto"/>
          <w:sz w:val="21"/>
          <w:szCs w:val="21"/>
          <w:highlight w:val="none"/>
        </w:rPr>
        <w:t>评委可按不实质性响应</w:t>
      </w:r>
      <w:r>
        <w:rPr>
          <w:rFonts w:hint="eastAsia" w:ascii="宋体" w:hAnsi="宋体" w:eastAsia="宋体" w:cs="宋体"/>
          <w:b/>
          <w:color w:val="auto"/>
          <w:sz w:val="21"/>
          <w:szCs w:val="21"/>
          <w:highlight w:val="none"/>
          <w:lang w:val="en-US" w:eastAsia="zh-CN"/>
        </w:rPr>
        <w:t>采购</w:t>
      </w:r>
      <w:r>
        <w:rPr>
          <w:rFonts w:hint="eastAsia" w:ascii="宋体" w:hAnsi="宋体" w:eastAsia="宋体" w:cs="宋体"/>
          <w:b/>
          <w:color w:val="auto"/>
          <w:sz w:val="21"/>
          <w:szCs w:val="21"/>
          <w:highlight w:val="none"/>
        </w:rPr>
        <w:t>文件要求处理。</w:t>
      </w:r>
    </w:p>
    <w:p w14:paraId="2E53D28D">
      <w:pPr>
        <w:pStyle w:val="16"/>
        <w:spacing w:line="480" w:lineRule="exact"/>
        <w:ind w:firstLine="575"/>
        <w:rPr>
          <w:rFonts w:hint="eastAsia" w:ascii="宋体" w:hAnsi="宋体" w:eastAsia="宋体" w:cs="宋体"/>
          <w:color w:val="auto"/>
          <w:sz w:val="21"/>
          <w:szCs w:val="21"/>
          <w:highlight w:val="none"/>
          <w:lang w:eastAsia="zh-CN"/>
        </w:rPr>
      </w:pPr>
    </w:p>
    <w:p w14:paraId="14DA9722">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03B5B215">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537BD645">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A77659D">
      <w:pPr>
        <w:widowControl/>
        <w:jc w:val="center"/>
        <w:rPr>
          <w:rFonts w:hint="eastAsia" w:ascii="宋体" w:hAnsi="宋体" w:eastAsia="宋体" w:cs="宋体"/>
          <w:b/>
          <w:bCs/>
          <w:color w:val="auto"/>
          <w:sz w:val="28"/>
          <w:szCs w:val="28"/>
          <w:highlight w:val="none"/>
        </w:rPr>
        <w:sectPr>
          <w:footerReference r:id="rId9" w:type="default"/>
          <w:pgSz w:w="11906" w:h="16838"/>
          <w:pgMar w:top="936" w:right="1134" w:bottom="1089" w:left="1134" w:header="851" w:footer="992" w:gutter="0"/>
          <w:pgNumType w:fmt="decimal"/>
          <w:cols w:space="425" w:num="1"/>
          <w:docGrid w:type="lines" w:linePitch="312" w:charSpace="0"/>
        </w:sectPr>
      </w:pPr>
      <w:r>
        <w:rPr>
          <w:rFonts w:hint="eastAsia" w:ascii="宋体" w:hAnsi="宋体" w:eastAsia="宋体" w:cs="宋体"/>
          <w:b/>
          <w:bCs/>
          <w:color w:val="auto"/>
          <w:sz w:val="28"/>
          <w:szCs w:val="28"/>
          <w:highlight w:val="none"/>
        </w:rPr>
        <w:br w:type="page"/>
      </w:r>
    </w:p>
    <w:p w14:paraId="4D03F438">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4</w:t>
      </w:r>
      <w:r>
        <w:rPr>
          <w:rFonts w:hint="eastAsia" w:ascii="宋体" w:hAnsi="宋体" w:eastAsia="宋体" w:cs="宋体"/>
          <w:b/>
          <w:bCs/>
          <w:color w:val="auto"/>
          <w:sz w:val="28"/>
          <w:szCs w:val="28"/>
          <w:highlight w:val="none"/>
        </w:rPr>
        <w:t>：磋商保证金</w:t>
      </w:r>
    </w:p>
    <w:p w14:paraId="15259C8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（采购人名称）：</w:t>
      </w:r>
    </w:p>
    <w:p w14:paraId="441A5ED7">
      <w:pPr>
        <w:spacing w:line="440" w:lineRule="exact"/>
        <w:rPr>
          <w:rFonts w:hint="eastAsia" w:ascii="宋体" w:hAnsi="宋体" w:eastAsia="宋体" w:cs="宋体"/>
          <w:color w:val="auto"/>
          <w:sz w:val="21"/>
          <w:szCs w:val="21"/>
          <w:highlight w:val="none"/>
        </w:rPr>
      </w:pPr>
    </w:p>
    <w:p w14:paraId="75AA1B98">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（项目名称）的报价，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（磋商申请人名称，以下简称“我方”）保证：我方在规定的磋商有效期内撤销或修改其响应文件的，或者我方在收到成交通知书后无正当理由拒签合同的，我方承担相关责任。</w:t>
      </w:r>
    </w:p>
    <w:p w14:paraId="7EE3225E">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本承诺在磋商有效期内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highlight w:val="none"/>
        </w:rPr>
        <w:t>递交响应文件的截止日期后</w:t>
      </w:r>
      <w:r>
        <w:rPr>
          <w:rFonts w:hint="eastAsia" w:ascii="宋体" w:hAnsi="宋体" w:eastAsia="宋体" w:cs="宋体"/>
          <w:color w:val="auto"/>
          <w:kern w:val="0"/>
          <w:highlight w:val="none"/>
          <w:lang w:val="en-US" w:eastAsia="zh-CN"/>
        </w:rPr>
        <w:t>9</w:t>
      </w:r>
      <w:r>
        <w:rPr>
          <w:rFonts w:hint="eastAsia" w:ascii="宋体" w:hAnsi="宋体" w:eastAsia="宋体" w:cs="宋体"/>
          <w:color w:val="auto"/>
          <w:kern w:val="0"/>
          <w:highlight w:val="none"/>
        </w:rPr>
        <w:t>0天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保持有效。</w:t>
      </w:r>
    </w:p>
    <w:p w14:paraId="2E840952">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CB4A9D8">
      <w:pPr>
        <w:spacing w:line="440" w:lineRule="exact"/>
        <w:rPr>
          <w:rFonts w:hint="eastAsia" w:ascii="宋体" w:hAnsi="宋体" w:eastAsia="宋体" w:cs="宋体"/>
          <w:color w:val="auto"/>
          <w:sz w:val="21"/>
          <w:szCs w:val="21"/>
          <w:highlight w:val="none"/>
        </w:rPr>
      </w:pPr>
    </w:p>
    <w:p w14:paraId="5574E0C4">
      <w:pPr>
        <w:spacing w:line="440" w:lineRule="exact"/>
        <w:rPr>
          <w:rFonts w:hint="eastAsia" w:ascii="宋体" w:hAnsi="宋体" w:eastAsia="宋体" w:cs="宋体"/>
          <w:color w:val="auto"/>
          <w:sz w:val="21"/>
          <w:szCs w:val="21"/>
          <w:highlight w:val="none"/>
        </w:rPr>
      </w:pPr>
    </w:p>
    <w:p w14:paraId="16ECAF2B">
      <w:pPr>
        <w:spacing w:line="440" w:lineRule="exact"/>
        <w:rPr>
          <w:rFonts w:hint="eastAsia" w:ascii="宋体" w:hAnsi="宋体" w:eastAsia="宋体" w:cs="宋体"/>
          <w:color w:val="auto"/>
          <w:sz w:val="21"/>
          <w:szCs w:val="21"/>
          <w:highlight w:val="none"/>
        </w:rPr>
      </w:pPr>
    </w:p>
    <w:p w14:paraId="4063484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盖单位公章</w:t>
      </w:r>
      <w:r>
        <w:rPr>
          <w:rFonts w:hint="eastAsia" w:ascii="宋体" w:hAnsi="宋体" w:eastAsia="宋体" w:cs="宋体"/>
          <w:color w:val="auto"/>
          <w:sz w:val="21"/>
          <w:szCs w:val="21"/>
          <w:highlight w:val="none"/>
        </w:rPr>
        <w:t>）</w:t>
      </w:r>
    </w:p>
    <w:p w14:paraId="74CEB8C5">
      <w:pPr>
        <w:wordWrap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法定代表人（负责人）或其授权代表：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签字或盖个人印章</w:t>
      </w:r>
      <w:r>
        <w:rPr>
          <w:rFonts w:hint="eastAsia" w:ascii="宋体" w:hAnsi="宋体" w:eastAsia="宋体" w:cs="宋体"/>
          <w:color w:val="auto"/>
          <w:sz w:val="21"/>
          <w:szCs w:val="21"/>
          <w:highlight w:val="none"/>
        </w:rPr>
        <w:t>）</w:t>
      </w:r>
    </w:p>
    <w:p w14:paraId="331BFF0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p>
    <w:p w14:paraId="29907D0A">
      <w:pPr>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p>
    <w:p w14:paraId="0C5F1636">
      <w:pPr>
        <w:spacing w:line="440" w:lineRule="exact"/>
        <w:ind w:right="46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4C1C6C4F">
      <w:pPr>
        <w:spacing w:line="440" w:lineRule="exact"/>
        <w:ind w:right="4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p>
    <w:p w14:paraId="03C9C1D2">
      <w:pPr>
        <w:spacing w:line="440" w:lineRule="exact"/>
        <w:ind w:firstLine="2158" w:firstLineChars="1028"/>
        <w:rPr>
          <w:rFonts w:hint="eastAsia" w:ascii="宋体" w:hAnsi="宋体" w:eastAsia="宋体" w:cs="宋体"/>
          <w:color w:val="auto"/>
          <w:sz w:val="21"/>
          <w:szCs w:val="21"/>
          <w:highlight w:val="none"/>
        </w:rPr>
      </w:pPr>
    </w:p>
    <w:p w14:paraId="51AAC5AF">
      <w:pPr>
        <w:spacing w:line="440" w:lineRule="exact"/>
        <w:jc w:val="right"/>
        <w:rPr>
          <w:rFonts w:hint="eastAsia" w:ascii="宋体" w:hAnsi="宋体" w:eastAsia="宋体" w:cs="宋体"/>
          <w:color w:val="auto"/>
          <w:sz w:val="23"/>
          <w:szCs w:val="23"/>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2CE1659">
      <w:pPr>
        <w:spacing w:line="440" w:lineRule="exact"/>
        <w:jc w:val="right"/>
        <w:rPr>
          <w:rFonts w:hint="eastAsia" w:ascii="宋体" w:hAnsi="宋体" w:eastAsia="宋体" w:cs="宋体"/>
          <w:color w:val="auto"/>
          <w:sz w:val="23"/>
          <w:szCs w:val="23"/>
          <w:highlight w:val="none"/>
        </w:rPr>
      </w:pPr>
    </w:p>
    <w:p w14:paraId="3F7ADFA2">
      <w:pPr>
        <w:pStyle w:val="4"/>
        <w:jc w:val="center"/>
        <w:rPr>
          <w:rFonts w:hint="eastAsia" w:ascii="宋体" w:hAnsi="宋体" w:eastAsia="宋体" w:cs="宋体"/>
          <w:color w:val="auto"/>
          <w:sz w:val="24"/>
          <w:highlight w:val="none"/>
          <w:lang w:val="en-US" w:eastAsia="zh-CN"/>
        </w:rPr>
      </w:pPr>
      <w:r>
        <w:rPr>
          <w:rFonts w:hint="eastAsia" w:ascii="宋体" w:hAnsi="宋体" w:eastAsia="宋体" w:cs="宋体"/>
          <w:bCs w:val="0"/>
          <w:color w:val="auto"/>
          <w:szCs w:val="21"/>
          <w:highlight w:val="none"/>
        </w:rPr>
        <w:br w:type="page"/>
      </w:r>
      <w:r>
        <w:rPr>
          <w:rFonts w:hint="eastAsia" w:ascii="宋体" w:hAnsi="宋体" w:eastAsia="宋体" w:cs="宋体"/>
          <w:color w:val="auto"/>
          <w:sz w:val="30"/>
          <w:szCs w:val="30"/>
          <w:highlight w:val="none"/>
          <w:lang w:val="zh-CN"/>
        </w:rPr>
        <w:t>磋商保证金</w:t>
      </w:r>
      <w:r>
        <w:rPr>
          <w:rFonts w:hint="eastAsia" w:ascii="宋体" w:hAnsi="宋体" w:eastAsia="宋体" w:cs="宋体"/>
          <w:color w:val="auto"/>
          <w:sz w:val="30"/>
          <w:szCs w:val="30"/>
          <w:highlight w:val="none"/>
          <w:lang w:val="en-US" w:eastAsia="zh-CN"/>
        </w:rPr>
        <w:t>银行回执凭证</w:t>
      </w:r>
    </w:p>
    <w:tbl>
      <w:tblPr>
        <w:tblStyle w:val="27"/>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525E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tcBorders>
              <w:top w:val="single" w:color="auto" w:sz="4" w:space="0"/>
              <w:left w:val="single" w:color="auto" w:sz="4" w:space="0"/>
              <w:bottom w:val="single" w:color="auto" w:sz="4" w:space="0"/>
              <w:right w:val="single" w:color="auto" w:sz="4" w:space="0"/>
            </w:tcBorders>
            <w:noWrap/>
            <w:vAlign w:val="center"/>
          </w:tcPr>
          <w:p w14:paraId="12E35505">
            <w:pPr>
              <w:autoSpaceDE w:val="0"/>
              <w:autoSpaceDN w:val="0"/>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1"/>
                <w:szCs w:val="21"/>
                <w:highlight w:val="none"/>
                <w:lang w:val="zh-CN"/>
              </w:rPr>
              <w:t>（复印件粘贴处）</w:t>
            </w:r>
          </w:p>
        </w:tc>
      </w:tr>
    </w:tbl>
    <w:p w14:paraId="48259B39">
      <w:pPr>
        <w:widowControl/>
        <w:jc w:val="left"/>
        <w:rPr>
          <w:rFonts w:hint="eastAsia" w:ascii="宋体" w:hAnsi="宋体" w:eastAsia="宋体" w:cs="宋体"/>
          <w:b/>
          <w:color w:val="auto"/>
          <w:highlight w:val="none"/>
        </w:rPr>
      </w:pPr>
    </w:p>
    <w:p w14:paraId="71731BD9">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58EC52E1">
      <w:pPr>
        <w:pStyle w:val="4"/>
        <w:keepLines w:val="0"/>
        <w:ind w:left="425"/>
        <w:jc w:val="center"/>
        <w:rPr>
          <w:rFonts w:hint="eastAsia" w:ascii="宋体" w:hAnsi="宋体" w:eastAsia="宋体" w:cs="宋体"/>
          <w:color w:val="auto"/>
          <w:highlight w:val="none"/>
        </w:rPr>
      </w:pP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：拟投入本项目的综合服务力量介绍</w:t>
      </w:r>
    </w:p>
    <w:p w14:paraId="59849C46">
      <w:pPr>
        <w:pStyle w:val="41"/>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5.1.磋商申请人综合实力</w:t>
      </w:r>
    </w:p>
    <w:p w14:paraId="53A47CDB">
      <w:pPr>
        <w:pStyle w:val="5"/>
        <w:spacing w:before="156"/>
        <w:ind w:firstLine="482"/>
        <w:jc w:val="center"/>
        <w:rPr>
          <w:rFonts w:hint="eastAsia" w:ascii="宋体" w:hAnsi="宋体" w:eastAsia="宋体" w:cs="宋体"/>
          <w:b/>
          <w:bCs/>
          <w:color w:val="auto"/>
          <w:sz w:val="21"/>
          <w:szCs w:val="21"/>
          <w:highlight w:val="none"/>
        </w:rPr>
      </w:pPr>
    </w:p>
    <w:p w14:paraId="7D9D980C">
      <w:pPr>
        <w:pStyle w:val="5"/>
        <w:spacing w:before="156"/>
        <w:ind w:firstLine="482"/>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包含且不限于：</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简介、</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技术实力介绍、获奖情况、社会</w:t>
      </w:r>
      <w:r>
        <w:rPr>
          <w:rFonts w:hint="eastAsia" w:ascii="宋体" w:hAnsi="宋体" w:eastAsia="宋体" w:cs="宋体"/>
          <w:color w:val="auto"/>
          <w:sz w:val="21"/>
          <w:szCs w:val="21"/>
          <w:highlight w:val="none"/>
          <w:lang w:val="en-US" w:eastAsia="zh-CN"/>
        </w:rPr>
        <w:t>信誉和荣誉</w:t>
      </w:r>
      <w:r>
        <w:rPr>
          <w:rFonts w:hint="eastAsia" w:ascii="宋体" w:hAnsi="宋体" w:eastAsia="宋体" w:cs="宋体"/>
          <w:color w:val="auto"/>
          <w:sz w:val="21"/>
          <w:szCs w:val="21"/>
          <w:highlight w:val="none"/>
        </w:rPr>
        <w:t>证明材料等。</w:t>
      </w:r>
    </w:p>
    <w:p w14:paraId="20BF3B25">
      <w:pPr>
        <w:pStyle w:val="13"/>
        <w:rPr>
          <w:rFonts w:hint="eastAsia" w:ascii="宋体" w:hAnsi="宋体" w:eastAsia="宋体" w:cs="宋体"/>
          <w:color w:val="auto"/>
          <w:highlight w:val="none"/>
        </w:rPr>
      </w:pPr>
    </w:p>
    <w:p w14:paraId="515EA26A">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0B3531A2">
      <w:pPr>
        <w:pStyle w:val="4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2.项目</w:t>
      </w:r>
      <w:r>
        <w:rPr>
          <w:rFonts w:hint="eastAsia" w:ascii="宋体" w:hAnsi="宋体" w:eastAsia="宋体" w:cs="宋体"/>
          <w:b/>
          <w:color w:val="auto"/>
          <w:sz w:val="24"/>
          <w:szCs w:val="24"/>
          <w:highlight w:val="none"/>
          <w:lang w:val="en-US" w:eastAsia="zh-CN"/>
        </w:rPr>
        <w:t>服务</w:t>
      </w:r>
      <w:r>
        <w:rPr>
          <w:rFonts w:hint="eastAsia" w:ascii="宋体" w:hAnsi="宋体" w:eastAsia="宋体" w:cs="宋体"/>
          <w:b/>
          <w:color w:val="auto"/>
          <w:sz w:val="24"/>
          <w:szCs w:val="24"/>
          <w:highlight w:val="none"/>
        </w:rPr>
        <w:t>团队介绍</w:t>
      </w:r>
    </w:p>
    <w:p w14:paraId="6FEBB2BD">
      <w:pPr>
        <w:pStyle w:val="5"/>
        <w:spacing w:before="156"/>
        <w:ind w:firstLine="482"/>
        <w:rPr>
          <w:rFonts w:hint="eastAsia" w:ascii="宋体" w:hAnsi="宋体" w:eastAsia="宋体" w:cs="宋体"/>
          <w:b/>
          <w:bCs/>
          <w:color w:val="auto"/>
          <w:sz w:val="21"/>
          <w:szCs w:val="21"/>
          <w:highlight w:val="none"/>
        </w:rPr>
      </w:pPr>
    </w:p>
    <w:p w14:paraId="37BDF906">
      <w:pPr>
        <w:spacing w:line="360" w:lineRule="auto"/>
        <w:ind w:firstLine="42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包含但不限于</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lang w:val="en-US" w:eastAsia="zh-CN"/>
        </w:rPr>
        <w:t>投入本项目的服务机构的具体情况（至少包含：项目团队组织架构介绍、分工情况、项目团队管理和技术服务人员岗位职责介绍、人员配备情况介绍等内容）</w:t>
      </w:r>
      <w:r>
        <w:rPr>
          <w:rFonts w:hint="eastAsia" w:ascii="宋体" w:hAnsi="宋体" w:eastAsia="宋体" w:cs="宋体"/>
          <w:color w:val="auto"/>
          <w:sz w:val="21"/>
          <w:szCs w:val="21"/>
          <w:highlight w:val="none"/>
        </w:rPr>
        <w:t>，格式</w:t>
      </w:r>
      <w:r>
        <w:rPr>
          <w:rFonts w:hint="eastAsia" w:ascii="宋体" w:hAnsi="宋体" w:eastAsia="宋体" w:cs="宋体"/>
          <w:color w:val="auto"/>
          <w:sz w:val="21"/>
          <w:szCs w:val="21"/>
          <w:highlight w:val="none"/>
          <w:lang w:val="en-US" w:eastAsia="zh-CN"/>
        </w:rPr>
        <w:t>自拟</w:t>
      </w:r>
      <w:r>
        <w:rPr>
          <w:rFonts w:hint="eastAsia" w:ascii="宋体" w:hAnsi="宋体" w:eastAsia="宋体" w:cs="宋体"/>
          <w:color w:val="auto"/>
          <w:sz w:val="21"/>
          <w:szCs w:val="21"/>
          <w:highlight w:val="none"/>
        </w:rPr>
        <w:t>。</w:t>
      </w:r>
    </w:p>
    <w:p w14:paraId="1FB765A3">
      <w:pPr>
        <w:spacing w:line="360" w:lineRule="auto"/>
        <w:ind w:firstLine="426"/>
        <w:jc w:val="left"/>
        <w:rPr>
          <w:rFonts w:hint="eastAsia" w:ascii="宋体" w:hAnsi="宋体" w:eastAsia="宋体" w:cs="宋体"/>
          <w:color w:val="auto"/>
          <w:sz w:val="21"/>
          <w:szCs w:val="21"/>
          <w:highlight w:val="none"/>
          <w:lang w:val="en-US" w:eastAsia="zh-CN"/>
        </w:rPr>
      </w:pPr>
    </w:p>
    <w:p w14:paraId="354D520E">
      <w:pPr>
        <w:pStyle w:val="4"/>
        <w:keepLines w:val="0"/>
        <w:jc w:val="center"/>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rPr>
        <w:br w:type="page"/>
      </w:r>
      <w:bookmarkStart w:id="190" w:name="_Toc25961"/>
      <w:r>
        <w:rPr>
          <w:rFonts w:hint="eastAsia" w:ascii="宋体" w:hAnsi="宋体" w:eastAsia="宋体" w:cs="宋体"/>
          <w:color w:val="auto"/>
          <w:kern w:val="0"/>
          <w:sz w:val="24"/>
          <w:szCs w:val="21"/>
          <w:highlight w:val="none"/>
          <w:lang w:val="en-US" w:eastAsia="zh-CN"/>
        </w:rPr>
        <w:t>5</w:t>
      </w:r>
      <w:r>
        <w:rPr>
          <w:rFonts w:hint="eastAsia" w:ascii="宋体" w:hAnsi="宋体" w:eastAsia="宋体" w:cs="宋体"/>
          <w:color w:val="auto"/>
          <w:kern w:val="0"/>
          <w:sz w:val="24"/>
          <w:szCs w:val="21"/>
          <w:highlight w:val="none"/>
        </w:rPr>
        <w:t>.3项目负责人简历表</w:t>
      </w:r>
      <w:bookmarkEnd w:id="190"/>
    </w:p>
    <w:tbl>
      <w:tblPr>
        <w:tblStyle w:val="27"/>
        <w:tblW w:w="990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907"/>
        <w:gridCol w:w="832"/>
        <w:gridCol w:w="512"/>
        <w:gridCol w:w="113"/>
        <w:gridCol w:w="1416"/>
        <w:gridCol w:w="1417"/>
        <w:gridCol w:w="32"/>
        <w:gridCol w:w="1951"/>
        <w:gridCol w:w="319"/>
        <w:gridCol w:w="1401"/>
      </w:tblGrid>
      <w:tr w14:paraId="47B5A27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5825657B">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578304A5">
            <w:pPr>
              <w:pStyle w:val="16"/>
              <w:keepNext/>
              <w:jc w:val="center"/>
              <w:rPr>
                <w:rFonts w:hint="eastAsia" w:ascii="宋体" w:hAnsi="宋体" w:eastAsia="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52013680">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3B2E73E2">
            <w:pPr>
              <w:pStyle w:val="16"/>
              <w:keepNext/>
              <w:jc w:val="center"/>
              <w:rPr>
                <w:rFonts w:hint="eastAsia" w:ascii="宋体" w:hAnsi="宋体" w:eastAsia="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6508421B">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1632F269">
            <w:pPr>
              <w:pStyle w:val="16"/>
              <w:keepNext/>
              <w:jc w:val="center"/>
              <w:rPr>
                <w:rFonts w:hint="eastAsia" w:ascii="宋体" w:hAnsi="宋体" w:eastAsia="宋体" w:cs="宋体"/>
                <w:color w:val="auto"/>
                <w:highlight w:val="none"/>
              </w:rPr>
            </w:pPr>
          </w:p>
        </w:tc>
      </w:tr>
      <w:tr w14:paraId="074B10A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50B7C040">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0D0391D1">
            <w:pPr>
              <w:pStyle w:val="16"/>
              <w:keepNext/>
              <w:jc w:val="center"/>
              <w:rPr>
                <w:rFonts w:hint="eastAsia" w:ascii="宋体" w:hAnsi="宋体" w:eastAsia="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46287554">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毕业院校</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6C1543C5">
            <w:pPr>
              <w:pStyle w:val="16"/>
              <w:keepNext/>
              <w:jc w:val="center"/>
              <w:rPr>
                <w:rFonts w:hint="eastAsia" w:ascii="宋体" w:hAnsi="宋体" w:eastAsia="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4EAA4E6B">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专业</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4960D27E">
            <w:pPr>
              <w:pStyle w:val="16"/>
              <w:keepNext/>
              <w:jc w:val="center"/>
              <w:rPr>
                <w:rFonts w:hint="eastAsia" w:ascii="宋体" w:hAnsi="宋体" w:eastAsia="宋体" w:cs="宋体"/>
                <w:color w:val="auto"/>
                <w:highlight w:val="none"/>
              </w:rPr>
            </w:pPr>
          </w:p>
        </w:tc>
      </w:tr>
      <w:tr w14:paraId="4A2D7AB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noWrap/>
            <w:vAlign w:val="center"/>
          </w:tcPr>
          <w:p w14:paraId="47C1770D">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职务</w:t>
            </w:r>
          </w:p>
        </w:tc>
        <w:tc>
          <w:tcPr>
            <w:tcW w:w="1457" w:type="dxa"/>
            <w:gridSpan w:val="3"/>
            <w:tcBorders>
              <w:top w:val="single" w:color="000000" w:sz="4" w:space="0"/>
              <w:left w:val="single" w:color="000000" w:sz="4" w:space="0"/>
              <w:bottom w:val="single" w:color="000000" w:sz="4" w:space="0"/>
              <w:right w:val="single" w:color="000000" w:sz="4" w:space="0"/>
            </w:tcBorders>
            <w:noWrap/>
            <w:vAlign w:val="center"/>
          </w:tcPr>
          <w:p w14:paraId="6847B31D">
            <w:pPr>
              <w:pStyle w:val="16"/>
              <w:keepNext/>
              <w:jc w:val="center"/>
              <w:rPr>
                <w:rFonts w:hint="eastAsia" w:ascii="宋体" w:hAnsi="宋体" w:eastAsia="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noWrap/>
            <w:vAlign w:val="center"/>
          </w:tcPr>
          <w:p w14:paraId="2FF1FB08">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1417" w:type="dxa"/>
            <w:tcBorders>
              <w:top w:val="single" w:color="000000" w:sz="4" w:space="0"/>
              <w:left w:val="single" w:color="000000" w:sz="4" w:space="0"/>
              <w:bottom w:val="single" w:color="000000" w:sz="4" w:space="0"/>
              <w:right w:val="single" w:color="000000" w:sz="4" w:space="0"/>
            </w:tcBorders>
            <w:noWrap/>
            <w:vAlign w:val="center"/>
          </w:tcPr>
          <w:p w14:paraId="628DBDED">
            <w:pPr>
              <w:pStyle w:val="16"/>
              <w:keepNext/>
              <w:jc w:val="center"/>
              <w:rPr>
                <w:rFonts w:hint="eastAsia" w:ascii="宋体" w:hAnsi="宋体" w:eastAsia="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noWrap/>
            <w:vAlign w:val="center"/>
          </w:tcPr>
          <w:p w14:paraId="0D611114">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注册情况</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27E8E482">
            <w:pPr>
              <w:pStyle w:val="16"/>
              <w:keepNext/>
              <w:jc w:val="center"/>
              <w:rPr>
                <w:rFonts w:hint="eastAsia" w:ascii="宋体" w:hAnsi="宋体" w:eastAsia="宋体" w:cs="宋体"/>
                <w:color w:val="auto"/>
                <w:highlight w:val="none"/>
              </w:rPr>
            </w:pPr>
          </w:p>
        </w:tc>
      </w:tr>
      <w:tr w14:paraId="5FBBF86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739" w:type="dxa"/>
            <w:gridSpan w:val="2"/>
            <w:tcBorders>
              <w:top w:val="single" w:color="000000" w:sz="4" w:space="0"/>
              <w:left w:val="single" w:color="000000" w:sz="4" w:space="0"/>
              <w:bottom w:val="single" w:color="000000" w:sz="4" w:space="0"/>
              <w:right w:val="single" w:color="000000" w:sz="4" w:space="0"/>
            </w:tcBorders>
            <w:noWrap/>
            <w:vAlign w:val="center"/>
          </w:tcPr>
          <w:p w14:paraId="25505D39">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参加工作时间</w:t>
            </w:r>
          </w:p>
        </w:tc>
        <w:tc>
          <w:tcPr>
            <w:tcW w:w="2041" w:type="dxa"/>
            <w:gridSpan w:val="3"/>
            <w:tcBorders>
              <w:top w:val="single" w:color="000000" w:sz="4" w:space="0"/>
              <w:left w:val="single" w:color="000000" w:sz="4" w:space="0"/>
              <w:bottom w:val="single" w:color="000000" w:sz="4" w:space="0"/>
              <w:right w:val="single" w:color="000000" w:sz="4" w:space="0"/>
            </w:tcBorders>
            <w:noWrap/>
            <w:vAlign w:val="center"/>
          </w:tcPr>
          <w:p w14:paraId="692DFB3D">
            <w:pPr>
              <w:pStyle w:val="16"/>
              <w:keepNext/>
              <w:jc w:val="center"/>
              <w:rPr>
                <w:rFonts w:hint="eastAsia" w:ascii="宋体" w:hAnsi="宋体" w:eastAsia="宋体" w:cs="宋体"/>
                <w:color w:val="auto"/>
                <w:highlight w:val="none"/>
              </w:rPr>
            </w:pPr>
          </w:p>
        </w:tc>
        <w:tc>
          <w:tcPr>
            <w:tcW w:w="3400" w:type="dxa"/>
            <w:gridSpan w:val="3"/>
            <w:tcBorders>
              <w:top w:val="single" w:color="000000" w:sz="4" w:space="0"/>
              <w:left w:val="single" w:color="000000" w:sz="4" w:space="0"/>
              <w:bottom w:val="single" w:color="000000" w:sz="4" w:space="0"/>
              <w:right w:val="single" w:color="000000" w:sz="4" w:space="0"/>
            </w:tcBorders>
            <w:noWrap/>
            <w:vAlign w:val="center"/>
          </w:tcPr>
          <w:p w14:paraId="680DADE2">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从事项目负责人年限</w:t>
            </w:r>
          </w:p>
        </w:tc>
        <w:tc>
          <w:tcPr>
            <w:tcW w:w="1720" w:type="dxa"/>
            <w:gridSpan w:val="2"/>
            <w:tcBorders>
              <w:top w:val="single" w:color="000000" w:sz="4" w:space="0"/>
              <w:left w:val="single" w:color="000000" w:sz="4" w:space="0"/>
              <w:bottom w:val="single" w:color="000000" w:sz="4" w:space="0"/>
              <w:right w:val="single" w:color="000000" w:sz="4" w:space="0"/>
            </w:tcBorders>
            <w:noWrap/>
            <w:vAlign w:val="center"/>
          </w:tcPr>
          <w:p w14:paraId="65786075">
            <w:pPr>
              <w:pStyle w:val="16"/>
              <w:keepNext/>
              <w:jc w:val="center"/>
              <w:rPr>
                <w:rFonts w:hint="eastAsia" w:ascii="宋体" w:hAnsi="宋体" w:eastAsia="宋体" w:cs="宋体"/>
                <w:color w:val="auto"/>
                <w:highlight w:val="none"/>
              </w:rPr>
            </w:pPr>
          </w:p>
        </w:tc>
      </w:tr>
      <w:tr w14:paraId="467EED0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noWrap/>
            <w:vAlign w:val="center"/>
          </w:tcPr>
          <w:p w14:paraId="6BFC834B">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已完成项目情况</w:t>
            </w:r>
          </w:p>
        </w:tc>
      </w:tr>
      <w:tr w14:paraId="104DFB5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06898B4D">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2FB54A3C">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项目服务周期</w:t>
            </w: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3C0DFCF5">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担负的技术职务</w:t>
            </w: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761646F6">
            <w:pPr>
              <w:pStyle w:val="16"/>
              <w:keepNext/>
              <w:jc w:val="center"/>
              <w:rPr>
                <w:rFonts w:hint="eastAsia" w:ascii="宋体" w:hAnsi="宋体" w:eastAsia="宋体" w:cs="宋体"/>
                <w:color w:val="auto"/>
                <w:highlight w:val="none"/>
              </w:rPr>
            </w:pPr>
            <w:r>
              <w:rPr>
                <w:rFonts w:hint="eastAsia" w:ascii="宋体" w:hAnsi="宋体" w:eastAsia="宋体" w:cs="宋体"/>
                <w:color w:val="auto"/>
                <w:highlight w:val="none"/>
              </w:rPr>
              <w:t>获奖情况</w:t>
            </w:r>
          </w:p>
        </w:tc>
      </w:tr>
      <w:tr w14:paraId="28BAB02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649E1D0A">
            <w:pPr>
              <w:pStyle w:val="16"/>
              <w:keepNext/>
              <w:jc w:val="center"/>
              <w:rPr>
                <w:rFonts w:hint="eastAsia" w:ascii="宋体" w:hAnsi="宋体" w:eastAsia="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6C2A1718">
            <w:pPr>
              <w:pStyle w:val="16"/>
              <w:keepNext/>
              <w:jc w:val="center"/>
              <w:rPr>
                <w:rFonts w:hint="eastAsia" w:ascii="宋体" w:hAnsi="宋体" w:eastAsia="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3536C8FB">
            <w:pPr>
              <w:pStyle w:val="16"/>
              <w:keepNext/>
              <w:jc w:val="center"/>
              <w:rPr>
                <w:rFonts w:hint="eastAsia" w:ascii="宋体" w:hAnsi="宋体" w:eastAsia="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3266DD29">
            <w:pPr>
              <w:pStyle w:val="16"/>
              <w:keepNext/>
              <w:jc w:val="center"/>
              <w:rPr>
                <w:rFonts w:hint="eastAsia" w:ascii="宋体" w:hAnsi="宋体" w:eastAsia="宋体" w:cs="宋体"/>
                <w:color w:val="auto"/>
                <w:highlight w:val="none"/>
              </w:rPr>
            </w:pPr>
          </w:p>
        </w:tc>
      </w:tr>
      <w:tr w14:paraId="0239889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44D49A56">
            <w:pPr>
              <w:pStyle w:val="16"/>
              <w:keepNext/>
              <w:jc w:val="center"/>
              <w:rPr>
                <w:rFonts w:hint="eastAsia" w:ascii="宋体" w:hAnsi="宋体" w:eastAsia="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6FAC9CAE">
            <w:pPr>
              <w:pStyle w:val="16"/>
              <w:keepNext/>
              <w:jc w:val="center"/>
              <w:rPr>
                <w:rFonts w:hint="eastAsia" w:ascii="宋体" w:hAnsi="宋体" w:eastAsia="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662E0E42">
            <w:pPr>
              <w:pStyle w:val="16"/>
              <w:keepNext/>
              <w:jc w:val="center"/>
              <w:rPr>
                <w:rFonts w:hint="eastAsia" w:ascii="宋体" w:hAnsi="宋体" w:eastAsia="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054A80C0">
            <w:pPr>
              <w:pStyle w:val="16"/>
              <w:keepNext/>
              <w:jc w:val="center"/>
              <w:rPr>
                <w:rFonts w:hint="eastAsia" w:ascii="宋体" w:hAnsi="宋体" w:eastAsia="宋体" w:cs="宋体"/>
                <w:color w:val="auto"/>
                <w:highlight w:val="none"/>
              </w:rPr>
            </w:pPr>
          </w:p>
        </w:tc>
      </w:tr>
      <w:tr w14:paraId="43AAE0D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4E2E4491">
            <w:pPr>
              <w:pStyle w:val="16"/>
              <w:keepNext/>
              <w:jc w:val="center"/>
              <w:rPr>
                <w:rFonts w:hint="eastAsia" w:ascii="宋体" w:hAnsi="宋体" w:eastAsia="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03494804">
            <w:pPr>
              <w:pStyle w:val="16"/>
              <w:keepNext/>
              <w:jc w:val="center"/>
              <w:rPr>
                <w:rFonts w:hint="eastAsia" w:ascii="宋体" w:hAnsi="宋体" w:eastAsia="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3A1EAF52">
            <w:pPr>
              <w:pStyle w:val="16"/>
              <w:keepNext/>
              <w:jc w:val="center"/>
              <w:rPr>
                <w:rFonts w:hint="eastAsia" w:ascii="宋体" w:hAnsi="宋体" w:eastAsia="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1CAD35DC">
            <w:pPr>
              <w:pStyle w:val="16"/>
              <w:keepNext/>
              <w:jc w:val="center"/>
              <w:rPr>
                <w:rFonts w:hint="eastAsia" w:ascii="宋体" w:hAnsi="宋体" w:eastAsia="宋体" w:cs="宋体"/>
                <w:color w:val="auto"/>
                <w:highlight w:val="none"/>
              </w:rPr>
            </w:pPr>
          </w:p>
        </w:tc>
      </w:tr>
      <w:tr w14:paraId="0874207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noWrap/>
            <w:vAlign w:val="center"/>
          </w:tcPr>
          <w:p w14:paraId="29D93EC7">
            <w:pPr>
              <w:pStyle w:val="16"/>
              <w:keepNext/>
              <w:jc w:val="center"/>
              <w:rPr>
                <w:rFonts w:hint="eastAsia" w:ascii="宋体" w:hAnsi="宋体" w:eastAsia="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noWrap/>
            <w:vAlign w:val="center"/>
          </w:tcPr>
          <w:p w14:paraId="46C2D4D9">
            <w:pPr>
              <w:pStyle w:val="16"/>
              <w:keepNext/>
              <w:jc w:val="center"/>
              <w:rPr>
                <w:rFonts w:hint="eastAsia" w:ascii="宋体" w:hAnsi="宋体" w:eastAsia="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noWrap/>
            <w:vAlign w:val="center"/>
          </w:tcPr>
          <w:p w14:paraId="5B359E72">
            <w:pPr>
              <w:pStyle w:val="16"/>
              <w:keepNext/>
              <w:jc w:val="center"/>
              <w:rPr>
                <w:rFonts w:hint="eastAsia" w:ascii="宋体" w:hAnsi="宋体" w:eastAsia="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noWrap/>
            <w:vAlign w:val="center"/>
          </w:tcPr>
          <w:p w14:paraId="72555593">
            <w:pPr>
              <w:pStyle w:val="16"/>
              <w:keepNext/>
              <w:jc w:val="center"/>
              <w:rPr>
                <w:rFonts w:hint="eastAsia" w:ascii="宋体" w:hAnsi="宋体" w:eastAsia="宋体" w:cs="宋体"/>
                <w:color w:val="auto"/>
                <w:highlight w:val="none"/>
              </w:rPr>
            </w:pPr>
          </w:p>
        </w:tc>
      </w:tr>
      <w:tr w14:paraId="6485508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noWrap/>
            <w:vAlign w:val="center"/>
          </w:tcPr>
          <w:p w14:paraId="765FEF0E">
            <w:pPr>
              <w:pStyle w:val="16"/>
              <w:keepNext/>
              <w:rPr>
                <w:rFonts w:hint="eastAsia" w:ascii="宋体" w:hAnsi="宋体" w:eastAsia="宋体" w:cs="宋体"/>
                <w:color w:val="auto"/>
                <w:highlight w:val="none"/>
              </w:rPr>
            </w:pPr>
            <w:r>
              <w:rPr>
                <w:rFonts w:hint="eastAsia" w:ascii="宋体" w:hAnsi="宋体" w:eastAsia="宋体" w:cs="宋体"/>
                <w:color w:val="auto"/>
                <w:highlight w:val="none"/>
              </w:rPr>
              <w:t>简介：</w:t>
            </w:r>
          </w:p>
          <w:p w14:paraId="75497BF9">
            <w:pPr>
              <w:pStyle w:val="16"/>
              <w:keepNext/>
              <w:jc w:val="center"/>
              <w:rPr>
                <w:rFonts w:hint="eastAsia" w:ascii="宋体" w:hAnsi="宋体" w:eastAsia="宋体" w:cs="宋体"/>
                <w:color w:val="auto"/>
                <w:highlight w:val="none"/>
              </w:rPr>
            </w:pPr>
          </w:p>
          <w:p w14:paraId="569847A5">
            <w:pPr>
              <w:pStyle w:val="16"/>
              <w:keepNext/>
              <w:jc w:val="center"/>
              <w:rPr>
                <w:rFonts w:hint="eastAsia" w:ascii="宋体" w:hAnsi="宋体" w:eastAsia="宋体" w:cs="宋体"/>
                <w:color w:val="auto"/>
                <w:highlight w:val="none"/>
              </w:rPr>
            </w:pPr>
          </w:p>
          <w:p w14:paraId="37B150DD">
            <w:pPr>
              <w:pStyle w:val="16"/>
              <w:keepNext/>
              <w:jc w:val="center"/>
              <w:rPr>
                <w:rFonts w:hint="eastAsia" w:ascii="宋体" w:hAnsi="宋体" w:eastAsia="宋体" w:cs="宋体"/>
                <w:color w:val="auto"/>
                <w:highlight w:val="none"/>
              </w:rPr>
            </w:pPr>
          </w:p>
          <w:p w14:paraId="584B366B">
            <w:pPr>
              <w:pStyle w:val="16"/>
              <w:keepNext/>
              <w:jc w:val="center"/>
              <w:rPr>
                <w:rFonts w:hint="eastAsia" w:ascii="宋体" w:hAnsi="宋体" w:eastAsia="宋体" w:cs="宋体"/>
                <w:color w:val="auto"/>
                <w:highlight w:val="none"/>
              </w:rPr>
            </w:pPr>
          </w:p>
          <w:p w14:paraId="2A97D436">
            <w:pPr>
              <w:pStyle w:val="16"/>
              <w:keepNext/>
              <w:rPr>
                <w:rFonts w:hint="eastAsia" w:ascii="宋体" w:hAnsi="宋体" w:eastAsia="宋体" w:cs="宋体"/>
                <w:color w:val="auto"/>
                <w:highlight w:val="none"/>
              </w:rPr>
            </w:pPr>
          </w:p>
        </w:tc>
      </w:tr>
    </w:tbl>
    <w:p w14:paraId="6EB5AEA3">
      <w:pPr>
        <w:keepNext/>
        <w:spacing w:line="360" w:lineRule="auto"/>
        <w:ind w:left="-178" w:leftChars="-85"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注：附项目负责人学历证、</w:t>
      </w:r>
      <w:r>
        <w:rPr>
          <w:rFonts w:hint="eastAsia" w:ascii="宋体" w:hAnsi="宋体" w:eastAsia="宋体" w:cs="宋体"/>
          <w:bCs/>
          <w:color w:val="auto"/>
          <w:sz w:val="21"/>
          <w:szCs w:val="21"/>
          <w:highlight w:val="none"/>
        </w:rPr>
        <w:t>职称证（如有）、</w:t>
      </w:r>
      <w:r>
        <w:rPr>
          <w:rFonts w:hint="eastAsia" w:ascii="宋体" w:hAnsi="宋体" w:eastAsia="宋体" w:cs="宋体"/>
          <w:color w:val="auto"/>
          <w:sz w:val="21"/>
          <w:szCs w:val="21"/>
          <w:highlight w:val="none"/>
        </w:rPr>
        <w:t>执业或职业或注册资格证书（</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rPr>
        <w:t>）、身份证、人员在职证明材料（如近半年内的</w:t>
      </w:r>
      <w:r>
        <w:rPr>
          <w:rFonts w:hint="eastAsia" w:ascii="宋体" w:hAnsi="宋体" w:eastAsia="宋体" w:cs="宋体"/>
          <w:color w:val="auto"/>
          <w:sz w:val="21"/>
          <w:szCs w:val="21"/>
          <w:highlight w:val="none"/>
          <w:lang w:eastAsia="zh-CN"/>
        </w:rPr>
        <w:t>社保证明</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劳动合同、</w:t>
      </w:r>
      <w:r>
        <w:rPr>
          <w:rFonts w:hint="eastAsia" w:ascii="宋体" w:hAnsi="宋体" w:eastAsia="宋体" w:cs="宋体"/>
          <w:color w:val="auto"/>
          <w:sz w:val="21"/>
          <w:szCs w:val="21"/>
          <w:highlight w:val="none"/>
          <w:lang w:val="en-US" w:eastAsia="zh-CN"/>
        </w:rPr>
        <w:t>事业单位聘用证明材料等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、项目负责人202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年以来类似</w:t>
      </w:r>
      <w:r>
        <w:rPr>
          <w:rFonts w:hint="eastAsia" w:ascii="宋体" w:hAnsi="宋体" w:eastAsia="宋体" w:cs="宋体"/>
          <w:color w:val="auto"/>
          <w:sz w:val="21"/>
          <w:szCs w:val="21"/>
          <w:highlight w:val="none"/>
          <w:lang w:eastAsia="zh-CN"/>
        </w:rPr>
        <w:t>项目实施经验</w:t>
      </w:r>
      <w:r>
        <w:rPr>
          <w:rFonts w:hint="eastAsia" w:ascii="宋体" w:hAnsi="宋体" w:eastAsia="宋体" w:cs="宋体"/>
          <w:color w:val="auto"/>
          <w:sz w:val="21"/>
          <w:szCs w:val="21"/>
          <w:highlight w:val="none"/>
        </w:rPr>
        <w:t>证明材料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合同协议书或业主评价意见或验收（履约）证明材料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、相关荣誉（如有）等相关资料复印件。</w:t>
      </w:r>
    </w:p>
    <w:p w14:paraId="3456D834">
      <w:pPr>
        <w:keepNext/>
        <w:spacing w:before="60" w:after="60" w:line="340" w:lineRule="exact"/>
        <w:ind w:hanging="35"/>
        <w:rPr>
          <w:rFonts w:hint="eastAsia" w:ascii="宋体" w:hAnsi="宋体" w:eastAsia="宋体" w:cs="宋体"/>
          <w:color w:val="auto"/>
          <w:szCs w:val="21"/>
          <w:highlight w:val="none"/>
        </w:rPr>
      </w:pPr>
    </w:p>
    <w:p w14:paraId="2DA29085">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45772D8F">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1489C340">
      <w:pPr>
        <w:spacing w:line="460" w:lineRule="exact"/>
        <w:ind w:firstLine="279" w:firstLineChars="133"/>
        <w:rPr>
          <w:rFonts w:hint="eastAsia" w:ascii="宋体" w:hAnsi="宋体" w:eastAsia="宋体" w:cs="宋体"/>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266CAFA">
      <w:pPr>
        <w:spacing w:line="360" w:lineRule="auto"/>
        <w:ind w:firstLine="420" w:firstLineChars="200"/>
        <w:rPr>
          <w:rFonts w:hint="eastAsia" w:ascii="宋体" w:hAnsi="宋体" w:eastAsia="宋体" w:cs="宋体"/>
          <w:color w:val="auto"/>
          <w:szCs w:val="21"/>
          <w:highlight w:val="none"/>
        </w:rPr>
      </w:pPr>
    </w:p>
    <w:p w14:paraId="2F8F094B">
      <w:pPr>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CD9F41">
      <w:pPr>
        <w:pStyle w:val="41"/>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项目团队</w:t>
      </w:r>
      <w:r>
        <w:rPr>
          <w:rFonts w:hint="eastAsia" w:ascii="宋体" w:hAnsi="宋体" w:eastAsia="宋体" w:cs="宋体"/>
          <w:b/>
          <w:color w:val="auto"/>
          <w:sz w:val="24"/>
          <w:szCs w:val="24"/>
          <w:highlight w:val="none"/>
          <w:lang w:eastAsia="zh-CN"/>
        </w:rPr>
        <w:t>技术人员</w:t>
      </w:r>
      <w:r>
        <w:rPr>
          <w:rFonts w:hint="eastAsia" w:ascii="宋体" w:hAnsi="宋体" w:eastAsia="宋体" w:cs="宋体"/>
          <w:b/>
          <w:color w:val="auto"/>
          <w:sz w:val="24"/>
          <w:szCs w:val="24"/>
          <w:highlight w:val="none"/>
        </w:rPr>
        <w:t>情况表</w:t>
      </w:r>
    </w:p>
    <w:p w14:paraId="659CDF5A">
      <w:pPr>
        <w:pStyle w:val="41"/>
        <w:jc w:val="center"/>
        <w:rPr>
          <w:rFonts w:hint="eastAsia" w:ascii="宋体" w:hAnsi="宋体" w:eastAsia="宋体" w:cs="宋体"/>
          <w:b/>
          <w:color w:val="auto"/>
          <w:sz w:val="24"/>
          <w:szCs w:val="24"/>
          <w:highlight w:val="none"/>
          <w:lang w:eastAsia="zh-CN"/>
        </w:rPr>
      </w:pPr>
    </w:p>
    <w:p w14:paraId="6EED6D8A">
      <w:pPr>
        <w:pStyle w:val="41"/>
        <w:rPr>
          <w:rFonts w:hint="eastAsia" w:ascii="宋体" w:hAnsi="宋体" w:eastAsia="宋体" w:cs="宋体"/>
          <w:b/>
          <w:color w:val="auto"/>
          <w:sz w:val="24"/>
          <w:szCs w:val="24"/>
          <w:highlight w:val="none"/>
        </w:rPr>
      </w:pPr>
    </w:p>
    <w:tbl>
      <w:tblPr>
        <w:tblStyle w:val="27"/>
        <w:tblW w:w="9759"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1665"/>
        <w:gridCol w:w="1203"/>
        <w:gridCol w:w="1573"/>
        <w:gridCol w:w="1825"/>
        <w:gridCol w:w="2344"/>
      </w:tblGrid>
      <w:tr w14:paraId="7568A80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149" w:type="dxa"/>
            <w:tcBorders>
              <w:top w:val="single" w:color="000000" w:sz="4" w:space="0"/>
              <w:left w:val="single" w:color="000000" w:sz="4" w:space="0"/>
              <w:bottom w:val="single" w:color="000000" w:sz="4" w:space="0"/>
              <w:right w:val="single" w:color="000000" w:sz="4" w:space="0"/>
            </w:tcBorders>
            <w:noWrap/>
            <w:vAlign w:val="center"/>
          </w:tcPr>
          <w:p w14:paraId="39A621D1">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1665" w:type="dxa"/>
            <w:tcBorders>
              <w:top w:val="single" w:color="000000" w:sz="4" w:space="0"/>
              <w:left w:val="single" w:color="000000" w:sz="4" w:space="0"/>
              <w:bottom w:val="single" w:color="000000" w:sz="4" w:space="0"/>
              <w:right w:val="single" w:color="auto" w:sz="4" w:space="0"/>
            </w:tcBorders>
            <w:noWrap/>
            <w:vAlign w:val="center"/>
          </w:tcPr>
          <w:p w14:paraId="67804638">
            <w:pPr>
              <w:pStyle w:val="1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在本项目担任的职务</w:t>
            </w:r>
            <w:r>
              <w:rPr>
                <w:rFonts w:hint="eastAsia" w:ascii="宋体" w:hAnsi="宋体" w:eastAsia="宋体" w:cs="宋体"/>
                <w:color w:val="auto"/>
                <w:highlight w:val="none"/>
                <w:lang w:val="en-US" w:eastAsia="zh-CN"/>
              </w:rPr>
              <w:t>和技术分工情况</w:t>
            </w:r>
          </w:p>
        </w:tc>
        <w:tc>
          <w:tcPr>
            <w:tcW w:w="1203" w:type="dxa"/>
            <w:tcBorders>
              <w:top w:val="single" w:color="000000" w:sz="4" w:space="0"/>
              <w:left w:val="single" w:color="auto" w:sz="4" w:space="0"/>
              <w:bottom w:val="single" w:color="000000" w:sz="4" w:space="0"/>
              <w:right w:val="single" w:color="000000" w:sz="4" w:space="0"/>
            </w:tcBorders>
            <w:noWrap/>
            <w:vAlign w:val="center"/>
          </w:tcPr>
          <w:p w14:paraId="0CD3E6EA">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2FA0C0FB">
            <w:pPr>
              <w:pStyle w:val="1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性别及年龄</w:t>
            </w: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98BAC9D">
            <w:pPr>
              <w:pStyle w:val="16"/>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职称或</w:t>
            </w:r>
            <w:r>
              <w:rPr>
                <w:rFonts w:hint="eastAsia" w:ascii="宋体" w:hAnsi="宋体" w:eastAsia="宋体" w:cs="宋体"/>
                <w:color w:val="auto"/>
                <w:highlight w:val="none"/>
                <w:lang w:val="en-US" w:eastAsia="zh-CN"/>
              </w:rPr>
              <w:t>执业</w:t>
            </w:r>
            <w:r>
              <w:rPr>
                <w:rFonts w:hint="eastAsia" w:ascii="宋体" w:hAnsi="宋体" w:eastAsia="宋体" w:cs="宋体"/>
                <w:color w:val="auto"/>
                <w:highlight w:val="none"/>
              </w:rPr>
              <w:t>证书</w:t>
            </w:r>
            <w:r>
              <w:rPr>
                <w:rFonts w:hint="eastAsia" w:ascii="宋体" w:hAnsi="宋体" w:eastAsia="宋体" w:cs="宋体"/>
                <w:color w:val="auto"/>
                <w:highlight w:val="none"/>
                <w:lang w:val="en-US" w:eastAsia="zh-CN"/>
              </w:rPr>
              <w:t>或相关证书情况</w:t>
            </w:r>
          </w:p>
        </w:tc>
        <w:tc>
          <w:tcPr>
            <w:tcW w:w="2344" w:type="dxa"/>
            <w:tcBorders>
              <w:top w:val="single" w:color="000000" w:sz="4" w:space="0"/>
              <w:left w:val="single" w:color="auto" w:sz="4" w:space="0"/>
              <w:bottom w:val="single" w:color="000000" w:sz="4" w:space="0"/>
              <w:right w:val="single" w:color="000000" w:sz="4" w:space="0"/>
            </w:tcBorders>
            <w:noWrap/>
            <w:vAlign w:val="center"/>
          </w:tcPr>
          <w:p w14:paraId="099F9175">
            <w:pPr>
              <w:pStyle w:val="16"/>
              <w:rPr>
                <w:rFonts w:hint="eastAsia" w:ascii="宋体" w:hAnsi="宋体" w:eastAsia="宋体" w:cs="宋体"/>
                <w:color w:val="auto"/>
                <w:highlight w:val="none"/>
              </w:rPr>
            </w:pPr>
            <w:r>
              <w:rPr>
                <w:rFonts w:hint="eastAsia" w:ascii="宋体" w:hAnsi="宋体" w:eastAsia="宋体" w:cs="宋体"/>
                <w:color w:val="auto"/>
                <w:highlight w:val="none"/>
              </w:rPr>
              <w:t>简介：主要资历、经验及承担过的项目等</w:t>
            </w:r>
          </w:p>
        </w:tc>
      </w:tr>
      <w:tr w14:paraId="4FF0623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restart"/>
            <w:tcBorders>
              <w:top w:val="single" w:color="000000" w:sz="4" w:space="0"/>
              <w:left w:val="single" w:color="000000" w:sz="4" w:space="0"/>
              <w:bottom w:val="single" w:color="000000" w:sz="4" w:space="0"/>
              <w:right w:val="single" w:color="000000" w:sz="4" w:space="0"/>
            </w:tcBorders>
            <w:noWrap/>
            <w:vAlign w:val="center"/>
          </w:tcPr>
          <w:p w14:paraId="412496B2">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各</w:t>
            </w:r>
          </w:p>
          <w:p w14:paraId="2A12B59A">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专</w:t>
            </w:r>
          </w:p>
          <w:p w14:paraId="79324C9D">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业</w:t>
            </w:r>
          </w:p>
          <w:p w14:paraId="164C0165">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主</w:t>
            </w:r>
          </w:p>
          <w:p w14:paraId="37EEA443">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要</w:t>
            </w:r>
          </w:p>
          <w:p w14:paraId="6DDC5AA6">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技</w:t>
            </w:r>
          </w:p>
          <w:p w14:paraId="2D3E51DB">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术</w:t>
            </w:r>
          </w:p>
          <w:p w14:paraId="282BF5C6">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负</w:t>
            </w:r>
          </w:p>
          <w:p w14:paraId="54A96351">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责</w:t>
            </w:r>
          </w:p>
          <w:p w14:paraId="0E94A167">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665" w:type="dxa"/>
            <w:tcBorders>
              <w:top w:val="single" w:color="000000" w:sz="4" w:space="0"/>
              <w:left w:val="single" w:color="000000" w:sz="4" w:space="0"/>
              <w:bottom w:val="single" w:color="000000" w:sz="4" w:space="0"/>
              <w:right w:val="single" w:color="auto" w:sz="4" w:space="0"/>
            </w:tcBorders>
            <w:noWrap/>
            <w:vAlign w:val="center"/>
          </w:tcPr>
          <w:p w14:paraId="3D84747B">
            <w:pPr>
              <w:pStyle w:val="16"/>
              <w:jc w:val="center"/>
              <w:rPr>
                <w:rFonts w:hint="eastAsia" w:ascii="宋体" w:hAnsi="宋体" w:eastAsia="宋体" w:cs="宋体"/>
                <w:color w:val="auto"/>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66B4F9F4">
            <w:pPr>
              <w:pStyle w:val="22"/>
              <w:ind w:right="210" w:firstLine="560"/>
              <w:jc w:val="center"/>
              <w:rPr>
                <w:rFonts w:hint="eastAsia" w:ascii="宋体" w:hAnsi="宋体" w:eastAsia="宋体" w:cs="宋体"/>
                <w:color w:val="auto"/>
                <w:szCs w:val="21"/>
                <w:highlight w:val="none"/>
                <w:lang w:val="zh-CN"/>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090E38C0">
            <w:pPr>
              <w:pStyle w:val="22"/>
              <w:ind w:right="210" w:firstLine="560"/>
              <w:jc w:val="center"/>
              <w:rPr>
                <w:rFonts w:hint="eastAsia" w:ascii="宋体" w:hAnsi="宋体" w:eastAsia="宋体" w:cs="宋体"/>
                <w:color w:val="auto"/>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6E64D7F1">
            <w:pPr>
              <w:pStyle w:val="22"/>
              <w:ind w:right="210" w:firstLine="560"/>
              <w:jc w:val="center"/>
              <w:rPr>
                <w:rFonts w:hint="eastAsia" w:ascii="宋体" w:hAnsi="宋体" w:eastAsia="宋体" w:cs="宋体"/>
                <w:color w:val="auto"/>
                <w:szCs w:val="21"/>
                <w:highlight w:val="none"/>
                <w:lang w:val="zh-CN"/>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4197C231">
            <w:pPr>
              <w:pStyle w:val="22"/>
              <w:ind w:right="210" w:firstLine="560"/>
              <w:jc w:val="center"/>
              <w:rPr>
                <w:rFonts w:hint="eastAsia" w:ascii="宋体" w:hAnsi="宋体" w:eastAsia="宋体" w:cs="宋体"/>
                <w:color w:val="auto"/>
                <w:szCs w:val="21"/>
                <w:highlight w:val="none"/>
                <w:lang w:val="zh-CN"/>
              </w:rPr>
            </w:pPr>
          </w:p>
        </w:tc>
      </w:tr>
      <w:tr w14:paraId="0744210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5624E75">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9403E02">
            <w:pPr>
              <w:pStyle w:val="16"/>
              <w:jc w:val="center"/>
              <w:rPr>
                <w:rFonts w:hint="eastAsia" w:ascii="宋体" w:hAnsi="宋体" w:eastAsia="宋体" w:cs="宋体"/>
                <w:color w:val="auto"/>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50F625C">
            <w:pPr>
              <w:pStyle w:val="22"/>
              <w:ind w:right="210" w:firstLine="560"/>
              <w:jc w:val="center"/>
              <w:rPr>
                <w:rFonts w:hint="eastAsia" w:ascii="宋体" w:hAnsi="宋体" w:eastAsia="宋体" w:cs="宋体"/>
                <w:color w:val="auto"/>
                <w:szCs w:val="21"/>
                <w:highlight w:val="none"/>
                <w:lang w:val="zh-CN"/>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1C6A7F4F">
            <w:pPr>
              <w:pStyle w:val="22"/>
              <w:ind w:right="210" w:firstLine="560"/>
              <w:jc w:val="center"/>
              <w:rPr>
                <w:rFonts w:hint="eastAsia" w:ascii="宋体" w:hAnsi="宋体" w:eastAsia="宋体" w:cs="宋体"/>
                <w:color w:val="auto"/>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DFBB6CD">
            <w:pPr>
              <w:pStyle w:val="22"/>
              <w:ind w:right="210" w:firstLine="560"/>
              <w:jc w:val="center"/>
              <w:rPr>
                <w:rFonts w:hint="eastAsia" w:ascii="宋体" w:hAnsi="宋体" w:eastAsia="宋体" w:cs="宋体"/>
                <w:color w:val="auto"/>
                <w:szCs w:val="21"/>
                <w:highlight w:val="none"/>
                <w:lang w:val="zh-CN"/>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650CB9AF">
            <w:pPr>
              <w:pStyle w:val="22"/>
              <w:ind w:right="210" w:firstLine="560"/>
              <w:jc w:val="center"/>
              <w:rPr>
                <w:rFonts w:hint="eastAsia" w:ascii="宋体" w:hAnsi="宋体" w:eastAsia="宋体" w:cs="宋体"/>
                <w:color w:val="auto"/>
                <w:szCs w:val="21"/>
                <w:highlight w:val="none"/>
                <w:lang w:val="zh-CN"/>
              </w:rPr>
            </w:pPr>
          </w:p>
        </w:tc>
      </w:tr>
      <w:tr w14:paraId="65F1DD2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73FA4DDC">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EB62D13">
            <w:pPr>
              <w:pStyle w:val="16"/>
              <w:jc w:val="center"/>
              <w:rPr>
                <w:rFonts w:hint="eastAsia" w:ascii="宋体" w:hAnsi="宋体" w:eastAsia="宋体" w:cs="宋体"/>
                <w:color w:val="auto"/>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353D10B4">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181F2462">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788E7659">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38880A0B">
            <w:pPr>
              <w:pStyle w:val="16"/>
              <w:jc w:val="center"/>
              <w:rPr>
                <w:rFonts w:hint="eastAsia" w:ascii="宋体" w:hAnsi="宋体" w:eastAsia="宋体" w:cs="宋体"/>
                <w:color w:val="auto"/>
                <w:highlight w:val="none"/>
              </w:rPr>
            </w:pPr>
          </w:p>
        </w:tc>
      </w:tr>
      <w:tr w14:paraId="61D3644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552C71E5">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3E1DAE5A">
            <w:pPr>
              <w:pStyle w:val="16"/>
              <w:jc w:val="center"/>
              <w:rPr>
                <w:rFonts w:hint="eastAsia" w:ascii="宋体" w:hAnsi="宋体" w:eastAsia="宋体" w:cs="宋体"/>
                <w:color w:val="auto"/>
                <w:highlight w:val="none"/>
                <w:lang w:val="zh-CN"/>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6B7A722E">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36EE1984">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DAD7AE7">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6C8BDE15">
            <w:pPr>
              <w:pStyle w:val="16"/>
              <w:jc w:val="center"/>
              <w:rPr>
                <w:rFonts w:hint="eastAsia" w:ascii="宋体" w:hAnsi="宋体" w:eastAsia="宋体" w:cs="宋体"/>
                <w:color w:val="auto"/>
                <w:highlight w:val="none"/>
              </w:rPr>
            </w:pPr>
          </w:p>
        </w:tc>
      </w:tr>
      <w:tr w14:paraId="75F0143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3CFDC94B">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1B6583A0">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2D2D6CC">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33D3744C">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1C121EA3">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7CE93F85">
            <w:pPr>
              <w:pStyle w:val="16"/>
              <w:jc w:val="center"/>
              <w:rPr>
                <w:rFonts w:hint="eastAsia" w:ascii="宋体" w:hAnsi="宋体" w:eastAsia="宋体" w:cs="宋体"/>
                <w:color w:val="auto"/>
                <w:highlight w:val="none"/>
              </w:rPr>
            </w:pPr>
          </w:p>
        </w:tc>
      </w:tr>
      <w:tr w14:paraId="1CBA330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0AD6912E">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1346E4C4">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1951E60C">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29B73D4C">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3FD6BD8">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2225CCE0">
            <w:pPr>
              <w:pStyle w:val="16"/>
              <w:jc w:val="center"/>
              <w:rPr>
                <w:rFonts w:hint="eastAsia" w:ascii="宋体" w:hAnsi="宋体" w:eastAsia="宋体" w:cs="宋体"/>
                <w:color w:val="auto"/>
                <w:highlight w:val="none"/>
              </w:rPr>
            </w:pPr>
          </w:p>
        </w:tc>
      </w:tr>
      <w:tr w14:paraId="18BBB8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46B05491">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5C1931A8">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5A4D3099">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74600C5B">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38FD48E">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1E4FF63E">
            <w:pPr>
              <w:pStyle w:val="16"/>
              <w:jc w:val="center"/>
              <w:rPr>
                <w:rFonts w:hint="eastAsia" w:ascii="宋体" w:hAnsi="宋体" w:eastAsia="宋体" w:cs="宋体"/>
                <w:color w:val="auto"/>
                <w:highlight w:val="none"/>
              </w:rPr>
            </w:pPr>
          </w:p>
        </w:tc>
      </w:tr>
      <w:tr w14:paraId="288E81D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4E8564BE">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1A94759A">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1CA28FF4">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21056B7A">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0A8B2F4E">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4D798D90">
            <w:pPr>
              <w:pStyle w:val="16"/>
              <w:jc w:val="center"/>
              <w:rPr>
                <w:rFonts w:hint="eastAsia" w:ascii="宋体" w:hAnsi="宋体" w:eastAsia="宋体" w:cs="宋体"/>
                <w:color w:val="auto"/>
                <w:highlight w:val="none"/>
              </w:rPr>
            </w:pPr>
          </w:p>
        </w:tc>
      </w:tr>
      <w:tr w14:paraId="73585D4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7DAB7D28">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5931C0A5">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21503CF9">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6D10A416">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80B8682">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4110EA55">
            <w:pPr>
              <w:pStyle w:val="16"/>
              <w:jc w:val="center"/>
              <w:rPr>
                <w:rFonts w:hint="eastAsia" w:ascii="宋体" w:hAnsi="宋体" w:eastAsia="宋体" w:cs="宋体"/>
                <w:color w:val="auto"/>
                <w:highlight w:val="none"/>
              </w:rPr>
            </w:pPr>
          </w:p>
        </w:tc>
      </w:tr>
      <w:tr w14:paraId="1784638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5EFB80D">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5151F228">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471340B8">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10ECBDCF">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2EB1ED4">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270F6F4F">
            <w:pPr>
              <w:pStyle w:val="16"/>
              <w:jc w:val="center"/>
              <w:rPr>
                <w:rFonts w:hint="eastAsia" w:ascii="宋体" w:hAnsi="宋体" w:eastAsia="宋体" w:cs="宋体"/>
                <w:color w:val="auto"/>
                <w:highlight w:val="none"/>
              </w:rPr>
            </w:pPr>
          </w:p>
        </w:tc>
      </w:tr>
      <w:tr w14:paraId="4AA0CE3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24204AEC">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42336D63">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1D0F1805">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1A6625C9">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B4359B2">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50259C6C">
            <w:pPr>
              <w:pStyle w:val="16"/>
              <w:jc w:val="center"/>
              <w:rPr>
                <w:rFonts w:hint="eastAsia" w:ascii="宋体" w:hAnsi="宋体" w:eastAsia="宋体" w:cs="宋体"/>
                <w:color w:val="auto"/>
                <w:highlight w:val="none"/>
              </w:rPr>
            </w:pPr>
          </w:p>
        </w:tc>
      </w:tr>
      <w:tr w14:paraId="0E8A2B3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1CAAF18D">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1F07DDF9">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78F4B979">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088A528B">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565E5EA6">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5CA66501">
            <w:pPr>
              <w:pStyle w:val="16"/>
              <w:jc w:val="center"/>
              <w:rPr>
                <w:rFonts w:hint="eastAsia" w:ascii="宋体" w:hAnsi="宋体" w:eastAsia="宋体" w:cs="宋体"/>
                <w:color w:val="auto"/>
                <w:highlight w:val="none"/>
              </w:rPr>
            </w:pPr>
          </w:p>
        </w:tc>
      </w:tr>
      <w:tr w14:paraId="154516E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1B1E6C6A">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47D6BC33">
            <w:pPr>
              <w:pStyle w:val="16"/>
              <w:jc w:val="center"/>
              <w:rPr>
                <w:rFonts w:hint="eastAsia" w:ascii="宋体" w:hAnsi="宋体" w:eastAsia="宋体" w:cs="宋体"/>
                <w:color w:val="auto"/>
                <w:highlight w:val="none"/>
              </w:rPr>
            </w:pPr>
          </w:p>
        </w:tc>
        <w:tc>
          <w:tcPr>
            <w:tcW w:w="1203" w:type="dxa"/>
            <w:tcBorders>
              <w:top w:val="single" w:color="000000" w:sz="4" w:space="0"/>
              <w:left w:val="single" w:color="auto" w:sz="4" w:space="0"/>
              <w:bottom w:val="single" w:color="000000" w:sz="4" w:space="0"/>
              <w:right w:val="single" w:color="000000" w:sz="4" w:space="0"/>
            </w:tcBorders>
            <w:noWrap/>
            <w:vAlign w:val="center"/>
          </w:tcPr>
          <w:p w14:paraId="4EDA450E">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2DE4BB50">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5E3A74E">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4EB677B2">
            <w:pPr>
              <w:pStyle w:val="16"/>
              <w:jc w:val="center"/>
              <w:rPr>
                <w:rFonts w:hint="eastAsia" w:ascii="宋体" w:hAnsi="宋体" w:eastAsia="宋体" w:cs="宋体"/>
                <w:color w:val="auto"/>
                <w:highlight w:val="none"/>
              </w:rPr>
            </w:pPr>
          </w:p>
        </w:tc>
      </w:tr>
      <w:tr w14:paraId="10C24F6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noWrap/>
            <w:vAlign w:val="center"/>
          </w:tcPr>
          <w:p w14:paraId="5B101CC7">
            <w:pPr>
              <w:widowControl/>
              <w:jc w:val="left"/>
              <w:rPr>
                <w:rFonts w:hint="eastAsia" w:ascii="宋体" w:hAnsi="宋体" w:eastAsia="宋体" w:cs="宋体"/>
                <w:color w:val="auto"/>
                <w:szCs w:val="21"/>
                <w:highlight w:val="none"/>
              </w:rPr>
            </w:pPr>
          </w:p>
        </w:tc>
        <w:tc>
          <w:tcPr>
            <w:tcW w:w="1665" w:type="dxa"/>
            <w:tcBorders>
              <w:top w:val="single" w:color="000000" w:sz="4" w:space="0"/>
              <w:left w:val="single" w:color="000000" w:sz="4" w:space="0"/>
              <w:bottom w:val="single" w:color="000000" w:sz="4" w:space="0"/>
              <w:right w:val="single" w:color="auto" w:sz="4" w:space="0"/>
            </w:tcBorders>
            <w:noWrap/>
            <w:vAlign w:val="center"/>
          </w:tcPr>
          <w:p w14:paraId="2EC0152F">
            <w:pPr>
              <w:pStyle w:val="16"/>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203" w:type="dxa"/>
            <w:tcBorders>
              <w:top w:val="single" w:color="000000" w:sz="4" w:space="0"/>
              <w:left w:val="single" w:color="auto" w:sz="4" w:space="0"/>
              <w:bottom w:val="single" w:color="000000" w:sz="4" w:space="0"/>
              <w:right w:val="single" w:color="000000" w:sz="4" w:space="0"/>
            </w:tcBorders>
            <w:noWrap/>
            <w:vAlign w:val="center"/>
          </w:tcPr>
          <w:p w14:paraId="4F5B0183">
            <w:pPr>
              <w:pStyle w:val="16"/>
              <w:jc w:val="center"/>
              <w:rPr>
                <w:rFonts w:hint="eastAsia" w:ascii="宋体" w:hAnsi="宋体" w:eastAsia="宋体" w:cs="宋体"/>
                <w:color w:val="auto"/>
                <w:highlight w:val="none"/>
              </w:rPr>
            </w:pPr>
          </w:p>
        </w:tc>
        <w:tc>
          <w:tcPr>
            <w:tcW w:w="1573" w:type="dxa"/>
            <w:tcBorders>
              <w:top w:val="single" w:color="000000" w:sz="4" w:space="0"/>
              <w:left w:val="single" w:color="000000" w:sz="4" w:space="0"/>
              <w:bottom w:val="single" w:color="000000" w:sz="4" w:space="0"/>
              <w:right w:val="single" w:color="000000" w:sz="4" w:space="0"/>
            </w:tcBorders>
            <w:noWrap/>
            <w:vAlign w:val="center"/>
          </w:tcPr>
          <w:p w14:paraId="424508B3">
            <w:pPr>
              <w:pStyle w:val="16"/>
              <w:jc w:val="center"/>
              <w:rPr>
                <w:rFonts w:hint="eastAsia" w:ascii="宋体" w:hAnsi="宋体" w:eastAsia="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noWrap/>
            <w:vAlign w:val="center"/>
          </w:tcPr>
          <w:p w14:paraId="3361892F">
            <w:pPr>
              <w:pStyle w:val="16"/>
              <w:jc w:val="center"/>
              <w:rPr>
                <w:rFonts w:hint="eastAsia" w:ascii="宋体" w:hAnsi="宋体" w:eastAsia="宋体" w:cs="宋体"/>
                <w:color w:val="auto"/>
                <w:highlight w:val="none"/>
              </w:rPr>
            </w:pPr>
          </w:p>
        </w:tc>
        <w:tc>
          <w:tcPr>
            <w:tcW w:w="2344" w:type="dxa"/>
            <w:tcBorders>
              <w:top w:val="single" w:color="000000" w:sz="4" w:space="0"/>
              <w:left w:val="single" w:color="auto" w:sz="4" w:space="0"/>
              <w:bottom w:val="single" w:color="000000" w:sz="4" w:space="0"/>
              <w:right w:val="single" w:color="000000" w:sz="4" w:space="0"/>
            </w:tcBorders>
            <w:noWrap/>
            <w:vAlign w:val="center"/>
          </w:tcPr>
          <w:p w14:paraId="3630D64B">
            <w:pPr>
              <w:pStyle w:val="16"/>
              <w:jc w:val="center"/>
              <w:rPr>
                <w:rFonts w:hint="eastAsia" w:ascii="宋体" w:hAnsi="宋体" w:eastAsia="宋体" w:cs="宋体"/>
                <w:color w:val="auto"/>
                <w:highlight w:val="none"/>
              </w:rPr>
            </w:pPr>
          </w:p>
        </w:tc>
      </w:tr>
    </w:tbl>
    <w:p w14:paraId="606DC66F">
      <w:pPr>
        <w:pStyle w:val="5"/>
        <w:keepNext/>
        <w:spacing w:beforeLines="0" w:line="460" w:lineRule="exact"/>
        <w:ind w:firstLine="42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注</w:t>
      </w:r>
      <w:r>
        <w:rPr>
          <w:rFonts w:hint="eastAsia" w:ascii="宋体" w:hAnsi="宋体" w:eastAsia="宋体" w:cs="宋体"/>
          <w:color w:val="auto"/>
          <w:highlight w:val="none"/>
          <w:lang w:val="en-US" w:eastAsia="zh-CN"/>
        </w:rPr>
        <w:t>：提供每个人员的学历证、职称证（如有）、执业或职业或注册资格证书（如有）、身份证、</w:t>
      </w:r>
      <w:r>
        <w:rPr>
          <w:rFonts w:hint="eastAsia" w:ascii="宋体" w:hAnsi="宋体" w:eastAsia="宋体" w:cs="宋体"/>
          <w:color w:val="auto"/>
          <w:sz w:val="21"/>
          <w:szCs w:val="21"/>
          <w:highlight w:val="none"/>
        </w:rPr>
        <w:t>人员在职证明材料（如近半年内的</w:t>
      </w:r>
      <w:r>
        <w:rPr>
          <w:rFonts w:hint="eastAsia" w:ascii="宋体" w:hAnsi="宋体" w:eastAsia="宋体" w:cs="宋体"/>
          <w:color w:val="auto"/>
          <w:sz w:val="21"/>
          <w:szCs w:val="21"/>
          <w:highlight w:val="none"/>
          <w:lang w:eastAsia="zh-CN"/>
        </w:rPr>
        <w:t>社保证明</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劳动合同、</w:t>
      </w:r>
      <w:r>
        <w:rPr>
          <w:rFonts w:hint="eastAsia" w:ascii="宋体" w:hAnsi="宋体" w:eastAsia="宋体" w:cs="宋体"/>
          <w:color w:val="auto"/>
          <w:sz w:val="21"/>
          <w:szCs w:val="21"/>
          <w:highlight w:val="none"/>
          <w:lang w:val="en-US" w:eastAsia="zh-CN"/>
        </w:rPr>
        <w:t>事业单位聘用证明材料等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highlight w:val="none"/>
          <w:lang w:val="en-US" w:eastAsia="zh-CN"/>
        </w:rPr>
        <w:t>等相关资料复印件。</w:t>
      </w:r>
    </w:p>
    <w:p w14:paraId="647F9E5D">
      <w:pPr>
        <w:spacing w:line="460" w:lineRule="exact"/>
        <w:ind w:firstLine="279" w:firstLineChars="133"/>
        <w:rPr>
          <w:rFonts w:hint="eastAsia" w:ascii="宋体" w:hAnsi="宋体" w:eastAsia="宋体" w:cs="宋体"/>
          <w:color w:val="auto"/>
          <w:sz w:val="21"/>
          <w:szCs w:val="21"/>
          <w:highlight w:val="none"/>
          <w:lang w:val="en-US" w:eastAsia="zh-CN"/>
        </w:rPr>
      </w:pPr>
    </w:p>
    <w:p w14:paraId="589C2BD4">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1B5C5D25">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5A0587E7">
      <w:pPr>
        <w:spacing w:line="460" w:lineRule="exact"/>
        <w:ind w:firstLine="279" w:firstLineChars="133"/>
        <w:rPr>
          <w:rFonts w:hint="eastAsia" w:ascii="宋体" w:hAnsi="宋体" w:eastAsia="宋体" w:cs="宋体"/>
          <w:color w:val="auto"/>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F4D0EEC">
      <w:pPr>
        <w:spacing w:line="360" w:lineRule="auto"/>
        <w:ind w:firstLine="420" w:firstLineChars="200"/>
        <w:rPr>
          <w:rFonts w:hint="eastAsia" w:ascii="宋体" w:hAnsi="宋体" w:eastAsia="宋体" w:cs="宋体"/>
          <w:color w:val="auto"/>
          <w:szCs w:val="21"/>
          <w:highlight w:val="none"/>
        </w:rPr>
      </w:pPr>
    </w:p>
    <w:p w14:paraId="29120358">
      <w:pPr>
        <w:spacing w:line="360" w:lineRule="auto"/>
        <w:ind w:firstLine="420" w:firstLineChars="200"/>
        <w:jc w:val="center"/>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br w:type="page"/>
      </w:r>
    </w:p>
    <w:p w14:paraId="0E58921B">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6</w:t>
      </w:r>
      <w:r>
        <w:rPr>
          <w:rFonts w:hint="eastAsia" w:ascii="宋体" w:hAnsi="宋体" w:eastAsia="宋体" w:cs="宋体"/>
          <w:b/>
          <w:bCs/>
          <w:color w:val="auto"/>
          <w:sz w:val="28"/>
          <w:szCs w:val="28"/>
          <w:highlight w:val="none"/>
        </w:rPr>
        <w:t>：项目经验的证明材料</w:t>
      </w:r>
    </w:p>
    <w:p w14:paraId="2A0C850D">
      <w:pPr>
        <w:spacing w:line="360" w:lineRule="auto"/>
        <w:ind w:left="-7" w:leftChars="-6" w:right="-178" w:rightChars="-85" w:hanging="6" w:hangingChars="3"/>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（202</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年1月1日至今正在经营或已完成同类项目经验证明材料）</w:t>
      </w:r>
    </w:p>
    <w:tbl>
      <w:tblPr>
        <w:tblStyle w:val="27"/>
        <w:tblW w:w="999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1"/>
        <w:gridCol w:w="1843"/>
        <w:gridCol w:w="1620"/>
        <w:gridCol w:w="1620"/>
        <w:gridCol w:w="1620"/>
        <w:gridCol w:w="1093"/>
      </w:tblGrid>
      <w:tr w14:paraId="51F5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271C745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371" w:type="dxa"/>
            <w:vAlign w:val="center"/>
          </w:tcPr>
          <w:p w14:paraId="7CF2472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1843" w:type="dxa"/>
            <w:vAlign w:val="center"/>
          </w:tcPr>
          <w:p w14:paraId="634D759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业主单位</w:t>
            </w:r>
          </w:p>
        </w:tc>
        <w:tc>
          <w:tcPr>
            <w:tcW w:w="1620" w:type="dxa"/>
            <w:vAlign w:val="center"/>
          </w:tcPr>
          <w:p w14:paraId="21BBA11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p>
        </w:tc>
        <w:tc>
          <w:tcPr>
            <w:tcW w:w="1620" w:type="dxa"/>
            <w:vAlign w:val="center"/>
          </w:tcPr>
          <w:p w14:paraId="5F22E8E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合同总价</w:t>
            </w:r>
          </w:p>
        </w:tc>
        <w:tc>
          <w:tcPr>
            <w:tcW w:w="1620" w:type="dxa"/>
            <w:vAlign w:val="center"/>
          </w:tcPr>
          <w:p w14:paraId="5EE109B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完成情况</w:t>
            </w:r>
          </w:p>
        </w:tc>
        <w:tc>
          <w:tcPr>
            <w:tcW w:w="1093" w:type="dxa"/>
            <w:vAlign w:val="center"/>
          </w:tcPr>
          <w:p w14:paraId="79F04E1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16902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521A713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371" w:type="dxa"/>
            <w:vAlign w:val="center"/>
          </w:tcPr>
          <w:p w14:paraId="649E54B2">
            <w:pPr>
              <w:jc w:val="center"/>
              <w:rPr>
                <w:rFonts w:hint="eastAsia" w:ascii="宋体" w:hAnsi="宋体" w:eastAsia="宋体" w:cs="宋体"/>
                <w:color w:val="auto"/>
                <w:szCs w:val="21"/>
                <w:highlight w:val="none"/>
              </w:rPr>
            </w:pPr>
          </w:p>
        </w:tc>
        <w:tc>
          <w:tcPr>
            <w:tcW w:w="1843" w:type="dxa"/>
            <w:vAlign w:val="center"/>
          </w:tcPr>
          <w:p w14:paraId="4D46F3C4">
            <w:pPr>
              <w:jc w:val="center"/>
              <w:rPr>
                <w:rFonts w:hint="eastAsia" w:ascii="宋体" w:hAnsi="宋体" w:eastAsia="宋体" w:cs="宋体"/>
                <w:color w:val="auto"/>
                <w:szCs w:val="21"/>
                <w:highlight w:val="none"/>
              </w:rPr>
            </w:pPr>
          </w:p>
        </w:tc>
        <w:tc>
          <w:tcPr>
            <w:tcW w:w="1620" w:type="dxa"/>
            <w:vAlign w:val="center"/>
          </w:tcPr>
          <w:p w14:paraId="47396B93">
            <w:pPr>
              <w:jc w:val="center"/>
              <w:rPr>
                <w:rFonts w:hint="eastAsia" w:ascii="宋体" w:hAnsi="宋体" w:eastAsia="宋体" w:cs="宋体"/>
                <w:color w:val="auto"/>
                <w:szCs w:val="21"/>
                <w:highlight w:val="none"/>
              </w:rPr>
            </w:pPr>
          </w:p>
        </w:tc>
        <w:tc>
          <w:tcPr>
            <w:tcW w:w="1620" w:type="dxa"/>
            <w:vAlign w:val="center"/>
          </w:tcPr>
          <w:p w14:paraId="60E4008B">
            <w:pPr>
              <w:jc w:val="center"/>
              <w:rPr>
                <w:rFonts w:hint="eastAsia" w:ascii="宋体" w:hAnsi="宋体" w:eastAsia="宋体" w:cs="宋体"/>
                <w:color w:val="auto"/>
                <w:szCs w:val="21"/>
                <w:highlight w:val="none"/>
              </w:rPr>
            </w:pPr>
          </w:p>
        </w:tc>
        <w:tc>
          <w:tcPr>
            <w:tcW w:w="1620" w:type="dxa"/>
            <w:vAlign w:val="center"/>
          </w:tcPr>
          <w:p w14:paraId="32C6CB3B">
            <w:pPr>
              <w:jc w:val="center"/>
              <w:rPr>
                <w:rFonts w:hint="eastAsia" w:ascii="宋体" w:hAnsi="宋体" w:eastAsia="宋体" w:cs="宋体"/>
                <w:color w:val="auto"/>
                <w:szCs w:val="21"/>
                <w:highlight w:val="none"/>
              </w:rPr>
            </w:pPr>
          </w:p>
        </w:tc>
        <w:tc>
          <w:tcPr>
            <w:tcW w:w="1093" w:type="dxa"/>
            <w:vAlign w:val="center"/>
          </w:tcPr>
          <w:p w14:paraId="7F64010E">
            <w:pPr>
              <w:jc w:val="center"/>
              <w:rPr>
                <w:rFonts w:hint="eastAsia" w:ascii="宋体" w:hAnsi="宋体" w:eastAsia="宋体" w:cs="宋体"/>
                <w:color w:val="auto"/>
                <w:szCs w:val="21"/>
                <w:highlight w:val="none"/>
              </w:rPr>
            </w:pPr>
          </w:p>
        </w:tc>
      </w:tr>
      <w:tr w14:paraId="72B2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04C59C6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371" w:type="dxa"/>
            <w:vAlign w:val="center"/>
          </w:tcPr>
          <w:p w14:paraId="58749C0A">
            <w:pPr>
              <w:jc w:val="center"/>
              <w:rPr>
                <w:rFonts w:hint="eastAsia" w:ascii="宋体" w:hAnsi="宋体" w:eastAsia="宋体" w:cs="宋体"/>
                <w:color w:val="auto"/>
                <w:szCs w:val="21"/>
                <w:highlight w:val="none"/>
              </w:rPr>
            </w:pPr>
          </w:p>
        </w:tc>
        <w:tc>
          <w:tcPr>
            <w:tcW w:w="1843" w:type="dxa"/>
            <w:vAlign w:val="center"/>
          </w:tcPr>
          <w:p w14:paraId="0F049844">
            <w:pPr>
              <w:jc w:val="center"/>
              <w:rPr>
                <w:rFonts w:hint="eastAsia" w:ascii="宋体" w:hAnsi="宋体" w:eastAsia="宋体" w:cs="宋体"/>
                <w:color w:val="auto"/>
                <w:szCs w:val="21"/>
                <w:highlight w:val="none"/>
              </w:rPr>
            </w:pPr>
          </w:p>
        </w:tc>
        <w:tc>
          <w:tcPr>
            <w:tcW w:w="1620" w:type="dxa"/>
            <w:vAlign w:val="center"/>
          </w:tcPr>
          <w:p w14:paraId="09D99BEB">
            <w:pPr>
              <w:jc w:val="center"/>
              <w:rPr>
                <w:rFonts w:hint="eastAsia" w:ascii="宋体" w:hAnsi="宋体" w:eastAsia="宋体" w:cs="宋体"/>
                <w:color w:val="auto"/>
                <w:szCs w:val="21"/>
                <w:highlight w:val="none"/>
              </w:rPr>
            </w:pPr>
          </w:p>
        </w:tc>
        <w:tc>
          <w:tcPr>
            <w:tcW w:w="1620" w:type="dxa"/>
            <w:vAlign w:val="center"/>
          </w:tcPr>
          <w:p w14:paraId="1E07AE53">
            <w:pPr>
              <w:jc w:val="center"/>
              <w:rPr>
                <w:rFonts w:hint="eastAsia" w:ascii="宋体" w:hAnsi="宋体" w:eastAsia="宋体" w:cs="宋体"/>
                <w:color w:val="auto"/>
                <w:szCs w:val="21"/>
                <w:highlight w:val="none"/>
              </w:rPr>
            </w:pPr>
          </w:p>
        </w:tc>
        <w:tc>
          <w:tcPr>
            <w:tcW w:w="1620" w:type="dxa"/>
            <w:vAlign w:val="center"/>
          </w:tcPr>
          <w:p w14:paraId="42302DCD">
            <w:pPr>
              <w:jc w:val="center"/>
              <w:rPr>
                <w:rFonts w:hint="eastAsia" w:ascii="宋体" w:hAnsi="宋体" w:eastAsia="宋体" w:cs="宋体"/>
                <w:color w:val="auto"/>
                <w:szCs w:val="21"/>
                <w:highlight w:val="none"/>
              </w:rPr>
            </w:pPr>
          </w:p>
        </w:tc>
        <w:tc>
          <w:tcPr>
            <w:tcW w:w="1093" w:type="dxa"/>
            <w:vAlign w:val="center"/>
          </w:tcPr>
          <w:p w14:paraId="0B6312A5">
            <w:pPr>
              <w:jc w:val="center"/>
              <w:rPr>
                <w:rFonts w:hint="eastAsia" w:ascii="宋体" w:hAnsi="宋体" w:eastAsia="宋体" w:cs="宋体"/>
                <w:color w:val="auto"/>
                <w:szCs w:val="21"/>
                <w:highlight w:val="none"/>
              </w:rPr>
            </w:pPr>
          </w:p>
        </w:tc>
      </w:tr>
      <w:tr w14:paraId="550B0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568F82C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371" w:type="dxa"/>
            <w:vAlign w:val="center"/>
          </w:tcPr>
          <w:p w14:paraId="73DECA7D">
            <w:pPr>
              <w:jc w:val="center"/>
              <w:rPr>
                <w:rFonts w:hint="eastAsia" w:ascii="宋体" w:hAnsi="宋体" w:eastAsia="宋体" w:cs="宋体"/>
                <w:color w:val="auto"/>
                <w:szCs w:val="21"/>
                <w:highlight w:val="none"/>
              </w:rPr>
            </w:pPr>
          </w:p>
        </w:tc>
        <w:tc>
          <w:tcPr>
            <w:tcW w:w="1843" w:type="dxa"/>
            <w:vAlign w:val="center"/>
          </w:tcPr>
          <w:p w14:paraId="47999F9C">
            <w:pPr>
              <w:jc w:val="center"/>
              <w:rPr>
                <w:rFonts w:hint="eastAsia" w:ascii="宋体" w:hAnsi="宋体" w:eastAsia="宋体" w:cs="宋体"/>
                <w:color w:val="auto"/>
                <w:szCs w:val="21"/>
                <w:highlight w:val="none"/>
              </w:rPr>
            </w:pPr>
          </w:p>
        </w:tc>
        <w:tc>
          <w:tcPr>
            <w:tcW w:w="1620" w:type="dxa"/>
            <w:vAlign w:val="center"/>
          </w:tcPr>
          <w:p w14:paraId="3AFBF449">
            <w:pPr>
              <w:jc w:val="center"/>
              <w:rPr>
                <w:rFonts w:hint="eastAsia" w:ascii="宋体" w:hAnsi="宋体" w:eastAsia="宋体" w:cs="宋体"/>
                <w:color w:val="auto"/>
                <w:szCs w:val="21"/>
                <w:highlight w:val="none"/>
              </w:rPr>
            </w:pPr>
          </w:p>
        </w:tc>
        <w:tc>
          <w:tcPr>
            <w:tcW w:w="1620" w:type="dxa"/>
            <w:vAlign w:val="center"/>
          </w:tcPr>
          <w:p w14:paraId="421700BD">
            <w:pPr>
              <w:jc w:val="center"/>
              <w:rPr>
                <w:rFonts w:hint="eastAsia" w:ascii="宋体" w:hAnsi="宋体" w:eastAsia="宋体" w:cs="宋体"/>
                <w:color w:val="auto"/>
                <w:szCs w:val="21"/>
                <w:highlight w:val="none"/>
              </w:rPr>
            </w:pPr>
          </w:p>
        </w:tc>
        <w:tc>
          <w:tcPr>
            <w:tcW w:w="1620" w:type="dxa"/>
            <w:vAlign w:val="center"/>
          </w:tcPr>
          <w:p w14:paraId="4FF42D07">
            <w:pPr>
              <w:jc w:val="center"/>
              <w:rPr>
                <w:rFonts w:hint="eastAsia" w:ascii="宋体" w:hAnsi="宋体" w:eastAsia="宋体" w:cs="宋体"/>
                <w:color w:val="auto"/>
                <w:szCs w:val="21"/>
                <w:highlight w:val="none"/>
              </w:rPr>
            </w:pPr>
          </w:p>
        </w:tc>
        <w:tc>
          <w:tcPr>
            <w:tcW w:w="1093" w:type="dxa"/>
            <w:vAlign w:val="center"/>
          </w:tcPr>
          <w:p w14:paraId="2AABDB5E">
            <w:pPr>
              <w:jc w:val="center"/>
              <w:rPr>
                <w:rFonts w:hint="eastAsia" w:ascii="宋体" w:hAnsi="宋体" w:eastAsia="宋体" w:cs="宋体"/>
                <w:color w:val="auto"/>
                <w:szCs w:val="21"/>
                <w:highlight w:val="none"/>
              </w:rPr>
            </w:pPr>
          </w:p>
        </w:tc>
      </w:tr>
      <w:tr w14:paraId="4843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1163265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371" w:type="dxa"/>
            <w:vAlign w:val="center"/>
          </w:tcPr>
          <w:p w14:paraId="69A50738">
            <w:pPr>
              <w:jc w:val="center"/>
              <w:rPr>
                <w:rFonts w:hint="eastAsia" w:ascii="宋体" w:hAnsi="宋体" w:eastAsia="宋体" w:cs="宋体"/>
                <w:color w:val="auto"/>
                <w:szCs w:val="21"/>
                <w:highlight w:val="none"/>
              </w:rPr>
            </w:pPr>
          </w:p>
        </w:tc>
        <w:tc>
          <w:tcPr>
            <w:tcW w:w="1843" w:type="dxa"/>
            <w:vAlign w:val="center"/>
          </w:tcPr>
          <w:p w14:paraId="38821944">
            <w:pPr>
              <w:jc w:val="center"/>
              <w:rPr>
                <w:rFonts w:hint="eastAsia" w:ascii="宋体" w:hAnsi="宋体" w:eastAsia="宋体" w:cs="宋体"/>
                <w:color w:val="auto"/>
                <w:szCs w:val="21"/>
                <w:highlight w:val="none"/>
              </w:rPr>
            </w:pPr>
          </w:p>
        </w:tc>
        <w:tc>
          <w:tcPr>
            <w:tcW w:w="1620" w:type="dxa"/>
            <w:vAlign w:val="center"/>
          </w:tcPr>
          <w:p w14:paraId="777A33F4">
            <w:pPr>
              <w:jc w:val="center"/>
              <w:rPr>
                <w:rFonts w:hint="eastAsia" w:ascii="宋体" w:hAnsi="宋体" w:eastAsia="宋体" w:cs="宋体"/>
                <w:color w:val="auto"/>
                <w:szCs w:val="21"/>
                <w:highlight w:val="none"/>
              </w:rPr>
            </w:pPr>
          </w:p>
        </w:tc>
        <w:tc>
          <w:tcPr>
            <w:tcW w:w="1620" w:type="dxa"/>
            <w:vAlign w:val="center"/>
          </w:tcPr>
          <w:p w14:paraId="2318C86C">
            <w:pPr>
              <w:jc w:val="center"/>
              <w:rPr>
                <w:rFonts w:hint="eastAsia" w:ascii="宋体" w:hAnsi="宋体" w:eastAsia="宋体" w:cs="宋体"/>
                <w:color w:val="auto"/>
                <w:szCs w:val="21"/>
                <w:highlight w:val="none"/>
              </w:rPr>
            </w:pPr>
          </w:p>
        </w:tc>
        <w:tc>
          <w:tcPr>
            <w:tcW w:w="1620" w:type="dxa"/>
            <w:vAlign w:val="center"/>
          </w:tcPr>
          <w:p w14:paraId="7819250C">
            <w:pPr>
              <w:jc w:val="center"/>
              <w:rPr>
                <w:rFonts w:hint="eastAsia" w:ascii="宋体" w:hAnsi="宋体" w:eastAsia="宋体" w:cs="宋体"/>
                <w:color w:val="auto"/>
                <w:szCs w:val="21"/>
                <w:highlight w:val="none"/>
              </w:rPr>
            </w:pPr>
          </w:p>
        </w:tc>
        <w:tc>
          <w:tcPr>
            <w:tcW w:w="1093" w:type="dxa"/>
            <w:vAlign w:val="center"/>
          </w:tcPr>
          <w:p w14:paraId="4ABB153C">
            <w:pPr>
              <w:jc w:val="center"/>
              <w:rPr>
                <w:rFonts w:hint="eastAsia" w:ascii="宋体" w:hAnsi="宋体" w:eastAsia="宋体" w:cs="宋体"/>
                <w:color w:val="auto"/>
                <w:szCs w:val="21"/>
                <w:highlight w:val="none"/>
              </w:rPr>
            </w:pPr>
          </w:p>
        </w:tc>
      </w:tr>
      <w:tr w14:paraId="6EB9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28" w:type="dxa"/>
            <w:vAlign w:val="center"/>
          </w:tcPr>
          <w:p w14:paraId="713C9DF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371" w:type="dxa"/>
            <w:vAlign w:val="center"/>
          </w:tcPr>
          <w:p w14:paraId="607F9C16">
            <w:pPr>
              <w:jc w:val="center"/>
              <w:rPr>
                <w:rFonts w:hint="eastAsia" w:ascii="宋体" w:hAnsi="宋体" w:eastAsia="宋体" w:cs="宋体"/>
                <w:color w:val="auto"/>
                <w:szCs w:val="21"/>
                <w:highlight w:val="none"/>
              </w:rPr>
            </w:pPr>
          </w:p>
        </w:tc>
        <w:tc>
          <w:tcPr>
            <w:tcW w:w="1843" w:type="dxa"/>
            <w:vAlign w:val="center"/>
          </w:tcPr>
          <w:p w14:paraId="10B60A80">
            <w:pPr>
              <w:jc w:val="center"/>
              <w:rPr>
                <w:rFonts w:hint="eastAsia" w:ascii="宋体" w:hAnsi="宋体" w:eastAsia="宋体" w:cs="宋体"/>
                <w:color w:val="auto"/>
                <w:szCs w:val="21"/>
                <w:highlight w:val="none"/>
              </w:rPr>
            </w:pPr>
          </w:p>
        </w:tc>
        <w:tc>
          <w:tcPr>
            <w:tcW w:w="1620" w:type="dxa"/>
            <w:vAlign w:val="center"/>
          </w:tcPr>
          <w:p w14:paraId="4E52DDD4">
            <w:pPr>
              <w:jc w:val="center"/>
              <w:rPr>
                <w:rFonts w:hint="eastAsia" w:ascii="宋体" w:hAnsi="宋体" w:eastAsia="宋体" w:cs="宋体"/>
                <w:color w:val="auto"/>
                <w:szCs w:val="21"/>
                <w:highlight w:val="none"/>
              </w:rPr>
            </w:pPr>
          </w:p>
        </w:tc>
        <w:tc>
          <w:tcPr>
            <w:tcW w:w="1620" w:type="dxa"/>
            <w:vAlign w:val="center"/>
          </w:tcPr>
          <w:p w14:paraId="7F0D7413">
            <w:pPr>
              <w:jc w:val="center"/>
              <w:rPr>
                <w:rFonts w:hint="eastAsia" w:ascii="宋体" w:hAnsi="宋体" w:eastAsia="宋体" w:cs="宋体"/>
                <w:color w:val="auto"/>
                <w:szCs w:val="21"/>
                <w:highlight w:val="none"/>
              </w:rPr>
            </w:pPr>
          </w:p>
        </w:tc>
        <w:tc>
          <w:tcPr>
            <w:tcW w:w="1620" w:type="dxa"/>
            <w:vAlign w:val="center"/>
          </w:tcPr>
          <w:p w14:paraId="04834304">
            <w:pPr>
              <w:jc w:val="center"/>
              <w:rPr>
                <w:rFonts w:hint="eastAsia" w:ascii="宋体" w:hAnsi="宋体" w:eastAsia="宋体" w:cs="宋体"/>
                <w:color w:val="auto"/>
                <w:szCs w:val="21"/>
                <w:highlight w:val="none"/>
              </w:rPr>
            </w:pPr>
          </w:p>
        </w:tc>
        <w:tc>
          <w:tcPr>
            <w:tcW w:w="1093" w:type="dxa"/>
            <w:vAlign w:val="center"/>
          </w:tcPr>
          <w:p w14:paraId="1961E3B2">
            <w:pPr>
              <w:jc w:val="center"/>
              <w:rPr>
                <w:rFonts w:hint="eastAsia" w:ascii="宋体" w:hAnsi="宋体" w:eastAsia="宋体" w:cs="宋体"/>
                <w:color w:val="auto"/>
                <w:szCs w:val="21"/>
                <w:highlight w:val="none"/>
              </w:rPr>
            </w:pPr>
          </w:p>
        </w:tc>
      </w:tr>
    </w:tbl>
    <w:p w14:paraId="2A021665">
      <w:pPr>
        <w:spacing w:line="360" w:lineRule="auto"/>
        <w:ind w:left="-105" w:leftChars="-50" w:firstLine="105" w:firstLineChar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注：1.磋商申请人应在本表中列出正在经营地及已完成项目经验案例，如有虚假，一经查实将导致其磋商被拒绝。</w:t>
      </w:r>
    </w:p>
    <w:p w14:paraId="0726258E">
      <w:pPr>
        <w:spacing w:line="360" w:lineRule="auto"/>
        <w:ind w:firstLine="420" w:firstLineChars="200"/>
        <w:rPr>
          <w:rFonts w:hint="eastAsia" w:ascii="宋体" w:hAnsi="宋体" w:eastAsia="宋体" w:cs="宋体"/>
          <w:b/>
          <w:bCs/>
          <w:color w:val="auto"/>
          <w:kern w:val="0"/>
          <w:szCs w:val="21"/>
          <w:highlight w:val="none"/>
        </w:rPr>
      </w:pPr>
      <w:r>
        <w:rPr>
          <w:rFonts w:hint="eastAsia" w:ascii="宋体" w:hAnsi="宋体" w:eastAsia="宋体" w:cs="宋体"/>
          <w:color w:val="auto"/>
          <w:szCs w:val="21"/>
          <w:highlight w:val="none"/>
        </w:rPr>
        <w:t>2.磋商申请人应附合同</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rPr>
        <w:t>验收报告复印件为证明文件，证明文件缺漏的项目实施经验在评审时将不予考虑。</w:t>
      </w:r>
    </w:p>
    <w:p w14:paraId="60421BCA">
      <w:pPr>
        <w:spacing w:line="360" w:lineRule="auto"/>
        <w:ind w:firstLine="420" w:firstLineChars="200"/>
        <w:rPr>
          <w:rFonts w:hint="eastAsia" w:ascii="宋体" w:hAnsi="宋体" w:eastAsia="宋体" w:cs="宋体"/>
          <w:color w:val="auto"/>
          <w:szCs w:val="21"/>
          <w:highlight w:val="none"/>
        </w:rPr>
      </w:pPr>
    </w:p>
    <w:p w14:paraId="30DD60AA">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4070B3DE">
      <w:pPr>
        <w:pStyle w:val="16"/>
        <w:spacing w:line="480" w:lineRule="exact"/>
        <w:ind w:firstLine="5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4E9478CB">
      <w:pPr>
        <w:pStyle w:val="16"/>
        <w:spacing w:line="480" w:lineRule="exact"/>
        <w:ind w:firstLine="575"/>
        <w:rPr>
          <w:rFonts w:hint="eastAsia" w:ascii="宋体" w:hAnsi="宋体" w:eastAsia="宋体" w:cs="宋体"/>
          <w:b/>
          <w:color w:val="auto"/>
          <w:sz w:val="28"/>
          <w:szCs w:val="28"/>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9AA5641">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39397549">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7</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磋商申请人认为需要提供的其他商务相关材料</w:t>
      </w:r>
      <w:r>
        <w:rPr>
          <w:rFonts w:hint="eastAsia" w:ascii="宋体" w:hAnsi="宋体" w:eastAsia="宋体" w:cs="宋体"/>
          <w:b/>
          <w:bCs/>
          <w:color w:val="auto"/>
          <w:sz w:val="28"/>
          <w:szCs w:val="28"/>
          <w:highlight w:val="none"/>
          <w:lang w:val="en-US" w:eastAsia="zh-CN"/>
        </w:rPr>
        <w:br w:type="page"/>
      </w:r>
      <w:r>
        <w:rPr>
          <w:rFonts w:hint="eastAsia" w:ascii="宋体" w:hAnsi="宋体" w:eastAsia="宋体" w:cs="宋体"/>
          <w:b/>
          <w:bCs/>
          <w:color w:val="auto"/>
          <w:sz w:val="28"/>
          <w:szCs w:val="28"/>
          <w:highlight w:val="none"/>
        </w:rPr>
        <w:t>（二）技术文件</w:t>
      </w:r>
    </w:p>
    <w:p w14:paraId="4246D358">
      <w:pPr>
        <w:spacing w:line="360" w:lineRule="auto"/>
        <w:ind w:firstLine="562" w:firstLineChars="200"/>
        <w:jc w:val="center"/>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rPr>
        <w:t>格式</w:t>
      </w: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：开展本项目建设服务工作的理解和分析</w:t>
      </w:r>
    </w:p>
    <w:p w14:paraId="5D706321">
      <w:pPr>
        <w:spacing w:line="360" w:lineRule="auto"/>
        <w:ind w:firstLine="420" w:firstLineChars="200"/>
        <w:jc w:val="left"/>
        <w:rPr>
          <w:rFonts w:hint="eastAsia" w:ascii="宋体" w:hAnsi="宋体" w:eastAsia="宋体" w:cs="宋体"/>
          <w:b w:val="0"/>
          <w:bCs w:val="0"/>
          <w:color w:val="auto"/>
          <w:kern w:val="0"/>
          <w:sz w:val="21"/>
          <w:szCs w:val="21"/>
          <w:highlight w:val="none"/>
        </w:rPr>
      </w:pPr>
    </w:p>
    <w:p w14:paraId="31285B85">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（格式自拟）</w:t>
      </w:r>
    </w:p>
    <w:p w14:paraId="51BFA99A">
      <w:pPr>
        <w:spacing w:line="360" w:lineRule="auto"/>
        <w:ind w:firstLine="619" w:firstLineChars="29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此部分内容应充分结合本项目采购需求的全部内容以及磋商程序和方法的评审要求进行综合分析后进行编制，此部分包含但不限于：</w:t>
      </w:r>
    </w:p>
    <w:p w14:paraId="693306A2">
      <w:pPr>
        <w:spacing w:line="360" w:lineRule="auto"/>
        <w:ind w:firstLine="619" w:firstLineChars="29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①对医共体中心药房系统业务需求理解</w:t>
      </w:r>
      <w:r>
        <w:rPr>
          <w:rFonts w:hint="eastAsia" w:ascii="宋体" w:hAnsi="宋体" w:eastAsia="宋体" w:cs="宋体"/>
          <w:color w:val="auto"/>
          <w:sz w:val="21"/>
          <w:szCs w:val="21"/>
          <w:highlight w:val="none"/>
          <w:lang w:val="en-US" w:eastAsia="zh-CN"/>
        </w:rPr>
        <w:t>和分析</w:t>
      </w:r>
      <w:r>
        <w:rPr>
          <w:rFonts w:hint="eastAsia" w:ascii="宋体" w:hAnsi="宋体" w:eastAsia="宋体" w:cs="宋体"/>
          <w:color w:val="auto"/>
          <w:sz w:val="21"/>
          <w:szCs w:val="21"/>
          <w:highlight w:val="none"/>
          <w:lang w:eastAsia="zh-CN"/>
        </w:rPr>
        <w:t>；</w:t>
      </w:r>
    </w:p>
    <w:p w14:paraId="5070F2B9">
      <w:pPr>
        <w:spacing w:line="360" w:lineRule="auto"/>
        <w:ind w:firstLine="619" w:firstLineChars="29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②开展本项目系统建设和相关服务总体思路和</w:t>
      </w:r>
      <w:r>
        <w:rPr>
          <w:rFonts w:hint="eastAsia" w:ascii="宋体" w:hAnsi="宋体" w:eastAsia="宋体" w:cs="宋体"/>
          <w:color w:val="auto"/>
          <w:sz w:val="21"/>
          <w:szCs w:val="21"/>
          <w:highlight w:val="none"/>
          <w:lang w:eastAsia="zh-CN"/>
        </w:rPr>
        <w:t>工作目标方针；</w:t>
      </w:r>
    </w:p>
    <w:p w14:paraId="39DE044B">
      <w:pPr>
        <w:spacing w:line="360" w:lineRule="auto"/>
        <w:ind w:firstLine="619" w:firstLineChars="29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③开展本项目系统建设和相关服务工作重难点分析及合理化建议</w:t>
      </w:r>
      <w:r>
        <w:rPr>
          <w:rFonts w:hint="eastAsia" w:ascii="宋体" w:hAnsi="宋体" w:eastAsia="宋体" w:cs="宋体"/>
          <w:color w:val="auto"/>
          <w:sz w:val="21"/>
          <w:szCs w:val="21"/>
          <w:highlight w:val="none"/>
          <w:lang w:eastAsia="zh-CN"/>
        </w:rPr>
        <w:t>。</w:t>
      </w:r>
    </w:p>
    <w:p w14:paraId="719BDA4D">
      <w:pPr>
        <w:pStyle w:val="2"/>
        <w:rPr>
          <w:rFonts w:hint="eastAsia" w:ascii="宋体" w:hAnsi="宋体" w:eastAsia="宋体" w:cs="宋体"/>
          <w:color w:val="auto"/>
          <w:sz w:val="21"/>
          <w:szCs w:val="21"/>
          <w:highlight w:val="none"/>
          <w:lang w:val="en-US" w:eastAsia="zh-CN"/>
        </w:rPr>
      </w:pPr>
    </w:p>
    <w:p w14:paraId="6BC5F16D">
      <w:pPr>
        <w:spacing w:line="360" w:lineRule="auto"/>
        <w:ind w:firstLine="420" w:firstLineChars="200"/>
        <w:rPr>
          <w:rFonts w:hint="eastAsia" w:ascii="宋体" w:hAnsi="宋体" w:eastAsia="宋体" w:cs="宋体"/>
          <w:color w:val="auto"/>
          <w:sz w:val="21"/>
          <w:szCs w:val="21"/>
          <w:highlight w:val="none"/>
        </w:rPr>
      </w:pPr>
    </w:p>
    <w:p w14:paraId="06AE1D08">
      <w:pPr>
        <w:spacing w:line="360" w:lineRule="auto"/>
        <w:ind w:firstLine="422" w:firstLineChars="200"/>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1"/>
          <w:szCs w:val="21"/>
          <w:highlight w:val="none"/>
        </w:rPr>
        <w:br w:type="page"/>
      </w:r>
      <w:r>
        <w:rPr>
          <w:rFonts w:hint="eastAsia" w:ascii="宋体" w:hAnsi="宋体" w:eastAsia="宋体" w:cs="宋体"/>
          <w:b/>
          <w:bCs/>
          <w:color w:val="auto"/>
          <w:sz w:val="28"/>
          <w:szCs w:val="28"/>
          <w:highlight w:val="none"/>
          <w:lang w:val="en-US" w:eastAsia="zh-CN"/>
        </w:rPr>
        <w:t>格式2：昌宁县医共体中心药房管理系统建设项目开发设计方案</w:t>
      </w:r>
    </w:p>
    <w:p w14:paraId="1E531292">
      <w:pPr>
        <w:spacing w:line="360" w:lineRule="auto"/>
        <w:ind w:firstLine="619" w:firstLineChars="295"/>
        <w:jc w:val="left"/>
        <w:rPr>
          <w:rFonts w:hint="eastAsia" w:ascii="宋体" w:hAnsi="宋体" w:eastAsia="宋体" w:cs="宋体"/>
          <w:color w:val="auto"/>
          <w:sz w:val="21"/>
          <w:szCs w:val="21"/>
          <w:highlight w:val="none"/>
          <w:lang w:eastAsia="zh-CN"/>
        </w:rPr>
      </w:pPr>
    </w:p>
    <w:p w14:paraId="0ED8BFA3">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（格式自拟）</w:t>
      </w:r>
    </w:p>
    <w:p w14:paraId="7741FB4F">
      <w:pPr>
        <w:spacing w:line="360" w:lineRule="auto"/>
        <w:ind w:firstLine="619" w:firstLineChars="295"/>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此部分内容应充分结合本项目采购需求的全部内容以及磋商程序和方法的评审要求进行综合分析后进行编制，此部分包含但不限于：</w:t>
      </w:r>
    </w:p>
    <w:p w14:paraId="400D8FC4">
      <w:pPr>
        <w:pStyle w:val="16"/>
        <w:spacing w:line="480" w:lineRule="exact"/>
        <w:ind w:firstLine="575"/>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①系统开发设计方案</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设计技术标准和规范</w:t>
      </w:r>
      <w:r>
        <w:rPr>
          <w:rFonts w:hint="eastAsia" w:ascii="宋体" w:hAnsi="宋体" w:eastAsia="宋体" w:cs="宋体"/>
          <w:b w:val="0"/>
          <w:bCs w:val="0"/>
          <w:color w:val="auto"/>
          <w:sz w:val="21"/>
          <w:szCs w:val="21"/>
          <w:highlight w:val="none"/>
        </w:rPr>
        <w:t>原则介绍；</w:t>
      </w:r>
    </w:p>
    <w:p w14:paraId="2E969B47">
      <w:pPr>
        <w:pStyle w:val="16"/>
        <w:spacing w:line="480" w:lineRule="exact"/>
        <w:ind w:firstLine="575"/>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②</w:t>
      </w:r>
      <w:r>
        <w:rPr>
          <w:rFonts w:hint="eastAsia" w:ascii="宋体" w:hAnsi="宋体" w:eastAsia="宋体" w:cs="宋体"/>
          <w:b w:val="0"/>
          <w:bCs w:val="0"/>
          <w:color w:val="auto"/>
          <w:sz w:val="21"/>
          <w:szCs w:val="21"/>
          <w:highlight w:val="none"/>
          <w:lang w:val="en-US" w:eastAsia="zh-CN"/>
        </w:rPr>
        <w:t>系统整体性能设计介绍（至少包含：架构体系性能设计、应用系统性能设计、数据存储性能设计等内容的技术路线和设计方案）；</w:t>
      </w:r>
    </w:p>
    <w:p w14:paraId="3AFB858C">
      <w:pPr>
        <w:pStyle w:val="16"/>
        <w:spacing w:line="480" w:lineRule="exact"/>
        <w:ind w:firstLine="575"/>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③系统架构</w:t>
      </w:r>
      <w:r>
        <w:rPr>
          <w:rFonts w:hint="eastAsia" w:ascii="宋体" w:hAnsi="宋体" w:eastAsia="宋体" w:cs="宋体"/>
          <w:b w:val="0"/>
          <w:bCs w:val="0"/>
          <w:color w:val="auto"/>
          <w:sz w:val="21"/>
          <w:szCs w:val="21"/>
          <w:highlight w:val="none"/>
          <w:lang w:val="en-US" w:eastAsia="zh-CN"/>
        </w:rPr>
        <w:t>设计介绍（至少包含：应用架构、技术架构、数据架构、逻辑架构、安全架构等内容的技术路线和设计方案）；</w:t>
      </w:r>
    </w:p>
    <w:p w14:paraId="5F87FCAE">
      <w:pPr>
        <w:pStyle w:val="16"/>
        <w:spacing w:line="480" w:lineRule="exact"/>
        <w:ind w:firstLine="575"/>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④</w:t>
      </w:r>
      <w:r>
        <w:rPr>
          <w:rFonts w:hint="eastAsia" w:ascii="宋体" w:hAnsi="宋体" w:eastAsia="宋体" w:cs="宋体"/>
          <w:b w:val="0"/>
          <w:bCs w:val="0"/>
          <w:color w:val="auto"/>
          <w:sz w:val="21"/>
          <w:szCs w:val="21"/>
          <w:highlight w:val="none"/>
          <w:lang w:val="en-US" w:eastAsia="zh-CN"/>
        </w:rPr>
        <w:t>系统</w:t>
      </w:r>
      <w:r>
        <w:rPr>
          <w:rFonts w:hint="eastAsia" w:ascii="宋体" w:hAnsi="宋体" w:eastAsia="宋体" w:cs="宋体"/>
          <w:b w:val="0"/>
          <w:bCs w:val="0"/>
          <w:color w:val="auto"/>
          <w:sz w:val="21"/>
          <w:szCs w:val="21"/>
          <w:highlight w:val="none"/>
        </w:rPr>
        <w:t>功能设计介绍</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至少包含：各功能模块设计、各功能模块业务执行流程、原型设计图等内容的技术路线和设计方案）；</w:t>
      </w:r>
    </w:p>
    <w:p w14:paraId="3F3AF4D4">
      <w:pPr>
        <w:pStyle w:val="16"/>
        <w:spacing w:line="480" w:lineRule="exact"/>
        <w:ind w:firstLine="575"/>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⑤数据接口开发设计介绍</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至少包含：各类数据接口设计思路、技术路线和设计方案）</w:t>
      </w:r>
      <w:r>
        <w:rPr>
          <w:rFonts w:hint="eastAsia" w:ascii="宋体" w:hAnsi="宋体" w:eastAsia="宋体" w:cs="宋体"/>
          <w:b w:val="0"/>
          <w:bCs w:val="0"/>
          <w:color w:val="auto"/>
          <w:sz w:val="21"/>
          <w:szCs w:val="21"/>
          <w:highlight w:val="none"/>
        </w:rPr>
        <w:t>。</w:t>
      </w:r>
    </w:p>
    <w:p w14:paraId="73135CB0">
      <w:pPr>
        <w:spacing w:line="360" w:lineRule="auto"/>
        <w:ind w:firstLine="42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8"/>
          <w:szCs w:val="28"/>
          <w:highlight w:val="none"/>
          <w:lang w:val="en-US" w:eastAsia="zh-CN"/>
        </w:rPr>
        <w:t>格式3：昌宁县医共体中心药房管理系统建设技术方案</w:t>
      </w:r>
    </w:p>
    <w:p w14:paraId="3ABEDE1C">
      <w:pPr>
        <w:widowControl/>
        <w:jc w:val="center"/>
        <w:rPr>
          <w:rFonts w:hint="eastAsia" w:ascii="宋体" w:hAnsi="宋体" w:eastAsia="宋体" w:cs="宋体"/>
          <w:b w:val="0"/>
          <w:bCs w:val="0"/>
          <w:color w:val="auto"/>
          <w:sz w:val="21"/>
          <w:szCs w:val="21"/>
          <w:highlight w:val="none"/>
        </w:rPr>
      </w:pPr>
    </w:p>
    <w:p w14:paraId="327431FC">
      <w:pPr>
        <w:widowControl/>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（格式自拟）</w:t>
      </w:r>
    </w:p>
    <w:p w14:paraId="4B117C47">
      <w:pPr>
        <w:widowControl/>
        <w:jc w:val="center"/>
        <w:rPr>
          <w:rFonts w:hint="eastAsia" w:ascii="宋体" w:hAnsi="宋体" w:eastAsia="宋体" w:cs="宋体"/>
          <w:b/>
          <w:bCs/>
          <w:color w:val="auto"/>
          <w:sz w:val="21"/>
          <w:szCs w:val="21"/>
          <w:highlight w:val="none"/>
        </w:rPr>
      </w:pPr>
    </w:p>
    <w:p w14:paraId="332E7E21">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此部分内容应充分结合本项目采购需求的全部内容以及磋商程序和方法的评审要求进行综合分析后进行编制，此部分包含但不限于</w:t>
      </w:r>
      <w:r>
        <w:rPr>
          <w:rFonts w:hint="eastAsia" w:ascii="宋体" w:hAnsi="宋体" w:eastAsia="宋体" w:cs="宋体"/>
          <w:color w:val="auto"/>
          <w:sz w:val="21"/>
          <w:szCs w:val="21"/>
          <w:highlight w:val="none"/>
        </w:rPr>
        <w:t>：</w:t>
      </w:r>
    </w:p>
    <w:p w14:paraId="210F853F">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及数据接口开发设计工作方案（至少包含各项工作技术实施方案、技术工作流程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工作管理机制</w:t>
      </w:r>
      <w:r>
        <w:rPr>
          <w:rFonts w:hint="eastAsia" w:ascii="宋体" w:hAnsi="宋体" w:eastAsia="宋体" w:cs="宋体"/>
          <w:color w:val="auto"/>
          <w:sz w:val="21"/>
          <w:szCs w:val="21"/>
          <w:highlight w:val="none"/>
        </w:rPr>
        <w:t>等内容）；</w:t>
      </w:r>
    </w:p>
    <w:p w14:paraId="00908057">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sz w:val="21"/>
          <w:szCs w:val="21"/>
          <w:highlight w:val="none"/>
        </w:rPr>
        <w:t>安装部署技术服务方案（至少包含各项工作技术实施方案、技术工作流程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工作管理机制</w:t>
      </w:r>
      <w:r>
        <w:rPr>
          <w:rFonts w:hint="eastAsia" w:ascii="宋体" w:hAnsi="宋体" w:eastAsia="宋体" w:cs="宋体"/>
          <w:color w:val="auto"/>
          <w:sz w:val="21"/>
          <w:szCs w:val="21"/>
          <w:highlight w:val="none"/>
        </w:rPr>
        <w:t>等内容）；</w:t>
      </w:r>
    </w:p>
    <w:p w14:paraId="63D5FFE8">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sz w:val="21"/>
          <w:szCs w:val="21"/>
          <w:highlight w:val="none"/>
        </w:rPr>
        <w:t>相关信息系统集成、相关数据接口开发服务、新建</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与采购人指定相关</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数据对接和系统集成实施服务信息数据整合技术服务方案（至少包含各项工作技术实施方案、技术工作流程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工作管理机制</w:t>
      </w:r>
      <w:r>
        <w:rPr>
          <w:rFonts w:hint="eastAsia" w:ascii="宋体" w:hAnsi="宋体" w:eastAsia="宋体" w:cs="宋体"/>
          <w:color w:val="auto"/>
          <w:sz w:val="21"/>
          <w:szCs w:val="21"/>
          <w:highlight w:val="none"/>
        </w:rPr>
        <w:t>等内容）；</w:t>
      </w:r>
    </w:p>
    <w:p w14:paraId="3049AF06">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建设完成后开展测试、试运行、初验、终验技术方案，及针对项目验收提出相关问题的整改优化工作预案（至少包含各项工作技术实施方案、技术工作流程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工作管理机制</w:t>
      </w:r>
      <w:r>
        <w:rPr>
          <w:rFonts w:hint="eastAsia" w:ascii="宋体" w:hAnsi="宋体" w:eastAsia="宋体" w:cs="宋体"/>
          <w:color w:val="auto"/>
          <w:sz w:val="21"/>
          <w:szCs w:val="21"/>
          <w:highlight w:val="none"/>
        </w:rPr>
        <w:t>等内容）；</w:t>
      </w:r>
    </w:p>
    <w:p w14:paraId="2A08DB7B">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⑤项目实施进度计划安排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至少包含开展各阶段技术工作的</w:t>
      </w:r>
      <w:r>
        <w:rPr>
          <w:rFonts w:hint="eastAsia" w:ascii="宋体" w:hAnsi="宋体" w:eastAsia="宋体" w:cs="宋体"/>
          <w:color w:val="auto"/>
          <w:sz w:val="21"/>
          <w:szCs w:val="21"/>
          <w:highlight w:val="none"/>
        </w:rPr>
        <w:t>工作进度安排、时间节点介绍、人力物力配备等内容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2E75B86">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⑥项目风险控制方案和应急处理方案（至少包含：风险和应急事项预见、应急响应时间情况介绍、风险和应急处理程序、相应的处置预案）。</w:t>
      </w:r>
    </w:p>
    <w:p w14:paraId="67C089AD">
      <w:pPr>
        <w:spacing w:line="360" w:lineRule="auto"/>
        <w:ind w:left="-21" w:leftChars="-10" w:firstLine="392" w:firstLineChars="187"/>
        <w:rPr>
          <w:rFonts w:hint="eastAsia" w:ascii="宋体" w:hAnsi="宋体" w:eastAsia="宋体" w:cs="宋体"/>
          <w:color w:val="auto"/>
          <w:sz w:val="21"/>
          <w:szCs w:val="21"/>
          <w:highlight w:val="none"/>
        </w:rPr>
      </w:pPr>
    </w:p>
    <w:p w14:paraId="5C1D1244">
      <w:pPr>
        <w:spacing w:line="360" w:lineRule="auto"/>
        <w:ind w:left="-21" w:leftChars="-10" w:firstLine="392" w:firstLineChars="187"/>
        <w:rPr>
          <w:rFonts w:hint="eastAsia" w:ascii="宋体" w:hAnsi="宋体" w:eastAsia="宋体" w:cs="宋体"/>
          <w:color w:val="auto"/>
          <w:sz w:val="21"/>
          <w:szCs w:val="21"/>
          <w:highlight w:val="none"/>
        </w:rPr>
      </w:pPr>
    </w:p>
    <w:p w14:paraId="01FC9D27">
      <w:pPr>
        <w:widowControl/>
        <w:jc w:val="center"/>
        <w:rPr>
          <w:rFonts w:hint="eastAsia" w:ascii="宋体" w:hAnsi="宋体" w:eastAsia="宋体" w:cs="宋体"/>
          <w:b/>
          <w:bCs/>
          <w:color w:val="auto"/>
          <w:sz w:val="21"/>
          <w:szCs w:val="21"/>
          <w:highlight w:val="none"/>
        </w:rPr>
      </w:pPr>
    </w:p>
    <w:p w14:paraId="318D4D4B">
      <w:pPr>
        <w:spacing w:line="360" w:lineRule="auto"/>
        <w:ind w:firstLine="422" w:firstLineChars="20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8"/>
          <w:szCs w:val="28"/>
          <w:highlight w:val="none"/>
          <w:lang w:val="en-US" w:eastAsia="zh-CN"/>
        </w:rPr>
        <w:t>格式4：项目技术培训服务方案</w:t>
      </w:r>
    </w:p>
    <w:p w14:paraId="2FEA0A5B">
      <w:pPr>
        <w:spacing w:line="360" w:lineRule="auto"/>
        <w:ind w:left="-21" w:leftChars="-10" w:firstLine="392" w:firstLineChars="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（格式自拟）</w:t>
      </w:r>
    </w:p>
    <w:p w14:paraId="0023E385">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此部分内容应充分结合本项目采购需求的全部内容以及磋商程序和方法的评审要求进行综合分析后进行编制，此部分包含但不限于</w:t>
      </w:r>
      <w:r>
        <w:rPr>
          <w:rFonts w:hint="eastAsia" w:ascii="宋体" w:hAnsi="宋体" w:eastAsia="宋体" w:cs="宋体"/>
          <w:color w:val="auto"/>
          <w:sz w:val="21"/>
          <w:szCs w:val="21"/>
          <w:highlight w:val="none"/>
        </w:rPr>
        <w:t>：</w:t>
      </w:r>
    </w:p>
    <w:p w14:paraId="4074A004">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①项目技术培训内容和培训课程设置；</w:t>
      </w:r>
    </w:p>
    <w:p w14:paraId="51F58617">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②项目技术培训计划安排（明确具体培训模式、培训工作时间安排和具体各项课程安排等）。</w:t>
      </w:r>
    </w:p>
    <w:p w14:paraId="4FA5A5B2">
      <w:pPr>
        <w:pStyle w:val="26"/>
        <w:rPr>
          <w:rFonts w:hint="eastAsia" w:ascii="宋体" w:hAnsi="宋体" w:eastAsia="宋体" w:cs="宋体"/>
          <w:color w:val="auto"/>
          <w:highlight w:val="none"/>
        </w:rPr>
      </w:pPr>
    </w:p>
    <w:p w14:paraId="02B9C2DF">
      <w:pPr>
        <w:widowControl/>
        <w:jc w:val="center"/>
        <w:rPr>
          <w:rFonts w:hint="eastAsia" w:ascii="宋体" w:hAnsi="宋体" w:eastAsia="宋体" w:cs="宋体"/>
          <w:b/>
          <w:bCs/>
          <w:color w:val="auto"/>
          <w:sz w:val="21"/>
          <w:szCs w:val="21"/>
          <w:highlight w:val="none"/>
        </w:rPr>
      </w:pPr>
    </w:p>
    <w:p w14:paraId="670B3321">
      <w:pPr>
        <w:spacing w:line="360" w:lineRule="auto"/>
        <w:ind w:firstLine="42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8"/>
          <w:szCs w:val="28"/>
          <w:highlight w:val="none"/>
          <w:lang w:val="en-US" w:eastAsia="zh-CN"/>
        </w:rPr>
        <w:t>格式5：售后服务能力介绍及售后服务方案</w:t>
      </w:r>
    </w:p>
    <w:p w14:paraId="34E0BE15">
      <w:pPr>
        <w:spacing w:line="50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（格式自拟）</w:t>
      </w:r>
    </w:p>
    <w:p w14:paraId="023491A4">
      <w:pPr>
        <w:spacing w:line="5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此部分内容应充分结合本项目采购需求的全部内容以及磋商程序和方法的评审要求进行综合分析后进行编制，此部分包含但不限于</w:t>
      </w:r>
      <w:r>
        <w:rPr>
          <w:rFonts w:hint="eastAsia" w:ascii="宋体" w:hAnsi="宋体" w:eastAsia="宋体" w:cs="宋体"/>
          <w:color w:val="auto"/>
          <w:sz w:val="21"/>
          <w:szCs w:val="21"/>
          <w:highlight w:val="none"/>
        </w:rPr>
        <w:t>：</w:t>
      </w:r>
    </w:p>
    <w:p w14:paraId="31151606">
      <w:pPr>
        <w:spacing w:line="5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①售后服务体系介绍和售后技术团队设置情况（提供售后服务机构设置情况和本次采购产品的备件库设置情况介绍和证明材料，售后管理技术人员数量、技术分工和岗位情况介绍等内容）；</w:t>
      </w:r>
    </w:p>
    <w:p w14:paraId="19D0A6DA">
      <w:pPr>
        <w:spacing w:line="5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val="en-US" w:eastAsia="zh-CN"/>
        </w:rPr>
        <w:t>项目售后运维服务期限介绍，系统运维</w:t>
      </w:r>
      <w:r>
        <w:rPr>
          <w:rFonts w:hint="eastAsia" w:ascii="宋体" w:hAnsi="宋体" w:eastAsia="宋体" w:cs="宋体"/>
          <w:color w:val="auto"/>
          <w:sz w:val="21"/>
          <w:szCs w:val="21"/>
          <w:highlight w:val="none"/>
        </w:rPr>
        <w:t>巡检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运行维护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系统升级</w:t>
      </w:r>
      <w:r>
        <w:rPr>
          <w:rFonts w:hint="eastAsia" w:ascii="宋体" w:hAnsi="宋体" w:eastAsia="宋体" w:cs="宋体"/>
          <w:color w:val="auto"/>
          <w:sz w:val="21"/>
          <w:szCs w:val="21"/>
          <w:highlight w:val="none"/>
        </w:rPr>
        <w:t>技术方案；</w:t>
      </w:r>
    </w:p>
    <w:p w14:paraId="0B292C1E">
      <w:pPr>
        <w:spacing w:line="5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eastAsia="zh-CN"/>
        </w:rPr>
        <w:t>针对可能发生的各类售后服务问题</w:t>
      </w:r>
      <w:r>
        <w:rPr>
          <w:rFonts w:hint="eastAsia" w:ascii="宋体" w:hAnsi="宋体" w:eastAsia="宋体" w:cs="宋体"/>
          <w:color w:val="auto"/>
          <w:sz w:val="21"/>
          <w:szCs w:val="21"/>
          <w:highlight w:val="none"/>
          <w:lang w:val="en-US" w:eastAsia="zh-CN"/>
        </w:rPr>
        <w:t>进行解决、系统出现或者因外部原因形成的各类漏洞BUG进行系统修复和整改升级的</w:t>
      </w:r>
      <w:r>
        <w:rPr>
          <w:rFonts w:hint="eastAsia" w:ascii="宋体" w:hAnsi="宋体" w:eastAsia="宋体" w:cs="宋体"/>
          <w:color w:val="auto"/>
          <w:sz w:val="21"/>
          <w:szCs w:val="21"/>
          <w:highlight w:val="none"/>
          <w:lang w:eastAsia="zh-CN"/>
        </w:rPr>
        <w:t>工作机制、处理办法及响应（维修维护）时间安排</w:t>
      </w:r>
      <w:r>
        <w:rPr>
          <w:rFonts w:hint="eastAsia" w:ascii="宋体" w:hAnsi="宋体" w:eastAsia="宋体" w:cs="宋体"/>
          <w:color w:val="auto"/>
          <w:sz w:val="21"/>
          <w:szCs w:val="21"/>
          <w:highlight w:val="none"/>
        </w:rPr>
        <w:t>。</w:t>
      </w:r>
    </w:p>
    <w:p w14:paraId="3069B3CB">
      <w:pPr>
        <w:spacing w:line="500" w:lineRule="exact"/>
        <w:ind w:firstLine="420" w:firstLineChars="200"/>
        <w:jc w:val="left"/>
        <w:rPr>
          <w:rFonts w:hint="eastAsia" w:ascii="宋体" w:hAnsi="宋体" w:eastAsia="宋体" w:cs="宋体"/>
          <w:color w:val="auto"/>
          <w:sz w:val="21"/>
          <w:szCs w:val="21"/>
          <w:highlight w:val="none"/>
        </w:rPr>
      </w:pPr>
    </w:p>
    <w:p w14:paraId="6533D402">
      <w:pPr>
        <w:widowControl/>
        <w:jc w:val="center"/>
        <w:rPr>
          <w:rFonts w:hint="eastAsia" w:ascii="宋体" w:hAnsi="宋体" w:eastAsia="宋体" w:cs="宋体"/>
          <w:color w:val="auto"/>
          <w:sz w:val="21"/>
          <w:szCs w:val="21"/>
          <w:highlight w:val="none"/>
        </w:rPr>
      </w:pPr>
    </w:p>
    <w:p w14:paraId="4E7724F4">
      <w:pPr>
        <w:widowControl/>
        <w:jc w:val="center"/>
        <w:rPr>
          <w:rFonts w:hint="eastAsia" w:ascii="宋体" w:hAnsi="宋体" w:eastAsia="宋体" w:cs="宋体"/>
          <w:color w:val="auto"/>
          <w:sz w:val="21"/>
          <w:szCs w:val="21"/>
          <w:highlight w:val="none"/>
        </w:rPr>
      </w:pPr>
    </w:p>
    <w:p w14:paraId="61F9745C">
      <w:pPr>
        <w:widowControl/>
        <w:jc w:val="center"/>
        <w:rPr>
          <w:rFonts w:hint="eastAsia" w:ascii="宋体" w:hAnsi="宋体" w:eastAsia="宋体" w:cs="宋体"/>
          <w:b/>
          <w:bCs/>
          <w:color w:val="auto"/>
          <w:sz w:val="21"/>
          <w:szCs w:val="21"/>
          <w:highlight w:val="none"/>
        </w:rPr>
      </w:pPr>
    </w:p>
    <w:p w14:paraId="53D871D8">
      <w:pPr>
        <w:widowControl/>
        <w:jc w:val="left"/>
        <w:rPr>
          <w:rFonts w:hint="eastAsia" w:ascii="宋体" w:hAnsi="宋体" w:eastAsia="宋体" w:cs="宋体"/>
          <w:b/>
          <w:bCs/>
          <w:color w:val="auto"/>
          <w:sz w:val="21"/>
          <w:szCs w:val="21"/>
          <w:highlight w:val="none"/>
        </w:rPr>
      </w:pPr>
    </w:p>
    <w:p w14:paraId="2966B69C">
      <w:pPr>
        <w:widowControl/>
        <w:jc w:val="center"/>
        <w:rPr>
          <w:rFonts w:hint="eastAsia" w:ascii="宋体" w:hAnsi="宋体" w:eastAsia="宋体" w:cs="宋体"/>
          <w:b/>
          <w:bCs/>
          <w:color w:val="auto"/>
          <w:sz w:val="21"/>
          <w:szCs w:val="21"/>
          <w:highlight w:val="none"/>
        </w:rPr>
      </w:pPr>
    </w:p>
    <w:p w14:paraId="542C79CF">
      <w:pPr>
        <w:widowControl/>
        <w:jc w:val="center"/>
        <w:rPr>
          <w:rFonts w:hint="eastAsia" w:ascii="宋体" w:hAnsi="宋体" w:eastAsia="宋体" w:cs="宋体"/>
          <w:b/>
          <w:bCs/>
          <w:color w:val="auto"/>
          <w:sz w:val="21"/>
          <w:szCs w:val="21"/>
          <w:highlight w:val="none"/>
        </w:rPr>
      </w:pPr>
    </w:p>
    <w:p w14:paraId="0F28E14B">
      <w:pPr>
        <w:spacing w:line="360" w:lineRule="auto"/>
        <w:ind w:firstLine="422" w:firstLineChars="200"/>
        <w:jc w:val="center"/>
        <w:rPr>
          <w:rStyle w:val="98"/>
          <w:rFonts w:hint="eastAsia" w:ascii="宋体" w:hAnsi="宋体" w:eastAsia="宋体" w:cs="宋体"/>
          <w:color w:val="auto"/>
          <w:highlight w:val="none"/>
          <w:lang w:val="en-US" w:eastAsia="zh-CN"/>
        </w:rPr>
      </w:pPr>
      <w:r>
        <w:rPr>
          <w:rFonts w:hint="eastAsia" w:ascii="宋体" w:hAnsi="宋体" w:eastAsia="宋体" w:cs="宋体"/>
          <w:b/>
          <w:bCs/>
          <w:color w:val="auto"/>
          <w:sz w:val="21"/>
          <w:szCs w:val="21"/>
          <w:highlight w:val="none"/>
        </w:rPr>
        <w:br w:type="page"/>
      </w:r>
      <w:bookmarkStart w:id="191" w:name="_Toc24964"/>
      <w:bookmarkStart w:id="192" w:name="_Toc24082"/>
      <w:r>
        <w:rPr>
          <w:rFonts w:hint="eastAsia" w:ascii="宋体" w:hAnsi="宋体" w:eastAsia="宋体" w:cs="宋体"/>
          <w:b/>
          <w:bCs/>
          <w:color w:val="auto"/>
          <w:sz w:val="28"/>
          <w:szCs w:val="28"/>
          <w:highlight w:val="none"/>
          <w:lang w:val="en-US" w:eastAsia="zh-CN"/>
        </w:rPr>
        <w:t>格式6：昌宁县医共体中心药房管理系统后期运维服务情况表</w:t>
      </w:r>
    </w:p>
    <w:bookmarkEnd w:id="191"/>
    <w:bookmarkEnd w:id="192"/>
    <w:p w14:paraId="19371C4C">
      <w:pPr>
        <w:widowControl/>
        <w:spacing w:line="440" w:lineRule="exact"/>
        <w:ind w:firstLine="420" w:firstLineChars="200"/>
        <w:jc w:val="left"/>
        <w:rPr>
          <w:rFonts w:hint="eastAsia" w:ascii="宋体" w:hAnsi="宋体" w:eastAsia="宋体" w:cs="宋体"/>
          <w:color w:val="auto"/>
          <w:sz w:val="21"/>
          <w:szCs w:val="21"/>
          <w:highlight w:val="none"/>
        </w:rPr>
      </w:pPr>
    </w:p>
    <w:p w14:paraId="039A4BC7">
      <w:pPr>
        <w:widowControl/>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本次采购的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需要长期的运行维护，采购人将考虑本项目的售后运维服务</w:t>
      </w:r>
      <w:r>
        <w:rPr>
          <w:rFonts w:hint="eastAsia" w:ascii="宋体" w:hAnsi="宋体" w:eastAsia="宋体" w:cs="宋体"/>
          <w:color w:val="auto"/>
          <w:sz w:val="21"/>
          <w:szCs w:val="21"/>
          <w:highlight w:val="none"/>
          <w:lang w:val="en-US" w:eastAsia="zh-CN"/>
        </w:rPr>
        <w:t>期满</w:t>
      </w:r>
      <w:r>
        <w:rPr>
          <w:rFonts w:hint="eastAsia" w:ascii="宋体" w:hAnsi="宋体" w:eastAsia="宋体" w:cs="宋体"/>
          <w:color w:val="auto"/>
          <w:sz w:val="21"/>
          <w:szCs w:val="21"/>
          <w:highlight w:val="none"/>
        </w:rPr>
        <w:t>后的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运行维护服务工作的实际需求，后续运维服务内容包含</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在运行中的故障排错、信息数据维护备份及恢复、系统及数据库适配调整、</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定期升级更新等工作。参与本项目的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可根据项目实际情况填报后续运行维护服务费，此服务费将纳入合同签署的考虑范畴。</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针对</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后续运行维护服务填报的后续运行维护服务费基于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sz w:val="21"/>
          <w:szCs w:val="21"/>
          <w:highlight w:val="none"/>
        </w:rPr>
        <w:t>比例不能高于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w:t>
      </w:r>
    </w:p>
    <w:tbl>
      <w:tblPr>
        <w:tblStyle w:val="27"/>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30"/>
        <w:gridCol w:w="1821"/>
        <w:gridCol w:w="1520"/>
        <w:gridCol w:w="1820"/>
        <w:gridCol w:w="3476"/>
        <w:gridCol w:w="542"/>
      </w:tblGrid>
      <w:tr w14:paraId="060E4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3" w:hRule="atLeast"/>
          <w:tblHeader/>
          <w:jc w:val="center"/>
        </w:trPr>
        <w:tc>
          <w:tcPr>
            <w:tcW w:w="630" w:type="dxa"/>
            <w:vMerge w:val="restart"/>
            <w:noWrap w:val="0"/>
            <w:vAlign w:val="center"/>
          </w:tcPr>
          <w:p w14:paraId="76DEA3DE">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21" w:type="dxa"/>
            <w:vMerge w:val="restart"/>
            <w:noWrap w:val="0"/>
            <w:vAlign w:val="center"/>
          </w:tcPr>
          <w:p w14:paraId="0EF805BF">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520" w:type="dxa"/>
            <w:vMerge w:val="restart"/>
            <w:noWrap w:val="0"/>
            <w:vAlign w:val="center"/>
          </w:tcPr>
          <w:p w14:paraId="4B0DAD5A">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后期运维服务机构名称</w:t>
            </w:r>
          </w:p>
        </w:tc>
        <w:tc>
          <w:tcPr>
            <w:tcW w:w="1820" w:type="dxa"/>
            <w:vMerge w:val="restart"/>
            <w:tcBorders>
              <w:right w:val="single" w:color="auto" w:sz="4" w:space="0"/>
            </w:tcBorders>
            <w:noWrap w:val="0"/>
            <w:vAlign w:val="center"/>
          </w:tcPr>
          <w:p w14:paraId="02046247">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计划投入的人力物力情况介绍</w:t>
            </w:r>
          </w:p>
        </w:tc>
        <w:tc>
          <w:tcPr>
            <w:tcW w:w="3476" w:type="dxa"/>
            <w:noWrap w:val="0"/>
            <w:vAlign w:val="center"/>
          </w:tcPr>
          <w:p w14:paraId="6ACD2122">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后续运行维护服务费</w:t>
            </w:r>
          </w:p>
        </w:tc>
        <w:tc>
          <w:tcPr>
            <w:tcW w:w="542" w:type="dxa"/>
            <w:vMerge w:val="restart"/>
            <w:noWrap w:val="0"/>
            <w:vAlign w:val="center"/>
          </w:tcPr>
          <w:p w14:paraId="2A272C22">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6AA0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3" w:hRule="atLeast"/>
          <w:tblHeader/>
          <w:jc w:val="center"/>
        </w:trPr>
        <w:tc>
          <w:tcPr>
            <w:tcW w:w="630" w:type="dxa"/>
            <w:vMerge w:val="continue"/>
            <w:noWrap w:val="0"/>
            <w:vAlign w:val="center"/>
          </w:tcPr>
          <w:p w14:paraId="54149DDD">
            <w:pPr>
              <w:topLinePunct/>
              <w:jc w:val="center"/>
              <w:rPr>
                <w:rFonts w:hint="eastAsia" w:ascii="宋体" w:hAnsi="宋体" w:eastAsia="宋体" w:cs="宋体"/>
                <w:color w:val="auto"/>
                <w:highlight w:val="none"/>
              </w:rPr>
            </w:pPr>
          </w:p>
        </w:tc>
        <w:tc>
          <w:tcPr>
            <w:tcW w:w="1821" w:type="dxa"/>
            <w:vMerge w:val="continue"/>
            <w:noWrap w:val="0"/>
            <w:vAlign w:val="center"/>
          </w:tcPr>
          <w:p w14:paraId="5E351405">
            <w:pPr>
              <w:topLinePunct/>
              <w:jc w:val="center"/>
              <w:rPr>
                <w:rFonts w:hint="eastAsia" w:ascii="宋体" w:hAnsi="宋体" w:eastAsia="宋体" w:cs="宋体"/>
                <w:color w:val="auto"/>
                <w:highlight w:val="none"/>
              </w:rPr>
            </w:pPr>
          </w:p>
        </w:tc>
        <w:tc>
          <w:tcPr>
            <w:tcW w:w="1520" w:type="dxa"/>
            <w:vMerge w:val="continue"/>
            <w:noWrap w:val="0"/>
            <w:vAlign w:val="center"/>
          </w:tcPr>
          <w:p w14:paraId="21F37A37">
            <w:pPr>
              <w:topLinePunct/>
              <w:jc w:val="center"/>
              <w:rPr>
                <w:rFonts w:hint="eastAsia" w:ascii="宋体" w:hAnsi="宋体" w:eastAsia="宋体" w:cs="宋体"/>
                <w:color w:val="auto"/>
                <w:highlight w:val="none"/>
              </w:rPr>
            </w:pPr>
          </w:p>
        </w:tc>
        <w:tc>
          <w:tcPr>
            <w:tcW w:w="1820" w:type="dxa"/>
            <w:vMerge w:val="continue"/>
            <w:tcBorders>
              <w:right w:val="single" w:color="auto" w:sz="4" w:space="0"/>
            </w:tcBorders>
            <w:noWrap w:val="0"/>
            <w:vAlign w:val="center"/>
          </w:tcPr>
          <w:p w14:paraId="71DFA009">
            <w:pPr>
              <w:topLinePunct/>
              <w:jc w:val="center"/>
              <w:rPr>
                <w:rFonts w:hint="eastAsia" w:ascii="宋体" w:hAnsi="宋体" w:eastAsia="宋体" w:cs="宋体"/>
                <w:color w:val="auto"/>
                <w:highlight w:val="none"/>
              </w:rPr>
            </w:pPr>
          </w:p>
        </w:tc>
        <w:tc>
          <w:tcPr>
            <w:tcW w:w="3476" w:type="dxa"/>
            <w:noWrap w:val="0"/>
            <w:vAlign w:val="center"/>
          </w:tcPr>
          <w:p w14:paraId="2905FAF4">
            <w:pPr>
              <w:topLinePunct/>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sz w:val="21"/>
                <w:szCs w:val="21"/>
                <w:highlight w:val="none"/>
              </w:rPr>
              <w:t>比例</w:t>
            </w:r>
          </w:p>
        </w:tc>
        <w:tc>
          <w:tcPr>
            <w:tcW w:w="542" w:type="dxa"/>
            <w:vMerge w:val="continue"/>
            <w:noWrap w:val="0"/>
            <w:vAlign w:val="center"/>
          </w:tcPr>
          <w:p w14:paraId="3F61F349">
            <w:pPr>
              <w:topLinePunct/>
              <w:jc w:val="center"/>
              <w:rPr>
                <w:rFonts w:hint="eastAsia" w:ascii="宋体" w:hAnsi="宋体" w:eastAsia="宋体" w:cs="宋体"/>
                <w:color w:val="auto"/>
                <w:highlight w:val="none"/>
              </w:rPr>
            </w:pPr>
          </w:p>
        </w:tc>
      </w:tr>
      <w:tr w14:paraId="68D9F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5" w:hRule="atLeast"/>
          <w:jc w:val="center"/>
        </w:trPr>
        <w:tc>
          <w:tcPr>
            <w:tcW w:w="630" w:type="dxa"/>
            <w:noWrap w:val="0"/>
            <w:vAlign w:val="center"/>
          </w:tcPr>
          <w:p w14:paraId="1E4DDA2F">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21" w:type="dxa"/>
            <w:noWrap w:val="0"/>
            <w:vAlign w:val="center"/>
          </w:tcPr>
          <w:p w14:paraId="54B94A1A">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w:t>
            </w:r>
          </w:p>
        </w:tc>
        <w:tc>
          <w:tcPr>
            <w:tcW w:w="1520" w:type="dxa"/>
            <w:noWrap w:val="0"/>
            <w:vAlign w:val="center"/>
          </w:tcPr>
          <w:p w14:paraId="0757177F">
            <w:pPr>
              <w:topLinePunct/>
              <w:jc w:val="center"/>
              <w:rPr>
                <w:rFonts w:hint="eastAsia" w:ascii="宋体" w:hAnsi="宋体" w:eastAsia="宋体" w:cs="宋体"/>
                <w:color w:val="auto"/>
                <w:sz w:val="21"/>
                <w:szCs w:val="21"/>
                <w:highlight w:val="none"/>
              </w:rPr>
            </w:pPr>
          </w:p>
        </w:tc>
        <w:tc>
          <w:tcPr>
            <w:tcW w:w="1820" w:type="dxa"/>
            <w:tcBorders>
              <w:right w:val="single" w:color="auto" w:sz="4" w:space="0"/>
            </w:tcBorders>
            <w:noWrap w:val="0"/>
            <w:vAlign w:val="center"/>
          </w:tcPr>
          <w:p w14:paraId="573C6727">
            <w:pPr>
              <w:topLinePunct/>
              <w:jc w:val="center"/>
              <w:rPr>
                <w:rFonts w:hint="eastAsia" w:ascii="宋体" w:hAnsi="宋体" w:eastAsia="宋体" w:cs="宋体"/>
                <w:color w:val="auto"/>
                <w:sz w:val="21"/>
                <w:szCs w:val="21"/>
                <w:highlight w:val="none"/>
              </w:rPr>
            </w:pPr>
          </w:p>
        </w:tc>
        <w:tc>
          <w:tcPr>
            <w:tcW w:w="3476" w:type="dxa"/>
            <w:noWrap w:val="0"/>
            <w:vAlign w:val="center"/>
          </w:tcPr>
          <w:p w14:paraId="5B2D00C5">
            <w:pPr>
              <w:topLinePun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42" w:type="dxa"/>
            <w:noWrap w:val="0"/>
            <w:vAlign w:val="center"/>
          </w:tcPr>
          <w:p w14:paraId="6EB1F633">
            <w:pPr>
              <w:topLinePunct/>
              <w:jc w:val="center"/>
              <w:rPr>
                <w:rFonts w:hint="eastAsia" w:ascii="宋体" w:hAnsi="宋体" w:eastAsia="宋体" w:cs="宋体"/>
                <w:color w:val="auto"/>
                <w:sz w:val="21"/>
                <w:szCs w:val="21"/>
                <w:highlight w:val="none"/>
              </w:rPr>
            </w:pPr>
          </w:p>
        </w:tc>
      </w:tr>
    </w:tbl>
    <w:p w14:paraId="77C52E84">
      <w:pPr>
        <w:widowControl/>
        <w:spacing w:line="44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注：计划</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后期运维服务费金额是指</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若有幸</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rPr>
        <w:t>，计划在售后运维服务期满后为采购人继续提供后续运维服务的金额，</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后期运维服务费基于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比例是指计划</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后期运维服务费金额与</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本次填报的</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的比值，即：</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后期运维服务费基于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比例=（</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后期运维服务费金额÷</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本次填报的</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）×100%。</w:t>
      </w:r>
    </w:p>
    <w:p w14:paraId="79F25111">
      <w:pPr>
        <w:widowControl/>
        <w:spacing w:line="440" w:lineRule="exact"/>
        <w:ind w:firstLine="422" w:firstLineChars="200"/>
        <w:jc w:val="left"/>
        <w:rPr>
          <w:rFonts w:hint="eastAsia" w:ascii="宋体" w:hAnsi="宋体" w:eastAsia="宋体" w:cs="宋体"/>
          <w:b/>
          <w:bCs/>
          <w:color w:val="auto"/>
          <w:sz w:val="21"/>
          <w:szCs w:val="21"/>
          <w:highlight w:val="none"/>
        </w:rPr>
      </w:pPr>
    </w:p>
    <w:p w14:paraId="7EE21980">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加盖单位公章</w:t>
      </w:r>
      <w:r>
        <w:rPr>
          <w:rFonts w:hint="eastAsia" w:ascii="宋体" w:hAnsi="宋体" w:eastAsia="宋体" w:cs="宋体"/>
          <w:color w:val="auto"/>
          <w:sz w:val="21"/>
          <w:szCs w:val="21"/>
          <w:highlight w:val="none"/>
        </w:rPr>
        <w:t>）</w:t>
      </w:r>
    </w:p>
    <w:p w14:paraId="4B63D327">
      <w:pPr>
        <w:spacing w:line="460" w:lineRule="exact"/>
        <w:ind w:firstLine="279" w:firstLineChars="13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签字或加盖个人印章</w:t>
      </w:r>
      <w:r>
        <w:rPr>
          <w:rFonts w:hint="eastAsia" w:ascii="宋体" w:hAnsi="宋体" w:eastAsia="宋体" w:cs="宋体"/>
          <w:color w:val="auto"/>
          <w:sz w:val="21"/>
          <w:szCs w:val="21"/>
          <w:highlight w:val="none"/>
        </w:rPr>
        <w:t>）</w:t>
      </w:r>
    </w:p>
    <w:p w14:paraId="463A1B57">
      <w:pPr>
        <w:spacing w:line="460" w:lineRule="exact"/>
        <w:ind w:firstLine="279" w:firstLineChars="133"/>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A836593">
      <w:pPr>
        <w:widowControl/>
        <w:spacing w:line="440" w:lineRule="exact"/>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6EF061ED">
      <w:pPr>
        <w:spacing w:line="360" w:lineRule="auto"/>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格式7：承担本项目的相关承诺及保证措施</w:t>
      </w:r>
    </w:p>
    <w:p w14:paraId="3A2BDA61">
      <w:pPr>
        <w:spacing w:line="50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（格式自拟）</w:t>
      </w:r>
    </w:p>
    <w:p w14:paraId="6029846E">
      <w:pPr>
        <w:spacing w:line="360" w:lineRule="auto"/>
        <w:ind w:left="-21" w:leftChars="-10" w:firstLine="392" w:firstLineChars="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此部分内容应充分结合本项目采购需求的全部内容以及磋商程序和方法的评审要求进行综合分析后进行编制，此部分包含但不限于</w:t>
      </w:r>
      <w:r>
        <w:rPr>
          <w:rFonts w:hint="eastAsia" w:ascii="宋体" w:hAnsi="宋体" w:eastAsia="宋体" w:cs="宋体"/>
          <w:color w:val="auto"/>
          <w:sz w:val="21"/>
          <w:szCs w:val="21"/>
          <w:highlight w:val="none"/>
        </w:rPr>
        <w:t>：</w:t>
      </w:r>
    </w:p>
    <w:p w14:paraId="0721D5F8">
      <w:pPr>
        <w:spacing w:line="360" w:lineRule="auto"/>
        <w:ind w:left="-21" w:leftChars="-10" w:firstLine="392" w:firstLineChars="187"/>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①针对未按合同履行期限规定的时间完成本项目所有采购任务的违约承诺；</w:t>
      </w:r>
    </w:p>
    <w:p w14:paraId="5512908F">
      <w:pPr>
        <w:spacing w:line="360" w:lineRule="auto"/>
        <w:ind w:left="-21" w:leftChars="-10" w:firstLine="392" w:firstLineChars="187"/>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②针对发生本项目采购</w:t>
      </w:r>
      <w:r>
        <w:rPr>
          <w:rFonts w:hint="eastAsia" w:ascii="宋体" w:hAnsi="宋体" w:eastAsia="宋体" w:cs="宋体"/>
          <w:b w:val="0"/>
          <w:bCs w:val="0"/>
          <w:color w:val="auto"/>
          <w:sz w:val="21"/>
          <w:szCs w:val="21"/>
          <w:highlight w:val="none"/>
          <w:lang w:val="en-US" w:eastAsia="zh-CN"/>
        </w:rPr>
        <w:t>系统</w:t>
      </w:r>
      <w:r>
        <w:rPr>
          <w:rFonts w:hint="eastAsia" w:ascii="宋体" w:hAnsi="宋体" w:eastAsia="宋体" w:cs="宋体"/>
          <w:b w:val="0"/>
          <w:bCs w:val="0"/>
          <w:color w:val="auto"/>
          <w:sz w:val="21"/>
          <w:szCs w:val="21"/>
          <w:highlight w:val="none"/>
        </w:rPr>
        <w:t>验收不合格的违约承诺；</w:t>
      </w:r>
    </w:p>
    <w:p w14:paraId="605D871B">
      <w:pPr>
        <w:spacing w:line="360" w:lineRule="auto"/>
        <w:ind w:left="-21" w:leftChars="-10" w:firstLine="392" w:firstLineChars="187"/>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③针对提供的各项售后服务工作质量不达标的违约承诺</w:t>
      </w:r>
      <w:r>
        <w:rPr>
          <w:rFonts w:hint="eastAsia" w:ascii="宋体" w:hAnsi="宋体" w:eastAsia="宋体" w:cs="宋体"/>
          <w:b w:val="0"/>
          <w:bCs w:val="0"/>
          <w:color w:val="auto"/>
          <w:sz w:val="21"/>
          <w:szCs w:val="21"/>
          <w:highlight w:val="none"/>
          <w:lang w:eastAsia="zh-CN"/>
        </w:rPr>
        <w:t>；</w:t>
      </w:r>
    </w:p>
    <w:p w14:paraId="7D63B8AB">
      <w:pPr>
        <w:spacing w:line="360" w:lineRule="auto"/>
        <w:ind w:left="-21" w:leftChars="-10" w:firstLine="392" w:firstLineChars="187"/>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④针对</w:t>
      </w:r>
      <w:r>
        <w:rPr>
          <w:rFonts w:hint="eastAsia" w:ascii="宋体" w:hAnsi="宋体" w:eastAsia="宋体" w:cs="宋体"/>
          <w:b w:val="0"/>
          <w:bCs w:val="0"/>
          <w:color w:val="auto"/>
          <w:sz w:val="21"/>
          <w:szCs w:val="21"/>
          <w:highlight w:val="none"/>
          <w:lang w:val="en-US" w:eastAsia="zh-CN"/>
        </w:rPr>
        <w:t>发生</w:t>
      </w:r>
      <w:r>
        <w:rPr>
          <w:rFonts w:hint="eastAsia" w:ascii="宋体" w:hAnsi="宋体" w:eastAsia="宋体" w:cs="宋体"/>
          <w:b w:val="0"/>
          <w:bCs w:val="0"/>
          <w:color w:val="auto"/>
          <w:sz w:val="21"/>
          <w:szCs w:val="21"/>
          <w:highlight w:val="none"/>
        </w:rPr>
        <w:t>项目管理</w:t>
      </w:r>
      <w:r>
        <w:rPr>
          <w:rFonts w:hint="eastAsia" w:ascii="宋体" w:hAnsi="宋体" w:eastAsia="宋体" w:cs="宋体"/>
          <w:b w:val="0"/>
          <w:bCs w:val="0"/>
          <w:color w:val="auto"/>
          <w:sz w:val="21"/>
          <w:szCs w:val="21"/>
          <w:highlight w:val="none"/>
          <w:lang w:val="en-US" w:eastAsia="zh-CN"/>
        </w:rPr>
        <w:t>问题</w:t>
      </w:r>
      <w:r>
        <w:rPr>
          <w:rFonts w:hint="eastAsia" w:ascii="宋体" w:hAnsi="宋体" w:eastAsia="宋体" w:cs="宋体"/>
          <w:b w:val="0"/>
          <w:bCs w:val="0"/>
          <w:color w:val="auto"/>
          <w:sz w:val="21"/>
          <w:szCs w:val="21"/>
          <w:highlight w:val="none"/>
        </w:rPr>
        <w:t>（如项目</w:t>
      </w:r>
      <w:r>
        <w:rPr>
          <w:rFonts w:hint="eastAsia" w:ascii="宋体" w:hAnsi="宋体" w:eastAsia="宋体" w:cs="宋体"/>
          <w:b w:val="0"/>
          <w:bCs w:val="0"/>
          <w:color w:val="auto"/>
          <w:sz w:val="21"/>
          <w:szCs w:val="21"/>
          <w:highlight w:val="none"/>
          <w:lang w:val="en-US" w:eastAsia="zh-CN"/>
        </w:rPr>
        <w:t>信息数据</w:t>
      </w:r>
      <w:r>
        <w:rPr>
          <w:rFonts w:hint="eastAsia" w:ascii="宋体" w:hAnsi="宋体" w:eastAsia="宋体" w:cs="宋体"/>
          <w:b w:val="0"/>
          <w:bCs w:val="0"/>
          <w:color w:val="auto"/>
          <w:sz w:val="21"/>
          <w:szCs w:val="21"/>
          <w:highlight w:val="none"/>
        </w:rPr>
        <w:t>安全</w:t>
      </w:r>
      <w:r>
        <w:rPr>
          <w:rFonts w:hint="eastAsia" w:ascii="宋体" w:hAnsi="宋体" w:eastAsia="宋体" w:cs="宋体"/>
          <w:b w:val="0"/>
          <w:bCs w:val="0"/>
          <w:color w:val="auto"/>
          <w:sz w:val="21"/>
          <w:szCs w:val="21"/>
          <w:highlight w:val="none"/>
          <w:lang w:val="en-US" w:eastAsia="zh-CN"/>
        </w:rPr>
        <w:t>问题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知识产权问题</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廉政问题</w:t>
      </w:r>
      <w:r>
        <w:rPr>
          <w:rFonts w:hint="eastAsia" w:ascii="宋体" w:hAnsi="宋体" w:eastAsia="宋体" w:cs="宋体"/>
          <w:b w:val="0"/>
          <w:bCs w:val="0"/>
          <w:color w:val="auto"/>
          <w:sz w:val="21"/>
          <w:szCs w:val="21"/>
          <w:highlight w:val="none"/>
        </w:rPr>
        <w:t>）的违约承诺。</w:t>
      </w:r>
    </w:p>
    <w:p w14:paraId="753162D3">
      <w:pPr>
        <w:spacing w:line="360" w:lineRule="auto"/>
        <w:ind w:left="-21" w:leftChars="-10" w:firstLine="394" w:firstLineChars="187"/>
        <w:rPr>
          <w:rFonts w:hint="eastAsia" w:ascii="宋体" w:hAnsi="宋体" w:eastAsia="宋体" w:cs="宋体"/>
          <w:b/>
          <w:bCs/>
          <w:color w:val="auto"/>
          <w:sz w:val="21"/>
          <w:szCs w:val="21"/>
          <w:highlight w:val="none"/>
        </w:rPr>
      </w:pPr>
    </w:p>
    <w:p w14:paraId="42E60987">
      <w:pPr>
        <w:spacing w:line="360" w:lineRule="auto"/>
        <w:ind w:firstLine="422" w:firstLineChars="200"/>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8"/>
          <w:szCs w:val="28"/>
          <w:highlight w:val="none"/>
          <w:lang w:val="en-US" w:eastAsia="zh-CN"/>
        </w:rPr>
        <w:t>格式8：磋商申请人认为需要提供的其他技术文件</w:t>
      </w:r>
      <w:r>
        <w:rPr>
          <w:rFonts w:hint="eastAsia" w:ascii="宋体" w:hAnsi="宋体" w:eastAsia="宋体" w:cs="宋体"/>
          <w:b/>
          <w:color w:val="auto"/>
          <w:sz w:val="28"/>
          <w:szCs w:val="28"/>
          <w:highlight w:val="none"/>
        </w:rPr>
        <w:br w:type="page"/>
      </w:r>
    </w:p>
    <w:p w14:paraId="144946B8">
      <w:pPr>
        <w:pStyle w:val="3"/>
        <w:spacing w:line="360" w:lineRule="auto"/>
        <w:jc w:val="center"/>
        <w:rPr>
          <w:rFonts w:hint="eastAsia" w:ascii="宋体" w:hAnsi="宋体" w:eastAsia="宋体" w:cs="宋体"/>
          <w:color w:val="auto"/>
          <w:sz w:val="32"/>
          <w:szCs w:val="32"/>
          <w:highlight w:val="none"/>
        </w:rPr>
      </w:pPr>
      <w:bookmarkStart w:id="193" w:name="_Toc39092140"/>
      <w:bookmarkStart w:id="194" w:name="_Toc7252790"/>
      <w:r>
        <w:rPr>
          <w:rFonts w:hint="eastAsia" w:ascii="宋体" w:hAnsi="宋体" w:eastAsia="宋体" w:cs="宋体"/>
          <w:color w:val="auto"/>
          <w:sz w:val="32"/>
          <w:szCs w:val="32"/>
          <w:highlight w:val="none"/>
        </w:rPr>
        <w:t xml:space="preserve">第五章  </w:t>
      </w:r>
      <w:bookmarkEnd w:id="193"/>
      <w:bookmarkEnd w:id="194"/>
      <w:r>
        <w:rPr>
          <w:rFonts w:hint="eastAsia" w:ascii="宋体" w:hAnsi="宋体" w:eastAsia="宋体" w:cs="宋体"/>
          <w:color w:val="auto"/>
          <w:sz w:val="32"/>
          <w:szCs w:val="32"/>
          <w:highlight w:val="none"/>
        </w:rPr>
        <w:t>采购需求</w:t>
      </w:r>
    </w:p>
    <w:p w14:paraId="05E64AFC">
      <w:pPr>
        <w:keepNext w:val="0"/>
        <w:keepLines w:val="0"/>
        <w:pageBreakBefore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rPr>
      </w:pPr>
    </w:p>
    <w:p w14:paraId="1F1C43B2">
      <w:pPr>
        <w:keepNext w:val="0"/>
        <w:keepLines w:val="0"/>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b/>
          <w:bCs/>
          <w:color w:val="auto"/>
          <w:kern w:val="0"/>
          <w:sz w:val="21"/>
          <w:szCs w:val="21"/>
          <w:highlight w:val="none"/>
        </w:rPr>
        <w:t>项目基本情况：</w:t>
      </w:r>
    </w:p>
    <w:p w14:paraId="6A2F7C4F">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1.项目编号：</w:t>
      </w:r>
      <w:r>
        <w:rPr>
          <w:rFonts w:hint="eastAsia" w:ascii="宋体" w:hAnsi="宋体" w:eastAsia="宋体" w:cs="宋体"/>
          <w:color w:val="auto"/>
          <w:kern w:val="0"/>
          <w:sz w:val="21"/>
          <w:szCs w:val="21"/>
          <w:highlight w:val="none"/>
          <w:lang w:eastAsia="zh-CN"/>
        </w:rPr>
        <w:t>TRZBC2026-72（</w:t>
      </w:r>
      <w:r>
        <w:rPr>
          <w:rFonts w:hint="eastAsia" w:ascii="宋体" w:hAnsi="宋体" w:eastAsia="宋体" w:cs="宋体"/>
          <w:color w:val="auto"/>
          <w:kern w:val="0"/>
          <w:sz w:val="21"/>
          <w:szCs w:val="21"/>
          <w:highlight w:val="none"/>
          <w:lang w:val="en-US" w:eastAsia="zh-CN"/>
        </w:rPr>
        <w:t>电子交易平台项目编号：BSZC2026-C3-00673-BSTR-0045</w:t>
      </w:r>
      <w:r>
        <w:rPr>
          <w:rFonts w:hint="eastAsia" w:ascii="宋体" w:hAnsi="宋体" w:eastAsia="宋体" w:cs="宋体"/>
          <w:color w:val="auto"/>
          <w:kern w:val="0"/>
          <w:sz w:val="21"/>
          <w:szCs w:val="21"/>
          <w:highlight w:val="none"/>
          <w:lang w:eastAsia="zh-CN"/>
        </w:rPr>
        <w:t>）</w:t>
      </w:r>
    </w:p>
    <w:p w14:paraId="1E473457">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2.项目名称：</w:t>
      </w:r>
      <w:r>
        <w:rPr>
          <w:rFonts w:hint="eastAsia" w:ascii="宋体" w:hAnsi="宋体" w:eastAsia="宋体" w:cs="宋体"/>
          <w:color w:val="auto"/>
          <w:kern w:val="0"/>
          <w:sz w:val="21"/>
          <w:szCs w:val="21"/>
          <w:highlight w:val="none"/>
          <w:lang w:eastAsia="zh-CN"/>
        </w:rPr>
        <w:t>昌宁县医共体中心药房管理系统采购项目</w:t>
      </w:r>
    </w:p>
    <w:p w14:paraId="0CC1BA09">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3.采购方式：竞争性磋商</w:t>
      </w:r>
    </w:p>
    <w:p w14:paraId="6B1A960A">
      <w:pPr>
        <w:keepNext w:val="0"/>
        <w:keepLines w:val="0"/>
        <w:pageBreakBefore w:val="0"/>
        <w:widowControl/>
        <w:kinsoku/>
        <w:wordWrap/>
        <w:overflowPunct/>
        <w:topLinePunct w:val="0"/>
        <w:autoSpaceDE/>
        <w:autoSpaceDN/>
        <w:bidi w:val="0"/>
        <w:adjustRightInd/>
        <w:snapToGrid/>
        <w:spacing w:line="440" w:lineRule="exact"/>
        <w:ind w:firstLine="424" w:firstLineChars="202"/>
        <w:textAlignment w:val="auto"/>
        <w:rPr>
          <w:rFonts w:hint="eastAsia" w:ascii="宋体" w:hAnsi="宋体" w:eastAsia="宋体" w:cs="宋体"/>
          <w:color w:val="auto"/>
          <w:kern w:val="0"/>
          <w:highlight w:val="none"/>
        </w:rPr>
      </w:pPr>
      <w:r>
        <w:rPr>
          <w:rFonts w:hint="eastAsia" w:ascii="宋体" w:hAnsi="宋体" w:eastAsia="宋体" w:cs="宋体"/>
          <w:color w:val="auto"/>
          <w:kern w:val="0"/>
          <w:sz w:val="21"/>
          <w:szCs w:val="21"/>
          <w:highlight w:val="none"/>
        </w:rPr>
        <w:t>4.预算金额：</w:t>
      </w:r>
      <w:r>
        <w:rPr>
          <w:rFonts w:hint="eastAsia" w:ascii="宋体" w:hAnsi="宋体" w:eastAsia="宋体" w:cs="宋体"/>
          <w:color w:val="auto"/>
          <w:kern w:val="0"/>
          <w:sz w:val="21"/>
          <w:szCs w:val="21"/>
          <w:highlight w:val="none"/>
          <w:lang w:eastAsia="zh-CN"/>
        </w:rPr>
        <w:t>88.80万元</w:t>
      </w:r>
      <w:r>
        <w:rPr>
          <w:rFonts w:hint="eastAsia" w:ascii="宋体" w:hAnsi="宋体" w:eastAsia="宋体" w:cs="宋体"/>
          <w:color w:val="auto"/>
          <w:kern w:val="0"/>
          <w:highlight w:val="none"/>
        </w:rPr>
        <w:t>。</w:t>
      </w:r>
    </w:p>
    <w:p w14:paraId="0EDF829E">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5.最高限价：88.80万元。</w:t>
      </w:r>
    </w:p>
    <w:p w14:paraId="210DA1D0">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6.采购需求：</w:t>
      </w:r>
    </w:p>
    <w:p w14:paraId="14761DE8">
      <w:pPr>
        <w:widowControl/>
        <w:spacing w:line="44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w:t>
      </w:r>
      <w:r>
        <w:rPr>
          <w:rFonts w:hint="eastAsia" w:ascii="宋体" w:hAnsi="宋体" w:eastAsia="宋体" w:cs="宋体"/>
          <w:color w:val="auto"/>
          <w:sz w:val="21"/>
          <w:szCs w:val="21"/>
          <w:highlight w:val="none"/>
        </w:rPr>
        <w:t>采购内容：</w:t>
      </w:r>
      <w:r>
        <w:rPr>
          <w:rFonts w:hint="eastAsia" w:ascii="宋体" w:hAnsi="宋体" w:eastAsia="宋体" w:cs="宋体"/>
          <w:color w:val="auto"/>
          <w:sz w:val="21"/>
          <w:szCs w:val="21"/>
          <w:highlight w:val="none"/>
          <w:lang w:val="en-US" w:eastAsia="zh-CN"/>
        </w:rPr>
        <w:t>昌宁县人民医院统筹搭建县域医共体中心药房管理系统，根据项目采购需求开发设计“</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sz w:val="21"/>
          <w:szCs w:val="21"/>
          <w:highlight w:val="none"/>
          <w:lang w:val="en-US" w:eastAsia="zh-CN"/>
        </w:rPr>
        <w:t>”，并将系统安装部署至昌宁县人民医院、昌宁县中医院、昌宁县妇幼保健计划生育服务中心及12个乡镇卫生院。根据项目实际情况开展各医共体各成员单位相关信息系统集成和相关数据接口开发服务，开展新建系统与采购人指定相关系统数据对接和系统集成实施、相关信息数据整合等服务工作，开展系统上线前的试运行和优化适配，整体系统测试验收，项目技术培训指导、售后运维服务等。</w:t>
      </w:r>
    </w:p>
    <w:p w14:paraId="0A410DFB">
      <w:pPr>
        <w:widowControl/>
        <w:spacing w:line="440" w:lineRule="exact"/>
        <w:ind w:firstLine="424" w:firstLineChars="20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6.2采购清单</w:t>
      </w:r>
    </w:p>
    <w:tbl>
      <w:tblPr>
        <w:tblStyle w:val="27"/>
        <w:tblW w:w="10042"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4392"/>
        <w:gridCol w:w="750"/>
        <w:gridCol w:w="820"/>
        <w:gridCol w:w="1170"/>
        <w:gridCol w:w="2430"/>
      </w:tblGrid>
      <w:tr w14:paraId="1534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480" w:type="dxa"/>
            <w:noWrap/>
            <w:vAlign w:val="center"/>
          </w:tcPr>
          <w:p w14:paraId="32AD42D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序号</w:t>
            </w:r>
          </w:p>
        </w:tc>
        <w:tc>
          <w:tcPr>
            <w:tcW w:w="4392" w:type="dxa"/>
            <w:noWrap w:val="0"/>
            <w:vAlign w:val="center"/>
          </w:tcPr>
          <w:p w14:paraId="65AB73EE">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项目名称</w:t>
            </w:r>
          </w:p>
        </w:tc>
        <w:tc>
          <w:tcPr>
            <w:tcW w:w="750" w:type="dxa"/>
            <w:noWrap w:val="0"/>
            <w:vAlign w:val="center"/>
          </w:tcPr>
          <w:p w14:paraId="43569A9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数量</w:t>
            </w:r>
          </w:p>
        </w:tc>
        <w:tc>
          <w:tcPr>
            <w:tcW w:w="820" w:type="dxa"/>
            <w:noWrap w:val="0"/>
            <w:vAlign w:val="center"/>
          </w:tcPr>
          <w:p w14:paraId="763FA43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计量单位</w:t>
            </w:r>
          </w:p>
        </w:tc>
        <w:tc>
          <w:tcPr>
            <w:tcW w:w="1170" w:type="dxa"/>
            <w:noWrap w:val="0"/>
            <w:vAlign w:val="center"/>
          </w:tcPr>
          <w:p w14:paraId="50D34378">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预算</w:t>
            </w:r>
            <w:r>
              <w:rPr>
                <w:rFonts w:hint="eastAsia" w:ascii="宋体" w:hAnsi="宋体" w:eastAsia="宋体" w:cs="宋体"/>
                <w:color w:val="auto"/>
                <w:kern w:val="0"/>
                <w:sz w:val="21"/>
                <w:szCs w:val="21"/>
                <w:highlight w:val="none"/>
                <w:lang w:val="en-US" w:eastAsia="zh-CN"/>
              </w:rPr>
              <w:t>金额</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eastAsia="zh-CN"/>
              </w:rPr>
              <w:t>万元</w:t>
            </w:r>
            <w:r>
              <w:rPr>
                <w:rFonts w:hint="eastAsia" w:ascii="宋体" w:hAnsi="宋体" w:eastAsia="宋体" w:cs="宋体"/>
                <w:color w:val="auto"/>
                <w:kern w:val="0"/>
                <w:sz w:val="21"/>
                <w:szCs w:val="21"/>
                <w:highlight w:val="none"/>
              </w:rPr>
              <w:t>）</w:t>
            </w:r>
          </w:p>
        </w:tc>
        <w:tc>
          <w:tcPr>
            <w:tcW w:w="2430" w:type="dxa"/>
            <w:noWrap w:val="0"/>
            <w:vAlign w:val="center"/>
          </w:tcPr>
          <w:p w14:paraId="56FA088C">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项目售后运维服务期限</w:t>
            </w:r>
          </w:p>
        </w:tc>
      </w:tr>
      <w:tr w14:paraId="422A0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noWrap/>
            <w:vAlign w:val="center"/>
          </w:tcPr>
          <w:p w14:paraId="2A96D8BA">
            <w:pPr>
              <w:keepNext w:val="0"/>
              <w:keepLines w:val="0"/>
              <w:widowControl/>
              <w:suppressLineNumbers w:val="0"/>
              <w:jc w:val="center"/>
              <w:textAlignment w:val="top"/>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4392" w:type="dxa"/>
            <w:noWrap w:val="0"/>
            <w:vAlign w:val="center"/>
          </w:tcPr>
          <w:p w14:paraId="1F91B012">
            <w:pPr>
              <w:widowControl/>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昌宁县医共体中心药房管理系统采购项目</w:t>
            </w:r>
          </w:p>
        </w:tc>
        <w:tc>
          <w:tcPr>
            <w:tcW w:w="750" w:type="dxa"/>
            <w:noWrap w:val="0"/>
            <w:vAlign w:val="center"/>
          </w:tcPr>
          <w:p w14:paraId="237AEF3C">
            <w:pPr>
              <w:widowControl/>
              <w:snapToGrid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1</w:t>
            </w:r>
          </w:p>
        </w:tc>
        <w:tc>
          <w:tcPr>
            <w:tcW w:w="820" w:type="dxa"/>
            <w:noWrap w:val="0"/>
            <w:vAlign w:val="center"/>
          </w:tcPr>
          <w:p w14:paraId="4889E1CA">
            <w:pPr>
              <w:widowControl/>
              <w:snapToGrid w:val="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项</w:t>
            </w:r>
          </w:p>
        </w:tc>
        <w:tc>
          <w:tcPr>
            <w:tcW w:w="1170" w:type="dxa"/>
            <w:noWrap w:val="0"/>
            <w:vAlign w:val="center"/>
          </w:tcPr>
          <w:p w14:paraId="70991C7A">
            <w:pPr>
              <w:widowControl/>
              <w:snapToGrid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88.80</w:t>
            </w:r>
          </w:p>
        </w:tc>
        <w:tc>
          <w:tcPr>
            <w:tcW w:w="2430" w:type="dxa"/>
            <w:noWrap w:val="0"/>
            <w:vAlign w:val="center"/>
          </w:tcPr>
          <w:p w14:paraId="02241A6D">
            <w:pPr>
              <w:widowControl/>
              <w:snapToGrid w:val="0"/>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自项目整体验收合格之日起不少于1年。</w:t>
            </w:r>
          </w:p>
        </w:tc>
      </w:tr>
    </w:tbl>
    <w:p w14:paraId="44517ABF">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lang w:eastAsia="zh-CN"/>
        </w:rPr>
        <w:t>地点：</w:t>
      </w:r>
      <w:r>
        <w:rPr>
          <w:rFonts w:hint="eastAsia" w:ascii="宋体" w:hAnsi="宋体" w:eastAsia="宋体" w:cs="宋体"/>
          <w:color w:val="auto"/>
          <w:sz w:val="21"/>
          <w:szCs w:val="21"/>
          <w:highlight w:val="none"/>
          <w:lang w:val="en-US" w:eastAsia="zh-CN"/>
        </w:rPr>
        <w:t>采购人指定地点</w:t>
      </w:r>
      <w:r>
        <w:rPr>
          <w:rFonts w:hint="eastAsia" w:ascii="宋体" w:hAnsi="宋体" w:eastAsia="宋体" w:cs="宋体"/>
          <w:color w:val="auto"/>
          <w:sz w:val="21"/>
          <w:szCs w:val="21"/>
          <w:highlight w:val="none"/>
          <w:lang w:eastAsia="zh-CN"/>
        </w:rPr>
        <w:t>。</w:t>
      </w:r>
    </w:p>
    <w:p w14:paraId="7D871DB4">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6.4</w:t>
      </w:r>
      <w:r>
        <w:rPr>
          <w:rFonts w:hint="eastAsia" w:ascii="宋体" w:hAnsi="宋体" w:eastAsia="宋体" w:cs="宋体"/>
          <w:color w:val="auto"/>
          <w:sz w:val="21"/>
          <w:szCs w:val="21"/>
          <w:highlight w:val="none"/>
          <w:lang w:eastAsia="zh-CN"/>
        </w:rPr>
        <w:t>标段划分：本项目共划分为</w:t>
      </w:r>
      <w:r>
        <w:rPr>
          <w:rFonts w:hint="eastAsia" w:ascii="宋体" w:hAnsi="宋体" w:eastAsia="宋体" w:cs="宋体"/>
          <w:color w:val="auto"/>
          <w:sz w:val="21"/>
          <w:szCs w:val="21"/>
          <w:highlight w:val="none"/>
          <w:lang w:val="en-US" w:eastAsia="zh-CN"/>
        </w:rPr>
        <w:t>一个标段</w:t>
      </w:r>
      <w:r>
        <w:rPr>
          <w:rFonts w:hint="eastAsia" w:ascii="宋体" w:hAnsi="宋体" w:eastAsia="宋体" w:cs="宋体"/>
          <w:color w:val="auto"/>
          <w:sz w:val="21"/>
          <w:szCs w:val="21"/>
          <w:highlight w:val="none"/>
          <w:lang w:eastAsia="zh-CN"/>
        </w:rPr>
        <w:t>，拟参与采购活动的</w:t>
      </w:r>
      <w:r>
        <w:rPr>
          <w:rFonts w:hint="eastAsia" w:ascii="宋体" w:hAnsi="宋体" w:eastAsia="宋体" w:cs="宋体"/>
          <w:color w:val="auto"/>
          <w:sz w:val="21"/>
          <w:szCs w:val="21"/>
          <w:highlight w:val="none"/>
          <w:lang w:val="en-US" w:eastAsia="zh-CN"/>
        </w:rPr>
        <w:t>磋商申请人</w:t>
      </w:r>
      <w:r>
        <w:rPr>
          <w:rFonts w:hint="eastAsia" w:ascii="宋体" w:hAnsi="宋体" w:eastAsia="宋体" w:cs="宋体"/>
          <w:color w:val="auto"/>
          <w:sz w:val="21"/>
          <w:szCs w:val="21"/>
          <w:highlight w:val="none"/>
          <w:lang w:eastAsia="zh-CN"/>
        </w:rPr>
        <w:t>必须整体报价不得拆分。</w:t>
      </w:r>
    </w:p>
    <w:p w14:paraId="1A8BB865">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lang w:val="en-US" w:eastAsia="zh-CN"/>
        </w:rPr>
        <w:t>说明和</w:t>
      </w:r>
      <w:r>
        <w:rPr>
          <w:rFonts w:hint="eastAsia" w:ascii="宋体" w:hAnsi="宋体" w:eastAsia="宋体" w:cs="宋体"/>
          <w:color w:val="auto"/>
          <w:sz w:val="21"/>
          <w:szCs w:val="21"/>
          <w:highlight w:val="none"/>
          <w:lang w:eastAsia="zh-CN"/>
        </w:rPr>
        <w:t>要求：</w:t>
      </w:r>
    </w:p>
    <w:p w14:paraId="60AFF0BD">
      <w:pPr>
        <w:pageBreakBefore w:val="0"/>
        <w:numPr>
          <w:ilvl w:val="0"/>
          <w:numId w:val="0"/>
        </w:numPr>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rPr>
        <w:t>磋商报价要求：</w:t>
      </w:r>
      <w:r>
        <w:rPr>
          <w:rFonts w:hint="eastAsia" w:ascii="宋体" w:hAnsi="宋体" w:eastAsia="宋体" w:cs="宋体"/>
          <w:color w:val="auto"/>
          <w:sz w:val="21"/>
          <w:szCs w:val="21"/>
          <w:highlight w:val="none"/>
          <w:lang w:eastAsia="zh-CN"/>
        </w:rPr>
        <w:t>参与本项目的</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lang w:eastAsia="zh-CN"/>
        </w:rPr>
        <w:t>人须根据</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lang w:eastAsia="zh-CN"/>
        </w:rPr>
        <w:t>文件要求分别填报</w:t>
      </w:r>
      <w:r>
        <w:rPr>
          <w:rFonts w:hint="eastAsia" w:ascii="宋体" w:hAnsi="宋体" w:eastAsia="宋体" w:cs="宋体"/>
          <w:color w:val="auto"/>
          <w:sz w:val="21"/>
          <w:szCs w:val="21"/>
          <w:highlight w:val="none"/>
          <w:lang w:val="en-US" w:eastAsia="zh-CN"/>
        </w:rPr>
        <w:t>磋商报价</w:t>
      </w:r>
      <w:r>
        <w:rPr>
          <w:rFonts w:hint="eastAsia" w:ascii="宋体" w:hAnsi="宋体" w:eastAsia="宋体" w:cs="宋体"/>
          <w:color w:val="auto"/>
          <w:sz w:val="21"/>
          <w:szCs w:val="21"/>
          <w:highlight w:val="none"/>
          <w:lang w:eastAsia="zh-CN"/>
        </w:rPr>
        <w:t>总价、分项报价等信息，</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报价须包含本</w:t>
      </w:r>
      <w:r>
        <w:rPr>
          <w:rFonts w:hint="eastAsia" w:ascii="宋体" w:hAnsi="宋体" w:eastAsia="宋体" w:cs="宋体"/>
          <w:color w:val="auto"/>
          <w:sz w:val="21"/>
          <w:szCs w:val="21"/>
          <w:highlight w:val="none"/>
          <w:lang w:val="en-US" w:eastAsia="zh-CN"/>
        </w:rPr>
        <w:t>项目采购所涉及的“</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sz w:val="21"/>
          <w:szCs w:val="21"/>
          <w:highlight w:val="none"/>
          <w:lang w:val="en-US" w:eastAsia="zh-CN"/>
        </w:rPr>
        <w:t>”开发设计费、根据采购人要求进行系统安装部署服务费，信息系统集成服务费、相关数据接口开发服务费、新建系统与采购人指定相关系统数据对接和系统集成实施服务费、信息数据整合服务费、系统初验及终验的优化适配服务费、项目测试验收服务费，项目技术支持服务费、技术培训及售后运维服务费，以及为开展本项目服务工作必需的</w:t>
      </w:r>
      <w:r>
        <w:rPr>
          <w:rFonts w:hint="eastAsia" w:ascii="宋体" w:hAnsi="宋体" w:eastAsia="宋体" w:cs="宋体"/>
          <w:color w:val="auto"/>
          <w:sz w:val="21"/>
          <w:szCs w:val="21"/>
          <w:highlight w:val="none"/>
          <w:lang w:eastAsia="zh-CN"/>
        </w:rPr>
        <w:t>项目管理费、人工费、差旅费</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必需的税费（</w:t>
      </w:r>
      <w:r>
        <w:rPr>
          <w:rFonts w:hint="eastAsia" w:ascii="宋体" w:hAnsi="宋体" w:eastAsia="宋体" w:cs="宋体"/>
          <w:color w:val="auto"/>
          <w:sz w:val="21"/>
          <w:szCs w:val="21"/>
          <w:highlight w:val="none"/>
          <w:lang w:val="en-US" w:eastAsia="zh-CN"/>
        </w:rPr>
        <w:t>参与本项目采购活动所必须的相关费用）</w:t>
      </w:r>
      <w:r>
        <w:rPr>
          <w:rFonts w:hint="eastAsia" w:ascii="宋体" w:hAnsi="宋体" w:eastAsia="宋体" w:cs="宋体"/>
          <w:color w:val="auto"/>
          <w:sz w:val="21"/>
          <w:szCs w:val="21"/>
          <w:highlight w:val="none"/>
          <w:lang w:eastAsia="zh-CN"/>
        </w:rPr>
        <w:t>、风险</w:t>
      </w:r>
      <w:r>
        <w:rPr>
          <w:rFonts w:hint="eastAsia" w:ascii="宋体" w:hAnsi="宋体" w:eastAsia="宋体" w:cs="宋体"/>
          <w:color w:val="auto"/>
          <w:sz w:val="21"/>
          <w:szCs w:val="21"/>
          <w:highlight w:val="none"/>
          <w:lang w:val="en-US" w:eastAsia="zh-CN"/>
        </w:rPr>
        <w:t>（含不可预见费）</w:t>
      </w:r>
      <w:r>
        <w:rPr>
          <w:rFonts w:hint="eastAsia" w:ascii="宋体" w:hAnsi="宋体" w:eastAsia="宋体" w:cs="宋体"/>
          <w:color w:val="auto"/>
          <w:sz w:val="21"/>
          <w:szCs w:val="21"/>
          <w:highlight w:val="none"/>
          <w:lang w:eastAsia="zh-CN"/>
        </w:rPr>
        <w:t>等所有费用，</w:t>
      </w:r>
      <w:r>
        <w:rPr>
          <w:rFonts w:hint="eastAsia" w:ascii="宋体" w:hAnsi="宋体" w:eastAsia="宋体" w:cs="宋体"/>
          <w:color w:val="auto"/>
          <w:sz w:val="21"/>
          <w:szCs w:val="21"/>
          <w:highlight w:val="none"/>
          <w:lang w:val="en-US" w:eastAsia="zh-CN"/>
        </w:rPr>
        <w:t>以上各项费用应核算到项目的单价和总价报价中，无需单列。</w:t>
      </w:r>
    </w:p>
    <w:p w14:paraId="7C035ABD">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2）磋商报价其他说明：以上磋商报价视为包含竞争性磋商文件规定的其他项目和服务等方面内容，都应包含在磋商报价中（包括竞争性磋商文件中提到的或没有提到的产品按照过程中所必备各种配套辅助材料及配件和项目实施发生其他技术服务工作等）。即凡磋商申请人在竞争性磋商文件中承诺或涉及的或者是完成本项目交付使用必需的费用，磋商申请人为完成本项目交付使用存在漏报费用时，均视为已包括在磋商总报价或相应项目的单价及总价中。</w:t>
      </w:r>
    </w:p>
    <w:p w14:paraId="11636922">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6.6付款方式：</w:t>
      </w:r>
      <w:r>
        <w:rPr>
          <w:rFonts w:hint="eastAsia" w:ascii="宋体" w:hAnsi="宋体" w:eastAsia="宋体" w:cs="宋体"/>
          <w:color w:val="auto"/>
          <w:sz w:val="21"/>
          <w:szCs w:val="21"/>
          <w:highlight w:val="none"/>
          <w:lang w:eastAsia="zh-CN"/>
        </w:rPr>
        <w:t>采购人根据项目进度分阶段支付合同价款。</w:t>
      </w:r>
    </w:p>
    <w:p w14:paraId="564CA39A">
      <w:pPr>
        <w:pageBreakBefore w:val="0"/>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.合同履行期限：合同签订后</w:t>
      </w:r>
      <w:r>
        <w:rPr>
          <w:rFonts w:hint="eastAsia" w:ascii="宋体" w:hAnsi="宋体" w:eastAsia="宋体" w:cs="宋体"/>
          <w:color w:val="auto"/>
          <w:sz w:val="21"/>
          <w:szCs w:val="21"/>
          <w:highlight w:val="none"/>
          <w:lang w:val="en-US" w:eastAsia="zh-CN"/>
        </w:rPr>
        <w:t>60日历天</w:t>
      </w:r>
      <w:r>
        <w:rPr>
          <w:rFonts w:hint="eastAsia" w:ascii="宋体" w:hAnsi="宋体" w:eastAsia="宋体" w:cs="宋体"/>
          <w:color w:val="auto"/>
          <w:sz w:val="21"/>
          <w:szCs w:val="21"/>
          <w:highlight w:val="none"/>
          <w:lang w:eastAsia="zh-CN"/>
        </w:rPr>
        <w:t>内完成系统开发建设任务工作并达到初步验收标准，根据项目初检的要求开展相应的系统优化整改直至完全达标通过最终验收。项目验收合格后提供不少于1年的系统售后运维服务。</w:t>
      </w:r>
    </w:p>
    <w:p w14:paraId="7D1989CF">
      <w:pPr>
        <w:keepNext w:val="0"/>
        <w:keepLines w:val="0"/>
        <w:pageBreakBefore w:val="0"/>
        <w:widowControl/>
        <w:kinsoku/>
        <w:wordWrap/>
        <w:overflowPunct/>
        <w:topLinePunct w:val="0"/>
        <w:autoSpaceDE/>
        <w:autoSpaceDN/>
        <w:bidi w:val="0"/>
        <w:adjustRightInd/>
        <w:snapToGrid/>
        <w:spacing w:afterAutospacing="0" w:line="460" w:lineRule="exact"/>
        <w:ind w:firstLine="424" w:firstLineChars="202"/>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.本项目</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lang w:eastAsia="zh-CN"/>
        </w:rPr>
        <w:t>接受联合体。</w:t>
      </w:r>
    </w:p>
    <w:p w14:paraId="2F1B2F5D">
      <w:pPr>
        <w:keepNext w:val="0"/>
        <w:keepLines w:val="0"/>
        <w:pageBreakBefore w:val="0"/>
        <w:kinsoku/>
        <w:wordWrap/>
        <w:overflowPunct/>
        <w:topLinePunct w:val="0"/>
        <w:autoSpaceDE/>
        <w:autoSpaceDN/>
        <w:bidi w:val="0"/>
        <w:adjustRightInd/>
        <w:snapToGrid/>
        <w:spacing w:afterAutospacing="0" w:line="460" w:lineRule="exact"/>
        <w:ind w:firstLine="422" w:firstLineChars="200"/>
        <w:textAlignment w:val="auto"/>
        <w:rPr>
          <w:rFonts w:hint="eastAsia" w:ascii="宋体" w:hAnsi="宋体" w:eastAsia="宋体" w:cs="宋体"/>
          <w:b/>
          <w:bCs/>
          <w:color w:val="auto"/>
          <w:kern w:val="0"/>
          <w:highlight w:val="none"/>
          <w:lang w:val="en-US" w:eastAsia="zh-CN"/>
        </w:rPr>
      </w:pPr>
      <w:r>
        <w:rPr>
          <w:rFonts w:hint="eastAsia" w:ascii="宋体" w:hAnsi="宋体" w:eastAsia="宋体" w:cs="宋体"/>
          <w:b/>
          <w:bCs/>
          <w:color w:val="auto"/>
          <w:kern w:val="0"/>
          <w:highlight w:val="none"/>
          <w:lang w:val="en-US" w:eastAsia="zh-CN"/>
        </w:rPr>
        <w:t>二、昌宁县医共体中心药房管理系统功能需求</w:t>
      </w:r>
    </w:p>
    <w:p w14:paraId="0B0BB08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420" w:firstLineChars="200"/>
        <w:jc w:val="left"/>
        <w:textAlignment w:val="auto"/>
        <w:outlineLvl w:val="0"/>
        <w:rPr>
          <w:rFonts w:hint="eastAsia" w:ascii="宋体" w:hAnsi="宋体" w:eastAsia="宋体" w:cs="宋体"/>
          <w:sz w:val="21"/>
          <w:szCs w:val="21"/>
          <w:highlight w:val="none"/>
          <w:lang w:val="en-US" w:eastAsia="en-US"/>
        </w:rPr>
      </w:pPr>
      <w:r>
        <w:rPr>
          <w:rFonts w:hint="eastAsia" w:ascii="宋体" w:hAnsi="宋体" w:eastAsia="宋体" w:cs="宋体"/>
          <w:kern w:val="2"/>
          <w:sz w:val="21"/>
          <w:szCs w:val="21"/>
          <w:highlight w:val="none"/>
          <w:lang w:val="en-US" w:eastAsia="en-US" w:bidi="ar-SA"/>
        </w:rPr>
        <w:t>1.</w:t>
      </w:r>
      <w:r>
        <w:rPr>
          <w:rFonts w:hint="eastAsia" w:ascii="宋体" w:hAnsi="宋体" w:eastAsia="宋体" w:cs="宋体"/>
          <w:sz w:val="21"/>
          <w:szCs w:val="21"/>
          <w:highlight w:val="none"/>
          <w:lang w:val="en-US" w:eastAsia="zh-CN"/>
        </w:rPr>
        <w:t>功能参数要求</w:t>
      </w:r>
    </w:p>
    <w:p w14:paraId="4359ED6A">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1.1.医共体招采业务对接</w:t>
      </w:r>
    </w:p>
    <w:p w14:paraId="077D5B9C">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要求医共体中心药房系统能够与医共体各成员单位的HIS/SPD端进行接口对接，包含HIS药品目录获取、省医保阳光采购平台院内目录下发、院内采购上传</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（选择性对接）</w:t>
      </w:r>
      <w:r>
        <w:rPr>
          <w:rFonts w:hint="eastAsia" w:ascii="宋体" w:hAnsi="宋体" w:eastAsia="宋体" w:cs="宋体"/>
          <w:sz w:val="21"/>
          <w:szCs w:val="21"/>
          <w:highlight w:val="none"/>
          <w:lang w:val="en-US" w:eastAsia="zh-CN" w:bidi="ar-SA"/>
        </w:rPr>
        <w:t>、入库数据下载等接口。</w:t>
      </w:r>
    </w:p>
    <w:p w14:paraId="232D9989">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1.2.医共体招采服务业务模块</w:t>
      </w:r>
    </w:p>
    <w:p w14:paraId="66963E7D">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1.2.1.</w:t>
      </w:r>
      <w:r>
        <w:rPr>
          <w:rFonts w:hint="eastAsia" w:ascii="宋体" w:hAnsi="宋体" w:eastAsia="宋体" w:cs="宋体"/>
          <w:bCs w:val="0"/>
          <w:sz w:val="21"/>
          <w:szCs w:val="21"/>
          <w:highlight w:val="none"/>
          <w:lang w:val="en-US" w:eastAsia="zh-CN" w:bidi="ar-SA"/>
        </w:rPr>
        <w:t>省级挂网目录</w:t>
      </w:r>
    </w:p>
    <w:p w14:paraId="417D9E64">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支持维护省级挂网目录信息，主要包括药品的药品编码、医保代码、通用名称、规格、包装信息、剂型、生产厂家、批准文号、基药属性、医保属性、采购限价等标准数据信息。</w:t>
      </w:r>
    </w:p>
    <w:p w14:paraId="1523DB68">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支持根据药品编码、医保代码、药品名称、生产企业、基药属性、项目名称、挂网状态等条件筛选省级挂网目录数据。</w:t>
      </w:r>
    </w:p>
    <w:p w14:paraId="0D395753">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1.2.2.</w:t>
      </w:r>
      <w:r>
        <w:rPr>
          <w:rFonts w:hint="eastAsia" w:ascii="宋体" w:hAnsi="宋体" w:eastAsia="宋体" w:cs="宋体"/>
          <w:bCs w:val="0"/>
          <w:sz w:val="21"/>
          <w:szCs w:val="21"/>
          <w:highlight w:val="none"/>
          <w:lang w:val="en-US" w:eastAsia="zh-CN" w:bidi="ar-SA"/>
        </w:rPr>
        <w:t>统一目录</w:t>
      </w:r>
    </w:p>
    <w:p w14:paraId="4907476D">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支持维护医共体内统一目录信息，主要包括药品的药品编码、医保代码、通用名称、规格、包装信息、剂型、生产厂家、批准文号、基药属性、医保属性、采购限价、统一目录状态</w:t>
      </w:r>
      <w:r>
        <w:rPr>
          <w:rFonts w:hint="eastAsia" w:ascii="宋体" w:hAnsi="宋体" w:eastAsia="宋体" w:cs="宋体"/>
          <w:color w:val="auto"/>
          <w:sz w:val="21"/>
          <w:szCs w:val="21"/>
          <w:highlight w:val="none"/>
          <w:lang w:val="en-US" w:eastAsia="zh-CN" w:bidi="ar-SA"/>
        </w:rPr>
        <w:t>及药品自定义属性维护等标准数</w:t>
      </w:r>
      <w:r>
        <w:rPr>
          <w:rFonts w:hint="eastAsia" w:ascii="宋体" w:hAnsi="宋体" w:eastAsia="宋体" w:cs="宋体"/>
          <w:sz w:val="21"/>
          <w:szCs w:val="21"/>
          <w:highlight w:val="none"/>
          <w:lang w:val="en-US" w:eastAsia="zh-CN" w:bidi="ar-SA"/>
        </w:rPr>
        <w:t>据信息。</w:t>
      </w:r>
    </w:p>
    <w:p w14:paraId="5896C80B">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支持根据药品编码、药品名称、生产企业、基药属性、项目名称、统一目录状态、挂网、统一目录标识等条件筛选统一目录数据。</w:t>
      </w:r>
    </w:p>
    <w:p w14:paraId="56B9174B">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支持从省级挂网目录的挂网状态为启用的数据里新增统一目录的药品。</w:t>
      </w:r>
      <w:r>
        <w:rPr>
          <w:rFonts w:hint="eastAsia" w:ascii="宋体" w:hAnsi="宋体" w:eastAsia="宋体" w:cs="宋体"/>
          <w:color w:val="auto"/>
          <w:sz w:val="21"/>
          <w:szCs w:val="21"/>
          <w:highlight w:val="none"/>
          <w:lang w:val="en-US" w:eastAsia="zh-CN" w:bidi="ar-SA"/>
        </w:rPr>
        <w:t>也</w:t>
      </w:r>
      <w:r>
        <w:rPr>
          <w:rFonts w:hint="eastAsia" w:ascii="宋体" w:hAnsi="宋体" w:eastAsia="宋体" w:cs="宋体"/>
          <w:sz w:val="21"/>
          <w:szCs w:val="21"/>
          <w:highlight w:val="none"/>
          <w:lang w:val="en-US" w:eastAsia="zh-CN" w:bidi="ar-SA"/>
        </w:rPr>
        <w:t>支持excel表格将统一目录数据导入至中心药房系统。</w:t>
      </w:r>
    </w:p>
    <w:p w14:paraId="2D8793B6">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1.2.3.</w:t>
      </w:r>
      <w:r>
        <w:rPr>
          <w:rFonts w:hint="eastAsia" w:ascii="宋体" w:hAnsi="宋体" w:eastAsia="宋体" w:cs="宋体"/>
          <w:bCs w:val="0"/>
          <w:sz w:val="21"/>
          <w:szCs w:val="21"/>
          <w:highlight w:val="none"/>
          <w:lang w:val="en-US" w:eastAsia="zh-CN" w:bidi="ar-SA"/>
        </w:rPr>
        <w:t>院内目录</w:t>
      </w:r>
    </w:p>
    <w:p w14:paraId="3A20C8AC">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同步医院的省招采平台常用院内目录信息，支持定时、手动同步两种机制。主要同步信息有药品名称、商品名称、药品规格、包装规格、包装单位、剂型、生产厂家、采购价格、采购限价、默认配送企业等关键字典数据。</w:t>
      </w:r>
    </w:p>
    <w:p w14:paraId="1C35FC00">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1.2.4.</w:t>
      </w:r>
      <w:r>
        <w:rPr>
          <w:rFonts w:hint="eastAsia" w:ascii="宋体" w:hAnsi="宋体" w:eastAsia="宋体" w:cs="宋体"/>
          <w:bCs w:val="0"/>
          <w:sz w:val="21"/>
          <w:szCs w:val="21"/>
          <w:highlight w:val="none"/>
          <w:lang w:val="en-US" w:eastAsia="zh-CN" w:bidi="ar-SA"/>
        </w:rPr>
        <w:t>新增药品（演示）</w:t>
      </w:r>
    </w:p>
    <w:p w14:paraId="52EF362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支持医疗机构超目录采购药品申请，统一从医共体统一目录遴选药品，统一新药申请提交。</w:t>
      </w:r>
    </w:p>
    <w:p w14:paraId="0219A7E3">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1.2.5.</w:t>
      </w:r>
      <w:r>
        <w:rPr>
          <w:rFonts w:hint="eastAsia" w:ascii="宋体" w:hAnsi="宋体" w:eastAsia="宋体" w:cs="宋体"/>
          <w:bCs w:val="0"/>
          <w:sz w:val="21"/>
          <w:szCs w:val="21"/>
          <w:highlight w:val="none"/>
          <w:lang w:val="en-US" w:eastAsia="zh-CN" w:bidi="ar-SA"/>
        </w:rPr>
        <w:t>新增药品审核（演示）</w:t>
      </w:r>
    </w:p>
    <w:p w14:paraId="0840E282">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支持医共体药事管理人员进行医疗机构新增药品申请单据进行审核，审核通过后，遴选</w:t>
      </w:r>
      <w:r>
        <w:rPr>
          <w:rFonts w:hint="eastAsia" w:ascii="宋体" w:hAnsi="宋体" w:eastAsia="宋体" w:cs="宋体"/>
          <w:color w:val="auto"/>
          <w:sz w:val="21"/>
          <w:szCs w:val="21"/>
          <w:highlight w:val="none"/>
          <w:lang w:val="en-US" w:eastAsia="zh-CN" w:bidi="ar-SA"/>
        </w:rPr>
        <w:t>增加进采购</w:t>
      </w:r>
      <w:r>
        <w:rPr>
          <w:rFonts w:hint="eastAsia" w:ascii="宋体" w:hAnsi="宋体" w:eastAsia="宋体" w:cs="宋体"/>
          <w:sz w:val="21"/>
          <w:szCs w:val="21"/>
          <w:highlight w:val="none"/>
          <w:lang w:val="en-US" w:eastAsia="zh-CN" w:bidi="ar-SA"/>
        </w:rPr>
        <w:t>目录，方可进行药品采购。</w:t>
      </w:r>
    </w:p>
    <w:p w14:paraId="1A82D53B">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1.2.6.</w:t>
      </w:r>
      <w:r>
        <w:rPr>
          <w:rFonts w:hint="eastAsia" w:ascii="宋体" w:hAnsi="宋体" w:eastAsia="宋体" w:cs="宋体"/>
          <w:bCs w:val="0"/>
          <w:sz w:val="21"/>
          <w:szCs w:val="21"/>
          <w:highlight w:val="none"/>
          <w:lang w:val="en-US" w:eastAsia="zh-CN" w:bidi="ar-SA"/>
        </w:rPr>
        <w:t>变更药品</w:t>
      </w:r>
    </w:p>
    <w:p w14:paraId="7412298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支持医疗机构的药品用药变更申请，统一从医共体目录中遴选药品，统一变更审核单提交。</w:t>
      </w:r>
    </w:p>
    <w:p w14:paraId="6AEF0774">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1.2.7.</w:t>
      </w:r>
      <w:r>
        <w:rPr>
          <w:rFonts w:hint="eastAsia" w:ascii="宋体" w:hAnsi="宋体" w:eastAsia="宋体" w:cs="宋体"/>
          <w:bCs w:val="0"/>
          <w:sz w:val="21"/>
          <w:szCs w:val="21"/>
          <w:highlight w:val="none"/>
          <w:lang w:val="en-US" w:eastAsia="zh-CN" w:bidi="ar-SA"/>
        </w:rPr>
        <w:t>变更审核（演示）</w:t>
      </w:r>
    </w:p>
    <w:p w14:paraId="498C6B54">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支持医共体药事管理人员进行医疗机构变更药品申请单据进行审核，审核通过后，遴选到采购目录并关联药品禁用，启用变更药品，进行采购。</w:t>
      </w:r>
    </w:p>
    <w:p w14:paraId="013258E9">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1.2.8.</w:t>
      </w:r>
      <w:r>
        <w:rPr>
          <w:rFonts w:hint="eastAsia" w:ascii="宋体" w:hAnsi="宋体" w:eastAsia="宋体" w:cs="宋体"/>
          <w:bCs w:val="0"/>
          <w:sz w:val="21"/>
          <w:szCs w:val="21"/>
          <w:highlight w:val="none"/>
          <w:lang w:val="en-US" w:eastAsia="zh-CN" w:bidi="ar-SA"/>
        </w:rPr>
        <w:t>1目录校验提醒</w:t>
      </w:r>
    </w:p>
    <w:p w14:paraId="0FFAF5D6">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支持医共体药品目录与HIS院内目录匹配，关键匹配数据有批准文号、省标代码、医保代码、采购价格、包装数量、配送企业等，不匹配数据进行预警提醒。后期可根据医院管理需要进行调整。</w:t>
      </w:r>
    </w:p>
    <w:p w14:paraId="78A559D5">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1.2.9.</w:t>
      </w:r>
      <w:r>
        <w:rPr>
          <w:rFonts w:hint="eastAsia" w:ascii="宋体" w:hAnsi="宋体" w:eastAsia="宋体" w:cs="宋体"/>
          <w:bCs w:val="0"/>
          <w:sz w:val="21"/>
          <w:szCs w:val="21"/>
          <w:highlight w:val="none"/>
          <w:lang w:val="en-US" w:eastAsia="zh-CN" w:bidi="ar-SA"/>
        </w:rPr>
        <w:t>配送地址管理</w:t>
      </w:r>
    </w:p>
    <w:p w14:paraId="16577154">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支持医疗机构常用配送地址维护，主要有联系人、库房名称、配送详细地址等。</w:t>
      </w:r>
    </w:p>
    <w:p w14:paraId="7FFB12D8">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1.2.10.</w:t>
      </w:r>
      <w:r>
        <w:rPr>
          <w:rFonts w:hint="eastAsia" w:ascii="宋体" w:hAnsi="宋体" w:eastAsia="宋体" w:cs="宋体"/>
          <w:bCs w:val="0"/>
          <w:sz w:val="21"/>
          <w:szCs w:val="21"/>
          <w:highlight w:val="none"/>
          <w:lang w:val="en-US" w:eastAsia="zh-CN" w:bidi="ar-SA"/>
        </w:rPr>
        <w:t>配送企业目录管理</w:t>
      </w:r>
    </w:p>
    <w:p w14:paraId="35E08173">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支持配送企业名单管理，主要信息配送企业社会信用代码、配送企业名称。</w:t>
      </w:r>
    </w:p>
    <w:p w14:paraId="04F9D0AB">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1.2.11.</w:t>
      </w:r>
      <w:r>
        <w:rPr>
          <w:rFonts w:hint="eastAsia" w:ascii="宋体" w:hAnsi="宋体" w:eastAsia="宋体" w:cs="宋体"/>
          <w:bCs w:val="0"/>
          <w:sz w:val="21"/>
          <w:szCs w:val="21"/>
          <w:highlight w:val="none"/>
          <w:lang w:val="en-US" w:eastAsia="zh-CN" w:bidi="ar-SA"/>
        </w:rPr>
        <w:t>配送关系管理</w:t>
      </w:r>
    </w:p>
    <w:p w14:paraId="7A70CFFB">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sz w:val="21"/>
          <w:szCs w:val="21"/>
          <w:highlight w:val="none"/>
          <w:lang w:val="en-US" w:eastAsia="zh-CN" w:bidi="ar-SA"/>
        </w:rPr>
        <w:t>支持药品的有效配送关系管理，超配送关系范围报错提醒，不允许采购。</w:t>
      </w:r>
    </w:p>
    <w:p w14:paraId="2F99825C">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1.3.</w:t>
      </w:r>
      <w:r>
        <w:rPr>
          <w:rFonts w:hint="eastAsia" w:ascii="宋体" w:hAnsi="宋体" w:eastAsia="宋体" w:cs="宋体"/>
          <w:sz w:val="21"/>
          <w:szCs w:val="21"/>
          <w:highlight w:val="none"/>
          <w:lang w:val="en-US" w:eastAsia="zh-CN"/>
        </w:rPr>
        <w:t>供应链协同作业机制模块</w:t>
      </w:r>
    </w:p>
    <w:p w14:paraId="5B80DD8B">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1.3.1.</w:t>
      </w:r>
      <w:r>
        <w:rPr>
          <w:rFonts w:hint="eastAsia" w:ascii="宋体" w:hAnsi="宋体" w:eastAsia="宋体" w:cs="宋体"/>
          <w:bCs w:val="0"/>
          <w:sz w:val="21"/>
          <w:szCs w:val="21"/>
          <w:highlight w:val="none"/>
          <w:lang w:val="en-US" w:eastAsia="zh-CN" w:bidi="ar-SA"/>
        </w:rPr>
        <w:t>采购计划新建（演示）</w:t>
      </w:r>
    </w:p>
    <w:p w14:paraId="6546192D">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支持医疗机构发起采购需求计划，编辑药品采购信息，主要有药品</w:t>
      </w:r>
      <w:r>
        <w:rPr>
          <w:rFonts w:hint="eastAsia" w:ascii="宋体" w:hAnsi="宋体" w:eastAsia="宋体" w:cs="宋体"/>
          <w:color w:val="auto"/>
          <w:sz w:val="21"/>
          <w:szCs w:val="21"/>
          <w:highlight w:val="none"/>
          <w:lang w:val="en-US" w:eastAsia="zh-CN" w:bidi="ar-SA"/>
        </w:rPr>
        <w:t>名称、规格、厂家、采购数量、药品的配送企业等，并支持医疗机构自动订单辅助生成。</w:t>
      </w:r>
    </w:p>
    <w:p w14:paraId="53B4AF68">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1.3.2.</w:t>
      </w:r>
      <w:r>
        <w:rPr>
          <w:rFonts w:hint="eastAsia" w:ascii="宋体" w:hAnsi="宋体" w:eastAsia="宋体" w:cs="宋体"/>
          <w:bCs w:val="0"/>
          <w:sz w:val="21"/>
          <w:szCs w:val="21"/>
          <w:highlight w:val="none"/>
          <w:lang w:val="en-US" w:eastAsia="zh-CN" w:bidi="ar-SA"/>
        </w:rPr>
        <w:t>提交计划单</w:t>
      </w:r>
    </w:p>
    <w:p w14:paraId="278AE8A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支持医共体各成员单位采购计划</w:t>
      </w:r>
      <w:r>
        <w:rPr>
          <w:rFonts w:hint="eastAsia" w:ascii="宋体" w:hAnsi="宋体" w:eastAsia="宋体" w:cs="宋体"/>
          <w:color w:val="auto"/>
          <w:sz w:val="21"/>
          <w:szCs w:val="21"/>
          <w:highlight w:val="none"/>
          <w:lang w:val="en-US" w:eastAsia="zh-CN" w:bidi="ar-SA"/>
        </w:rPr>
        <w:t>上报，可通过院内HIS上传至中心药房系统或者直接在中心药房系统中结合库存生成采购订单，各医疗机构进行采购数据调整后统一在系统进行提交。</w:t>
      </w:r>
    </w:p>
    <w:p w14:paraId="70123876">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1.3.3.</w:t>
      </w:r>
      <w:r>
        <w:rPr>
          <w:rFonts w:hint="eastAsia" w:ascii="宋体" w:hAnsi="宋体" w:eastAsia="宋体" w:cs="宋体"/>
          <w:bCs w:val="0"/>
          <w:sz w:val="21"/>
          <w:szCs w:val="21"/>
          <w:highlight w:val="none"/>
          <w:lang w:val="en-US" w:eastAsia="zh-CN" w:bidi="ar-SA"/>
        </w:rPr>
        <w:t>审核计划单（演示）</w:t>
      </w:r>
    </w:p>
    <w:p w14:paraId="554F8BD1">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审核人员对采购需求计划审核。根据药品采购管理要求，</w:t>
      </w:r>
      <w:r>
        <w:rPr>
          <w:rFonts w:hint="eastAsia" w:ascii="宋体" w:hAnsi="宋体" w:eastAsia="宋体" w:cs="宋体"/>
          <w:color w:val="auto"/>
          <w:sz w:val="21"/>
          <w:szCs w:val="21"/>
          <w:highlight w:val="none"/>
          <w:lang w:val="en-US" w:eastAsia="zh-CN" w:bidi="ar-SA"/>
        </w:rPr>
        <w:t>设置审核流程</w:t>
      </w:r>
      <w:r>
        <w:rPr>
          <w:rFonts w:hint="eastAsia" w:ascii="宋体" w:hAnsi="宋体" w:eastAsia="宋体" w:cs="宋体"/>
          <w:sz w:val="21"/>
          <w:szCs w:val="21"/>
          <w:highlight w:val="none"/>
          <w:lang w:val="en-US" w:eastAsia="zh-CN" w:bidi="ar-SA"/>
        </w:rPr>
        <w:t>，逐级审核。支持审核层级及审核岗位的灵活设置。</w:t>
      </w:r>
    </w:p>
    <w:p w14:paraId="5E694B93">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1.3.4.</w:t>
      </w:r>
      <w:r>
        <w:rPr>
          <w:rFonts w:hint="eastAsia" w:ascii="宋体" w:hAnsi="宋体" w:eastAsia="宋体" w:cs="宋体"/>
          <w:bCs w:val="0"/>
          <w:sz w:val="21"/>
          <w:szCs w:val="21"/>
          <w:highlight w:val="none"/>
          <w:lang w:val="en-US" w:eastAsia="zh-CN" w:bidi="ar-SA"/>
        </w:rPr>
        <w:t>采购订单上传</w:t>
      </w:r>
    </w:p>
    <w:p w14:paraId="3FAE271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院内采购订单上传省招采平台，主数据有药品名称、采购数量、配送企业、配送地址等。支</w:t>
      </w:r>
      <w:r>
        <w:rPr>
          <w:rFonts w:hint="eastAsia" w:ascii="宋体" w:hAnsi="宋体" w:eastAsia="宋体" w:cs="宋体"/>
          <w:color w:val="auto"/>
          <w:sz w:val="21"/>
          <w:szCs w:val="21"/>
          <w:highlight w:val="none"/>
          <w:lang w:val="en-US" w:eastAsia="zh-CN" w:bidi="ar-SA"/>
        </w:rPr>
        <w:t>持中心药房建单</w:t>
      </w:r>
      <w:r>
        <w:rPr>
          <w:rFonts w:hint="eastAsia" w:ascii="宋体" w:hAnsi="宋体" w:eastAsia="宋体" w:cs="宋体"/>
          <w:sz w:val="21"/>
          <w:szCs w:val="21"/>
          <w:highlight w:val="none"/>
          <w:lang w:val="en-US" w:eastAsia="zh-CN" w:bidi="ar-SA"/>
        </w:rPr>
        <w:t>、提交订单、上传订单业务模式。</w:t>
      </w:r>
    </w:p>
    <w:p w14:paraId="774E301E">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1.3.5.</w:t>
      </w:r>
      <w:r>
        <w:rPr>
          <w:rFonts w:hint="eastAsia" w:ascii="宋体" w:hAnsi="宋体" w:eastAsia="宋体" w:cs="宋体"/>
          <w:bCs w:val="0"/>
          <w:sz w:val="21"/>
          <w:szCs w:val="21"/>
          <w:highlight w:val="none"/>
          <w:lang w:val="en-US" w:eastAsia="zh-CN" w:bidi="ar-SA"/>
        </w:rPr>
        <w:t>药品配送下载</w:t>
      </w:r>
    </w:p>
    <w:p w14:paraId="7C7ED016">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配送企业接收订单，省招采平台回填发货信息后，医共体中心药房系统进行发货信息下载，主数据有发货企业、发货数量、批号、效期、发票号等，支持定时任务、手动下载两种触发机制。</w:t>
      </w:r>
    </w:p>
    <w:p w14:paraId="079761E6">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1.3.6.</w:t>
      </w:r>
      <w:r>
        <w:rPr>
          <w:rFonts w:hint="eastAsia" w:ascii="宋体" w:hAnsi="宋体" w:eastAsia="宋体" w:cs="宋体"/>
          <w:bCs w:val="0"/>
          <w:sz w:val="21"/>
          <w:szCs w:val="21"/>
          <w:highlight w:val="none"/>
          <w:lang w:val="en-US" w:eastAsia="zh-CN" w:bidi="ar-SA"/>
        </w:rPr>
        <w:t>收货单生成（演示）</w:t>
      </w:r>
    </w:p>
    <w:p w14:paraId="56415399">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根据省招采平台的配送明细，生成收货单。</w:t>
      </w:r>
    </w:p>
    <w:p w14:paraId="1B876539">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1.3.7.</w:t>
      </w:r>
      <w:r>
        <w:rPr>
          <w:rFonts w:hint="eastAsia" w:ascii="宋体" w:hAnsi="宋体" w:eastAsia="宋体" w:cs="宋体"/>
          <w:bCs w:val="0"/>
          <w:sz w:val="21"/>
          <w:szCs w:val="21"/>
          <w:highlight w:val="none"/>
          <w:lang w:val="en-US" w:eastAsia="zh-CN" w:bidi="ar-SA"/>
        </w:rPr>
        <w:t>收货确认</w:t>
      </w:r>
    </w:p>
    <w:p w14:paraId="3DD65EF5">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根据药品的发货信息（配送企业、药品名称、批号、效期、发票等），进行药品确认收货工作，收货完成的数据省招采平台自动回传，完成业务闭环，无需</w:t>
      </w:r>
      <w:r>
        <w:rPr>
          <w:rFonts w:hint="eastAsia" w:ascii="宋体" w:hAnsi="宋体" w:eastAsia="宋体" w:cs="宋体"/>
          <w:color w:val="auto"/>
          <w:sz w:val="21"/>
          <w:szCs w:val="21"/>
          <w:highlight w:val="none"/>
          <w:lang w:val="en-US" w:eastAsia="zh-CN" w:bidi="ar-SA"/>
        </w:rPr>
        <w:t>验收入库后</w:t>
      </w:r>
      <w:r>
        <w:rPr>
          <w:rFonts w:hint="eastAsia" w:ascii="宋体" w:hAnsi="宋体" w:eastAsia="宋体" w:cs="宋体"/>
          <w:sz w:val="21"/>
          <w:szCs w:val="21"/>
          <w:highlight w:val="none"/>
          <w:lang w:val="en-US" w:eastAsia="zh-CN" w:bidi="ar-SA"/>
        </w:rPr>
        <w:t>重复登录省平台确认收货操作，提高工作效率，降低人工成本，保证院内外收货数据一致，提高网采率。</w:t>
      </w:r>
    </w:p>
    <w:p w14:paraId="3A830216">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1.4.</w:t>
      </w:r>
      <w:r>
        <w:rPr>
          <w:rFonts w:hint="eastAsia" w:ascii="宋体" w:hAnsi="宋体" w:eastAsia="宋体" w:cs="宋体"/>
          <w:sz w:val="21"/>
          <w:szCs w:val="21"/>
          <w:highlight w:val="none"/>
          <w:lang w:val="en-US" w:eastAsia="zh-CN"/>
        </w:rPr>
        <w:t>数据分析与监管功能模块</w:t>
      </w:r>
    </w:p>
    <w:p w14:paraId="15184290">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1.4.1.</w:t>
      </w:r>
      <w:r>
        <w:rPr>
          <w:rFonts w:hint="eastAsia" w:ascii="宋体" w:hAnsi="宋体" w:eastAsia="宋体" w:cs="宋体"/>
          <w:bCs w:val="0"/>
          <w:sz w:val="21"/>
          <w:szCs w:val="21"/>
          <w:highlight w:val="none"/>
          <w:lang w:val="en-US" w:eastAsia="zh-CN" w:bidi="ar-SA"/>
        </w:rPr>
        <w:t>采购订单统计</w:t>
      </w:r>
    </w:p>
    <w:p w14:paraId="3D223D1C">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医疗机构名称和订单收货时间进行采购订单的筛选。采购订单统计内容包括但不限于以下内容：采购金额、收货金额、药品产品数、发货金额、采购明细数、基药产品数、基药收货金额、基药采购金额、基药收货金额占比、集采采购金额、集采收货金额占比、集采收货金额、国谈采购金额、国谈收货金额、国谈收货金额占比。</w:t>
      </w:r>
    </w:p>
    <w:p w14:paraId="49FF8BF9">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1.4.2.</w:t>
      </w:r>
      <w:r>
        <w:rPr>
          <w:rFonts w:hint="eastAsia" w:ascii="宋体" w:hAnsi="宋体" w:eastAsia="宋体" w:cs="宋体"/>
          <w:bCs w:val="0"/>
          <w:sz w:val="21"/>
          <w:szCs w:val="21"/>
          <w:highlight w:val="none"/>
          <w:lang w:val="en-US" w:eastAsia="zh-CN" w:bidi="ar-SA"/>
        </w:rPr>
        <w:t>挂网状态统计</w:t>
      </w:r>
    </w:p>
    <w:p w14:paraId="52A710F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医疗机构名称进行药品挂网条目数的筛选挂网状态统计。筛选的挂网状态详细内容包括但不限于：排名序号、医疗机构名称、院内条目数、网采条目数、集采条目数、集采条目占比、基药条目数、基药条目占比、已挂网数、暂停挂网数、取消挂网数。</w:t>
      </w:r>
    </w:p>
    <w:p w14:paraId="60584845">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1.4.3.</w:t>
      </w:r>
      <w:r>
        <w:rPr>
          <w:rFonts w:hint="eastAsia" w:ascii="宋体" w:hAnsi="宋体" w:eastAsia="宋体" w:cs="宋体"/>
          <w:bCs w:val="0"/>
          <w:sz w:val="21"/>
          <w:szCs w:val="21"/>
          <w:highlight w:val="none"/>
          <w:lang w:val="en-US" w:eastAsia="zh-CN" w:bidi="ar-SA"/>
        </w:rPr>
        <w:t>药品采购排名</w:t>
      </w:r>
    </w:p>
    <w:p w14:paraId="19F99CD8">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订单提交时间以及医疗机构名称进行药品采购排名的筛选。筛选到的药品采购详情包括但不限于：排名顺序、中心编码、采购流水号、药品名称、商品名称、规格、剂量、包装信息、生产企业、包装材质、项目名称、基药属性、医保属性、采购限价、采购数量、医疗机构数、药品属性等。</w:t>
      </w:r>
    </w:p>
    <w:p w14:paraId="427E974C">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1.4.4.</w:t>
      </w:r>
      <w:r>
        <w:rPr>
          <w:rFonts w:hint="eastAsia" w:ascii="宋体" w:hAnsi="宋体" w:eastAsia="宋体" w:cs="宋体"/>
          <w:bCs w:val="0"/>
          <w:sz w:val="21"/>
          <w:szCs w:val="21"/>
          <w:highlight w:val="none"/>
          <w:lang w:val="en-US" w:eastAsia="zh-CN" w:bidi="ar-SA"/>
        </w:rPr>
        <w:t>医院采购排名</w:t>
      </w:r>
    </w:p>
    <w:p w14:paraId="4C056712">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支持根据订单收货时间和药品属性进行筛选，筛选到的医院采购排名详情内容包括但不限于：医疗机构名称、采购数量、采购数量占比、采购金额占比、采购量排名、采购金额排名。</w:t>
      </w:r>
    </w:p>
    <w:p w14:paraId="745E63E8">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1.4.5.</w:t>
      </w:r>
      <w:r>
        <w:rPr>
          <w:rFonts w:hint="eastAsia" w:ascii="宋体" w:hAnsi="宋体" w:eastAsia="宋体" w:cs="宋体"/>
          <w:bCs w:val="0"/>
          <w:sz w:val="21"/>
          <w:szCs w:val="21"/>
          <w:highlight w:val="none"/>
          <w:lang w:val="en-US" w:eastAsia="zh-CN" w:bidi="ar-SA"/>
        </w:rPr>
        <w:t>医院订单数统计查询</w:t>
      </w:r>
    </w:p>
    <w:p w14:paraId="3FF06846">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支持根据订单</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提交世界</w:t>
      </w:r>
      <w:r>
        <w:rPr>
          <w:rFonts w:hint="eastAsia" w:ascii="宋体" w:hAnsi="宋体" w:eastAsia="宋体" w:cs="宋体"/>
          <w:sz w:val="21"/>
          <w:szCs w:val="21"/>
          <w:highlight w:val="none"/>
          <w:lang w:val="en-US" w:eastAsia="zh-CN" w:bidi="ar-SA"/>
        </w:rPr>
        <w:t>进行医院订单数统计查询。筛选到的医院订单数统计查询详情内容包括但不限于：医疗机构名称、采购计划数、采购订单数、采购计划单占比、采购订单占比。</w:t>
      </w:r>
    </w:p>
    <w:p w14:paraId="539566A1">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1.4.6.</w:t>
      </w:r>
      <w:r>
        <w:rPr>
          <w:rFonts w:hint="eastAsia" w:ascii="宋体" w:hAnsi="宋体" w:eastAsia="宋体" w:cs="宋体"/>
          <w:bCs w:val="0"/>
          <w:sz w:val="21"/>
          <w:szCs w:val="21"/>
          <w:highlight w:val="none"/>
          <w:lang w:val="en-US" w:eastAsia="zh-CN" w:bidi="ar-SA"/>
        </w:rPr>
        <w:t>配送企业排名</w:t>
      </w:r>
    </w:p>
    <w:p w14:paraId="616BAE74">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订单提交时间以及配送企业名称查询配送企业排名。配送企业排名详情包括但不限于：配送企业名称、采购数量、配送数量、采购金额、配送完成率、配送金额排名、平均配送时间、配送及时率、订单提交时间。</w:t>
      </w:r>
    </w:p>
    <w:p w14:paraId="4286F4D0">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1.4.7.</w:t>
      </w:r>
      <w:r>
        <w:rPr>
          <w:rFonts w:hint="eastAsia" w:ascii="宋体" w:hAnsi="宋体" w:eastAsia="宋体" w:cs="宋体"/>
          <w:bCs w:val="0"/>
          <w:sz w:val="21"/>
          <w:szCs w:val="21"/>
          <w:highlight w:val="none"/>
          <w:lang w:val="en-US" w:eastAsia="zh-CN" w:bidi="ar-SA"/>
        </w:rPr>
        <w:t>药品配备采购情况</w:t>
      </w:r>
    </w:p>
    <w:p w14:paraId="645074FB">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根据订单提交时间和医疗机构名称筛选药品配备采购情况。筛选到的药品配备采购详情包括但不限于：医疗机构、药品品种数、基药品种数、基药配备占比、集采品种数、集采配备占比、国谈品种数、国谈配备占比、药品采购总金额、基药采购金额、基药采购金额占比、集采平均金额、集采采购金额占比、国谈采购金额、国谈采购金额占比。</w:t>
      </w:r>
    </w:p>
    <w:p w14:paraId="1B3D804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1.4.8药品集采监控管理</w:t>
      </w:r>
    </w:p>
    <w:p w14:paraId="5CA0F087">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kern w:val="2"/>
          <w:sz w:val="21"/>
          <w:szCs w:val="21"/>
          <w:highlight w:val="none"/>
          <w:lang w:val="en-US" w:eastAsia="zh-CN" w:bidi="ar-SA"/>
          <w14:ligatures w14:val="standardContextual"/>
        </w:rPr>
      </w:pPr>
      <w:r>
        <w:rPr>
          <w:rFonts w:hint="eastAsia" w:ascii="宋体" w:hAnsi="宋体" w:eastAsia="宋体" w:cs="宋体"/>
          <w:kern w:val="2"/>
          <w:sz w:val="21"/>
          <w:szCs w:val="21"/>
          <w:highlight w:val="none"/>
          <w:lang w:val="en-US" w:eastAsia="zh-CN" w:bidi="ar-SA"/>
          <w14:ligatures w14:val="standardContextual"/>
        </w:rPr>
        <w:t>1.4.8.1维护集采属性：支持院内人员通过导入、手动新增两种方式在平台内维护药品集采批次、执行周期等</w:t>
      </w:r>
    </w:p>
    <w:p w14:paraId="176F6AC9">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kern w:val="2"/>
          <w:sz w:val="21"/>
          <w:szCs w:val="21"/>
          <w:highlight w:val="none"/>
          <w:lang w:val="en-US" w:eastAsia="zh-CN" w:bidi="ar-SA"/>
          <w14:ligatures w14:val="standardContextual"/>
        </w:rPr>
      </w:pPr>
      <w:r>
        <w:rPr>
          <w:rFonts w:hint="eastAsia" w:ascii="宋体" w:hAnsi="宋体" w:eastAsia="宋体" w:cs="宋体"/>
          <w:kern w:val="2"/>
          <w:sz w:val="21"/>
          <w:szCs w:val="21"/>
          <w:highlight w:val="none"/>
          <w:lang w:val="en-US" w:eastAsia="zh-CN" w:bidi="ar-SA"/>
          <w14:ligatures w14:val="standardContextual"/>
        </w:rPr>
        <w:t>1.4.8.2维护集采目录：支持在集采批次中添加集采目录数据</w:t>
      </w:r>
    </w:p>
    <w:p w14:paraId="2235E306">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kern w:val="2"/>
          <w:sz w:val="21"/>
          <w:szCs w:val="21"/>
          <w:highlight w:val="none"/>
          <w:lang w:val="en-US" w:eastAsia="zh-CN" w:bidi="ar-SA"/>
          <w14:ligatures w14:val="standardContextual"/>
        </w:rPr>
      </w:pPr>
      <w:r>
        <w:rPr>
          <w:rFonts w:hint="eastAsia" w:ascii="宋体" w:hAnsi="宋体" w:eastAsia="宋体" w:cs="宋体"/>
          <w:kern w:val="2"/>
          <w:sz w:val="21"/>
          <w:szCs w:val="21"/>
          <w:highlight w:val="none"/>
          <w:lang w:val="en-US" w:eastAsia="zh-CN" w:bidi="ar-SA"/>
          <w14:ligatures w14:val="standardContextual"/>
        </w:rPr>
        <w:t>1.4.8.3集采任务监控：系统需自动通过采购计划单与收货单统计各集采任务执行情况，并执行监测，供院内人员进行统计分析与查看。</w:t>
      </w:r>
    </w:p>
    <w:p w14:paraId="287E0B9D">
      <w:pPr>
        <w:keepNext/>
        <w:keepLines/>
        <w:pageBreakBefore w:val="0"/>
        <w:widowControl w:val="0"/>
        <w:numPr>
          <w:ilvl w:val="0"/>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sz w:val="21"/>
          <w:szCs w:val="21"/>
          <w:highlight w:val="none"/>
          <w:lang w:val="en-US" w:eastAsia="zh-CN" w:bidi="ar-SA"/>
        </w:rPr>
        <w:t>1.4.9.监控大屏（驾驶舱）</w:t>
      </w:r>
    </w:p>
    <w:p w14:paraId="6EF3E84B">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医共体药品统一目录监管、药品统一采购/审批监管。以及医共体/基本用药采购使用情况的TOP排名。</w:t>
      </w:r>
    </w:p>
    <w:p w14:paraId="01B1D18C">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napToGrid w:val="0"/>
          <w:color w:val="000000"/>
          <w:spacing w:val="-2"/>
          <w:kern w:val="0"/>
          <w:sz w:val="21"/>
          <w:szCs w:val="21"/>
          <w:highlight w:val="none"/>
          <w:lang w:val="en-US" w:eastAsia="en-US" w:bidi="ar-SA"/>
        </w:rPr>
      </w:pPr>
      <w:r>
        <w:rPr>
          <w:rFonts w:hint="eastAsia" w:ascii="宋体" w:hAnsi="宋体" w:eastAsia="宋体" w:cs="宋体"/>
          <w:sz w:val="21"/>
          <w:szCs w:val="21"/>
          <w:highlight w:val="none"/>
          <w:lang w:val="en-US" w:eastAsia="zh-CN" w:bidi="ar-SA"/>
        </w:rPr>
        <w:t>提供全业务流程透明化、可视化。平台数据，驾驶舱可视化展示，给决策层提供有力的数据支撑。</w:t>
      </w:r>
    </w:p>
    <w:p w14:paraId="0954A5FE">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1.5.医共体各成员单位追溯码入库功能模块</w:t>
      </w:r>
    </w:p>
    <w:p w14:paraId="00997ACF">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1.5.1.</w:t>
      </w:r>
      <w:r>
        <w:rPr>
          <w:rFonts w:hint="eastAsia" w:ascii="宋体" w:hAnsi="宋体" w:eastAsia="宋体" w:cs="宋体"/>
          <w:bCs w:val="0"/>
          <w:sz w:val="21"/>
          <w:szCs w:val="21"/>
          <w:highlight w:val="none"/>
          <w:lang w:val="en-US" w:eastAsia="zh-CN" w:bidi="ar-SA"/>
        </w:rPr>
        <w:t>第三方追溯码平台接口</w:t>
      </w:r>
    </w:p>
    <w:p w14:paraId="5048CEC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支持对接“码上放心”平台，</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未来医保追溯码库建成</w:t>
      </w:r>
      <w:r>
        <w:rPr>
          <w:rFonts w:hint="eastAsia" w:ascii="宋体" w:hAnsi="宋体" w:eastAsia="宋体" w:cs="宋体"/>
          <w:sz w:val="21"/>
          <w:szCs w:val="21"/>
          <w:highlight w:val="none"/>
          <w:lang w:val="en-US" w:eastAsia="zh-CN" w:bidi="ar-SA"/>
        </w:rPr>
        <w:t>后转为备份。</w:t>
      </w:r>
    </w:p>
    <w:p w14:paraId="2133BE88">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1.5.2.</w:t>
      </w:r>
      <w:r>
        <w:rPr>
          <w:rFonts w:hint="eastAsia" w:ascii="宋体" w:hAnsi="宋体" w:eastAsia="宋体" w:cs="宋体"/>
          <w:bCs w:val="0"/>
          <w:sz w:val="21"/>
          <w:szCs w:val="21"/>
          <w:highlight w:val="none"/>
          <w:lang w:val="en-US" w:eastAsia="zh-CN" w:bidi="ar-SA"/>
        </w:rPr>
        <w:t>追溯码集中解析转发平台</w:t>
      </w:r>
    </w:p>
    <w:p w14:paraId="3AA23CF9">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支持作为企业和配送企业传输追溯码的中转。</w:t>
      </w:r>
    </w:p>
    <w:p w14:paraId="7510EA3F">
      <w:pPr>
        <w:keepNext/>
        <w:keepLines/>
        <w:pageBreakBefore w:val="0"/>
        <w:widowControl w:val="0"/>
        <w:numPr>
          <w:ilvl w:val="3"/>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3"/>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1.5.2.1.</w:t>
      </w:r>
      <w:r>
        <w:rPr>
          <w:rFonts w:hint="eastAsia" w:ascii="宋体" w:hAnsi="宋体" w:eastAsia="宋体" w:cs="宋体"/>
          <w:bCs w:val="0"/>
          <w:sz w:val="21"/>
          <w:szCs w:val="21"/>
          <w:highlight w:val="none"/>
          <w:lang w:val="en-US" w:eastAsia="zh-CN" w:bidi="ar-SA"/>
        </w:rPr>
        <w:t>配送企业追溯码上传接口</w:t>
      </w:r>
    </w:p>
    <w:p w14:paraId="3693D2C2">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支持配送企业在出库时将追溯码上传。</w:t>
      </w:r>
    </w:p>
    <w:p w14:paraId="48D506A8">
      <w:pPr>
        <w:keepNext/>
        <w:keepLines/>
        <w:pageBreakBefore w:val="0"/>
        <w:widowControl w:val="0"/>
        <w:numPr>
          <w:ilvl w:val="3"/>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3"/>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1.5.2.2.</w:t>
      </w:r>
      <w:r>
        <w:rPr>
          <w:rFonts w:hint="eastAsia" w:ascii="宋体" w:hAnsi="宋体" w:eastAsia="宋体" w:cs="宋体"/>
          <w:bCs w:val="0"/>
          <w:sz w:val="21"/>
          <w:szCs w:val="21"/>
          <w:highlight w:val="none"/>
          <w:lang w:val="en-US" w:eastAsia="zh-CN" w:bidi="ar-SA"/>
        </w:rPr>
        <w:t>医院下载追溯码接口</w:t>
      </w:r>
    </w:p>
    <w:p w14:paraId="4C02E059">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支持医院下载追溯码集中解析转发平台配送企业上传的追溯码。</w:t>
      </w:r>
    </w:p>
    <w:p w14:paraId="0ACAC703">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1.5.3.</w:t>
      </w:r>
      <w:r>
        <w:rPr>
          <w:rFonts w:hint="eastAsia" w:ascii="宋体" w:hAnsi="宋体" w:eastAsia="宋体" w:cs="宋体"/>
          <w:bCs w:val="0"/>
          <w:sz w:val="21"/>
          <w:szCs w:val="21"/>
          <w:highlight w:val="none"/>
          <w:lang w:val="en-US" w:eastAsia="zh-CN" w:bidi="ar-SA"/>
        </w:rPr>
        <w:t>▲追溯码大小包解析</w:t>
      </w:r>
    </w:p>
    <w:p w14:paraId="071C4C76">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支持链接阿里健康码上放心，对药品大、中、小包装的追溯码关系解析获取。</w:t>
      </w:r>
    </w:p>
    <w:p w14:paraId="73E92B21">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1.5.4.</w:t>
      </w:r>
      <w:r>
        <w:rPr>
          <w:rFonts w:hint="eastAsia" w:ascii="宋体" w:hAnsi="宋体" w:eastAsia="宋体" w:cs="宋体"/>
          <w:bCs w:val="0"/>
          <w:sz w:val="21"/>
          <w:szCs w:val="21"/>
          <w:highlight w:val="none"/>
          <w:lang w:val="en-US" w:eastAsia="zh-CN" w:bidi="ar-SA"/>
        </w:rPr>
        <w:t>追溯码信息获取</w:t>
      </w:r>
    </w:p>
    <w:p w14:paraId="5595915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支持按照追溯码获取药品的信息，包括通用名、商品名、批准文号、规格型号、包装、效期。</w:t>
      </w:r>
    </w:p>
    <w:p w14:paraId="489F1D51">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1.5.5.</w:t>
      </w:r>
      <w:r>
        <w:rPr>
          <w:rFonts w:hint="eastAsia" w:ascii="宋体" w:hAnsi="宋体" w:eastAsia="宋体" w:cs="宋体"/>
          <w:bCs w:val="0"/>
          <w:sz w:val="21"/>
          <w:szCs w:val="21"/>
          <w:highlight w:val="none"/>
          <w:lang w:val="en-US" w:eastAsia="zh-CN" w:bidi="ar-SA"/>
        </w:rPr>
        <w:t>▲院内追溯码信息库</w:t>
      </w:r>
    </w:p>
    <w:p w14:paraId="74A835ED">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支持在院内形成验收入库后的追溯码信息库，将入库信息和追溯码对应，供发药和消耗核销。</w:t>
      </w:r>
    </w:p>
    <w:p w14:paraId="6EC826FD">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1.5.6.</w:t>
      </w:r>
      <w:r>
        <w:rPr>
          <w:rFonts w:hint="eastAsia" w:ascii="宋体" w:hAnsi="宋体" w:eastAsia="宋体" w:cs="宋体"/>
          <w:bCs w:val="0"/>
          <w:sz w:val="21"/>
          <w:szCs w:val="21"/>
          <w:highlight w:val="none"/>
          <w:lang w:val="en-US" w:eastAsia="zh-CN" w:bidi="ar-SA"/>
        </w:rPr>
        <w:t>HIS视图或接口</w:t>
      </w:r>
    </w:p>
    <w:p w14:paraId="36DAF32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支持提供院内追溯码库与HIS的视图或者接口。</w:t>
      </w:r>
    </w:p>
    <w:p w14:paraId="3A95ECB9">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1.5.7.</w:t>
      </w:r>
      <w:r>
        <w:rPr>
          <w:rFonts w:hint="eastAsia" w:ascii="宋体" w:hAnsi="宋体" w:eastAsia="宋体" w:cs="宋体"/>
          <w:bCs w:val="0"/>
          <w:sz w:val="21"/>
          <w:szCs w:val="21"/>
          <w:highlight w:val="none"/>
          <w:lang w:val="en-US" w:eastAsia="zh-CN" w:bidi="ar-SA"/>
        </w:rPr>
        <w:t>数据上传准备</w:t>
      </w:r>
    </w:p>
    <w:p w14:paraId="472EE427">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支持生成追溯码记录表，供HIS上传医保两定接口。</w:t>
      </w:r>
    </w:p>
    <w:p w14:paraId="5533CD92">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1.5.8.</w:t>
      </w:r>
      <w:r>
        <w:rPr>
          <w:rFonts w:hint="eastAsia" w:ascii="宋体" w:hAnsi="宋体" w:eastAsia="宋体" w:cs="宋体"/>
          <w:bCs w:val="0"/>
          <w:sz w:val="21"/>
          <w:szCs w:val="21"/>
          <w:highlight w:val="none"/>
          <w:lang w:val="en-US" w:eastAsia="zh-CN" w:bidi="ar-SA"/>
        </w:rPr>
        <w:t>医保追溯码关系数据库接口</w:t>
      </w:r>
    </w:p>
    <w:p w14:paraId="0CB817D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提供对接医保追溯码关系数据库。</w:t>
      </w:r>
    </w:p>
    <w:p w14:paraId="4CBE2538">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kern w:val="2"/>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1.5.9.▲追溯码统计监管</w:t>
      </w:r>
    </w:p>
    <w:p w14:paraId="046D49CA">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查看各医疗机构采购入库药品追溯码匹配情况，包含追溯码入库明细统计、入库汇总统计。支持根据医保代码、药品名称、生产企业、配送企业、批号、收货时间以及配送明细编号等信息进行查询。支持excel导入追溯码信息，支持导出追溯码信息。</w:t>
      </w:r>
    </w:p>
    <w:p w14:paraId="178680D4">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追溯码统计明细包含但不限于以下内容：状态（匹配成功、匹配失败）、数据来源、收货量、追溯码数量、匹配率、医保代码、药品名称、包装信息、剂型、生产企业、配送企业、收货时间、批号、效期、配送明细编号等。</w:t>
      </w:r>
    </w:p>
    <w:p w14:paraId="5784DA7B">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1.6.PDA扫码验收模块</w:t>
      </w:r>
    </w:p>
    <w:p w14:paraId="49572CBA">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1.6.1.</w:t>
      </w:r>
      <w:r>
        <w:rPr>
          <w:rFonts w:hint="eastAsia" w:ascii="宋体" w:hAnsi="宋体" w:eastAsia="宋体" w:cs="宋体"/>
          <w:bCs w:val="0"/>
          <w:sz w:val="21"/>
          <w:szCs w:val="21"/>
          <w:highlight w:val="none"/>
          <w:lang w:val="en-US" w:eastAsia="zh-CN" w:bidi="ar-SA"/>
        </w:rPr>
        <w:t>配送企业发货管理</w:t>
      </w:r>
    </w:p>
    <w:p w14:paraId="79DF07F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支持配送企业登录中心药房系统</w:t>
      </w:r>
      <w:r>
        <w:rPr>
          <w:rFonts w:hint="eastAsia" w:ascii="宋体" w:hAnsi="宋体" w:eastAsia="宋体" w:cs="宋体"/>
          <w:sz w:val="21"/>
          <w:szCs w:val="21"/>
          <w:highlight w:val="none"/>
          <w:lang w:val="en-US" w:eastAsia="zh-CN" w:bidi="ar-SA"/>
        </w:rPr>
        <w:t>，进行药品的装箱条码打印，并进行</w:t>
      </w:r>
      <w:r>
        <w:rPr>
          <w:rFonts w:hint="eastAsia" w:ascii="宋体" w:hAnsi="宋体" w:eastAsia="宋体" w:cs="宋体"/>
          <w:color w:val="auto"/>
          <w:sz w:val="21"/>
          <w:szCs w:val="21"/>
          <w:highlight w:val="none"/>
          <w:lang w:val="en-US" w:eastAsia="zh-CN" w:bidi="ar-SA"/>
        </w:rPr>
        <w:t>箱规贴码</w:t>
      </w:r>
      <w:r>
        <w:rPr>
          <w:rFonts w:hint="eastAsia" w:ascii="宋体" w:hAnsi="宋体" w:eastAsia="宋体" w:cs="宋体"/>
          <w:sz w:val="21"/>
          <w:szCs w:val="21"/>
          <w:highlight w:val="none"/>
          <w:lang w:val="en-US" w:eastAsia="zh-CN" w:bidi="ar-SA"/>
        </w:rPr>
        <w:t>工作。装箱条码包括配送企业名称、药品名称、配送地址、医疗机构名称、规格、数量、包装单位、生产企业、批号、有效期、物流码等信息。</w:t>
      </w:r>
    </w:p>
    <w:p w14:paraId="4B1CF362">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支持与配送企业的WMS系统/ERP系统对接，中心药房系统直接同步配送企业的发货物流码。配送企业上传配送订单的同时一并上传药品医保追溯码。</w:t>
      </w:r>
    </w:p>
    <w:p w14:paraId="5B62D693">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1.6.2.</w:t>
      </w:r>
      <w:r>
        <w:rPr>
          <w:rFonts w:hint="eastAsia" w:ascii="宋体" w:hAnsi="宋体" w:eastAsia="宋体" w:cs="宋体"/>
          <w:bCs w:val="0"/>
          <w:sz w:val="21"/>
          <w:szCs w:val="21"/>
          <w:highlight w:val="none"/>
          <w:lang w:val="en-US" w:eastAsia="zh-CN" w:bidi="ar-SA"/>
        </w:rPr>
        <w:t>医疗机构收货管理</w:t>
      </w:r>
    </w:p>
    <w:p w14:paraId="6E9E36D0">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支持医疗机构入库验收流程利用PDA设备对药品上的物流码进行扫码，收货信息同步至中心药房系统。实现将追溯码的入库采集和省招采平台订单的采购、验收、发票核验、入库相结合。自动完成采购订单、配送信息、入库信息、追溯码（大小包装对应）等要素的关联绑定。</w:t>
      </w:r>
    </w:p>
    <w:p w14:paraId="7977126A">
      <w:pPr>
        <w:pageBreakBefore w:val="0"/>
        <w:widowControl w:val="0"/>
        <w:numPr>
          <w:ilvl w:val="1"/>
          <w:numId w:val="0"/>
        </w:numPr>
        <w:kinsoku/>
        <w:wordWrap/>
        <w:overflowPunct/>
        <w:topLinePunct w:val="0"/>
        <w:autoSpaceDE/>
        <w:autoSpaceDN/>
        <w:bidi w:val="0"/>
        <w:spacing w:line="460" w:lineRule="exact"/>
        <w:ind w:left="0" w:leftChars="0" w:firstLine="420" w:firstLineChars="200"/>
        <w:jc w:val="left"/>
        <w:textAlignment w:val="auto"/>
        <w:outlineLvl w:val="1"/>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ar-SA"/>
        </w:rPr>
        <w:t>1.7.</w:t>
      </w:r>
      <w:r>
        <w:rPr>
          <w:rFonts w:hint="eastAsia" w:ascii="宋体" w:hAnsi="宋体" w:eastAsia="宋体" w:cs="宋体"/>
          <w:sz w:val="21"/>
          <w:szCs w:val="21"/>
          <w:highlight w:val="none"/>
          <w:lang w:val="en-US" w:eastAsia="zh-CN"/>
        </w:rPr>
        <w:t>中心药房药品联动保障</w:t>
      </w:r>
    </w:p>
    <w:p w14:paraId="7BA1C83E">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val="en-US" w:eastAsia="zh-CN" w:bidi="ar-SA"/>
        </w:rPr>
        <w:t>1.7.1.▲余缺药品登记</w:t>
      </w:r>
    </w:p>
    <w:p w14:paraId="11666F03">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支持各医疗机构进行余缺药品登记。登记内容包含联系人、联系方式、药品名称、积压类型、上报量、批号、效期、国家医保代码、</w:t>
      </w:r>
      <w:r>
        <w:rPr>
          <w:rFonts w:hint="eastAsia" w:ascii="宋体" w:hAnsi="宋体" w:eastAsia="宋体" w:cs="宋体"/>
          <w:snapToGrid w:val="0"/>
          <w:color w:val="auto"/>
          <w:spacing w:val="-2"/>
          <w:kern w:val="0"/>
          <w:sz w:val="21"/>
          <w:szCs w:val="21"/>
          <w:highlight w:val="none"/>
          <w:lang w:val="en-US" w:eastAsia="zh-CN" w:bidi="ar-SA"/>
        </w:rPr>
        <w:t>省平台编码</w:t>
      </w:r>
      <w:r>
        <w:rPr>
          <w:rFonts w:hint="eastAsia" w:ascii="宋体" w:hAnsi="宋体" w:eastAsia="宋体" w:cs="宋体"/>
          <w:color w:val="auto"/>
          <w:sz w:val="21"/>
          <w:szCs w:val="21"/>
          <w:highlight w:val="none"/>
          <w:lang w:val="en-US" w:eastAsia="zh-CN" w:bidi="ar-SA"/>
        </w:rPr>
        <w:t>、规格、采购价格、生产企业、项目名称等内容。支持在各医疗机构的院内目录中选择新增药品进行余缺药品的登记上报。</w:t>
      </w:r>
    </w:p>
    <w:p w14:paraId="69703717">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支持针对余缺药品上报后的调拨状态进行查看。调拨详情包括提交余缺药品登记的医疗机构名称、登记状态、提交时间。也包括发起调拨的医疗机构名称、发起调拨的时间、医疗机构入库的时间，调拨数量、联系人和联系方式等信息。</w:t>
      </w:r>
    </w:p>
    <w:p w14:paraId="1C8A55E2">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支持针对余缺药品登记超过7天的药品进行预警提示，各医疗机构及时进行上报。支持对余缺药品登记上报后进行撤单处理。</w:t>
      </w:r>
    </w:p>
    <w:p w14:paraId="2368F6EB">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en-US" w:bidi="ar-SA"/>
        </w:rPr>
      </w:pPr>
      <w:r>
        <w:rPr>
          <w:rFonts w:hint="eastAsia" w:ascii="宋体" w:hAnsi="宋体" w:eastAsia="宋体" w:cs="宋体"/>
          <w:bCs w:val="0"/>
          <w:kern w:val="2"/>
          <w:sz w:val="21"/>
          <w:szCs w:val="21"/>
          <w:highlight w:val="none"/>
          <w:lang w:val="en-US" w:eastAsia="en-US" w:bidi="ar-SA"/>
        </w:rPr>
        <w:t>1.7.2.</w:t>
      </w:r>
      <w:r>
        <w:rPr>
          <w:rFonts w:hint="eastAsia" w:ascii="宋体" w:hAnsi="宋体" w:eastAsia="宋体" w:cs="宋体"/>
          <w:bCs w:val="0"/>
          <w:sz w:val="21"/>
          <w:szCs w:val="21"/>
          <w:highlight w:val="none"/>
          <w:lang w:val="en-US" w:eastAsia="zh-CN" w:bidi="ar-SA"/>
        </w:rPr>
        <w:t>余缺药品列表（演示）</w:t>
      </w:r>
    </w:p>
    <w:p w14:paraId="24FECF1B">
      <w:pPr>
        <w:pageBreakBefore w:val="0"/>
        <w:widowControl w:val="0"/>
        <w:numPr>
          <w:ilvl w:val="0"/>
          <w:numId w:val="0"/>
        </w:numPr>
        <w:kinsoku/>
        <w:wordWrap/>
        <w:overflowPunct/>
        <w:topLinePunct w:val="0"/>
        <w:autoSpaceDE/>
        <w:autoSpaceDN/>
        <w:bidi w:val="0"/>
        <w:spacing w:line="460" w:lineRule="exact"/>
        <w:ind w:left="0" w:firstLine="412" w:firstLineChars="200"/>
        <w:jc w:val="left"/>
        <w:textAlignment w:val="auto"/>
        <w:rPr>
          <w:rFonts w:hint="eastAsia" w:ascii="宋体" w:hAnsi="宋体" w:eastAsia="宋体" w:cs="宋体"/>
          <w:snapToGrid w:val="0"/>
          <w:color w:val="auto"/>
          <w:spacing w:val="-2"/>
          <w:kern w:val="0"/>
          <w:sz w:val="21"/>
          <w:szCs w:val="21"/>
          <w:highlight w:val="none"/>
          <w:lang w:val="en-US" w:eastAsia="en-US" w:bidi="ar-SA"/>
        </w:rPr>
      </w:pPr>
      <w:r>
        <w:rPr>
          <w:rFonts w:hint="eastAsia" w:ascii="宋体" w:hAnsi="宋体" w:eastAsia="宋体" w:cs="宋体"/>
          <w:snapToGrid w:val="0"/>
          <w:color w:val="000000"/>
          <w:spacing w:val="-2"/>
          <w:kern w:val="0"/>
          <w:sz w:val="21"/>
          <w:szCs w:val="21"/>
          <w:highlight w:val="none"/>
          <w:lang w:val="en-US" w:eastAsia="zh-CN" w:bidi="ar-SA"/>
        </w:rPr>
        <w:t>支持</w:t>
      </w:r>
      <w:r>
        <w:rPr>
          <w:rFonts w:hint="eastAsia" w:ascii="宋体" w:hAnsi="宋体" w:eastAsia="宋体" w:cs="宋体"/>
          <w:snapToGrid w:val="0"/>
          <w:color w:val="000000"/>
          <w:spacing w:val="-2"/>
          <w:kern w:val="0"/>
          <w:sz w:val="21"/>
          <w:szCs w:val="21"/>
          <w:highlight w:val="none"/>
          <w:lang w:val="en-US" w:eastAsia="en-US" w:bidi="ar-SA"/>
        </w:rPr>
        <w:t>实时监控医共体内</w:t>
      </w:r>
      <w:r>
        <w:rPr>
          <w:rFonts w:hint="eastAsia" w:ascii="宋体" w:hAnsi="宋体" w:eastAsia="宋体" w:cs="宋体"/>
          <w:snapToGrid w:val="0"/>
          <w:color w:val="000000"/>
          <w:spacing w:val="-2"/>
          <w:kern w:val="0"/>
          <w:sz w:val="21"/>
          <w:szCs w:val="21"/>
          <w:highlight w:val="none"/>
          <w:lang w:val="en-US" w:eastAsia="zh-CN" w:bidi="ar-SA"/>
        </w:rPr>
        <w:t>各成员单位</w:t>
      </w:r>
      <w:r>
        <w:rPr>
          <w:rFonts w:hint="eastAsia" w:ascii="宋体" w:hAnsi="宋体" w:eastAsia="宋体" w:cs="宋体"/>
          <w:snapToGrid w:val="0"/>
          <w:color w:val="000000"/>
          <w:spacing w:val="-2"/>
          <w:kern w:val="0"/>
          <w:sz w:val="21"/>
          <w:szCs w:val="21"/>
          <w:highlight w:val="none"/>
          <w:lang w:val="en-US" w:eastAsia="en-US" w:bidi="ar-SA"/>
        </w:rPr>
        <w:t>的药品余缺情况</w:t>
      </w:r>
      <w:r>
        <w:rPr>
          <w:rFonts w:hint="eastAsia" w:ascii="宋体" w:hAnsi="宋体" w:eastAsia="宋体" w:cs="宋体"/>
          <w:snapToGrid w:val="0"/>
          <w:color w:val="000000"/>
          <w:spacing w:val="-2"/>
          <w:kern w:val="0"/>
          <w:sz w:val="21"/>
          <w:szCs w:val="21"/>
          <w:highlight w:val="none"/>
          <w:lang w:val="en-US" w:eastAsia="zh-CN" w:bidi="ar-SA"/>
        </w:rPr>
        <w:t>，</w:t>
      </w:r>
      <w:r>
        <w:rPr>
          <w:rFonts w:hint="eastAsia" w:ascii="宋体" w:hAnsi="宋体" w:eastAsia="宋体" w:cs="宋体"/>
          <w:snapToGrid w:val="0"/>
          <w:color w:val="auto"/>
          <w:spacing w:val="-2"/>
          <w:kern w:val="0"/>
          <w:sz w:val="21"/>
          <w:szCs w:val="21"/>
          <w:highlight w:val="none"/>
          <w:lang w:val="en-US" w:eastAsia="zh-CN" w:bidi="ar-SA"/>
        </w:rPr>
        <w:t>余缺药品列表包含积压列表和短缺药品列表。字段包含并不限于余缺药品登记单号、单据状态、药品名称、国家医保代码、省平台编码、批号、效期、采购价格、生产企业、项目名称、上报机构、创建时间、</w:t>
      </w:r>
      <w:r>
        <w:rPr>
          <w:rFonts w:hint="eastAsia" w:ascii="宋体" w:hAnsi="宋体" w:eastAsia="宋体" w:cs="宋体"/>
          <w:color w:val="auto"/>
          <w:sz w:val="21"/>
          <w:szCs w:val="21"/>
          <w:highlight w:val="none"/>
          <w:lang w:val="en-US" w:eastAsia="zh-CN" w:bidi="ar-SA"/>
        </w:rPr>
        <w:t>积压</w:t>
      </w:r>
      <w:r>
        <w:rPr>
          <w:rFonts w:hint="eastAsia" w:ascii="宋体" w:hAnsi="宋体" w:eastAsia="宋体" w:cs="宋体"/>
          <w:snapToGrid w:val="0"/>
          <w:color w:val="auto"/>
          <w:spacing w:val="-2"/>
          <w:kern w:val="0"/>
          <w:sz w:val="21"/>
          <w:szCs w:val="21"/>
          <w:highlight w:val="none"/>
          <w:lang w:val="en-US" w:eastAsia="zh-CN" w:bidi="ar-SA"/>
        </w:rPr>
        <w:t>量和调拨药品数量。</w:t>
      </w:r>
    </w:p>
    <w:p w14:paraId="4029E756">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en-US" w:bidi="ar-SA"/>
        </w:rPr>
      </w:pPr>
      <w:r>
        <w:rPr>
          <w:rFonts w:hint="eastAsia" w:ascii="宋体" w:hAnsi="宋体" w:eastAsia="宋体" w:cs="宋体"/>
          <w:bCs w:val="0"/>
          <w:kern w:val="2"/>
          <w:sz w:val="21"/>
          <w:szCs w:val="21"/>
          <w:highlight w:val="none"/>
          <w:lang w:val="en-US" w:eastAsia="en-US" w:bidi="ar-SA"/>
        </w:rPr>
        <w:t>1.7.3.</w:t>
      </w:r>
      <w:r>
        <w:rPr>
          <w:rFonts w:hint="eastAsia" w:ascii="宋体" w:hAnsi="宋体" w:eastAsia="宋体" w:cs="宋体"/>
          <w:bCs w:val="0"/>
          <w:sz w:val="21"/>
          <w:szCs w:val="21"/>
          <w:highlight w:val="none"/>
          <w:lang w:val="en-US" w:eastAsia="zh-CN" w:bidi="ar-SA"/>
        </w:rPr>
        <w:t>▲余缺药品调拨审核</w:t>
      </w:r>
    </w:p>
    <w:p w14:paraId="1BE5B40E">
      <w:pPr>
        <w:pageBreakBefore w:val="0"/>
        <w:widowControl w:val="0"/>
        <w:numPr>
          <w:ilvl w:val="0"/>
          <w:numId w:val="0"/>
        </w:numPr>
        <w:kinsoku/>
        <w:wordWrap/>
        <w:overflowPunct/>
        <w:topLinePunct w:val="0"/>
        <w:autoSpaceDE/>
        <w:autoSpaceDN/>
        <w:bidi w:val="0"/>
        <w:spacing w:line="460" w:lineRule="exact"/>
        <w:ind w:left="0" w:firstLine="412" w:firstLineChars="200"/>
        <w:jc w:val="left"/>
        <w:textAlignment w:val="auto"/>
        <w:rPr>
          <w:rFonts w:hint="eastAsia" w:ascii="宋体" w:hAnsi="宋体" w:eastAsia="宋体" w:cs="宋体"/>
          <w:snapToGrid w:val="0"/>
          <w:color w:val="000000"/>
          <w:spacing w:val="-2"/>
          <w:kern w:val="0"/>
          <w:sz w:val="21"/>
          <w:szCs w:val="21"/>
          <w:highlight w:val="none"/>
          <w:lang w:val="en-US" w:eastAsia="zh-CN" w:bidi="ar-SA"/>
        </w:rPr>
      </w:pPr>
      <w:r>
        <w:rPr>
          <w:rFonts w:hint="eastAsia" w:ascii="宋体" w:hAnsi="宋体" w:eastAsia="宋体" w:cs="宋体"/>
          <w:snapToGrid w:val="0"/>
          <w:color w:val="000000"/>
          <w:spacing w:val="-2"/>
          <w:kern w:val="0"/>
          <w:sz w:val="21"/>
          <w:szCs w:val="21"/>
          <w:highlight w:val="none"/>
          <w:lang w:val="en-US" w:eastAsia="en-US" w:bidi="ar-SA"/>
        </w:rPr>
        <w:t>支持</w:t>
      </w:r>
      <w:r>
        <w:rPr>
          <w:rFonts w:hint="eastAsia" w:ascii="宋体" w:hAnsi="宋体" w:eastAsia="宋体" w:cs="宋体"/>
          <w:snapToGrid w:val="0"/>
          <w:color w:val="000000"/>
          <w:spacing w:val="-2"/>
          <w:kern w:val="0"/>
          <w:sz w:val="21"/>
          <w:szCs w:val="21"/>
          <w:highlight w:val="none"/>
          <w:lang w:val="en-US" w:eastAsia="zh-CN" w:bidi="ar-SA"/>
        </w:rPr>
        <w:t>根据医共体内部审核管理权限，对于发起调拨申请的医疗机构进行余缺调拨的审核。支持查询调拨单号</w:t>
      </w:r>
      <w:r>
        <w:rPr>
          <w:rFonts w:hint="eastAsia" w:ascii="宋体" w:hAnsi="宋体" w:eastAsia="宋体" w:cs="宋体"/>
          <w:strike w:val="0"/>
          <w:dstrike w:val="0"/>
          <w:snapToGrid w:val="0"/>
          <w:color w:val="auto"/>
          <w:spacing w:val="-2"/>
          <w:kern w:val="0"/>
          <w:sz w:val="21"/>
          <w:szCs w:val="21"/>
          <w:highlight w:val="none"/>
          <w:lang w:val="en-US" w:eastAsia="zh-CN" w:bidi="ar-SA"/>
        </w:rPr>
        <w:t>、登记单号、药</w:t>
      </w:r>
      <w:r>
        <w:rPr>
          <w:rFonts w:hint="eastAsia" w:ascii="宋体" w:hAnsi="宋体" w:eastAsia="宋体" w:cs="宋体"/>
          <w:snapToGrid w:val="0"/>
          <w:color w:val="000000"/>
          <w:spacing w:val="-2"/>
          <w:kern w:val="0"/>
          <w:sz w:val="21"/>
          <w:szCs w:val="21"/>
          <w:highlight w:val="none"/>
          <w:lang w:val="en-US" w:eastAsia="zh-CN" w:bidi="ar-SA"/>
        </w:rPr>
        <w:t>品名称、医疗机构、审核状态、提交时间等信息。</w:t>
      </w:r>
    </w:p>
    <w:p w14:paraId="55CE6002">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en-US" w:bidi="ar-SA"/>
        </w:rPr>
      </w:pPr>
      <w:r>
        <w:rPr>
          <w:rFonts w:hint="eastAsia" w:ascii="宋体" w:hAnsi="宋体" w:eastAsia="宋体" w:cs="宋体"/>
          <w:bCs w:val="0"/>
          <w:kern w:val="2"/>
          <w:sz w:val="21"/>
          <w:szCs w:val="21"/>
          <w:highlight w:val="none"/>
          <w:lang w:val="en-US" w:eastAsia="en-US" w:bidi="ar-SA"/>
        </w:rPr>
        <w:t>1.7.4.</w:t>
      </w:r>
      <w:r>
        <w:rPr>
          <w:rFonts w:hint="eastAsia" w:ascii="宋体" w:hAnsi="宋体" w:eastAsia="宋体" w:cs="宋体"/>
          <w:bCs w:val="0"/>
          <w:sz w:val="21"/>
          <w:szCs w:val="21"/>
          <w:highlight w:val="none"/>
          <w:lang w:val="en-US" w:eastAsia="zh-CN" w:bidi="ar-SA"/>
        </w:rPr>
        <w:t>▲余缺药品出库管理</w:t>
      </w:r>
    </w:p>
    <w:p w14:paraId="6D033DD8">
      <w:pPr>
        <w:pageBreakBefore w:val="0"/>
        <w:widowControl w:val="0"/>
        <w:numPr>
          <w:ilvl w:val="0"/>
          <w:numId w:val="0"/>
        </w:numPr>
        <w:kinsoku/>
        <w:wordWrap/>
        <w:overflowPunct/>
        <w:topLinePunct w:val="0"/>
        <w:autoSpaceDE/>
        <w:autoSpaceDN/>
        <w:bidi w:val="0"/>
        <w:spacing w:line="460" w:lineRule="exact"/>
        <w:ind w:left="0" w:firstLine="412" w:firstLineChars="200"/>
        <w:jc w:val="left"/>
        <w:textAlignment w:val="auto"/>
        <w:rPr>
          <w:rFonts w:hint="eastAsia" w:ascii="宋体" w:hAnsi="宋体" w:eastAsia="宋体" w:cs="宋体"/>
          <w:snapToGrid w:val="0"/>
          <w:color w:val="auto"/>
          <w:spacing w:val="-2"/>
          <w:kern w:val="0"/>
          <w:sz w:val="21"/>
          <w:szCs w:val="21"/>
          <w:highlight w:val="none"/>
          <w:lang w:val="en-US" w:eastAsia="zh-CN" w:bidi="ar-SA"/>
        </w:rPr>
      </w:pPr>
      <w:r>
        <w:rPr>
          <w:rFonts w:hint="eastAsia" w:ascii="宋体" w:hAnsi="宋体" w:eastAsia="宋体" w:cs="宋体"/>
          <w:snapToGrid w:val="0"/>
          <w:color w:val="auto"/>
          <w:spacing w:val="-2"/>
          <w:kern w:val="0"/>
          <w:sz w:val="21"/>
          <w:szCs w:val="21"/>
          <w:highlight w:val="none"/>
          <w:lang w:val="en-US" w:eastAsia="zh-CN" w:bidi="ar-SA"/>
        </w:rPr>
        <w:t>支持进行余缺药品登记的医共体各成员单位进行余缺</w:t>
      </w:r>
      <w:r>
        <w:rPr>
          <w:rFonts w:hint="eastAsia" w:ascii="宋体" w:hAnsi="宋体" w:eastAsia="宋体" w:cs="宋体"/>
          <w:snapToGrid w:val="0"/>
          <w:color w:val="auto"/>
          <w:spacing w:val="-2"/>
          <w:kern w:val="0"/>
          <w:sz w:val="21"/>
          <w:szCs w:val="21"/>
          <w:highlight w:val="none"/>
          <w:lang w:val="en-US" w:eastAsia="en-US" w:bidi="ar-SA"/>
        </w:rPr>
        <w:t>药品</w:t>
      </w:r>
      <w:r>
        <w:rPr>
          <w:rFonts w:hint="eastAsia" w:ascii="宋体" w:hAnsi="宋体" w:eastAsia="宋体" w:cs="宋体"/>
          <w:snapToGrid w:val="0"/>
          <w:color w:val="auto"/>
          <w:spacing w:val="-2"/>
          <w:kern w:val="0"/>
          <w:sz w:val="21"/>
          <w:szCs w:val="21"/>
          <w:highlight w:val="none"/>
          <w:lang w:val="en-US" w:eastAsia="zh-CN" w:bidi="ar-SA"/>
        </w:rPr>
        <w:t>出库</w:t>
      </w:r>
      <w:r>
        <w:rPr>
          <w:rFonts w:hint="eastAsia" w:ascii="宋体" w:hAnsi="宋体" w:eastAsia="宋体" w:cs="宋体"/>
          <w:snapToGrid w:val="0"/>
          <w:color w:val="auto"/>
          <w:spacing w:val="-2"/>
          <w:kern w:val="0"/>
          <w:sz w:val="21"/>
          <w:szCs w:val="21"/>
          <w:highlight w:val="none"/>
          <w:lang w:val="en-US" w:eastAsia="en-US" w:bidi="ar-SA"/>
        </w:rPr>
        <w:t>管理，</w:t>
      </w:r>
      <w:r>
        <w:rPr>
          <w:rFonts w:hint="eastAsia" w:ascii="宋体" w:hAnsi="宋体" w:eastAsia="宋体" w:cs="宋体"/>
          <w:snapToGrid w:val="0"/>
          <w:color w:val="auto"/>
          <w:spacing w:val="-2"/>
          <w:kern w:val="0"/>
          <w:sz w:val="21"/>
          <w:szCs w:val="21"/>
          <w:highlight w:val="none"/>
          <w:lang w:val="en-US" w:eastAsia="zh-CN" w:bidi="ar-SA"/>
        </w:rPr>
        <w:t>支持区分待出库和已出库信息。支持针对调拨单号、创建时间、药品名称、国家医保代码、单据类型、入库机构、登记单号进行筛选。</w:t>
      </w:r>
    </w:p>
    <w:p w14:paraId="70D989D6">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color w:val="auto"/>
          <w:sz w:val="21"/>
          <w:szCs w:val="21"/>
          <w:highlight w:val="none"/>
          <w:lang w:val="en-US" w:eastAsia="en-US" w:bidi="ar-SA"/>
        </w:rPr>
      </w:pPr>
      <w:r>
        <w:rPr>
          <w:rFonts w:hint="eastAsia" w:ascii="宋体" w:hAnsi="宋体" w:eastAsia="宋体" w:cs="宋体"/>
          <w:bCs w:val="0"/>
          <w:color w:val="auto"/>
          <w:kern w:val="2"/>
          <w:sz w:val="21"/>
          <w:szCs w:val="21"/>
          <w:highlight w:val="none"/>
          <w:lang w:val="en-US" w:eastAsia="en-US" w:bidi="ar-SA"/>
        </w:rPr>
        <w:t>1.7.5.</w:t>
      </w:r>
      <w:r>
        <w:rPr>
          <w:rFonts w:hint="eastAsia" w:ascii="宋体" w:hAnsi="宋体" w:eastAsia="宋体" w:cs="宋体"/>
          <w:bCs w:val="0"/>
          <w:color w:val="auto"/>
          <w:sz w:val="21"/>
          <w:szCs w:val="21"/>
          <w:highlight w:val="none"/>
          <w:lang w:val="en-US" w:eastAsia="zh-CN" w:bidi="ar-SA"/>
        </w:rPr>
        <w:t>▲余缺药品入库管理</w:t>
      </w:r>
    </w:p>
    <w:p w14:paraId="7A1B61C3">
      <w:pPr>
        <w:pageBreakBefore w:val="0"/>
        <w:widowControl w:val="0"/>
        <w:numPr>
          <w:ilvl w:val="0"/>
          <w:numId w:val="0"/>
        </w:numPr>
        <w:kinsoku/>
        <w:wordWrap/>
        <w:overflowPunct/>
        <w:topLinePunct w:val="0"/>
        <w:autoSpaceDE/>
        <w:autoSpaceDN/>
        <w:bidi w:val="0"/>
        <w:spacing w:line="460" w:lineRule="exact"/>
        <w:ind w:left="0" w:firstLine="412" w:firstLineChars="200"/>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snapToGrid w:val="0"/>
          <w:color w:val="auto"/>
          <w:spacing w:val="-2"/>
          <w:kern w:val="0"/>
          <w:sz w:val="21"/>
          <w:szCs w:val="21"/>
          <w:highlight w:val="none"/>
          <w:lang w:val="en-US" w:eastAsia="en-US" w:bidi="ar-SA"/>
        </w:rPr>
        <w:t>支持</w:t>
      </w:r>
      <w:r>
        <w:rPr>
          <w:rFonts w:hint="eastAsia" w:ascii="宋体" w:hAnsi="宋体" w:eastAsia="宋体" w:cs="宋体"/>
          <w:snapToGrid w:val="0"/>
          <w:color w:val="auto"/>
          <w:spacing w:val="-2"/>
          <w:kern w:val="0"/>
          <w:sz w:val="21"/>
          <w:szCs w:val="21"/>
          <w:highlight w:val="none"/>
          <w:lang w:val="en-US" w:eastAsia="zh-CN" w:bidi="ar-SA"/>
        </w:rPr>
        <w:t>发起</w:t>
      </w:r>
      <w:r>
        <w:rPr>
          <w:rFonts w:hint="eastAsia" w:ascii="宋体" w:hAnsi="宋体" w:eastAsia="宋体" w:cs="宋体"/>
          <w:snapToGrid w:val="0"/>
          <w:color w:val="auto"/>
          <w:spacing w:val="-2"/>
          <w:kern w:val="0"/>
          <w:sz w:val="21"/>
          <w:szCs w:val="21"/>
          <w:highlight w:val="none"/>
          <w:lang w:val="en-US" w:eastAsia="en-US" w:bidi="ar-SA"/>
        </w:rPr>
        <w:t>余缺药品</w:t>
      </w:r>
      <w:r>
        <w:rPr>
          <w:rFonts w:hint="eastAsia" w:ascii="宋体" w:hAnsi="宋体" w:eastAsia="宋体" w:cs="宋体"/>
          <w:snapToGrid w:val="0"/>
          <w:color w:val="auto"/>
          <w:spacing w:val="-2"/>
          <w:kern w:val="0"/>
          <w:sz w:val="21"/>
          <w:szCs w:val="21"/>
          <w:highlight w:val="none"/>
          <w:lang w:val="en-US" w:eastAsia="zh-CN" w:bidi="ar-SA"/>
        </w:rPr>
        <w:t>调拨</w:t>
      </w:r>
      <w:r>
        <w:rPr>
          <w:rFonts w:hint="eastAsia" w:ascii="宋体" w:hAnsi="宋体" w:eastAsia="宋体" w:cs="宋体"/>
          <w:snapToGrid w:val="0"/>
          <w:color w:val="auto"/>
          <w:spacing w:val="-2"/>
          <w:kern w:val="0"/>
          <w:sz w:val="21"/>
          <w:szCs w:val="21"/>
          <w:highlight w:val="none"/>
          <w:lang w:val="en-US" w:eastAsia="en-US" w:bidi="ar-SA"/>
        </w:rPr>
        <w:t>的医共体各成员单位进行余缺药品</w:t>
      </w:r>
      <w:r>
        <w:rPr>
          <w:rFonts w:hint="eastAsia" w:ascii="宋体" w:hAnsi="宋体" w:eastAsia="宋体" w:cs="宋体"/>
          <w:snapToGrid w:val="0"/>
          <w:color w:val="auto"/>
          <w:spacing w:val="-2"/>
          <w:kern w:val="0"/>
          <w:sz w:val="21"/>
          <w:szCs w:val="21"/>
          <w:highlight w:val="none"/>
          <w:lang w:val="en-US" w:eastAsia="zh-CN" w:bidi="ar-SA"/>
        </w:rPr>
        <w:t>入</w:t>
      </w:r>
      <w:r>
        <w:rPr>
          <w:rFonts w:hint="eastAsia" w:ascii="宋体" w:hAnsi="宋体" w:eastAsia="宋体" w:cs="宋体"/>
          <w:snapToGrid w:val="0"/>
          <w:color w:val="auto"/>
          <w:spacing w:val="-2"/>
          <w:kern w:val="0"/>
          <w:sz w:val="21"/>
          <w:szCs w:val="21"/>
          <w:highlight w:val="none"/>
          <w:lang w:val="en-US" w:eastAsia="en-US" w:bidi="ar-SA"/>
        </w:rPr>
        <w:t>库管理，支持区分待</w:t>
      </w:r>
      <w:r>
        <w:rPr>
          <w:rFonts w:hint="eastAsia" w:ascii="宋体" w:hAnsi="宋体" w:eastAsia="宋体" w:cs="宋体"/>
          <w:snapToGrid w:val="0"/>
          <w:color w:val="auto"/>
          <w:spacing w:val="-2"/>
          <w:kern w:val="0"/>
          <w:sz w:val="21"/>
          <w:szCs w:val="21"/>
          <w:highlight w:val="none"/>
          <w:lang w:val="en-US" w:eastAsia="zh-CN" w:bidi="ar-SA"/>
        </w:rPr>
        <w:t>入</w:t>
      </w:r>
      <w:r>
        <w:rPr>
          <w:rFonts w:hint="eastAsia" w:ascii="宋体" w:hAnsi="宋体" w:eastAsia="宋体" w:cs="宋体"/>
          <w:snapToGrid w:val="0"/>
          <w:color w:val="auto"/>
          <w:spacing w:val="-2"/>
          <w:kern w:val="0"/>
          <w:sz w:val="21"/>
          <w:szCs w:val="21"/>
          <w:highlight w:val="none"/>
          <w:lang w:val="en-US" w:eastAsia="en-US" w:bidi="ar-SA"/>
        </w:rPr>
        <w:t>库和已</w:t>
      </w:r>
      <w:r>
        <w:rPr>
          <w:rFonts w:hint="eastAsia" w:ascii="宋体" w:hAnsi="宋体" w:eastAsia="宋体" w:cs="宋体"/>
          <w:snapToGrid w:val="0"/>
          <w:color w:val="auto"/>
          <w:spacing w:val="-2"/>
          <w:kern w:val="0"/>
          <w:sz w:val="21"/>
          <w:szCs w:val="21"/>
          <w:highlight w:val="none"/>
          <w:lang w:val="en-US" w:eastAsia="zh-CN" w:bidi="ar-SA"/>
        </w:rPr>
        <w:t>入</w:t>
      </w:r>
      <w:r>
        <w:rPr>
          <w:rFonts w:hint="eastAsia" w:ascii="宋体" w:hAnsi="宋体" w:eastAsia="宋体" w:cs="宋体"/>
          <w:snapToGrid w:val="0"/>
          <w:color w:val="auto"/>
          <w:spacing w:val="-2"/>
          <w:kern w:val="0"/>
          <w:sz w:val="21"/>
          <w:szCs w:val="21"/>
          <w:highlight w:val="none"/>
          <w:lang w:val="en-US" w:eastAsia="en-US" w:bidi="ar-SA"/>
        </w:rPr>
        <w:t>库信息。支持针对调拨单号、创建时间、药品名称、国家医保代码、单据类型、入库机构</w:t>
      </w:r>
      <w:r>
        <w:rPr>
          <w:rFonts w:hint="eastAsia" w:ascii="宋体" w:hAnsi="宋体" w:eastAsia="宋体" w:cs="宋体"/>
          <w:strike w:val="0"/>
          <w:dstrike w:val="0"/>
          <w:snapToGrid w:val="0"/>
          <w:color w:val="auto"/>
          <w:spacing w:val="-2"/>
          <w:kern w:val="0"/>
          <w:sz w:val="21"/>
          <w:szCs w:val="21"/>
          <w:highlight w:val="none"/>
          <w:lang w:val="en-US" w:eastAsia="en-US" w:bidi="ar-SA"/>
        </w:rPr>
        <w:t>、登记单号</w:t>
      </w:r>
      <w:r>
        <w:rPr>
          <w:rFonts w:hint="eastAsia" w:ascii="宋体" w:hAnsi="宋体" w:eastAsia="宋体" w:cs="宋体"/>
          <w:snapToGrid w:val="0"/>
          <w:color w:val="auto"/>
          <w:spacing w:val="-2"/>
          <w:kern w:val="0"/>
          <w:sz w:val="21"/>
          <w:szCs w:val="21"/>
          <w:highlight w:val="none"/>
          <w:lang w:val="en-US" w:eastAsia="en-US" w:bidi="ar-SA"/>
        </w:rPr>
        <w:t>进行筛选。</w:t>
      </w:r>
    </w:p>
    <w:p w14:paraId="432CAE05">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color w:val="auto"/>
          <w:sz w:val="21"/>
          <w:szCs w:val="21"/>
          <w:highlight w:val="none"/>
          <w:lang w:val="en-US" w:eastAsia="en-US" w:bidi="ar-SA"/>
        </w:rPr>
      </w:pPr>
      <w:r>
        <w:rPr>
          <w:rFonts w:hint="eastAsia" w:ascii="宋体" w:hAnsi="宋体" w:eastAsia="宋体" w:cs="宋体"/>
          <w:bCs w:val="0"/>
          <w:color w:val="auto"/>
          <w:kern w:val="2"/>
          <w:sz w:val="21"/>
          <w:szCs w:val="21"/>
          <w:highlight w:val="none"/>
          <w:lang w:val="en-US" w:eastAsia="en-US" w:bidi="ar-SA"/>
        </w:rPr>
        <w:t>1.7.6.</w:t>
      </w:r>
      <w:r>
        <w:rPr>
          <w:rFonts w:hint="eastAsia" w:ascii="宋体" w:hAnsi="宋体" w:eastAsia="宋体" w:cs="宋体"/>
          <w:bCs w:val="0"/>
          <w:color w:val="auto"/>
          <w:sz w:val="21"/>
          <w:szCs w:val="21"/>
          <w:highlight w:val="none"/>
          <w:lang w:val="en-US" w:eastAsia="zh-CN" w:bidi="ar-SA"/>
        </w:rPr>
        <w:t>余缺药品调拨查询（演示）</w:t>
      </w:r>
    </w:p>
    <w:p w14:paraId="1AFC5119">
      <w:pPr>
        <w:pageBreakBefore w:val="0"/>
        <w:widowControl w:val="0"/>
        <w:numPr>
          <w:ilvl w:val="0"/>
          <w:numId w:val="0"/>
        </w:numPr>
        <w:kinsoku/>
        <w:wordWrap/>
        <w:overflowPunct/>
        <w:topLinePunct w:val="0"/>
        <w:autoSpaceDE/>
        <w:autoSpaceDN/>
        <w:bidi w:val="0"/>
        <w:spacing w:line="460" w:lineRule="exact"/>
        <w:ind w:left="0" w:firstLine="412" w:firstLineChars="200"/>
        <w:jc w:val="left"/>
        <w:textAlignment w:val="auto"/>
        <w:rPr>
          <w:rFonts w:hint="eastAsia" w:ascii="宋体" w:hAnsi="宋体" w:eastAsia="宋体" w:cs="宋体"/>
          <w:snapToGrid w:val="0"/>
          <w:color w:val="auto"/>
          <w:spacing w:val="-2"/>
          <w:kern w:val="0"/>
          <w:sz w:val="21"/>
          <w:szCs w:val="21"/>
          <w:highlight w:val="none"/>
          <w:lang w:val="en-US" w:eastAsia="zh-CN" w:bidi="ar-SA"/>
        </w:rPr>
      </w:pPr>
      <w:r>
        <w:rPr>
          <w:rFonts w:hint="eastAsia" w:ascii="宋体" w:hAnsi="宋体" w:eastAsia="宋体" w:cs="宋体"/>
          <w:snapToGrid w:val="0"/>
          <w:color w:val="auto"/>
          <w:spacing w:val="-2"/>
          <w:kern w:val="0"/>
          <w:sz w:val="21"/>
          <w:szCs w:val="21"/>
          <w:highlight w:val="none"/>
          <w:lang w:val="en-US" w:eastAsia="zh-CN" w:bidi="ar-SA"/>
        </w:rPr>
        <w:t>支持针对余缺药品调拨记录进行查询。支持针对调拨单号、提交时间、药品名称、国家医保代码、单据类型、入库机构、出库机构、登记单号进行查询。调拨记录包括调拨单号、登记单号、单据类型、药品名称、国家医保代码、规格、调拨数量、入库机构、出库机构、当前节点、提交时间等信息。</w:t>
      </w:r>
    </w:p>
    <w:p w14:paraId="139B05FF">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1.7.7.</w:t>
      </w:r>
      <w:r>
        <w:rPr>
          <w:rFonts w:hint="eastAsia" w:ascii="宋体" w:hAnsi="宋体" w:eastAsia="宋体" w:cs="宋体"/>
          <w:bCs w:val="0"/>
          <w:sz w:val="21"/>
          <w:szCs w:val="21"/>
          <w:highlight w:val="none"/>
          <w:lang w:val="en-US" w:eastAsia="zh-CN" w:bidi="ar-SA"/>
        </w:rPr>
        <w:t>联动存储分拨响应（演示）</w:t>
      </w:r>
    </w:p>
    <w:p w14:paraId="42C405DA">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对各医共体成员单位上报的余缺药品进行查询，查询信息包括上报药品的登记单号、单据类型、上报机构、药品名称、国家医保代码、省平台编码、批号、效期、规格、生产企业、采购价格、项目名称、调拨状态、积压量/短缺量、单据状态等信息，并支持中心药房对各医共体成员单位上报的余缺药品进行调拨。</w:t>
      </w:r>
    </w:p>
    <w:p w14:paraId="7E86840F">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1.7.8.</w:t>
      </w:r>
      <w:r>
        <w:rPr>
          <w:rFonts w:hint="eastAsia" w:ascii="宋体" w:hAnsi="宋体" w:eastAsia="宋体" w:cs="宋体"/>
          <w:bCs w:val="0"/>
          <w:sz w:val="21"/>
          <w:szCs w:val="21"/>
          <w:highlight w:val="none"/>
          <w:lang w:val="en-US" w:eastAsia="zh-CN" w:bidi="ar-SA"/>
        </w:rPr>
        <w:t>联动存储分拨记录（演示）</w:t>
      </w:r>
    </w:p>
    <w:p w14:paraId="08B00C11">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支持查询调拨状态，包括调拨单号、登记单号、单据类型、药品名称、国家医保代码、规格、调拨数量、入库机构、出库机构、当前节点等信息。</w:t>
      </w:r>
    </w:p>
    <w:p w14:paraId="2594A140">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1.7.9.</w:t>
      </w:r>
      <w:r>
        <w:rPr>
          <w:rFonts w:hint="eastAsia" w:ascii="宋体" w:hAnsi="宋体" w:eastAsia="宋体" w:cs="宋体"/>
          <w:bCs w:val="0"/>
          <w:sz w:val="21"/>
          <w:szCs w:val="21"/>
          <w:highlight w:val="none"/>
          <w:lang w:val="en-US" w:eastAsia="zh-CN" w:bidi="ar-SA"/>
        </w:rPr>
        <w:t>▲医疗机构间药品调拨管理</w:t>
      </w:r>
    </w:p>
    <w:p w14:paraId="44BBAE4E">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支持各医共体成员单位在中心药房系统进行余缺药品的登记上报。支持逐条进行余缺药品的登记，也支持批量上报。</w:t>
      </w:r>
    </w:p>
    <w:p w14:paraId="2AD60F0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支持各家成员单位统一从中心药房系统进行药品余缺调度申请，中心药房系统接收余缺调度单，进行药品的出库确认、基层医疗机构接收短缺药品的流程管理。</w:t>
      </w:r>
    </w:p>
    <w:p w14:paraId="5F085D41">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1.7.10.</w:t>
      </w:r>
      <w:r>
        <w:rPr>
          <w:rFonts w:hint="eastAsia" w:ascii="宋体" w:hAnsi="宋体" w:eastAsia="宋体" w:cs="宋体"/>
          <w:bCs w:val="0"/>
          <w:sz w:val="21"/>
          <w:szCs w:val="21"/>
          <w:highlight w:val="none"/>
          <w:lang w:val="en-US" w:eastAsia="zh-CN" w:bidi="ar-SA"/>
        </w:rPr>
        <w:t>▲近效期药品提醒追踪</w:t>
      </w:r>
    </w:p>
    <w:p w14:paraId="36C325BA">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bidi="ar-SA"/>
        </w:rPr>
        <w:t>支持医共体各成员单位的药品名称、生产企业、规格型号、批号、数量、存储位置、有效</w:t>
      </w:r>
      <w:r>
        <w:rPr>
          <w:rFonts w:hint="eastAsia" w:ascii="宋体" w:hAnsi="宋体" w:eastAsia="宋体" w:cs="宋体"/>
          <w:color w:val="auto"/>
          <w:sz w:val="21"/>
          <w:szCs w:val="21"/>
          <w:highlight w:val="none"/>
          <w:lang w:val="en-US" w:eastAsia="zh-CN" w:bidi="ar-SA"/>
        </w:rPr>
        <w:t>期、剩余效期进行效期警示及处置结果的追踪</w:t>
      </w:r>
      <w:r>
        <w:rPr>
          <w:rFonts w:hint="eastAsia" w:ascii="宋体" w:hAnsi="宋体" w:eastAsia="宋体" w:cs="宋体"/>
          <w:sz w:val="21"/>
          <w:szCs w:val="21"/>
          <w:highlight w:val="none"/>
          <w:lang w:val="en-US" w:eastAsia="zh-CN" w:bidi="ar-SA"/>
        </w:rPr>
        <w:t>查询。支持根据时间条件进行检索。</w:t>
      </w:r>
    </w:p>
    <w:p w14:paraId="0603BF61">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1.7.11.</w:t>
      </w:r>
      <w:r>
        <w:rPr>
          <w:rFonts w:hint="eastAsia" w:ascii="宋体" w:hAnsi="宋体" w:eastAsia="宋体" w:cs="宋体"/>
          <w:bCs w:val="0"/>
          <w:sz w:val="21"/>
          <w:szCs w:val="21"/>
          <w:highlight w:val="none"/>
          <w:lang w:val="en-US" w:eastAsia="zh-CN" w:bidi="ar-SA"/>
        </w:rPr>
        <w:t>▲药品库存监控</w:t>
      </w:r>
    </w:p>
    <w:p w14:paraId="5D935AB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支持医共体各成员单位药库的库存实时监控。监控内容包含但不限于以下内容：日期、药品名称、生产企业、规格型号、批号、数量、库存位置、有效期、剩余效期、库存量等内容。</w:t>
      </w:r>
    </w:p>
    <w:p w14:paraId="73FD55DC">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kern w:val="2"/>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1.7.12.▲个性化用药登记</w:t>
      </w:r>
    </w:p>
    <w:p w14:paraId="516B520F">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支持各医疗机构进行个性化用药登记，满足各医疗机构的个性化用药需求。登记内容包含患者姓名、患者性别、出生年月、身份证号、医保账号、联系方式、疾病诊断、申请药品理由等信息。支持在省级挂网目录中新增个性化用药的药品信息。</w:t>
      </w:r>
    </w:p>
    <w:p w14:paraId="722172B7">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1.7.13.</w:t>
      </w:r>
      <w:r>
        <w:rPr>
          <w:rFonts w:hint="eastAsia" w:ascii="宋体" w:hAnsi="宋体" w:eastAsia="宋体" w:cs="宋体"/>
          <w:bCs w:val="0"/>
          <w:sz w:val="21"/>
          <w:szCs w:val="21"/>
          <w:highlight w:val="none"/>
          <w:lang w:val="en-US" w:eastAsia="zh-CN" w:bidi="ar-SA"/>
        </w:rPr>
        <w:t>▲短缺药品监测预警</w:t>
      </w:r>
    </w:p>
    <w:p w14:paraId="236095AC">
      <w:pPr>
        <w:pageBreakBefore w:val="0"/>
        <w:widowControl w:val="0"/>
        <w:kinsoku/>
        <w:wordWrap/>
        <w:overflowPunct/>
        <w:topLinePunct w:val="0"/>
        <w:autoSpaceDE/>
        <w:autoSpaceDN/>
        <w:bidi w:val="0"/>
        <w:adjustRightInd w:val="0"/>
        <w:snapToGrid w:val="0"/>
        <w:spacing w:line="460" w:lineRule="exact"/>
        <w:ind w:left="0" w:firstLine="420" w:firstLineChars="200"/>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支持医共体各成员单位的药品编码、药品名称、规格、剂型、包装信息、生产企业、采购数量、配送数量、配送完成率进行短缺药品的监测预警查询。支持根据时间条件进行检索。</w:t>
      </w:r>
    </w:p>
    <w:p w14:paraId="02A909F3">
      <w:pPr>
        <w:keepNext/>
        <w:keepLines/>
        <w:pageBreakBefore w:val="0"/>
        <w:widowControl w:val="0"/>
        <w:numPr>
          <w:ilvl w:val="2"/>
          <w:numId w:val="0"/>
        </w:numPr>
        <w:kinsoku/>
        <w:wordWrap/>
        <w:overflowPunct/>
        <w:topLinePunct w:val="0"/>
        <w:autoSpaceDE/>
        <w:autoSpaceDN/>
        <w:bidi w:val="0"/>
        <w:adjustRightInd w:val="0"/>
        <w:snapToGrid w:val="0"/>
        <w:spacing w:before="0" w:line="460" w:lineRule="exact"/>
        <w:ind w:left="0" w:leftChars="0" w:firstLine="420" w:firstLineChars="200"/>
        <w:contextualSpacing/>
        <w:jc w:val="both"/>
        <w:textAlignment w:val="auto"/>
        <w:outlineLvl w:val="2"/>
        <w:rPr>
          <w:rFonts w:hint="eastAsia" w:ascii="宋体" w:hAnsi="宋体" w:eastAsia="宋体" w:cs="宋体"/>
          <w:bCs w:val="0"/>
          <w:kern w:val="2"/>
          <w:sz w:val="21"/>
          <w:szCs w:val="21"/>
          <w:highlight w:val="none"/>
          <w:lang w:val="en-US" w:eastAsia="zh-CN" w:bidi="ar-SA"/>
        </w:rPr>
      </w:pPr>
      <w:r>
        <w:rPr>
          <w:rFonts w:hint="eastAsia" w:ascii="宋体" w:hAnsi="宋体" w:eastAsia="宋体" w:cs="宋体"/>
          <w:bCs w:val="0"/>
          <w:kern w:val="2"/>
          <w:sz w:val="21"/>
          <w:szCs w:val="21"/>
          <w:highlight w:val="none"/>
          <w:lang w:val="en-US" w:eastAsia="zh-CN" w:bidi="ar-SA"/>
        </w:rPr>
        <w:t>1.7.14.急抢救药品储备</w:t>
      </w:r>
    </w:p>
    <w:p w14:paraId="38BE7F64">
      <w:pPr>
        <w:keepNext w:val="0"/>
        <w:keepLines w:val="0"/>
        <w:pageBreakBefore w:val="0"/>
        <w:widowControl w:val="0"/>
        <w:kinsoku/>
        <w:wordWrap/>
        <w:overflowPunct/>
        <w:topLinePunct w:val="0"/>
        <w:autoSpaceDE/>
        <w:autoSpaceDN/>
        <w:bidi w:val="0"/>
        <w:adjustRightInd/>
        <w:snapToGrid/>
        <w:spacing w:afterAutospacing="0" w:line="460" w:lineRule="exact"/>
        <w:ind w:left="0" w:firstLine="420" w:firstLineChars="200"/>
        <w:textAlignment w:val="auto"/>
        <w:rPr>
          <w:rFonts w:hint="eastAsia" w:ascii="宋体" w:hAnsi="宋体" w:eastAsia="宋体" w:cs="宋体"/>
          <w:b/>
          <w:bCs/>
          <w:color w:val="auto"/>
          <w:kern w:val="0"/>
          <w:highlight w:val="none"/>
        </w:rPr>
      </w:pPr>
      <w:r>
        <w:rPr>
          <w:rFonts w:hint="eastAsia" w:ascii="宋体" w:hAnsi="宋体" w:eastAsia="宋体" w:cs="宋体"/>
          <w:sz w:val="21"/>
          <w:szCs w:val="21"/>
          <w:highlight w:val="none"/>
          <w:lang w:val="en-US" w:eastAsia="zh-CN" w:bidi="ar-SA"/>
        </w:rPr>
        <w:t>建立常用药品、季节性疾病药品、急（抢）救药品储备量，实时追踪药品库存数量、效期，自动触发低库存预警和效期临近提醒，建立医共体内药品调配通道，当某机构药品短缺时，可快速发起跨机构调拨申请。</w:t>
      </w:r>
    </w:p>
    <w:p w14:paraId="0FE3D9E2">
      <w:pPr>
        <w:spacing w:line="460" w:lineRule="exact"/>
        <w:ind w:firstLine="420" w:firstLineChars="200"/>
        <w:outlineLvl w:val="1"/>
        <w:rPr>
          <w:rFonts w:hint="eastAsia" w:ascii="宋体" w:hAnsi="宋体" w:eastAsia="宋体" w:cs="宋体"/>
          <w:b/>
          <w:bCs/>
          <w:color w:val="auto"/>
          <w:kern w:val="0"/>
          <w:highlight w:val="none"/>
          <w:lang w:val="en-US" w:eastAsia="zh-CN"/>
        </w:rPr>
      </w:pPr>
      <w:r>
        <w:rPr>
          <w:rFonts w:hint="eastAsia" w:ascii="宋体" w:hAnsi="宋体" w:eastAsia="宋体" w:cs="宋体"/>
          <w:b w:val="0"/>
          <w:bCs w:val="0"/>
          <w:color w:val="auto"/>
          <w:kern w:val="0"/>
          <w:highlight w:val="none"/>
          <w:lang w:val="en-US" w:eastAsia="zh-CN"/>
        </w:rPr>
        <w:t>2.视频演示要求</w:t>
      </w:r>
    </w:p>
    <w:p w14:paraId="65100DBF">
      <w:pPr>
        <w:spacing w:line="460" w:lineRule="exact"/>
        <w:ind w:firstLine="422" w:firstLineChars="200"/>
        <w:outlineLvl w:val="1"/>
        <w:rPr>
          <w:rFonts w:hint="eastAsia" w:ascii="宋体" w:hAnsi="宋体" w:eastAsia="宋体" w:cs="宋体"/>
          <w:b/>
          <w:bCs/>
          <w:color w:val="auto"/>
          <w:kern w:val="0"/>
          <w:highlight w:val="none"/>
          <w:lang w:val="en-US" w:eastAsia="zh-CN"/>
        </w:rPr>
      </w:pPr>
      <w:r>
        <w:rPr>
          <w:rFonts w:hint="eastAsia" w:ascii="宋体" w:hAnsi="宋体" w:eastAsia="宋体" w:cs="宋体"/>
          <w:b/>
          <w:bCs/>
          <w:color w:val="auto"/>
          <w:kern w:val="0"/>
          <w:highlight w:val="none"/>
          <w:lang w:val="en-US" w:eastAsia="zh-CN"/>
        </w:rPr>
        <w:t>2.1本项目需要对本次采购的“昌宁县医共体中心药房管理系统”提供开发设计功能模块（demo）进行视频演示，演示方式采用视频并配音解说进行实现（格式：MP4）。视频演示须图像清晰、演示功能准确，配音解说须与视频显示内容一致。</w:t>
      </w:r>
    </w:p>
    <w:p w14:paraId="080FD178">
      <w:pPr>
        <w:spacing w:line="460" w:lineRule="exact"/>
        <w:ind w:firstLine="422" w:firstLineChars="200"/>
        <w:outlineLvl w:val="1"/>
        <w:rPr>
          <w:rFonts w:hint="eastAsia" w:ascii="宋体" w:hAnsi="宋体" w:eastAsia="宋体" w:cs="宋体"/>
          <w:b/>
          <w:bCs/>
          <w:color w:val="auto"/>
          <w:kern w:val="0"/>
          <w:highlight w:val="none"/>
          <w:lang w:val="en-US" w:eastAsia="zh-CN"/>
        </w:rPr>
      </w:pPr>
      <w:r>
        <w:rPr>
          <w:rFonts w:hint="eastAsia" w:ascii="宋体" w:hAnsi="宋体" w:eastAsia="宋体" w:cs="宋体"/>
          <w:b/>
          <w:bCs/>
          <w:color w:val="auto"/>
          <w:kern w:val="0"/>
          <w:highlight w:val="none"/>
          <w:lang w:val="en-US" w:eastAsia="zh-CN"/>
        </w:rPr>
        <w:t>2.2演示内容：竞争性磋商文件第五章采购需求中“二、昌宁县医共体中心药房管理系统功能需求”标注“▲”的为演示内容（共12项功能），请根据采购需求制作软件功能模块演示视频（demo）。其中各部分内容演示的功能模块必须演示系统功能的执行方式和相应的业务流程（需要通过数据验证的，磋商申请人可在演示过程中自行模拟相应数据模型）。</w:t>
      </w:r>
    </w:p>
    <w:p w14:paraId="7B0100B5">
      <w:pPr>
        <w:spacing w:line="460" w:lineRule="exact"/>
        <w:ind w:firstLine="422" w:firstLineChars="200"/>
        <w:outlineLvl w:val="1"/>
        <w:rPr>
          <w:rFonts w:hint="eastAsia" w:ascii="宋体" w:hAnsi="宋体" w:eastAsia="宋体" w:cs="宋体"/>
          <w:b/>
          <w:bCs/>
          <w:color w:val="auto"/>
          <w:kern w:val="0"/>
          <w:highlight w:val="none"/>
          <w:lang w:val="en-US" w:eastAsia="zh-CN"/>
        </w:rPr>
      </w:pPr>
    </w:p>
    <w:p w14:paraId="4A88A933">
      <w:pPr>
        <w:spacing w:line="460" w:lineRule="exact"/>
        <w:ind w:firstLine="422"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bCs/>
          <w:color w:val="auto"/>
          <w:kern w:val="0"/>
          <w:highlight w:val="none"/>
          <w:lang w:val="en-US" w:eastAsia="zh-CN"/>
        </w:rPr>
        <w:t>三、系统搭建及部署相关技术要求和说明</w:t>
      </w:r>
    </w:p>
    <w:p w14:paraId="7461F096">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（一）系统搭建及部署</w:t>
      </w:r>
    </w:p>
    <w:p w14:paraId="1EFD6F61">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1.本项目搭建的昌宁县医共体总医院慢病管理信息系统开发完成后须分别部署到各医共体各成员单位（包含昌宁县人民医院、昌宁县中医院、昌宁县妇幼保健计划生育服务中心及12个乡镇卫生院）的机房中。</w:t>
      </w:r>
    </w:p>
    <w:p w14:paraId="3D086455">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2.按照各医共体各成员单位要求分别进行安装调试，并根据各医共体各成员单位要求开展相关信息系统集成和相关数据接口开发服务，开展新建系统与指定相关系统数据对接和系统集成实施、相关信息数据整合等服务工作，从而确保各类数据信息实时同步、格式统一，系统稳定高效运行。数据对接服务要求如下：</w:t>
      </w:r>
      <w:r>
        <w:rPr>
          <w:rFonts w:hint="eastAsia" w:ascii="宋体" w:hAnsi="宋体" w:eastAsia="宋体" w:cs="宋体"/>
          <w:b w:val="0"/>
          <w:bCs w:val="0"/>
          <w:color w:val="auto"/>
          <w:kern w:val="0"/>
          <w:highlight w:val="none"/>
          <w:lang w:val="en-US" w:eastAsia="zh-CN"/>
        </w:rPr>
        <w:tab/>
      </w:r>
      <w:r>
        <w:rPr>
          <w:rFonts w:hint="eastAsia" w:ascii="宋体" w:hAnsi="宋体" w:eastAsia="宋体" w:cs="宋体"/>
          <w:b w:val="0"/>
          <w:bCs w:val="0"/>
          <w:color w:val="auto"/>
          <w:kern w:val="0"/>
          <w:highlight w:val="none"/>
          <w:lang w:val="en-US" w:eastAsia="zh-CN"/>
        </w:rPr>
        <w:tab/>
      </w:r>
    </w:p>
    <w:p w14:paraId="1DC27354">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ab/>
      </w:r>
      <w:r>
        <w:rPr>
          <w:rFonts w:hint="eastAsia" w:ascii="宋体" w:hAnsi="宋体" w:eastAsia="宋体" w:cs="宋体"/>
          <w:b w:val="0"/>
          <w:bCs w:val="0"/>
          <w:color w:val="auto"/>
          <w:kern w:val="0"/>
          <w:highlight w:val="none"/>
          <w:lang w:val="en-US" w:eastAsia="zh-CN"/>
        </w:rPr>
        <w:t>2.1磋商申请人须负责完成本系统与昌宁县现有各医疗机构的HIS、EMR、公卫系统等所有相关系统的对接工作，确保数据互通共享，采购人不再另行支付对接费用；（磋商申请人自行与系统厂家确认接口费用并提供承诺函）</w:t>
      </w:r>
      <w:r>
        <w:rPr>
          <w:rFonts w:hint="eastAsia" w:ascii="宋体" w:hAnsi="宋体" w:eastAsia="宋体" w:cs="宋体"/>
          <w:b w:val="0"/>
          <w:bCs w:val="0"/>
          <w:color w:val="auto"/>
          <w:kern w:val="0"/>
          <w:highlight w:val="none"/>
          <w:lang w:val="en-US" w:eastAsia="zh-CN"/>
        </w:rPr>
        <w:tab/>
      </w:r>
      <w:r>
        <w:rPr>
          <w:rFonts w:hint="eastAsia" w:ascii="宋体" w:hAnsi="宋体" w:eastAsia="宋体" w:cs="宋体"/>
          <w:b w:val="0"/>
          <w:bCs w:val="0"/>
          <w:color w:val="auto"/>
          <w:kern w:val="0"/>
          <w:highlight w:val="none"/>
          <w:lang w:val="en-US" w:eastAsia="zh-CN"/>
        </w:rPr>
        <w:tab/>
      </w:r>
    </w:p>
    <w:p w14:paraId="095844CC">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2.2对接前，磋商申请人须与各系统厂商进行充分沟通，制定详细的对接方案，明确对接范围、对接内容、接口标准、实施计划、双方职责分工，经采购人确认后实施；</w:t>
      </w:r>
      <w:r>
        <w:rPr>
          <w:rFonts w:hint="eastAsia" w:ascii="宋体" w:hAnsi="宋体" w:eastAsia="宋体" w:cs="宋体"/>
          <w:b w:val="0"/>
          <w:bCs w:val="0"/>
          <w:color w:val="auto"/>
          <w:kern w:val="0"/>
          <w:highlight w:val="none"/>
          <w:lang w:val="en-US" w:eastAsia="zh-CN"/>
        </w:rPr>
        <w:tab/>
      </w:r>
      <w:r>
        <w:rPr>
          <w:rFonts w:hint="eastAsia" w:ascii="宋体" w:hAnsi="宋体" w:eastAsia="宋体" w:cs="宋体"/>
          <w:b w:val="0"/>
          <w:bCs w:val="0"/>
          <w:color w:val="auto"/>
          <w:kern w:val="0"/>
          <w:highlight w:val="none"/>
          <w:lang w:val="en-US" w:eastAsia="zh-CN"/>
        </w:rPr>
        <w:tab/>
      </w:r>
    </w:p>
    <w:p w14:paraId="7E821CA0">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2.3对接过程中，磋商申请人须安排专业的技术团队负责对接开发、调试、测试工作，确保对接过程不影响现有系统的正常运行，不造成数据丢失、泄露等安全问题；</w:t>
      </w:r>
      <w:r>
        <w:rPr>
          <w:rFonts w:hint="eastAsia" w:ascii="宋体" w:hAnsi="宋体" w:eastAsia="宋体" w:cs="宋体"/>
          <w:b w:val="0"/>
          <w:bCs w:val="0"/>
          <w:color w:val="auto"/>
          <w:kern w:val="0"/>
          <w:highlight w:val="none"/>
          <w:lang w:val="en-US" w:eastAsia="zh-CN"/>
        </w:rPr>
        <w:tab/>
      </w:r>
      <w:r>
        <w:rPr>
          <w:rFonts w:hint="eastAsia" w:ascii="宋体" w:hAnsi="宋体" w:eastAsia="宋体" w:cs="宋体"/>
          <w:b w:val="0"/>
          <w:bCs w:val="0"/>
          <w:color w:val="auto"/>
          <w:kern w:val="0"/>
          <w:highlight w:val="none"/>
          <w:lang w:val="en-US" w:eastAsia="zh-CN"/>
        </w:rPr>
        <w:tab/>
      </w:r>
    </w:p>
    <w:p w14:paraId="5FF34F89">
      <w:pPr>
        <w:spacing w:line="460" w:lineRule="exact"/>
        <w:ind w:firstLine="420" w:firstLineChars="200"/>
        <w:outlineLvl w:val="1"/>
        <w:rPr>
          <w:rFonts w:hint="eastAsia" w:ascii="宋体" w:hAnsi="宋体" w:eastAsia="宋体" w:cs="宋体"/>
          <w:b w:val="0"/>
          <w:bCs w:val="0"/>
          <w:color w:val="auto"/>
          <w:kern w:val="0"/>
          <w:highlight w:val="none"/>
          <w:lang w:val="en-US" w:eastAsia="zh-CN"/>
        </w:rPr>
      </w:pPr>
      <w:r>
        <w:rPr>
          <w:rFonts w:hint="eastAsia" w:ascii="宋体" w:hAnsi="宋体" w:eastAsia="宋体" w:cs="宋体"/>
          <w:b w:val="0"/>
          <w:bCs w:val="0"/>
          <w:color w:val="auto"/>
          <w:kern w:val="0"/>
          <w:highlight w:val="none"/>
          <w:lang w:val="en-US" w:eastAsia="zh-CN"/>
        </w:rPr>
        <w:t>2.4对接完成后，须进行全面的测试，确保数据的准确性、完整性、一致性，数据传输的实时性、稳定性，形成对接测试报告，经采购人确认后，对接工作方可验收；</w:t>
      </w:r>
      <w:r>
        <w:rPr>
          <w:rFonts w:hint="eastAsia" w:ascii="宋体" w:hAnsi="宋体" w:eastAsia="宋体" w:cs="宋体"/>
          <w:b w:val="0"/>
          <w:bCs w:val="0"/>
          <w:color w:val="auto"/>
          <w:kern w:val="0"/>
          <w:highlight w:val="none"/>
          <w:lang w:val="en-US" w:eastAsia="zh-CN"/>
        </w:rPr>
        <w:tab/>
      </w:r>
      <w:r>
        <w:rPr>
          <w:rFonts w:hint="eastAsia" w:ascii="宋体" w:hAnsi="宋体" w:eastAsia="宋体" w:cs="宋体"/>
          <w:b w:val="0"/>
          <w:bCs w:val="0"/>
          <w:color w:val="auto"/>
          <w:kern w:val="0"/>
          <w:highlight w:val="none"/>
          <w:lang w:val="en-US" w:eastAsia="zh-CN"/>
        </w:rPr>
        <w:tab/>
      </w:r>
    </w:p>
    <w:p w14:paraId="4494B3A1">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highlight w:val="none"/>
          <w:lang w:val="en-US" w:eastAsia="zh-CN"/>
        </w:rPr>
        <w:t>2.5</w:t>
      </w:r>
      <w:r>
        <w:rPr>
          <w:rFonts w:hint="eastAsia" w:ascii="宋体" w:hAnsi="宋体" w:eastAsia="宋体" w:cs="宋体"/>
          <w:color w:val="auto"/>
          <w:kern w:val="0"/>
          <w:sz w:val="21"/>
          <w:szCs w:val="21"/>
          <w:highlight w:val="none"/>
          <w:lang w:val="en-US" w:eastAsia="zh-CN"/>
        </w:rPr>
        <w:t>系统售后运行维护服务</w:t>
      </w:r>
      <w:r>
        <w:rPr>
          <w:rFonts w:hint="eastAsia" w:ascii="宋体" w:hAnsi="宋体" w:eastAsia="宋体" w:cs="宋体"/>
          <w:b w:val="0"/>
          <w:bCs w:val="0"/>
          <w:color w:val="auto"/>
          <w:kern w:val="0"/>
          <w:highlight w:val="none"/>
          <w:lang w:val="en-US" w:eastAsia="zh-CN"/>
        </w:rPr>
        <w:t>内，如现有系统进行升级、改造，磋商申请人须免费完成本系统与升级后系统的对接适配工作，确保系统正常对接使用。</w:t>
      </w:r>
    </w:p>
    <w:p w14:paraId="7F306301">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3.本项目搭建的系统应遵循《中华人民共和国网络安全法》《中华人民共和国个人信息保护法》等相关法律法规开展建设、部署、验收等工作。</w:t>
      </w:r>
    </w:p>
    <w:p w14:paraId="1BD44A91">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4.未经采购人明确授权，成交人不得访问、使用、存储或向任何第三方提供采购人及相关关联方的业务数据及个人信息。项目结束后，成交人应无条件并彻底删除其持有的所有采购人及相关关联方数据。</w:t>
      </w:r>
    </w:p>
    <w:p w14:paraId="4BEDBE26">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（二）项目试运行</w:t>
      </w:r>
    </w:p>
    <w:p w14:paraId="3B56A640">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系统完成安装部署（系统功能模块和相关技术指标达标），并与相应软硬件和相关系统对接后，将进入为期30日历天的试运行阶段，在试运行阶段将根据软件系统的运行稳定状况、数据错误率、数据丢包率、系统平均响应时间等方面进行校验。</w:t>
      </w:r>
    </w:p>
    <w:p w14:paraId="1043EB74">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2.试运行阶段校验通过指标要求：数据错误率≤0.1%（以实际业务数据统计为准），数据丢包率≤0.05%，系统平均响应时间≤2 秒，无重大故障（故障定义：导致系统无法正常运行超过 1 小时的问题）。</w:t>
      </w:r>
    </w:p>
    <w:p w14:paraId="1E0D7F3A">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若系统在试运行阶段未达到校验指标或出现系统运行不稳定（如：经常出现系统运行逻辑错误、功能运转不正常、数据对接不正常的），成交人应无条件对系统进行免费整改调整和优化，直至达到系统达到试运行校验指标为止。若最终达不到标准，采购人将根据合同要求解除合同并依法对成交人追究其违</w:t>
      </w:r>
      <w:r>
        <w:rPr>
          <w:rFonts w:hint="eastAsia" w:ascii="宋体" w:hAnsi="宋体" w:eastAsia="宋体" w:cs="宋体"/>
          <w:color w:val="auto"/>
          <w:sz w:val="21"/>
          <w:szCs w:val="21"/>
          <w:highlight w:val="none"/>
        </w:rPr>
        <w:t>约责任。</w:t>
      </w:r>
    </w:p>
    <w:p w14:paraId="0077D4B9">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kern w:val="0"/>
          <w:highlight w:val="none"/>
          <w:lang w:val="en-US" w:eastAsia="zh-CN"/>
        </w:rPr>
        <w:t>（三）</w:t>
      </w:r>
      <w:r>
        <w:rPr>
          <w:rFonts w:hint="eastAsia" w:ascii="宋体" w:hAnsi="宋体" w:eastAsia="宋体" w:cs="宋体"/>
          <w:color w:val="auto"/>
          <w:sz w:val="21"/>
          <w:szCs w:val="21"/>
          <w:highlight w:val="none"/>
          <w:lang w:val="en-US" w:eastAsia="zh-CN"/>
        </w:rPr>
        <w:t>项目检验验收</w:t>
      </w:r>
    </w:p>
    <w:p w14:paraId="7F27495A">
      <w:pPr>
        <w:spacing w:line="460" w:lineRule="exact"/>
        <w:ind w:firstLine="420" w:firstLineChars="20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验收标准</w:t>
      </w:r>
    </w:p>
    <w:p w14:paraId="1BAE7553">
      <w:pPr>
        <w:spacing w:line="460" w:lineRule="exact"/>
        <w:ind w:firstLine="420" w:firstLineChars="20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执行的国家标准、行业标准、地方标准或者其他标准、规范。采购人服务质量要求标准。</w:t>
      </w:r>
    </w:p>
    <w:p w14:paraId="2692D7E3">
      <w:pPr>
        <w:spacing w:line="460" w:lineRule="exact"/>
        <w:ind w:firstLine="420" w:firstLineChars="200"/>
        <w:outlineLvl w:val="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验收方法</w:t>
      </w:r>
    </w:p>
    <w:p w14:paraId="028D32D0">
      <w:pPr>
        <w:spacing w:line="460" w:lineRule="exact"/>
        <w:ind w:firstLine="420" w:firstLineChars="200"/>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系统在试运行阶段通过全部校验指标且通过测试后，采购人将组织验收小组或委托第三方检测机构开展项目最终验收工作，</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eastAsia="zh-CN"/>
        </w:rPr>
        <w:t>系统</w:t>
      </w:r>
      <w:r>
        <w:rPr>
          <w:rFonts w:hint="eastAsia" w:ascii="宋体" w:hAnsi="宋体" w:eastAsia="宋体" w:cs="宋体"/>
          <w:color w:val="auto"/>
          <w:sz w:val="21"/>
          <w:szCs w:val="21"/>
          <w:highlight w:val="none"/>
        </w:rPr>
        <w:t>验收合格后，</w:t>
      </w:r>
      <w:r>
        <w:rPr>
          <w:rFonts w:hint="eastAsia" w:ascii="宋体" w:hAnsi="宋体" w:eastAsia="宋体" w:cs="宋体"/>
          <w:color w:val="auto"/>
          <w:sz w:val="21"/>
          <w:szCs w:val="21"/>
          <w:highlight w:val="none"/>
          <w:lang w:val="en-US" w:eastAsia="zh-CN"/>
        </w:rPr>
        <w:t>成交人将</w:t>
      </w:r>
      <w:r>
        <w:rPr>
          <w:rFonts w:hint="eastAsia" w:ascii="宋体" w:hAnsi="宋体" w:eastAsia="宋体" w:cs="宋体"/>
          <w:color w:val="auto"/>
          <w:sz w:val="21"/>
          <w:szCs w:val="21"/>
          <w:highlight w:val="none"/>
        </w:rPr>
        <w:t>签署系统验收报告并提交</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w:t>
      </w:r>
    </w:p>
    <w:p w14:paraId="1896DB26">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（四）系统使用培训</w:t>
      </w:r>
    </w:p>
    <w:p w14:paraId="3E753806">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必须提供相应的应用软件技术、系统操作手册、按角色提供培训视频等方面的培训。有关应用软件的操作培训课程，培训应该在系统运作前完成。供应商须在响应文件中提出全面、详细的培训课程以及时间表交给各医共体各成员单位，并在合同签订后征得同意后实施。</w:t>
      </w:r>
    </w:p>
    <w:p w14:paraId="07866B3C">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在实施过程中提供全面的培训，包括面向系统管理员和班主任老师的相应的培训：包括基于系统配置的培训、系统维护培训、系统管理培训、客户端操作培训。供应商将详细的培训课程以及时间表交给学校，最后以各医共体各成员单位认可为准。</w:t>
      </w:r>
    </w:p>
    <w:p w14:paraId="3A313F5B">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供应商应对项目实施过程中获取的</w:t>
      </w:r>
      <w:r>
        <w:rPr>
          <w:rFonts w:hint="eastAsia" w:ascii="宋体" w:hAnsi="宋体" w:eastAsia="宋体" w:cs="宋体"/>
          <w:color w:val="auto"/>
          <w:sz w:val="21"/>
          <w:szCs w:val="21"/>
          <w:highlight w:val="none"/>
          <w:lang w:val="en-US" w:eastAsia="zh-CN"/>
        </w:rPr>
        <w:t>各医共体各成员单位各类业务</w:t>
      </w:r>
      <w:r>
        <w:rPr>
          <w:rFonts w:hint="eastAsia" w:ascii="宋体" w:hAnsi="宋体" w:eastAsia="宋体" w:cs="宋体"/>
          <w:color w:val="auto"/>
          <w:kern w:val="0"/>
          <w:sz w:val="21"/>
          <w:szCs w:val="21"/>
          <w:highlight w:val="none"/>
          <w:lang w:val="en-US" w:eastAsia="zh-CN"/>
        </w:rPr>
        <w:t>信息和数据、系统架构等一切信息承担永久保密义务，未经使用方书面同意不得向第三方披露或用于其他商业用途。对于所有培训，供应商必须派出具有相应专业资格和实际工作、教育经验的工程师和相应的辅导人员进行培训，主要培训教员应至少具有三年的相关培训经验，培训所使用的语言必须是中文，否则供应商必须提供相应的翻译。</w:t>
      </w:r>
    </w:p>
    <w:p w14:paraId="245A4838">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培训项目结束之时，安排相关系统操作使用人员进行培训测试，以检验系统操作使用人员对系统的基本操作能力和掌握水平；同时系统操作使用人员也可对于整个培训项目作出评价，当系统操作使用人员普遍反映对培训课程不满意时，供应商应重新安排培训。并对培训测试未通过的部分提供额外辅导，直至测试达标。</w:t>
      </w:r>
    </w:p>
    <w:p w14:paraId="13FC5DDB">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供应商必须为所有被培训人员提供文字资料和讲义等培训教材，培训教材必须同时以电子版和印刷品形式提供，所有的资料必须是中文书写。</w:t>
      </w:r>
    </w:p>
    <w:p w14:paraId="2188E837">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（五）系统售后运行维护服务</w:t>
      </w:r>
    </w:p>
    <w:p w14:paraId="6F8ED789">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为保障</w:t>
      </w:r>
      <w:r>
        <w:rPr>
          <w:rFonts w:hint="eastAsia" w:ascii="宋体" w:hAnsi="宋体" w:eastAsia="宋体" w:cs="宋体"/>
          <w:color w:val="auto"/>
          <w:sz w:val="21"/>
          <w:szCs w:val="21"/>
          <w:highlight w:val="none"/>
          <w:lang w:val="en-US" w:eastAsia="zh-CN"/>
        </w:rPr>
        <w:t>系统</w:t>
      </w:r>
      <w:r>
        <w:rPr>
          <w:rFonts w:hint="eastAsia" w:ascii="宋体" w:hAnsi="宋体" w:eastAsia="宋体" w:cs="宋体"/>
          <w:color w:val="auto"/>
          <w:kern w:val="0"/>
          <w:sz w:val="21"/>
          <w:szCs w:val="21"/>
          <w:highlight w:val="none"/>
          <w:lang w:val="en-US" w:eastAsia="zh-CN"/>
        </w:rPr>
        <w:t>正常运行，供应商应配备完善的售后运维团队，并提供优质的售后运维服务，系统运行维护主要包含以下内容：</w:t>
      </w:r>
    </w:p>
    <w:p w14:paraId="4C4F61FE">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1.系统运行维护运维服务要求：须提供365天*8小时上门维护服务，365天*24小时全天候上门应急服务，365天*24小时全天候远程和现场技术支持服务。</w:t>
      </w:r>
    </w:p>
    <w:p w14:paraId="3FE3BD4C">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2.系统故障响应时间要求</w:t>
      </w:r>
    </w:p>
    <w:p w14:paraId="4BF9A370">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一级故障（系统瘫痪、核心功能无法使用、数据泄露等严重故障）：15分钟内响应，2小时内提出解决方案。</w:t>
      </w:r>
    </w:p>
    <w:p w14:paraId="6B1EC367">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二级故障（核心功能部分异常、数据处理错误等较严重故障）：30分钟内响应，4小时内提出解决方案。</w:t>
      </w:r>
    </w:p>
    <w:p w14:paraId="52D206A3">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三级故障（非核心功能异常、操作问题等一般故障）：2小时内响应，8小时内提出解决方案。</w:t>
      </w:r>
    </w:p>
    <w:p w14:paraId="493F806B">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3.定期巡检：每季度至少提供一次系统健康检查与巡检服务，并提交巡检报告。发现重大安全隐患和故障的，必须及时报告并进行妥善处理和整改升级，确保采购人充分了解整体系统的运行情况。</w:t>
      </w:r>
    </w:p>
    <w:p w14:paraId="6A9037C8">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4.系统升级：提供因操作系统、数据库等底层软件升级所必需的兼容性版本更新。在合同履行期限内，“</w:t>
      </w:r>
      <w:r>
        <w:rPr>
          <w:rFonts w:hint="eastAsia" w:ascii="宋体" w:hAnsi="宋体" w:eastAsia="宋体" w:cs="宋体"/>
          <w:color w:val="auto"/>
          <w:kern w:val="0"/>
          <w:highlight w:val="none"/>
          <w:lang w:val="en-US" w:eastAsia="zh-CN"/>
        </w:rPr>
        <w:t>昌宁县医共体中心药房管理系统</w:t>
      </w:r>
      <w:r>
        <w:rPr>
          <w:rFonts w:hint="eastAsia" w:ascii="宋体" w:hAnsi="宋体" w:eastAsia="宋体" w:cs="宋体"/>
          <w:color w:val="auto"/>
          <w:kern w:val="0"/>
          <w:sz w:val="21"/>
          <w:szCs w:val="21"/>
          <w:highlight w:val="none"/>
          <w:lang w:val="en-US" w:eastAsia="zh-CN"/>
        </w:rPr>
        <w:t>”出现或因外部原因形成各类漏洞、BUG，必须无条件进行系统修复、整改，确保相关数据真实有效、安全不外泄。</w:t>
      </w:r>
    </w:p>
    <w:p w14:paraId="1AE44036">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5.在项目售后运维服务期限内，因政策等原因“</w:t>
      </w:r>
      <w:r>
        <w:rPr>
          <w:rFonts w:hint="eastAsia" w:ascii="宋体" w:hAnsi="宋体" w:eastAsia="宋体" w:cs="宋体"/>
          <w:color w:val="auto"/>
          <w:kern w:val="0"/>
          <w:highlight w:val="none"/>
          <w:lang w:val="en-US" w:eastAsia="zh-CN"/>
        </w:rPr>
        <w:t>昌宁县医共体中心药房管理系统</w:t>
      </w:r>
      <w:r>
        <w:rPr>
          <w:rFonts w:hint="eastAsia" w:ascii="宋体" w:hAnsi="宋体" w:eastAsia="宋体" w:cs="宋体"/>
          <w:color w:val="auto"/>
          <w:kern w:val="0"/>
          <w:sz w:val="21"/>
          <w:szCs w:val="21"/>
          <w:highlight w:val="none"/>
          <w:lang w:val="en-US" w:eastAsia="zh-CN"/>
        </w:rPr>
        <w:t>”需要接入本项目在建设阶段未列入其他系统软件或硬件设施的，供应商应无条件按采购人要求开展对接（含软硬件接口开发和对接工作）和集成服务工作，相关费用已包含在项目的本项目磋商报价中。</w:t>
      </w:r>
    </w:p>
    <w:p w14:paraId="50C98D6E">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sz w:val="21"/>
          <w:szCs w:val="21"/>
          <w:highlight w:val="none"/>
        </w:rPr>
        <w:t>本次采购的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需要长期的运行维护，采购人将考虑本项目的售后运维服务</w:t>
      </w:r>
      <w:r>
        <w:rPr>
          <w:rFonts w:hint="eastAsia" w:ascii="宋体" w:hAnsi="宋体" w:eastAsia="宋体" w:cs="宋体"/>
          <w:color w:val="auto"/>
          <w:sz w:val="21"/>
          <w:szCs w:val="21"/>
          <w:highlight w:val="none"/>
          <w:lang w:val="en-US" w:eastAsia="zh-CN"/>
        </w:rPr>
        <w:t>期满</w:t>
      </w:r>
      <w:r>
        <w:rPr>
          <w:rFonts w:hint="eastAsia" w:ascii="宋体" w:hAnsi="宋体" w:eastAsia="宋体" w:cs="宋体"/>
          <w:color w:val="auto"/>
          <w:sz w:val="21"/>
          <w:szCs w:val="21"/>
          <w:highlight w:val="none"/>
        </w:rPr>
        <w:t>后的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运行维护服务工作的实际需求，后续运维服务内容包含</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在运行中的故障排错、信息数据维护备份及恢复、系统及数据库适配调整、</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定期升级更新等工作。参与本项目的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可根据项目实际情况填报后续运行维护服务费，此服务费将纳入合同签署的考虑范畴。</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针对</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后续运行维护服务填报的后续运行维护服务费基于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sz w:val="21"/>
          <w:szCs w:val="21"/>
          <w:highlight w:val="none"/>
        </w:rPr>
        <w:t>比例不能高于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w:t>
      </w:r>
    </w:p>
    <w:p w14:paraId="5A55D30D">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（六）知识产权管理及相关要求</w:t>
      </w:r>
    </w:p>
    <w:p w14:paraId="33065F33">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为保障采购人在使用该产品的任何一部分时，免受第三方提出的侵犯其专利权、商标权、著作权或其他知识产权的起诉，磋商申请人须承诺提供的产品正版、合法，保障采购人合法权益，除已有产品知识产权外，与本项目相关的著作权归采购人所有。如因专利权、商标权或其他知识产权而引起的法律和经济纠纷，由供应商承担所有相关责任。</w:t>
      </w:r>
    </w:p>
    <w:p w14:paraId="7EA5F366">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2.本次采购的系统是结合采购需求进行深度开发设计的软件系统，项目建成后，中标人将对本次采购的系统进行推广或用于其他商业、科研工作，验收通过后一年内必须经采购人同意。</w:t>
      </w:r>
    </w:p>
    <w:p w14:paraId="503BD322">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（七）安全保密要求</w:t>
      </w:r>
    </w:p>
    <w:p w14:paraId="59B807EF">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1.对于</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提供给供应商的采购文件和其他业务需求说明文件，供应商有为</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保密的义务；</w:t>
      </w:r>
    </w:p>
    <w:p w14:paraId="08B913F0">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2.供应商需协助</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及相关业务关联单位采取各种管理和技术手段，确保相应的数据不外传和泄露；供应商需签署安全保密协议，在项目建设运维过程中接触各项数据要具体指定工程师；</w:t>
      </w:r>
    </w:p>
    <w:p w14:paraId="3371B712">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3.供应商应对</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及相关业务关联单位的各项数据进行处理，不得对用户的数据进行拷贝、备份，同时不得对外泄露用户数据资料（包括自然人、法人和其他共享数据）的具体内容。否则由此引起的</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损失、相关社会和法律责任，由供应商负责承担；</w:t>
      </w:r>
    </w:p>
    <w:p w14:paraId="6F7D1ECF">
      <w:pPr>
        <w:spacing w:line="460" w:lineRule="exact"/>
        <w:ind w:firstLine="420" w:firstLineChars="200"/>
        <w:outlineLvl w:val="1"/>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4.协助</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及相关业务关联单位进行技术方案审理优化、进度质量控制和验收管理的一方，有为</w:t>
      </w:r>
      <w:r>
        <w:rPr>
          <w:rFonts w:hint="eastAsia" w:ascii="宋体" w:hAnsi="宋体" w:eastAsia="宋体" w:cs="宋体"/>
          <w:color w:val="auto"/>
          <w:sz w:val="21"/>
          <w:szCs w:val="21"/>
          <w:highlight w:val="none"/>
          <w:lang w:val="en-US" w:eastAsia="zh-CN"/>
        </w:rPr>
        <w:t>各医共体各成员单位</w:t>
      </w:r>
      <w:r>
        <w:rPr>
          <w:rFonts w:hint="eastAsia" w:ascii="宋体" w:hAnsi="宋体" w:eastAsia="宋体" w:cs="宋体"/>
          <w:color w:val="auto"/>
          <w:kern w:val="0"/>
          <w:sz w:val="21"/>
          <w:szCs w:val="21"/>
          <w:highlight w:val="none"/>
          <w:lang w:val="en-US" w:eastAsia="zh-CN"/>
        </w:rPr>
        <w:t>和包括供应商提供的项目有关文件和技术信息保密的义务。</w:t>
      </w:r>
    </w:p>
    <w:p w14:paraId="629DD18D">
      <w:pPr>
        <w:keepNext w:val="0"/>
        <w:keepLines w:val="0"/>
        <w:pageBreakBefore w:val="0"/>
        <w:kinsoku/>
        <w:wordWrap/>
        <w:overflowPunct/>
        <w:topLinePunct w:val="0"/>
        <w:autoSpaceDE/>
        <w:autoSpaceDN/>
        <w:bidi w:val="0"/>
        <w:adjustRightInd/>
        <w:snapToGrid/>
        <w:spacing w:afterAutospacing="0" w:line="460" w:lineRule="exact"/>
        <w:ind w:firstLine="420" w:firstLineChars="200"/>
        <w:textAlignment w:val="auto"/>
        <w:rPr>
          <w:rFonts w:hint="eastAsia" w:ascii="宋体" w:hAnsi="宋体" w:eastAsia="宋体" w:cs="宋体"/>
          <w:color w:val="auto"/>
          <w:kern w:val="0"/>
          <w:szCs w:val="21"/>
          <w:highlight w:val="none"/>
        </w:rPr>
      </w:pPr>
    </w:p>
    <w:p w14:paraId="73523E55">
      <w:pPr>
        <w:pStyle w:val="41"/>
        <w:rPr>
          <w:rFonts w:hint="eastAsia" w:ascii="宋体" w:hAnsi="宋体" w:eastAsia="宋体" w:cs="宋体"/>
          <w:color w:val="auto"/>
          <w:kern w:val="0"/>
          <w:szCs w:val="21"/>
          <w:highlight w:val="none"/>
        </w:rPr>
        <w:sectPr>
          <w:pgSz w:w="11906" w:h="16838"/>
          <w:pgMar w:top="936" w:right="1134" w:bottom="1089" w:left="1134" w:header="851" w:footer="992" w:gutter="0"/>
          <w:pgNumType w:fmt="decimal"/>
          <w:cols w:space="425" w:num="1"/>
          <w:docGrid w:type="lines" w:linePitch="312" w:charSpace="0"/>
        </w:sectPr>
      </w:pPr>
    </w:p>
    <w:p w14:paraId="00D3422C">
      <w:pPr>
        <w:pStyle w:val="3"/>
        <w:spacing w:line="360" w:lineRule="auto"/>
        <w:jc w:val="center"/>
        <w:rPr>
          <w:rFonts w:hint="eastAsia" w:ascii="宋体" w:hAnsi="宋体" w:eastAsia="宋体" w:cs="宋体"/>
          <w:color w:val="auto"/>
          <w:sz w:val="32"/>
          <w:szCs w:val="32"/>
          <w:highlight w:val="none"/>
        </w:rPr>
      </w:pPr>
      <w:bookmarkStart w:id="195" w:name="_Toc39092142"/>
      <w:r>
        <w:rPr>
          <w:rFonts w:hint="eastAsia" w:ascii="宋体" w:hAnsi="宋体" w:eastAsia="宋体" w:cs="宋体"/>
          <w:color w:val="auto"/>
          <w:sz w:val="32"/>
          <w:szCs w:val="32"/>
          <w:highlight w:val="none"/>
        </w:rPr>
        <w:t>第六章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磋商程序和方法</w:t>
      </w:r>
      <w:bookmarkEnd w:id="195"/>
    </w:p>
    <w:p w14:paraId="67A5F89E">
      <w:pPr>
        <w:pStyle w:val="4"/>
        <w:spacing w:before="0" w:after="0" w:line="360" w:lineRule="auto"/>
        <w:jc w:val="center"/>
        <w:rPr>
          <w:rFonts w:hint="eastAsia" w:ascii="宋体" w:hAnsi="宋体" w:eastAsia="宋体" w:cs="宋体"/>
          <w:color w:val="auto"/>
          <w:sz w:val="28"/>
          <w:szCs w:val="28"/>
          <w:highlight w:val="none"/>
        </w:rPr>
      </w:pPr>
      <w:bookmarkStart w:id="196" w:name="_Toc191374457"/>
      <w:bookmarkStart w:id="197" w:name="_Toc7252791"/>
      <w:bookmarkStart w:id="198" w:name="_Toc37797043"/>
      <w:bookmarkStart w:id="199" w:name="_Toc86124093"/>
      <w:bookmarkStart w:id="200" w:name="_Toc7284545"/>
      <w:bookmarkStart w:id="201" w:name="_Toc39092143"/>
      <w:r>
        <w:rPr>
          <w:rFonts w:hint="eastAsia" w:ascii="宋体" w:hAnsi="宋体" w:eastAsia="宋体" w:cs="宋体"/>
          <w:color w:val="auto"/>
          <w:sz w:val="28"/>
          <w:szCs w:val="28"/>
          <w:highlight w:val="none"/>
          <w:lang w:val="zh-CN"/>
        </w:rPr>
        <w:t>磋商程序和方法前附表</w:t>
      </w:r>
      <w:bookmarkEnd w:id="196"/>
      <w:bookmarkEnd w:id="197"/>
      <w:bookmarkEnd w:id="198"/>
      <w:bookmarkEnd w:id="199"/>
      <w:bookmarkEnd w:id="200"/>
      <w:bookmarkEnd w:id="201"/>
    </w:p>
    <w:p w14:paraId="15E8DCBF">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一、资格审查表</w:t>
      </w:r>
    </w:p>
    <w:tbl>
      <w:tblPr>
        <w:tblStyle w:val="27"/>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5"/>
        <w:gridCol w:w="6423"/>
        <w:gridCol w:w="2437"/>
      </w:tblGrid>
      <w:tr w14:paraId="403BE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blHeader/>
          <w:jc w:val="center"/>
        </w:trPr>
        <w:tc>
          <w:tcPr>
            <w:tcW w:w="10385" w:type="dxa"/>
            <w:gridSpan w:val="3"/>
            <w:noWrap/>
            <w:vAlign w:val="center"/>
          </w:tcPr>
          <w:p w14:paraId="0720F927">
            <w:pPr>
              <w:spacing w:line="38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磋商申请人资格审查内容及相关因素</w:t>
            </w:r>
          </w:p>
        </w:tc>
      </w:tr>
      <w:tr w14:paraId="0086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blHeader/>
          <w:jc w:val="center"/>
        </w:trPr>
        <w:tc>
          <w:tcPr>
            <w:tcW w:w="1525" w:type="dxa"/>
            <w:noWrap/>
            <w:vAlign w:val="center"/>
          </w:tcPr>
          <w:p w14:paraId="2E44C66D">
            <w:pPr>
              <w:spacing w:line="380" w:lineRule="exact"/>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评审条款</w:t>
            </w:r>
          </w:p>
        </w:tc>
        <w:tc>
          <w:tcPr>
            <w:tcW w:w="6423" w:type="dxa"/>
            <w:noWrap/>
            <w:vAlign w:val="center"/>
          </w:tcPr>
          <w:p w14:paraId="06048D6E">
            <w:pPr>
              <w:spacing w:line="380" w:lineRule="exact"/>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评审</w:t>
            </w:r>
            <w:r>
              <w:rPr>
                <w:rFonts w:hint="eastAsia" w:ascii="宋体" w:hAnsi="宋体" w:eastAsia="宋体" w:cs="宋体"/>
                <w:b/>
                <w:color w:val="auto"/>
                <w:szCs w:val="21"/>
                <w:highlight w:val="none"/>
                <w:lang w:val="en-US" w:eastAsia="zh-CN"/>
              </w:rPr>
              <w:t>内容</w:t>
            </w:r>
          </w:p>
        </w:tc>
        <w:tc>
          <w:tcPr>
            <w:tcW w:w="2437" w:type="dxa"/>
            <w:noWrap/>
            <w:vAlign w:val="center"/>
          </w:tcPr>
          <w:p w14:paraId="739DBD06">
            <w:pPr>
              <w:spacing w:line="380" w:lineRule="exact"/>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评审标准</w:t>
            </w:r>
          </w:p>
        </w:tc>
      </w:tr>
      <w:tr w14:paraId="3AB2E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1525" w:type="dxa"/>
            <w:vMerge w:val="restart"/>
            <w:noWrap/>
            <w:vAlign w:val="center"/>
          </w:tcPr>
          <w:p w14:paraId="6411B14F">
            <w:pPr>
              <w:widowControl/>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磋商申请人应具有独立承担民事责任的能力</w:t>
            </w:r>
          </w:p>
        </w:tc>
        <w:tc>
          <w:tcPr>
            <w:tcW w:w="6423" w:type="dxa"/>
            <w:noWrap/>
            <w:vAlign w:val="center"/>
          </w:tcPr>
          <w:p w14:paraId="764AE690">
            <w:pPr>
              <w:spacing w:line="4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有效营业执照：</w:t>
            </w:r>
            <w:r>
              <w:rPr>
                <w:rFonts w:hint="eastAsia" w:ascii="宋体" w:hAnsi="宋体" w:eastAsia="宋体" w:cs="宋体"/>
                <w:color w:val="auto"/>
                <w:szCs w:val="21"/>
                <w:highlight w:val="none"/>
              </w:rPr>
              <w:t>磋商申请人有效的</w:t>
            </w:r>
            <w:r>
              <w:rPr>
                <w:rFonts w:hint="eastAsia" w:ascii="宋体" w:hAnsi="宋体" w:eastAsia="宋体" w:cs="宋体"/>
                <w:color w:val="auto"/>
                <w:sz w:val="21"/>
                <w:szCs w:val="21"/>
                <w:highlight w:val="none"/>
                <w:lang w:eastAsia="zh-CN"/>
              </w:rPr>
              <w:t>《营业执照》或《统一社会信用代码证》或其他法人机构证书</w:t>
            </w:r>
            <w:r>
              <w:rPr>
                <w:rFonts w:hint="eastAsia" w:ascii="宋体" w:hAnsi="宋体" w:eastAsia="宋体" w:cs="宋体"/>
                <w:color w:val="auto"/>
                <w:sz w:val="21"/>
                <w:szCs w:val="21"/>
                <w:highlight w:val="none"/>
              </w:rPr>
              <w:t>或其他组织证件或自然人身份证明等能证明</w:t>
            </w:r>
            <w:r>
              <w:rPr>
                <w:rFonts w:hint="eastAsia" w:ascii="宋体" w:hAnsi="宋体" w:eastAsia="宋体" w:cs="宋体"/>
                <w:color w:val="auto"/>
                <w:szCs w:val="21"/>
                <w:highlight w:val="none"/>
              </w:rPr>
              <w:t>具有独立承担民事责任能力的证明材料。</w:t>
            </w:r>
          </w:p>
        </w:tc>
        <w:tc>
          <w:tcPr>
            <w:tcW w:w="2437" w:type="dxa"/>
            <w:noWrap/>
            <w:vAlign w:val="center"/>
          </w:tcPr>
          <w:p w14:paraId="70C3F63E">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4D83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525" w:type="dxa"/>
            <w:vMerge w:val="continue"/>
            <w:noWrap/>
            <w:vAlign w:val="center"/>
          </w:tcPr>
          <w:p w14:paraId="127E5517">
            <w:pPr>
              <w:spacing w:line="400" w:lineRule="exact"/>
              <w:rPr>
                <w:rFonts w:hint="eastAsia" w:ascii="宋体" w:hAnsi="宋体" w:eastAsia="宋体" w:cs="宋体"/>
                <w:color w:val="auto"/>
                <w:highlight w:val="none"/>
              </w:rPr>
            </w:pPr>
          </w:p>
        </w:tc>
        <w:tc>
          <w:tcPr>
            <w:tcW w:w="6423" w:type="dxa"/>
            <w:noWrap/>
            <w:vAlign w:val="center"/>
          </w:tcPr>
          <w:p w14:paraId="0BF0097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法定代表人（负责人）的身份证明</w:t>
            </w:r>
            <w:r>
              <w:rPr>
                <w:rFonts w:hint="eastAsia" w:ascii="宋体" w:hAnsi="宋体" w:eastAsia="宋体" w:cs="宋体"/>
                <w:color w:val="auto"/>
                <w:szCs w:val="21"/>
                <w:highlight w:val="none"/>
              </w:rPr>
              <w:t>。</w:t>
            </w:r>
          </w:p>
        </w:tc>
        <w:tc>
          <w:tcPr>
            <w:tcW w:w="2437" w:type="dxa"/>
            <w:noWrap/>
            <w:vAlign w:val="center"/>
          </w:tcPr>
          <w:p w14:paraId="0DE9C904">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审查法定代表人（负责人）是否与提供的营业执照载明事项保持一致及身份证有效期限</w:t>
            </w:r>
          </w:p>
        </w:tc>
      </w:tr>
      <w:tr w14:paraId="1248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1525" w:type="dxa"/>
            <w:vMerge w:val="continue"/>
            <w:noWrap/>
            <w:vAlign w:val="center"/>
          </w:tcPr>
          <w:p w14:paraId="7A072742">
            <w:pPr>
              <w:spacing w:line="400" w:lineRule="exact"/>
              <w:rPr>
                <w:rFonts w:hint="eastAsia" w:ascii="宋体" w:hAnsi="宋体" w:eastAsia="宋体" w:cs="宋体"/>
                <w:color w:val="auto"/>
                <w:highlight w:val="none"/>
              </w:rPr>
            </w:pPr>
          </w:p>
        </w:tc>
        <w:tc>
          <w:tcPr>
            <w:tcW w:w="6423" w:type="dxa"/>
            <w:noWrap/>
            <w:vAlign w:val="center"/>
          </w:tcPr>
          <w:p w14:paraId="5AF90684">
            <w:pPr>
              <w:spacing w:line="400" w:lineRule="exact"/>
              <w:rPr>
                <w:rFonts w:hint="eastAsia" w:ascii="宋体" w:hAnsi="宋体" w:eastAsia="宋体" w:cs="宋体"/>
                <w:b/>
                <w:color w:val="auto"/>
                <w:sz w:val="24"/>
                <w:highlight w:val="none"/>
              </w:rPr>
            </w:pPr>
            <w:r>
              <w:rPr>
                <w:rFonts w:hint="eastAsia" w:ascii="宋体" w:hAnsi="宋体" w:eastAsia="宋体" w:cs="宋体"/>
                <w:color w:val="auto"/>
                <w:szCs w:val="21"/>
                <w:highlight w:val="none"/>
              </w:rPr>
              <w:t>联合体：本项目不接受，</w:t>
            </w:r>
            <w:r>
              <w:rPr>
                <w:rFonts w:hint="eastAsia" w:ascii="宋体" w:hAnsi="宋体" w:eastAsia="宋体" w:cs="宋体"/>
                <w:color w:val="auto"/>
                <w:szCs w:val="21"/>
                <w:highlight w:val="none"/>
                <w:lang w:eastAsia="zh-CN"/>
              </w:rPr>
              <w:t>磋商邀请单位</w:t>
            </w:r>
            <w:r>
              <w:rPr>
                <w:rFonts w:hint="eastAsia" w:ascii="宋体" w:hAnsi="宋体" w:eastAsia="宋体" w:cs="宋体"/>
                <w:color w:val="auto"/>
                <w:szCs w:val="21"/>
                <w:highlight w:val="none"/>
              </w:rPr>
              <w:t>须提供申明文件。</w:t>
            </w:r>
          </w:p>
        </w:tc>
        <w:tc>
          <w:tcPr>
            <w:tcW w:w="2437" w:type="dxa"/>
            <w:noWrap/>
            <w:vAlign w:val="center"/>
          </w:tcPr>
          <w:p w14:paraId="7C282944">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审查其是否按竞争性磋商文件提供材料。</w:t>
            </w:r>
          </w:p>
        </w:tc>
      </w:tr>
      <w:tr w14:paraId="102F7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25" w:type="dxa"/>
            <w:vMerge w:val="restart"/>
            <w:noWrap/>
            <w:vAlign w:val="center"/>
          </w:tcPr>
          <w:p w14:paraId="7AA4C282">
            <w:pPr>
              <w:spacing w:line="40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具有良好的商业信誉和健全的财务会计制度</w:t>
            </w:r>
          </w:p>
        </w:tc>
        <w:tc>
          <w:tcPr>
            <w:tcW w:w="6423" w:type="dxa"/>
            <w:noWrap/>
            <w:vAlign w:val="center"/>
          </w:tcPr>
          <w:p w14:paraId="537FCCB9">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提供具有良好的商业信誉的声明函；</w:t>
            </w:r>
          </w:p>
        </w:tc>
        <w:tc>
          <w:tcPr>
            <w:tcW w:w="2437" w:type="dxa"/>
            <w:noWrap/>
            <w:vAlign w:val="center"/>
          </w:tcPr>
          <w:p w14:paraId="0D8FEC89">
            <w:pPr>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审查其是否提供，若存在不良记录的视为不合格。</w:t>
            </w:r>
          </w:p>
        </w:tc>
      </w:tr>
      <w:tr w14:paraId="769A8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1525" w:type="dxa"/>
            <w:vMerge w:val="continue"/>
            <w:noWrap/>
            <w:vAlign w:val="center"/>
          </w:tcPr>
          <w:p w14:paraId="35CF5725">
            <w:pPr>
              <w:spacing w:line="400" w:lineRule="exact"/>
              <w:rPr>
                <w:rFonts w:hint="eastAsia" w:ascii="宋体" w:hAnsi="宋体" w:eastAsia="宋体" w:cs="宋体"/>
                <w:color w:val="auto"/>
                <w:highlight w:val="none"/>
              </w:rPr>
            </w:pPr>
          </w:p>
        </w:tc>
        <w:tc>
          <w:tcPr>
            <w:tcW w:w="6423" w:type="dxa"/>
            <w:noWrap/>
            <w:vAlign w:val="center"/>
          </w:tcPr>
          <w:p w14:paraId="72FF45F5">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提供磋商申请人2024年度至今任一年度经审计的财务报告；磋商申请人（含成立未满3个月的单位）不能提供2024年度至今任一年度经审计的财务报告的，也可以提供自磋商响应文件提交截止时间前三个月内银行出具的资信证明或担保机构出具的投标担保函等能证明具有健全的财务会计制度的证明材料</w:t>
            </w:r>
            <w:r>
              <w:rPr>
                <w:rFonts w:hint="eastAsia" w:ascii="宋体" w:hAnsi="宋体" w:eastAsia="宋体" w:cs="宋体"/>
                <w:color w:val="auto"/>
                <w:szCs w:val="21"/>
                <w:highlight w:val="none"/>
              </w:rPr>
              <w:t>。</w:t>
            </w:r>
          </w:p>
        </w:tc>
        <w:tc>
          <w:tcPr>
            <w:tcW w:w="2437" w:type="dxa"/>
            <w:noWrap/>
            <w:vAlign w:val="center"/>
          </w:tcPr>
          <w:p w14:paraId="0B705393">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783E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25" w:type="dxa"/>
            <w:noWrap/>
            <w:vAlign w:val="center"/>
          </w:tcPr>
          <w:p w14:paraId="594B285E">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tc>
        <w:tc>
          <w:tcPr>
            <w:tcW w:w="6423" w:type="dxa"/>
            <w:noWrap/>
            <w:vAlign w:val="center"/>
          </w:tcPr>
          <w:p w14:paraId="4D4BE723">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提供磋商申请人能证明其具备履行合同所必需的设备和专业技术能力</w:t>
            </w:r>
            <w:r>
              <w:rPr>
                <w:rFonts w:hint="eastAsia" w:ascii="宋体" w:hAnsi="宋体" w:eastAsia="宋体" w:cs="宋体"/>
                <w:color w:val="auto"/>
                <w:szCs w:val="21"/>
                <w:highlight w:val="none"/>
                <w:lang w:val="en-US" w:eastAsia="zh-CN"/>
              </w:rPr>
              <w:t>的书面声明函或证明材料。</w:t>
            </w:r>
          </w:p>
        </w:tc>
        <w:tc>
          <w:tcPr>
            <w:tcW w:w="2437" w:type="dxa"/>
            <w:noWrap/>
            <w:vAlign w:val="center"/>
          </w:tcPr>
          <w:p w14:paraId="2C8C53B7">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61F9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25" w:type="dxa"/>
            <w:noWrap/>
            <w:vAlign w:val="center"/>
          </w:tcPr>
          <w:p w14:paraId="127CF8A4">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tc>
        <w:tc>
          <w:tcPr>
            <w:tcW w:w="6423" w:type="dxa"/>
            <w:noWrap/>
            <w:vAlign w:val="center"/>
          </w:tcPr>
          <w:p w14:paraId="58136FF4">
            <w:pPr>
              <w:spacing w:line="40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磋商申请</w:t>
            </w:r>
            <w:r>
              <w:rPr>
                <w:rFonts w:hint="eastAsia" w:ascii="宋体" w:hAnsi="宋体" w:eastAsia="宋体" w:cs="宋体"/>
                <w:color w:val="auto"/>
                <w:sz w:val="21"/>
                <w:szCs w:val="21"/>
                <w:highlight w:val="none"/>
              </w:rPr>
              <w:t>人近一年（</w:t>
            </w:r>
            <w:r>
              <w:rPr>
                <w:rFonts w:hint="eastAsia" w:ascii="宋体" w:hAnsi="宋体" w:eastAsia="宋体" w:cs="宋体"/>
                <w:color w:val="auto"/>
                <w:sz w:val="21"/>
                <w:szCs w:val="21"/>
                <w:highlight w:val="none"/>
                <w:lang w:eastAsia="zh-CN"/>
              </w:rPr>
              <w:t>2025年05月</w:t>
            </w:r>
            <w:r>
              <w:rPr>
                <w:rFonts w:hint="eastAsia" w:ascii="宋体" w:hAnsi="宋体" w:eastAsia="宋体" w:cs="宋体"/>
                <w:color w:val="auto"/>
                <w:sz w:val="21"/>
                <w:szCs w:val="21"/>
                <w:highlight w:val="none"/>
              </w:rPr>
              <w:t>至今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税款所属期间</w:t>
            </w:r>
            <w:r>
              <w:rPr>
                <w:rFonts w:hint="eastAsia" w:ascii="宋体" w:hAnsi="宋体" w:eastAsia="宋体" w:cs="宋体"/>
                <w:color w:val="auto"/>
                <w:sz w:val="21"/>
                <w:szCs w:val="21"/>
                <w:highlight w:val="none"/>
              </w:rPr>
              <w:t>）任意一个月份的依法缴纳税收凭证及社会保险</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证明材料。请按采购文件的要求提供证明材料。</w:t>
            </w:r>
          </w:p>
        </w:tc>
        <w:tc>
          <w:tcPr>
            <w:tcW w:w="2437" w:type="dxa"/>
            <w:noWrap/>
            <w:vAlign w:val="center"/>
          </w:tcPr>
          <w:p w14:paraId="12EBB9A2">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4C03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525" w:type="dxa"/>
            <w:noWrap/>
            <w:vAlign w:val="center"/>
          </w:tcPr>
          <w:p w14:paraId="0A162854">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tc>
        <w:tc>
          <w:tcPr>
            <w:tcW w:w="6423" w:type="dxa"/>
            <w:noWrap/>
            <w:vAlign w:val="center"/>
          </w:tcPr>
          <w:p w14:paraId="7351B451">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磋商申请人必须提供“参加采购活动近3年内在经营活动中没有重大违法记录的书面声明”（重大违法记录是指：因违法经营受到刑事处罚或者责令停产停业、吊销许可证或者执照、较大数额罚款等行政处罚）。</w:t>
            </w:r>
          </w:p>
        </w:tc>
        <w:tc>
          <w:tcPr>
            <w:tcW w:w="2437" w:type="dxa"/>
            <w:noWrap/>
            <w:vAlign w:val="center"/>
          </w:tcPr>
          <w:p w14:paraId="17218ACC">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6D3B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525" w:type="dxa"/>
            <w:noWrap/>
            <w:vAlign w:val="center"/>
          </w:tcPr>
          <w:p w14:paraId="1A86E835">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磋商申请人资格要求</w:t>
            </w:r>
          </w:p>
        </w:tc>
        <w:tc>
          <w:tcPr>
            <w:tcW w:w="6423" w:type="dxa"/>
            <w:noWrap/>
            <w:vAlign w:val="center"/>
          </w:tcPr>
          <w:p w14:paraId="3C7B9E19">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1.本项目不接受成交后再次转包、分包开展相应服务工作，磋商申请人须提供针对本项目不转包、分包的书面承诺并加盖单位公章确认。</w:t>
            </w:r>
          </w:p>
          <w:p w14:paraId="6AD2785C">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2.磋商申请人不存在拒绝参加本次采购活动的情形，磋商申请人须提供书面承诺并加盖单位公章确认。</w:t>
            </w:r>
          </w:p>
        </w:tc>
        <w:tc>
          <w:tcPr>
            <w:tcW w:w="2437" w:type="dxa"/>
            <w:noWrap/>
            <w:vAlign w:val="center"/>
          </w:tcPr>
          <w:p w14:paraId="25119584">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31AC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jc w:val="center"/>
        </w:trPr>
        <w:tc>
          <w:tcPr>
            <w:tcW w:w="10385" w:type="dxa"/>
            <w:gridSpan w:val="3"/>
            <w:noWrap/>
            <w:vAlign w:val="center"/>
          </w:tcPr>
          <w:p w14:paraId="35CDE100">
            <w:pP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特别提示：1.本表中所列内容均提供彩色扫描件或加盖磋商申请人行政章的复印件；</w:t>
            </w:r>
          </w:p>
          <w:p w14:paraId="39B0CF1D">
            <w:pPr>
              <w:spacing w:line="380" w:lineRule="exact"/>
              <w:ind w:firstLine="1050" w:firstLineChars="5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2.磋商申请须按本表要求提供能充分证明其有资格投标的证明材料；</w:t>
            </w:r>
          </w:p>
          <w:p w14:paraId="03DF9FD9">
            <w:pPr>
              <w:spacing w:line="380" w:lineRule="exact"/>
              <w:ind w:firstLine="1050" w:firstLineChars="5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3.磋商申请人须对所提供的全部证明材料的真实性及合法性负全部责任；</w:t>
            </w:r>
          </w:p>
          <w:p w14:paraId="7CEE1E90">
            <w:pPr>
              <w:spacing w:line="380" w:lineRule="exact"/>
              <w:ind w:firstLine="1050" w:firstLineChars="5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4.本表所列内容任何一项缺失或不通过，其参与磋商资格将被取消，只有通过资格审查的磋商申请人提交的磋商响应文件才能进入下一阶段的评审。</w:t>
            </w:r>
          </w:p>
        </w:tc>
      </w:tr>
    </w:tbl>
    <w:p w14:paraId="1246E2F2">
      <w:pPr>
        <w:pStyle w:val="8"/>
        <w:ind w:left="0" w:leftChars="0" w:firstLine="0" w:firstLineChars="0"/>
        <w:rPr>
          <w:rFonts w:hint="eastAsia" w:ascii="宋体" w:hAnsi="宋体" w:eastAsia="宋体" w:cs="宋体"/>
          <w:color w:val="auto"/>
          <w:highlight w:val="none"/>
        </w:rPr>
      </w:pPr>
    </w:p>
    <w:p w14:paraId="759426A6">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二、响应性审查表</w:t>
      </w:r>
    </w:p>
    <w:tbl>
      <w:tblPr>
        <w:tblStyle w:val="27"/>
        <w:tblW w:w="10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1084"/>
        <w:gridCol w:w="1823"/>
        <w:gridCol w:w="6618"/>
      </w:tblGrid>
      <w:tr w14:paraId="5BF1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038" w:type="dxa"/>
            <w:gridSpan w:val="2"/>
            <w:noWrap/>
            <w:vAlign w:val="center"/>
          </w:tcPr>
          <w:p w14:paraId="5699EFF9">
            <w:pPr>
              <w:spacing w:before="100" w:beforeAutospacing="1" w:after="100" w:afterAutospacing="1" w:line="44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1823" w:type="dxa"/>
            <w:noWrap/>
            <w:vAlign w:val="center"/>
          </w:tcPr>
          <w:p w14:paraId="4F4F1087">
            <w:pPr>
              <w:spacing w:before="100" w:beforeAutospacing="1" w:after="100" w:afterAutospacing="1" w:line="44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审查内容</w:t>
            </w:r>
          </w:p>
        </w:tc>
        <w:tc>
          <w:tcPr>
            <w:tcW w:w="6618" w:type="dxa"/>
            <w:noWrap/>
            <w:vAlign w:val="center"/>
          </w:tcPr>
          <w:p w14:paraId="744E89EE">
            <w:pPr>
              <w:spacing w:before="100" w:beforeAutospacing="1" w:after="100" w:afterAutospacing="1" w:line="44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审查标准</w:t>
            </w:r>
          </w:p>
        </w:tc>
      </w:tr>
      <w:tr w14:paraId="22CE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954" w:type="dxa"/>
            <w:vMerge w:val="restart"/>
            <w:noWrap/>
            <w:vAlign w:val="center"/>
          </w:tcPr>
          <w:p w14:paraId="530EFCCA">
            <w:pPr>
              <w:spacing w:before="100" w:beforeAutospacing="1" w:after="100" w:afterAutospacing="1"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84" w:type="dxa"/>
            <w:vMerge w:val="restart"/>
            <w:noWrap/>
            <w:vAlign w:val="center"/>
          </w:tcPr>
          <w:p w14:paraId="3B3E5603">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响应文件的响应性评审</w:t>
            </w:r>
          </w:p>
        </w:tc>
        <w:tc>
          <w:tcPr>
            <w:tcW w:w="1823" w:type="dxa"/>
            <w:noWrap/>
            <w:vAlign w:val="center"/>
          </w:tcPr>
          <w:p w14:paraId="6514C5F9">
            <w:pPr>
              <w:spacing w:line="420" w:lineRule="exact"/>
              <w:jc w:val="center"/>
              <w:rPr>
                <w:rFonts w:hint="eastAsia" w:ascii="宋体" w:hAnsi="宋体" w:eastAsia="宋体" w:cs="宋体"/>
                <w:color w:val="auto"/>
                <w:szCs w:val="21"/>
                <w:highlight w:val="none"/>
              </w:rPr>
            </w:pPr>
            <w:r>
              <w:rPr>
                <w:rFonts w:hint="eastAsia" w:ascii="宋体" w:hAnsi="宋体" w:eastAsia="宋体" w:cs="宋体"/>
                <w:bCs/>
                <w:color w:val="auto"/>
                <w:kern w:val="0"/>
                <w:sz w:val="21"/>
                <w:szCs w:val="21"/>
                <w:highlight w:val="none"/>
              </w:rPr>
              <w:t>签字盖章</w:t>
            </w:r>
          </w:p>
        </w:tc>
        <w:tc>
          <w:tcPr>
            <w:tcW w:w="6618" w:type="dxa"/>
            <w:noWrap/>
            <w:vAlign w:val="center"/>
          </w:tcPr>
          <w:p w14:paraId="0D433621">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是否按照</w:t>
            </w:r>
            <w:r>
              <w:rPr>
                <w:rFonts w:hint="eastAsia" w:ascii="宋体" w:hAnsi="宋体" w:eastAsia="宋体" w:cs="宋体"/>
                <w:color w:val="auto"/>
                <w:szCs w:val="21"/>
                <w:highlight w:val="none"/>
                <w:lang w:val="en-US" w:eastAsia="zh-CN"/>
              </w:rPr>
              <w:t>竞争性磋商</w:t>
            </w:r>
            <w:r>
              <w:rPr>
                <w:rFonts w:hint="eastAsia" w:ascii="宋体" w:hAnsi="宋体" w:eastAsia="宋体" w:cs="宋体"/>
                <w:color w:val="auto"/>
                <w:szCs w:val="21"/>
                <w:highlight w:val="none"/>
                <w:lang w:eastAsia="zh-CN"/>
              </w:rPr>
              <w:t>文件要求进行单位盖章、法定代表人（负责人）或法定代表人（负责人）授权的代理人签字或加盖个人印章</w:t>
            </w:r>
            <w:r>
              <w:rPr>
                <w:rFonts w:hint="eastAsia" w:ascii="宋体" w:hAnsi="宋体" w:eastAsia="宋体" w:cs="宋体"/>
                <w:color w:val="auto"/>
                <w:szCs w:val="21"/>
                <w:highlight w:val="none"/>
              </w:rPr>
              <w:t>。</w:t>
            </w:r>
          </w:p>
          <w:p w14:paraId="19AA50F4">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特别说明：</w:t>
            </w:r>
            <w:r>
              <w:rPr>
                <w:rFonts w:hint="eastAsia" w:ascii="宋体" w:hAnsi="宋体" w:eastAsia="宋体" w:cs="宋体"/>
                <w:color w:val="auto"/>
                <w:szCs w:val="21"/>
                <w:highlight w:val="none"/>
                <w:lang w:val="en-US" w:eastAsia="zh-CN"/>
              </w:rPr>
              <w:t>竞争性磋商</w:t>
            </w:r>
            <w:r>
              <w:rPr>
                <w:rFonts w:hint="eastAsia" w:ascii="宋体" w:hAnsi="宋体" w:eastAsia="宋体" w:cs="宋体"/>
                <w:color w:val="auto"/>
                <w:szCs w:val="21"/>
                <w:highlight w:val="none"/>
                <w:lang w:eastAsia="zh-CN"/>
              </w:rPr>
              <w:t>文件</w:t>
            </w:r>
            <w:r>
              <w:rPr>
                <w:rFonts w:hint="eastAsia" w:ascii="宋体" w:hAnsi="宋体" w:eastAsia="宋体" w:cs="宋体"/>
                <w:color w:val="auto"/>
                <w:szCs w:val="21"/>
                <w:highlight w:val="none"/>
              </w:rPr>
              <w:t>未作要求的</w:t>
            </w:r>
            <w:r>
              <w:rPr>
                <w:rFonts w:hint="eastAsia" w:ascii="宋体" w:hAnsi="宋体" w:eastAsia="宋体" w:cs="宋体"/>
                <w:bCs/>
                <w:color w:val="auto"/>
                <w:kern w:val="0"/>
                <w:sz w:val="21"/>
                <w:szCs w:val="21"/>
                <w:highlight w:val="none"/>
                <w:lang w:val="en-US" w:eastAsia="zh-CN"/>
              </w:rPr>
              <w:t>（如格式自拟或自行设计的内容）</w:t>
            </w:r>
            <w:r>
              <w:rPr>
                <w:rFonts w:hint="eastAsia" w:ascii="宋体" w:hAnsi="宋体" w:eastAsia="宋体" w:cs="宋体"/>
                <w:color w:val="auto"/>
                <w:szCs w:val="21"/>
                <w:highlight w:val="none"/>
              </w:rPr>
              <w:t>，不作为评审内容。</w:t>
            </w:r>
          </w:p>
        </w:tc>
      </w:tr>
      <w:tr w14:paraId="4CC7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54219D21">
            <w:pPr>
              <w:spacing w:before="100" w:beforeAutospacing="1" w:after="100" w:afterAutospacing="1" w:line="440" w:lineRule="exact"/>
              <w:jc w:val="center"/>
              <w:rPr>
                <w:rFonts w:hint="eastAsia" w:ascii="宋体" w:hAnsi="宋体" w:eastAsia="宋体" w:cs="宋体"/>
                <w:color w:val="auto"/>
                <w:highlight w:val="none"/>
              </w:rPr>
            </w:pPr>
          </w:p>
        </w:tc>
        <w:tc>
          <w:tcPr>
            <w:tcW w:w="1084" w:type="dxa"/>
            <w:vMerge w:val="continue"/>
            <w:noWrap/>
            <w:vAlign w:val="center"/>
          </w:tcPr>
          <w:p w14:paraId="1469F3AC">
            <w:pPr>
              <w:spacing w:line="440" w:lineRule="exact"/>
              <w:jc w:val="center"/>
              <w:rPr>
                <w:rFonts w:hint="eastAsia" w:ascii="宋体" w:hAnsi="宋体" w:eastAsia="宋体" w:cs="宋体"/>
                <w:color w:val="auto"/>
                <w:highlight w:val="none"/>
              </w:rPr>
            </w:pPr>
          </w:p>
        </w:tc>
        <w:tc>
          <w:tcPr>
            <w:tcW w:w="1823" w:type="dxa"/>
            <w:noWrap/>
            <w:vAlign w:val="center"/>
          </w:tcPr>
          <w:p w14:paraId="1085896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响应文件编制</w:t>
            </w:r>
          </w:p>
        </w:tc>
        <w:tc>
          <w:tcPr>
            <w:tcW w:w="6618" w:type="dxa"/>
            <w:noWrap/>
            <w:vAlign w:val="center"/>
          </w:tcPr>
          <w:p w14:paraId="40128243">
            <w:pP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符合磋商文件格式及资料提供的要求</w:t>
            </w:r>
            <w:r>
              <w:rPr>
                <w:rFonts w:hint="eastAsia" w:ascii="宋体" w:hAnsi="宋体" w:eastAsia="宋体" w:cs="宋体"/>
                <w:color w:val="auto"/>
                <w:szCs w:val="21"/>
                <w:highlight w:val="none"/>
                <w:lang w:eastAsia="zh-CN"/>
              </w:rPr>
              <w:t>。</w:t>
            </w:r>
          </w:p>
        </w:tc>
      </w:tr>
      <w:tr w14:paraId="01A0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19E3F769">
            <w:pPr>
              <w:spacing w:before="100" w:beforeAutospacing="1" w:after="100" w:afterAutospacing="1" w:line="440" w:lineRule="exact"/>
              <w:jc w:val="center"/>
              <w:rPr>
                <w:rFonts w:hint="eastAsia" w:ascii="宋体" w:hAnsi="宋体" w:eastAsia="宋体" w:cs="宋体"/>
                <w:color w:val="auto"/>
                <w:highlight w:val="none"/>
              </w:rPr>
            </w:pPr>
          </w:p>
        </w:tc>
        <w:tc>
          <w:tcPr>
            <w:tcW w:w="1084" w:type="dxa"/>
            <w:vMerge w:val="continue"/>
            <w:noWrap/>
            <w:vAlign w:val="center"/>
          </w:tcPr>
          <w:p w14:paraId="5FD6A03D">
            <w:pPr>
              <w:spacing w:line="440" w:lineRule="exact"/>
              <w:jc w:val="center"/>
              <w:rPr>
                <w:rFonts w:hint="eastAsia" w:ascii="宋体" w:hAnsi="宋体" w:eastAsia="宋体" w:cs="宋体"/>
                <w:color w:val="auto"/>
                <w:highlight w:val="none"/>
              </w:rPr>
            </w:pPr>
          </w:p>
        </w:tc>
        <w:tc>
          <w:tcPr>
            <w:tcW w:w="1823" w:type="dxa"/>
            <w:noWrap/>
            <w:vAlign w:val="center"/>
          </w:tcPr>
          <w:p w14:paraId="17EFE9AF">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w:t>
            </w:r>
          </w:p>
        </w:tc>
        <w:tc>
          <w:tcPr>
            <w:tcW w:w="6618" w:type="dxa"/>
            <w:noWrap/>
            <w:vAlign w:val="center"/>
          </w:tcPr>
          <w:p w14:paraId="6F9E0CD4">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磋商报价认定为超过</w:t>
            </w:r>
            <w:r>
              <w:rPr>
                <w:rFonts w:hint="eastAsia" w:ascii="宋体" w:hAnsi="宋体" w:eastAsia="宋体" w:cs="宋体"/>
                <w:color w:val="auto"/>
                <w:kern w:val="0"/>
                <w:highlight w:val="none"/>
                <w:lang w:val="en-US" w:eastAsia="zh-CN"/>
              </w:rPr>
              <w:t>磋商采购文件最高限价</w:t>
            </w:r>
            <w:r>
              <w:rPr>
                <w:rFonts w:hint="eastAsia" w:ascii="宋体" w:hAnsi="宋体" w:eastAsia="宋体" w:cs="宋体"/>
                <w:color w:val="auto"/>
                <w:szCs w:val="21"/>
                <w:highlight w:val="none"/>
              </w:rPr>
              <w:t>或认定不合理价格的情况，其磋商响应文件将被否决，相关要求如下：</w:t>
            </w:r>
          </w:p>
          <w:p w14:paraId="4CA1ABD8">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1.磋商申请人出现不按</w:t>
            </w:r>
            <w:r>
              <w:rPr>
                <w:rFonts w:hint="eastAsia" w:ascii="宋体" w:hAnsi="宋体" w:eastAsia="宋体" w:cs="宋体"/>
                <w:color w:val="auto"/>
                <w:szCs w:val="21"/>
                <w:highlight w:val="none"/>
                <w:lang w:val="en-US" w:eastAsia="zh-CN"/>
              </w:rPr>
              <w:t>采购文件</w:t>
            </w:r>
            <w:r>
              <w:rPr>
                <w:rFonts w:hint="eastAsia" w:ascii="宋体" w:hAnsi="宋体" w:eastAsia="宋体" w:cs="宋体"/>
                <w:color w:val="auto"/>
                <w:szCs w:val="21"/>
                <w:highlight w:val="none"/>
              </w:rPr>
              <w:t>要求</w:t>
            </w:r>
            <w:r>
              <w:rPr>
                <w:rFonts w:hint="eastAsia" w:ascii="宋体" w:hAnsi="宋体" w:eastAsia="宋体" w:cs="宋体"/>
                <w:color w:val="auto"/>
                <w:szCs w:val="21"/>
                <w:highlight w:val="none"/>
                <w:lang w:val="en-US" w:eastAsia="zh-CN"/>
              </w:rPr>
              <w:t>分别</w:t>
            </w:r>
            <w:r>
              <w:rPr>
                <w:rFonts w:hint="eastAsia" w:ascii="宋体" w:hAnsi="宋体" w:eastAsia="宋体" w:cs="宋体"/>
                <w:color w:val="auto"/>
                <w:szCs w:val="21"/>
                <w:highlight w:val="none"/>
              </w:rPr>
              <w:t>填报磋商报价的，其磋商响应文件将被否决。</w:t>
            </w:r>
          </w:p>
          <w:p w14:paraId="53381A57">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2.磋商申请人填报的最终报价超过</w:t>
            </w:r>
            <w:r>
              <w:rPr>
                <w:rFonts w:hint="eastAsia" w:ascii="宋体" w:hAnsi="宋体" w:eastAsia="宋体" w:cs="宋体"/>
                <w:color w:val="auto"/>
                <w:szCs w:val="21"/>
                <w:highlight w:val="none"/>
                <w:lang w:val="en-US" w:eastAsia="zh-CN"/>
              </w:rPr>
              <w:t>最高限价</w:t>
            </w:r>
            <w:r>
              <w:rPr>
                <w:rFonts w:hint="eastAsia" w:ascii="宋体" w:hAnsi="宋体" w:eastAsia="宋体" w:cs="宋体"/>
                <w:color w:val="auto"/>
                <w:szCs w:val="21"/>
                <w:highlight w:val="none"/>
              </w:rPr>
              <w:t>的，其磋商响应文件将被否决。</w:t>
            </w:r>
          </w:p>
          <w:p w14:paraId="2878D50C">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rPr>
              <w:t>3.</w:t>
            </w:r>
            <w:r>
              <w:rPr>
                <w:rFonts w:hint="eastAsia" w:ascii="宋体" w:hAnsi="宋体" w:eastAsia="宋体" w:cs="宋体"/>
                <w:bCs/>
                <w:color w:val="auto"/>
                <w:kern w:val="0"/>
                <w:sz w:val="21"/>
                <w:szCs w:val="21"/>
                <w:highlight w:val="none"/>
                <w:lang w:val="en-US" w:eastAsia="zh-CN"/>
              </w:rPr>
              <w:t>经审查认定磋商申请人填报的投标报价为异常低价的，磋商小组应当将其作为无效响应文件处理。</w:t>
            </w:r>
          </w:p>
          <w:p w14:paraId="1189155E">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（1）政府采购异常低价审查执行标准：</w:t>
            </w:r>
          </w:p>
          <w:p w14:paraId="26CF6961">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①投标（响应）报价低于全部通过符合性审查供应商投标（响应）报价平均值60%的，即投标（响应）报价＜全部通过符合性审查供应商投标（响应）报价平均值×60%；</w:t>
            </w:r>
          </w:p>
          <w:p w14:paraId="06112EA2">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②投标（响应）报价低于通过符合性审查的次低报价供应商投标（响应）报价60%的，即投标（响应）报价＜通过符合性审查的次低报价供应商投标（响应）报价×60%；</w:t>
            </w:r>
          </w:p>
          <w:p w14:paraId="7056C3F9">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③投标（响应）报价低于采购项目最高限价60%的，即投标（响应）报价＜采购项目最高限价×60%；</w:t>
            </w:r>
          </w:p>
          <w:p w14:paraId="6CDC559F">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④磋商小组基于专业判断，认为供应商报价过低，有可能影响产品质量或者不能诚信履约的其他情形。</w:t>
            </w:r>
          </w:p>
          <w:p w14:paraId="21A6A445">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lang w:val="en-US" w:eastAsia="zh-CN"/>
              </w:rPr>
              <w:t>2）政府采购异常低价审查程序</w:t>
            </w:r>
          </w:p>
          <w:p w14:paraId="08F8F415">
            <w:pPr>
              <w:keepNext w:val="0"/>
              <w:keepLines w:val="0"/>
              <w:pageBreakBefore w:val="0"/>
              <w:kinsoku/>
              <w:wordWrap/>
              <w:overflowPunct/>
              <w:autoSpaceDN/>
              <w:bidi w:val="0"/>
              <w:spacing w:beforeAutospacing="0" w:afterAutospacing="0" w:line="420" w:lineRule="exac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①</w:t>
            </w:r>
            <w:r>
              <w:rPr>
                <w:rFonts w:hint="eastAsia" w:ascii="宋体" w:hAnsi="宋体" w:eastAsia="宋体" w:cs="宋体"/>
                <w:bCs/>
                <w:color w:val="auto"/>
                <w:kern w:val="0"/>
                <w:sz w:val="21"/>
                <w:szCs w:val="21"/>
                <w:highlight w:val="none"/>
                <w:lang w:eastAsia="zh-CN"/>
              </w:rPr>
              <w:t>磋商小组</w:t>
            </w:r>
            <w:r>
              <w:rPr>
                <w:rFonts w:hint="eastAsia" w:ascii="宋体" w:hAnsi="宋体" w:eastAsia="宋体" w:cs="宋体"/>
                <w:bCs/>
                <w:color w:val="auto"/>
                <w:kern w:val="0"/>
                <w:sz w:val="21"/>
                <w:szCs w:val="21"/>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rPr>
              <w:t>30分钟</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rPr>
              <w:t>。其中，属于第3项情形，供应商已随投标（响应）文件一并提交相关书面说明及必要的证明材料的，在评审现场可不再重复提交。</w:t>
            </w:r>
          </w:p>
          <w:p w14:paraId="4806641D">
            <w:pPr>
              <w:spacing w:line="440" w:lineRule="exact"/>
              <w:rPr>
                <w:rFonts w:hint="eastAsia" w:ascii="宋体" w:hAnsi="宋体" w:eastAsia="宋体" w:cs="宋体"/>
                <w:color w:val="auto"/>
                <w:highlight w:val="none"/>
              </w:rPr>
            </w:pPr>
            <w:r>
              <w:rPr>
                <w:rFonts w:hint="eastAsia" w:ascii="宋体" w:hAnsi="宋体" w:eastAsia="宋体" w:cs="宋体"/>
                <w:bCs/>
                <w:color w:val="auto"/>
                <w:kern w:val="0"/>
                <w:sz w:val="21"/>
                <w:szCs w:val="21"/>
                <w:highlight w:val="none"/>
                <w:lang w:val="en-US" w:eastAsia="zh-CN"/>
              </w:rPr>
              <w:t>②</w:t>
            </w:r>
            <w:r>
              <w:rPr>
                <w:rFonts w:hint="eastAsia" w:ascii="宋体" w:hAnsi="宋体" w:eastAsia="宋体" w:cs="宋体"/>
                <w:bCs/>
                <w:color w:val="auto"/>
                <w:kern w:val="0"/>
                <w:sz w:val="21"/>
                <w:szCs w:val="21"/>
                <w:highlight w:val="none"/>
                <w:lang w:eastAsia="zh-CN"/>
              </w:rPr>
              <w:t>磋商小组</w:t>
            </w:r>
            <w:r>
              <w:rPr>
                <w:rFonts w:hint="eastAsia" w:ascii="宋体" w:hAnsi="宋体" w:eastAsia="宋体" w:cs="宋体"/>
                <w:bCs/>
                <w:color w:val="auto"/>
                <w:kern w:val="0"/>
                <w:sz w:val="21"/>
                <w:szCs w:val="21"/>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color w:val="auto"/>
                <w:kern w:val="0"/>
                <w:sz w:val="21"/>
                <w:szCs w:val="21"/>
                <w:highlight w:val="none"/>
                <w:lang w:eastAsia="zh-CN"/>
              </w:rPr>
              <w:t>磋商小组</w:t>
            </w:r>
            <w:r>
              <w:rPr>
                <w:rFonts w:hint="eastAsia" w:ascii="宋体" w:hAnsi="宋体" w:eastAsia="宋体" w:cs="宋体"/>
                <w:bCs/>
                <w:color w:val="auto"/>
                <w:kern w:val="0"/>
                <w:sz w:val="21"/>
                <w:szCs w:val="21"/>
                <w:highlight w:val="none"/>
              </w:rPr>
              <w:t>应当将其作为无效投标（响应）处理。</w:t>
            </w:r>
          </w:p>
        </w:tc>
      </w:tr>
      <w:tr w14:paraId="0ACDD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601A5C77">
            <w:pPr>
              <w:spacing w:before="100" w:beforeAutospacing="1" w:after="100" w:afterAutospacing="1" w:line="440" w:lineRule="exact"/>
              <w:jc w:val="center"/>
              <w:rPr>
                <w:rFonts w:hint="eastAsia" w:ascii="宋体" w:hAnsi="宋体" w:eastAsia="宋体" w:cs="宋体"/>
                <w:color w:val="auto"/>
                <w:highlight w:val="none"/>
              </w:rPr>
            </w:pPr>
          </w:p>
        </w:tc>
        <w:tc>
          <w:tcPr>
            <w:tcW w:w="1084" w:type="dxa"/>
            <w:vMerge w:val="continue"/>
            <w:noWrap/>
            <w:vAlign w:val="center"/>
          </w:tcPr>
          <w:p w14:paraId="1BD3F988">
            <w:pPr>
              <w:spacing w:line="440" w:lineRule="exact"/>
              <w:jc w:val="center"/>
              <w:rPr>
                <w:rFonts w:hint="eastAsia" w:ascii="宋体" w:hAnsi="宋体" w:eastAsia="宋体" w:cs="宋体"/>
                <w:color w:val="auto"/>
                <w:highlight w:val="none"/>
              </w:rPr>
            </w:pPr>
          </w:p>
        </w:tc>
        <w:tc>
          <w:tcPr>
            <w:tcW w:w="1823" w:type="dxa"/>
            <w:noWrap/>
            <w:vAlign w:val="center"/>
          </w:tcPr>
          <w:p w14:paraId="50245EDD">
            <w:pPr>
              <w:spacing w:line="44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磋商保证金</w:t>
            </w:r>
          </w:p>
        </w:tc>
        <w:tc>
          <w:tcPr>
            <w:tcW w:w="6618" w:type="dxa"/>
            <w:noWrap/>
            <w:vAlign w:val="center"/>
          </w:tcPr>
          <w:p w14:paraId="487459AD">
            <w:pPr>
              <w:spacing w:line="44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color w:val="auto"/>
                <w:szCs w:val="21"/>
                <w:highlight w:val="none"/>
              </w:rPr>
              <w:t>必须</w:t>
            </w:r>
            <w:r>
              <w:rPr>
                <w:rFonts w:hint="eastAsia" w:ascii="宋体" w:hAnsi="宋体" w:eastAsia="宋体" w:cs="宋体"/>
                <w:color w:val="auto"/>
                <w:szCs w:val="21"/>
                <w:highlight w:val="none"/>
                <w:lang w:eastAsia="zh-CN"/>
              </w:rPr>
              <w:t>按照</w:t>
            </w:r>
            <w:r>
              <w:rPr>
                <w:rFonts w:hint="eastAsia" w:ascii="宋体" w:hAnsi="宋体" w:eastAsia="宋体" w:cs="宋体"/>
                <w:color w:val="auto"/>
                <w:szCs w:val="21"/>
                <w:highlight w:val="none"/>
                <w:lang w:val="en-US" w:eastAsia="zh-CN"/>
              </w:rPr>
              <w:t>竞争性磋商</w:t>
            </w:r>
            <w:r>
              <w:rPr>
                <w:rFonts w:hint="eastAsia" w:ascii="宋体" w:hAnsi="宋体" w:eastAsia="宋体" w:cs="宋体"/>
                <w:color w:val="auto"/>
                <w:szCs w:val="21"/>
                <w:highlight w:val="none"/>
                <w:lang w:eastAsia="zh-CN"/>
              </w:rPr>
              <w:t>文件</w:t>
            </w:r>
            <w:r>
              <w:rPr>
                <w:rFonts w:hint="eastAsia" w:ascii="宋体" w:hAnsi="宋体" w:eastAsia="宋体" w:cs="宋体"/>
                <w:color w:val="auto"/>
                <w:szCs w:val="21"/>
                <w:highlight w:val="none"/>
              </w:rPr>
              <w:t>第二章“</w:t>
            </w:r>
            <w:r>
              <w:rPr>
                <w:rFonts w:hint="eastAsia" w:ascii="宋体" w:hAnsi="宋体" w:eastAsia="宋体" w:cs="宋体"/>
                <w:color w:val="auto"/>
                <w:szCs w:val="21"/>
                <w:highlight w:val="none"/>
                <w:lang w:val="en-US" w:eastAsia="zh-CN"/>
              </w:rPr>
              <w:t>磋商申请人</w:t>
            </w:r>
            <w:r>
              <w:rPr>
                <w:rFonts w:hint="eastAsia" w:ascii="宋体" w:hAnsi="宋体" w:eastAsia="宋体" w:cs="宋体"/>
                <w:color w:val="auto"/>
                <w:szCs w:val="21"/>
                <w:highlight w:val="none"/>
              </w:rPr>
              <w:t>须知”规定提交</w:t>
            </w:r>
            <w:r>
              <w:rPr>
                <w:rFonts w:hint="eastAsia" w:ascii="宋体" w:hAnsi="宋体" w:eastAsia="宋体" w:cs="宋体"/>
                <w:color w:val="auto"/>
                <w:szCs w:val="21"/>
                <w:highlight w:val="none"/>
                <w:lang w:val="en-US" w:eastAsia="zh-CN"/>
              </w:rPr>
              <w:t>磋商</w:t>
            </w:r>
            <w:r>
              <w:rPr>
                <w:rFonts w:hint="eastAsia" w:ascii="宋体" w:hAnsi="宋体" w:eastAsia="宋体" w:cs="宋体"/>
                <w:color w:val="auto"/>
                <w:szCs w:val="21"/>
                <w:highlight w:val="none"/>
              </w:rPr>
              <w:t>保证金；</w:t>
            </w:r>
            <w:r>
              <w:rPr>
                <w:rFonts w:hint="eastAsia" w:ascii="宋体" w:hAnsi="宋体" w:eastAsia="宋体" w:cs="宋体"/>
                <w:color w:val="auto"/>
                <w:szCs w:val="21"/>
                <w:highlight w:val="none"/>
                <w:lang w:eastAsia="zh-CN"/>
              </w:rPr>
              <w:t>保证金</w:t>
            </w:r>
            <w:r>
              <w:rPr>
                <w:rFonts w:hint="eastAsia" w:ascii="宋体" w:hAnsi="宋体" w:eastAsia="宋体" w:cs="宋体"/>
                <w:color w:val="auto"/>
                <w:szCs w:val="21"/>
                <w:highlight w:val="none"/>
              </w:rPr>
              <w:t>有效期与</w:t>
            </w:r>
            <w:r>
              <w:rPr>
                <w:rFonts w:hint="eastAsia" w:ascii="宋体" w:hAnsi="宋体" w:eastAsia="宋体" w:cs="宋体"/>
                <w:color w:val="auto"/>
                <w:szCs w:val="21"/>
                <w:highlight w:val="none"/>
                <w:lang w:val="en-US" w:eastAsia="zh-CN"/>
              </w:rPr>
              <w:t>竞争性磋商</w:t>
            </w:r>
            <w:r>
              <w:rPr>
                <w:rFonts w:hint="eastAsia" w:ascii="宋体" w:hAnsi="宋体" w:eastAsia="宋体" w:cs="宋体"/>
                <w:color w:val="auto"/>
                <w:szCs w:val="21"/>
                <w:highlight w:val="none"/>
                <w:lang w:eastAsia="zh-CN"/>
              </w:rPr>
              <w:t>文件</w:t>
            </w:r>
            <w:r>
              <w:rPr>
                <w:rFonts w:hint="eastAsia" w:ascii="宋体" w:hAnsi="宋体" w:eastAsia="宋体" w:cs="宋体"/>
                <w:color w:val="auto"/>
                <w:szCs w:val="21"/>
                <w:highlight w:val="none"/>
              </w:rPr>
              <w:t>有效期保持一致。</w:t>
            </w:r>
          </w:p>
        </w:tc>
      </w:tr>
      <w:tr w14:paraId="083BE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740DE2AE">
            <w:pPr>
              <w:spacing w:before="100" w:beforeAutospacing="1" w:after="100" w:afterAutospacing="1" w:line="440" w:lineRule="exact"/>
              <w:jc w:val="center"/>
              <w:rPr>
                <w:rFonts w:hint="eastAsia" w:ascii="宋体" w:hAnsi="宋体" w:eastAsia="宋体" w:cs="宋体"/>
                <w:color w:val="auto"/>
                <w:highlight w:val="none"/>
              </w:rPr>
            </w:pPr>
          </w:p>
        </w:tc>
        <w:tc>
          <w:tcPr>
            <w:tcW w:w="1084" w:type="dxa"/>
            <w:vMerge w:val="continue"/>
            <w:noWrap/>
            <w:vAlign w:val="center"/>
          </w:tcPr>
          <w:p w14:paraId="538AC4EA">
            <w:pPr>
              <w:spacing w:line="440" w:lineRule="exact"/>
              <w:jc w:val="center"/>
              <w:rPr>
                <w:rFonts w:hint="eastAsia" w:ascii="宋体" w:hAnsi="宋体" w:eastAsia="宋体" w:cs="宋体"/>
                <w:color w:val="auto"/>
                <w:highlight w:val="none"/>
              </w:rPr>
            </w:pPr>
          </w:p>
        </w:tc>
        <w:tc>
          <w:tcPr>
            <w:tcW w:w="1823" w:type="dxa"/>
            <w:noWrap/>
            <w:vAlign w:val="center"/>
          </w:tcPr>
          <w:p w14:paraId="7CCF4A9F">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实质性响应</w:t>
            </w:r>
          </w:p>
        </w:tc>
        <w:tc>
          <w:tcPr>
            <w:tcW w:w="6618" w:type="dxa"/>
            <w:noWrap/>
            <w:vAlign w:val="center"/>
          </w:tcPr>
          <w:p w14:paraId="64F34655">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磋商响应文件必须满足本项目实质性要求，实质性要求详见竞争性磋商文件“</w:t>
            </w:r>
            <w:r>
              <w:rPr>
                <w:rFonts w:hint="eastAsia" w:ascii="宋体" w:hAnsi="宋体" w:eastAsia="宋体" w:cs="宋体"/>
                <w:color w:val="auto"/>
                <w:highlight w:val="none"/>
                <w:lang w:eastAsia="zh-CN"/>
              </w:rPr>
              <w:t>磋商申请人</w:t>
            </w:r>
            <w:r>
              <w:rPr>
                <w:rFonts w:hint="eastAsia" w:ascii="宋体" w:hAnsi="宋体" w:eastAsia="宋体" w:cs="宋体"/>
                <w:color w:val="auto"/>
                <w:highlight w:val="none"/>
              </w:rPr>
              <w:t>须知前附表：</w:t>
            </w:r>
            <w:r>
              <w:rPr>
                <w:rFonts w:hint="eastAsia" w:ascii="宋体" w:hAnsi="宋体" w:eastAsia="宋体" w:cs="宋体"/>
                <w:color w:val="auto"/>
                <w:kern w:val="0"/>
                <w:highlight w:val="none"/>
                <w:lang w:val="en-US" w:eastAsia="zh-CN"/>
              </w:rPr>
              <w:t>25.1.5</w:t>
            </w:r>
            <w:r>
              <w:rPr>
                <w:rFonts w:hint="eastAsia" w:ascii="宋体" w:hAnsi="宋体" w:eastAsia="宋体" w:cs="宋体"/>
                <w:color w:val="auto"/>
                <w:highlight w:val="none"/>
              </w:rPr>
              <w:t>条”。</w:t>
            </w:r>
          </w:p>
          <w:p w14:paraId="153998CE">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特别说明：采购</w:t>
            </w:r>
            <w:r>
              <w:rPr>
                <w:rFonts w:hint="eastAsia" w:ascii="宋体" w:hAnsi="宋体" w:eastAsia="宋体" w:cs="宋体"/>
                <w:color w:val="auto"/>
                <w:highlight w:val="none"/>
              </w:rPr>
              <w:t>文件没有标注为实质性条款的，不作为实质性要求的评审范围</w:t>
            </w:r>
            <w:r>
              <w:rPr>
                <w:rFonts w:hint="eastAsia" w:ascii="宋体" w:hAnsi="宋体" w:eastAsia="宋体" w:cs="宋体"/>
                <w:color w:val="auto"/>
                <w:highlight w:val="none"/>
                <w:lang w:eastAsia="zh-CN"/>
              </w:rPr>
              <w:t>。</w:t>
            </w:r>
          </w:p>
        </w:tc>
      </w:tr>
      <w:tr w14:paraId="0F26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4" w:type="dxa"/>
            <w:vMerge w:val="continue"/>
            <w:noWrap/>
            <w:vAlign w:val="center"/>
          </w:tcPr>
          <w:p w14:paraId="04B06B2F">
            <w:pPr>
              <w:widowControl/>
              <w:spacing w:line="440" w:lineRule="exact"/>
              <w:jc w:val="left"/>
              <w:rPr>
                <w:rFonts w:hint="eastAsia" w:ascii="宋体" w:hAnsi="宋体" w:eastAsia="宋体" w:cs="宋体"/>
                <w:color w:val="auto"/>
                <w:highlight w:val="none"/>
              </w:rPr>
            </w:pPr>
          </w:p>
        </w:tc>
        <w:tc>
          <w:tcPr>
            <w:tcW w:w="1084" w:type="dxa"/>
            <w:vMerge w:val="continue"/>
            <w:noWrap/>
            <w:vAlign w:val="center"/>
          </w:tcPr>
          <w:p w14:paraId="5CEE1A2E">
            <w:pPr>
              <w:widowControl/>
              <w:spacing w:line="440" w:lineRule="exact"/>
              <w:jc w:val="left"/>
              <w:rPr>
                <w:rFonts w:hint="eastAsia" w:ascii="宋体" w:hAnsi="宋体" w:eastAsia="宋体" w:cs="宋体"/>
                <w:color w:val="auto"/>
                <w:highlight w:val="none"/>
              </w:rPr>
            </w:pPr>
          </w:p>
        </w:tc>
        <w:tc>
          <w:tcPr>
            <w:tcW w:w="1823" w:type="dxa"/>
            <w:noWrap/>
            <w:vAlign w:val="center"/>
          </w:tcPr>
          <w:p w14:paraId="0F62F0ED">
            <w:pPr>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6618" w:type="dxa"/>
            <w:noWrap/>
            <w:vAlign w:val="center"/>
          </w:tcPr>
          <w:p w14:paraId="66880989">
            <w:pPr>
              <w:spacing w:line="440" w:lineRule="exact"/>
              <w:rPr>
                <w:rFonts w:hint="eastAsia" w:ascii="宋体" w:hAnsi="宋体" w:eastAsia="宋体" w:cs="宋体"/>
                <w:color w:val="auto"/>
                <w:highlight w:val="none"/>
              </w:rPr>
            </w:pPr>
            <w:r>
              <w:rPr>
                <w:rFonts w:hint="eastAsia" w:ascii="宋体" w:hAnsi="宋体" w:eastAsia="宋体" w:cs="宋体"/>
                <w:color w:val="auto"/>
                <w:kern w:val="0"/>
                <w:highlight w:val="none"/>
              </w:rPr>
              <w:t>磋商响应文件</w:t>
            </w:r>
            <w:r>
              <w:rPr>
                <w:rFonts w:hint="eastAsia" w:ascii="宋体" w:hAnsi="宋体" w:eastAsia="宋体" w:cs="宋体"/>
                <w:color w:val="auto"/>
                <w:kern w:val="0"/>
                <w:highlight w:val="none"/>
                <w:lang w:val="en-US" w:eastAsia="zh-CN"/>
              </w:rPr>
              <w:t>没有</w:t>
            </w:r>
            <w:r>
              <w:rPr>
                <w:rFonts w:hint="eastAsia" w:ascii="宋体" w:hAnsi="宋体" w:eastAsia="宋体" w:cs="宋体"/>
                <w:color w:val="auto"/>
                <w:kern w:val="0"/>
                <w:highlight w:val="none"/>
              </w:rPr>
              <w:t>不符合法律法规</w:t>
            </w:r>
            <w:r>
              <w:rPr>
                <w:rFonts w:hint="eastAsia" w:ascii="宋体" w:hAnsi="宋体" w:eastAsia="宋体" w:cs="宋体"/>
                <w:color w:val="auto"/>
                <w:kern w:val="0"/>
                <w:highlight w:val="none"/>
                <w:lang w:val="en-US" w:eastAsia="zh-CN"/>
              </w:rPr>
              <w:t>的情况</w:t>
            </w:r>
            <w:r>
              <w:rPr>
                <w:rFonts w:hint="eastAsia" w:ascii="宋体" w:hAnsi="宋体" w:eastAsia="宋体" w:cs="宋体"/>
                <w:color w:val="auto"/>
                <w:kern w:val="0"/>
                <w:highlight w:val="none"/>
              </w:rPr>
              <w:t>。</w:t>
            </w:r>
          </w:p>
        </w:tc>
      </w:tr>
    </w:tbl>
    <w:p w14:paraId="57460A6D">
      <w:pPr>
        <w:pStyle w:val="8"/>
        <w:ind w:left="2940"/>
        <w:rPr>
          <w:rFonts w:hint="eastAsia" w:ascii="宋体" w:hAnsi="宋体" w:eastAsia="宋体" w:cs="宋体"/>
          <w:color w:val="auto"/>
          <w:highlight w:val="none"/>
        </w:rPr>
      </w:pPr>
    </w:p>
    <w:p w14:paraId="499920E0">
      <w:pPr>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4"/>
          <w:szCs w:val="24"/>
          <w:highlight w:val="none"/>
        </w:rPr>
        <w:t>三、详细评审表</w:t>
      </w:r>
    </w:p>
    <w:tbl>
      <w:tblPr>
        <w:tblStyle w:val="27"/>
        <w:tblpPr w:leftFromText="180" w:rightFromText="180" w:vertAnchor="text" w:horzAnchor="page" w:tblpX="1000" w:tblpY="321"/>
        <w:tblOverlap w:val="never"/>
        <w:tblW w:w="10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12"/>
        <w:gridCol w:w="1075"/>
        <w:gridCol w:w="7775"/>
      </w:tblGrid>
      <w:tr w14:paraId="2DCBD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trPr>
        <w:tc>
          <w:tcPr>
            <w:tcW w:w="1374" w:type="dxa"/>
            <w:gridSpan w:val="2"/>
            <w:noWrap/>
            <w:vAlign w:val="center"/>
          </w:tcPr>
          <w:p w14:paraId="436699B2">
            <w:pPr>
              <w:keepLines w:val="0"/>
              <w:pageBreakBefore w:val="0"/>
              <w:wordWrap/>
              <w:topLinePunct w:val="0"/>
              <w:bidi w:val="0"/>
              <w:spacing w:line="42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条款号</w:t>
            </w:r>
          </w:p>
        </w:tc>
        <w:tc>
          <w:tcPr>
            <w:tcW w:w="8850" w:type="dxa"/>
            <w:gridSpan w:val="2"/>
            <w:noWrap/>
            <w:vAlign w:val="center"/>
          </w:tcPr>
          <w:p w14:paraId="09A1990F">
            <w:pPr>
              <w:keepLines w:val="0"/>
              <w:pageBreakBefore w:val="0"/>
              <w:wordWrap/>
              <w:topLinePunct w:val="0"/>
              <w:bidi w:val="0"/>
              <w:spacing w:line="42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r>
      <w:tr w14:paraId="7C66C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74" w:type="dxa"/>
            <w:gridSpan w:val="2"/>
            <w:noWrap/>
            <w:vAlign w:val="center"/>
          </w:tcPr>
          <w:p w14:paraId="34EE485D">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8850" w:type="dxa"/>
            <w:gridSpan w:val="2"/>
            <w:noWrap/>
            <w:vAlign w:val="center"/>
          </w:tcPr>
          <w:p w14:paraId="5CAF9A2F">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综合评估评分法：是指响应文件满足磋商文件全部实质性要求且按评审因素的量化指标评审得分最高的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为成交候选</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的评审方法。</w:t>
            </w:r>
          </w:p>
          <w:p w14:paraId="4E81B773">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本项目评审细则详见下表：</w:t>
            </w:r>
          </w:p>
          <w:p w14:paraId="606BC0E1">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评分因素权重： 综合技术实力部分F1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rPr>
              <w:t>分；</w:t>
            </w:r>
          </w:p>
          <w:p w14:paraId="6F6A9F7B">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磋商报价F2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w:t>
            </w:r>
          </w:p>
          <w:p w14:paraId="351E92C7">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的评标总得分＝F1＋F2</w:t>
            </w:r>
          </w:p>
        </w:tc>
      </w:tr>
      <w:tr w14:paraId="0F47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restart"/>
            <w:noWrap/>
            <w:vAlign w:val="center"/>
          </w:tcPr>
          <w:p w14:paraId="49D4CE82">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p w14:paraId="3CE160FF">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restart"/>
            <w:noWrap/>
            <w:vAlign w:val="center"/>
          </w:tcPr>
          <w:p w14:paraId="1735E4EE">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综合技术实力部分F1</w:t>
            </w:r>
          </w:p>
          <w:p w14:paraId="4817173F">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c>
          <w:tcPr>
            <w:tcW w:w="1075" w:type="dxa"/>
            <w:noWrap/>
            <w:vAlign w:val="center"/>
          </w:tcPr>
          <w:p w14:paraId="42821580">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开展本项目建设服务工作的理解和分析（</w:t>
            </w:r>
            <w:r>
              <w:rPr>
                <w:rFonts w:hint="eastAsia" w:ascii="宋体" w:hAnsi="宋体" w:eastAsia="宋体" w:cs="宋体"/>
                <w:color w:val="auto"/>
                <w:sz w:val="21"/>
                <w:szCs w:val="21"/>
                <w:highlight w:val="none"/>
                <w:lang w:val="en-US" w:eastAsia="zh-CN"/>
              </w:rPr>
              <w:t>满分6分</w:t>
            </w:r>
            <w:r>
              <w:rPr>
                <w:rFonts w:hint="eastAsia" w:ascii="宋体" w:hAnsi="宋体" w:eastAsia="宋体" w:cs="宋体"/>
                <w:color w:val="auto"/>
                <w:sz w:val="21"/>
                <w:szCs w:val="21"/>
                <w:highlight w:val="none"/>
              </w:rPr>
              <w:t>）</w:t>
            </w:r>
          </w:p>
        </w:tc>
        <w:tc>
          <w:tcPr>
            <w:tcW w:w="7775" w:type="dxa"/>
            <w:noWrap/>
            <w:vAlign w:val="center"/>
          </w:tcPr>
          <w:p w14:paraId="2A2BB064">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此部分内容应充分结合本项目采购需求的全部内容以及磋商程序和方法的评审要求进行综合分析后进行编制，此部分包含但不限于：</w:t>
            </w:r>
          </w:p>
          <w:p w14:paraId="3761B028">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①对医共体中心药房系统业务需求理解和分析；</w:t>
            </w:r>
          </w:p>
          <w:p w14:paraId="643E53B2">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②开展本项目系统建设和相关服务总体思路和工作目标方针；</w:t>
            </w:r>
          </w:p>
          <w:p w14:paraId="796F6AE9">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③开展本项目系统建设和相关服务工作重难点分析及合理化建议。</w:t>
            </w:r>
          </w:p>
          <w:p w14:paraId="100739D3">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磋商小组对所有磋商响应文件的“开展本项目建设服务工作的理解和分析”中3类单项内容进行详细的审查评价评分，本项总分为6分（每类单项内容最高2分），具体评审细则如下：</w:t>
            </w:r>
          </w:p>
          <w:p w14:paraId="44BD08A6">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每一单项内容是基于项目采购需求以及开展中心药房管理系统建设服务工作所涉及的现行药房系统业务需求、技术标准、政策规范、项目建设服务内容重难点等情况进行编制，相应内容描述详细、完整、深刻，理解分析到位、准确的得2分/项；</w:t>
            </w:r>
          </w:p>
          <w:p w14:paraId="1712CE24">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每一单项内容是项目采购需求以及开展中心药房管理系统建设服务工作所涉及的现行药房系统业务需求、技术标准、政策规范、项目建设服务内容重难点等情况进行编制，相应内容描述较为详细、基本切合采购需求特点，理解分析基本到位、准确性一般的得1分/项。</w:t>
            </w:r>
          </w:p>
          <w:p w14:paraId="5D84250C">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每一单项内容是基本依据项目采购需求以及开展中心药房管理系统建设服务工作所涉及的现行药房系统业务需求、技术标准、政策规范、项目建设服务内容重难点等情况进行编制，但相应内容描述较为简单，内容描述存在瑕疵，理解分析存在一定偏差、准确性较差的得0.5分/项。</w:t>
            </w:r>
          </w:p>
          <w:p w14:paraId="69E49C35">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开展本项目建设服务工作的理解和分析”中单项内容的描述与本项目对应的内容无关或存在重大缺陷的【如：内容与项目不匹配、项目信息错误（包括时间、地点、名称等）、不符合本项目涉及的相关规范或标准要求等情形】或未提供相应内容的得0分/项。</w:t>
            </w:r>
          </w:p>
        </w:tc>
      </w:tr>
      <w:tr w14:paraId="00D1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67D1D46F">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2B021D85">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2996CFC9">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昌宁县医共体中心药房管理系统建设项目开发设计方案（</w:t>
            </w:r>
            <w:r>
              <w:rPr>
                <w:rFonts w:hint="eastAsia" w:ascii="宋体" w:hAnsi="宋体" w:eastAsia="宋体" w:cs="宋体"/>
                <w:color w:val="auto"/>
                <w:sz w:val="21"/>
                <w:szCs w:val="21"/>
                <w:highlight w:val="none"/>
                <w:lang w:val="en-US" w:eastAsia="zh-CN"/>
              </w:rPr>
              <w:t>满分22.5分</w:t>
            </w:r>
            <w:r>
              <w:rPr>
                <w:rFonts w:hint="eastAsia" w:ascii="宋体" w:hAnsi="宋体" w:eastAsia="宋体" w:cs="宋体"/>
                <w:color w:val="auto"/>
                <w:sz w:val="21"/>
                <w:szCs w:val="21"/>
                <w:highlight w:val="none"/>
              </w:rPr>
              <w:t>）</w:t>
            </w:r>
          </w:p>
        </w:tc>
        <w:tc>
          <w:tcPr>
            <w:tcW w:w="7775" w:type="dxa"/>
            <w:noWrap/>
            <w:vAlign w:val="center"/>
          </w:tcPr>
          <w:p w14:paraId="480ED6AA">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此部分内容应充分结合本项目采购需求的全部内容以及磋商程序和方法的评审要求进行综合分析后进行编制，此部分包含但不限于：</w:t>
            </w:r>
          </w:p>
          <w:p w14:paraId="75E58997">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①系统开发设计方案、设计技术标准和规范原则介绍；</w:t>
            </w:r>
          </w:p>
          <w:p w14:paraId="528AFFF8">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②系统整体性能设计介绍（至少包含：架构体系性能设计、应用系统性能设计、数据存储性能设计等内容的技术路线和设计方案）；</w:t>
            </w:r>
          </w:p>
          <w:p w14:paraId="0864EE9F">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③系统架构设计介绍（至少包含：应用架构、技术架构、数据架构、逻辑架构、安全架构等内容的技术路线和设计方案）；</w:t>
            </w:r>
          </w:p>
          <w:p w14:paraId="3224D5BD">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④系统功能设计介绍（至少包含：各功能模块设计、各功能模块业务执行流程、原型设计图等内容的技术路线和设计方案）；</w:t>
            </w:r>
          </w:p>
          <w:p w14:paraId="16FA40BA">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⑤数据接口开发设计介绍（至少包含：各类数据接口设计思路、技术路线和设计方案）。</w:t>
            </w:r>
          </w:p>
          <w:p w14:paraId="7FD25049">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磋商小组对所有磋商响应文件的“昌宁县医共体中心药房管理系统建设项目开发设计方案”中5类单项内容进行详细的审查评价评分，本项总分为22.5分（每类单项内容最高4.5分），具体评审细则如下：</w:t>
            </w:r>
          </w:p>
          <w:p w14:paraId="0933B1E8">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每一单项内容是基于采购需求和昌宁县医共体中心药房管理系统建设项目建设标准要求进行编制，对应部分设计方案内容完整具体、设计逻辑清晰、系统架构和功能业务流程设计科学合理的，并结合实际情况，针对本项目的特点进行了具体分析，功能设计合理、完善、实用、全面，契合项目需求，对具体功能模块进行细化深化的，完全满足并优于采购需求的得4.5分。</w:t>
            </w:r>
          </w:p>
          <w:p w14:paraId="76DE57E1">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每一单项内容是基于采购需求和昌宁县医共体中心药房管理系统建设项目建设标准要求进行编制，对应设计方案内容完整较为详细具体、设计逻辑条理基本清晰、系统架构和功能业务流程设计基本合理的，能结合本项目的实际情况与特点进行的分析，功能设计较合理、较实用、较全面，基本满足采购需求的得3分。</w:t>
            </w:r>
          </w:p>
          <w:p w14:paraId="4F8DF847">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每一单项内容是基于采购需求和昌宁县医共体中心药房管理系统建设项目建设标准要求进行编制，对应设计方案内容描述较为简单、内容存在缺陷（含部分内容缺失）或系统设计逻辑存在部分错误的情况，系统架构和功能业务流程设计存在瑕疵或功能缺失的，开发设计思路不清晰的得1.5分</w:t>
            </w:r>
          </w:p>
          <w:p w14:paraId="6643FE39">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（4）“昌宁县医共体中心药房管理系统建设项目总体设计方案”</w:t>
            </w:r>
            <w:r>
              <w:rPr>
                <w:rFonts w:hint="eastAsia" w:ascii="宋体" w:hAnsi="宋体" w:eastAsia="宋体" w:cs="宋体"/>
                <w:color w:val="auto"/>
                <w:sz w:val="21"/>
                <w:szCs w:val="21"/>
                <w:highlight w:val="none"/>
              </w:rPr>
              <w:t>中单项内容的描述与本项目对应的内容无关或存在重大缺陷的【如：内容与项目不匹配、项目信息错误（包括时间、地点、名称等）、不符合本项目涉及的相关规范或标准要求等情形】或未提供相应方案的得0分/项。</w:t>
            </w:r>
          </w:p>
        </w:tc>
      </w:tr>
      <w:tr w14:paraId="4DAF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1C708E70">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7BF785E3">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58F27CEC">
            <w:pPr>
              <w:keepNext w:val="0"/>
              <w:keepLines w:val="0"/>
              <w:pageBreakBefore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系统演示评价（满分1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分）</w:t>
            </w:r>
          </w:p>
        </w:tc>
        <w:tc>
          <w:tcPr>
            <w:tcW w:w="7775" w:type="dxa"/>
            <w:noWrap/>
            <w:vAlign w:val="center"/>
          </w:tcPr>
          <w:p w14:paraId="306E246F">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磋商小组根据项目采购需求并结合磋商申请人递交演示视频所展示的内容进行综合评审。</w:t>
            </w:r>
          </w:p>
          <w:p w14:paraId="747F772E">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（一）演示要求：</w:t>
            </w:r>
          </w:p>
          <w:p w14:paraId="15B68C6B">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需要对本次采购的“昌宁县医共体中心药房管理系统”提供开发设计功能模块（demo）进行视频演示，演示方式采用视频并配音解说进行实现（格式：MP4）。视频演示须图像清晰、演示功能准确，配音解说须与视频显示内容一致。未提供演示视频或演示视频演示无法读取数据、无法演示、未按要求演示要求响应的对应评审内容不得分。</w:t>
            </w:r>
          </w:p>
          <w:p w14:paraId="5C888A2D">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（二）评分标准：</w:t>
            </w:r>
          </w:p>
          <w:p w14:paraId="726EAE49">
            <w:pPr>
              <w:keepLines w:val="0"/>
              <w:pageBreakBefore w:val="0"/>
              <w:wordWrap/>
              <w:topLinePunct w:val="0"/>
              <w:bidi w:val="0"/>
              <w:spacing w:beforeAutospacing="0" w:afterAutospacing="0" w:line="42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需要对本次采购的“昌宁县医共体中心药房管理系统”提供开发设计功能模块（demo）进行视频演示，请根据竞争性磋商文件第五章采购需求中“二、昌宁县医共体中心药房管理系统功能需求”标注“▲”的为演示内容（共12项功能），请根据采购需求制作软件功能模块演示视频（demo）。其中各部分内容演示的功能模块必须演示系统功能的执行方式和相应的业务流程（需要通过数据验证的，磋商申请人可在演示过程中自行模拟相应数据模型）。磋商小组根据演示完成程度和功能业务执行情况进行综合评审：</w:t>
            </w:r>
          </w:p>
          <w:p w14:paraId="6B273028">
            <w:pPr>
              <w:keepLines w:val="0"/>
              <w:pageBreakBefore w:val="0"/>
              <w:wordWrap/>
              <w:topLinePunct w:val="0"/>
              <w:bidi w:val="0"/>
              <w:spacing w:beforeAutospacing="0" w:afterAutospacing="0" w:line="42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（1）系统架构要求部分系统演示评价（满分18分）</w:t>
            </w:r>
          </w:p>
          <w:p w14:paraId="6D8DD875">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系统架构部分“▲”的演示内容共12项功能，视频中每演示成功1项业务功能（业务功能完整能直观演示功能执行情况）得1.5分，存在缺项、漏项、不符合要求或者不演示相应功能业务执行情况的，此项不得分。</w:t>
            </w:r>
          </w:p>
        </w:tc>
      </w:tr>
      <w:tr w14:paraId="361E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422F5864">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6D2A6A90">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6ABAB4F7">
            <w:pPr>
              <w:keepNext/>
              <w:keepLines w:val="0"/>
              <w:pageBreakBefore w:val="0"/>
              <w:suppressLineNumbers w:val="0"/>
              <w:kinsoku/>
              <w:wordWrap/>
              <w:overflowPunct/>
              <w:topLinePunct w:val="0"/>
              <w:bidi w:val="0"/>
              <w:spacing w:beforeAutospacing="0" w:afterAutospacing="0" w:line="420" w:lineRule="exact"/>
              <w:ind w:left="0" w:leftChars="0" w:right="0" w:righ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昌宁县医共体中心药房管理系统建设技术方案（满分15分）</w:t>
            </w:r>
          </w:p>
        </w:tc>
        <w:tc>
          <w:tcPr>
            <w:tcW w:w="7775" w:type="dxa"/>
            <w:noWrap/>
            <w:vAlign w:val="center"/>
          </w:tcPr>
          <w:p w14:paraId="40DC43F8">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此部分内容应充分结合本项目采购需求的全部内容以及磋商程序和方法的评审要求进行综合分析后进行编制，此部分包含但不限于：</w:t>
            </w:r>
          </w:p>
          <w:p w14:paraId="653212DE">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①系统及数据接口开发设计工作方案（至少包含各项工作技术实施方案、技术工作流程、工作管理机制等内容）；</w:t>
            </w:r>
          </w:p>
          <w:p w14:paraId="66E17186">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②系统在各医共体各成员单位安装部署技术服务方案（至少包含各项工作技术实施方案、技术工作流程、工作管理机制等内容）；</w:t>
            </w:r>
          </w:p>
          <w:p w14:paraId="54B62D30">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各医共体各成员单位相关信息系统集成、相关数据接口开发服务、新建系统与采购人指定相关系统数据对接和系统集成实施服务信息数据整合技术服务方案（至少包含各项工作技术实施方案、技术工作流程、工作管理机制等内容）；</w:t>
            </w:r>
          </w:p>
          <w:p w14:paraId="39372256">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④系统建设完成后开展测试、试运行、初验、终验技术方案，及针对项目验收提出相关问题的整改优化工作预案（至少包含各项工作技术实施方案、技术工作流程、工作管理机制等内容）；</w:t>
            </w:r>
          </w:p>
          <w:p w14:paraId="467A69E0">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⑤项目实施进度计划安排（至少包含开展各阶段技术工作的工作进度安排、时间节点介绍、人力物力配备等内容）；</w:t>
            </w:r>
          </w:p>
          <w:p w14:paraId="3FA9EECE">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⑥项目风险控制方案和应急处理方案（至少包含：风险和应急事项预见、应急响应时间情况介绍、风险和应急处理程序、相应的处置预案）。</w:t>
            </w:r>
          </w:p>
          <w:p w14:paraId="67C02076">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磋商小组对所有磋商响应文件的“昌宁县医共体中心药房管理系统建设技术方案”中6类单项内容进行详细的审查评价评分，本项总分为15分（每类单项内容最高2.5分），具体评审细则如下：</w:t>
            </w:r>
          </w:p>
          <w:p w14:paraId="08ED6D44">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每一单项内容是基于采购需求并结合开展本项目业务系统所涉及的各项技术工作任务对应工作流程并在现行技术规范的要求下编制相应的技术工作方案，针对各项技术工作每个流程工序提出切实可行的具体实施流程和应对措施，技术工作方案准确详细描述相应工作流程和技术实施细则，相应技术方案科学、可执行力度强，对有效推进项目采购工作具有科学指导意义的得2.5分/项。</w:t>
            </w:r>
          </w:p>
          <w:p w14:paraId="269A6AC4">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每一单项内容是基于采购需求并结合开展本项目业务系统所涉及的各项技术工作任务对应工作流程并在现行技术规范的要求下编制相应的技术工作方案，相应技术方案基本完整但描述较为笼统，针对各项技术工作每个流程工序提出的实施流程和应对措施较为简单具有一定的可操作性，能指导开展项目采购工作的得1.5分/项。</w:t>
            </w:r>
          </w:p>
          <w:p w14:paraId="1F44DAA2">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每一单项内容基本符合采购需求和开展本项目业务系统所涉及的各项技术工作任务的标准和要求，相应技术方案描述简单不具体（如没有对相应工序的具体执行流程进行明确表述），存在明显瑕疵缺陷或存在前后逻辑错误，从而对项目采购工作的指导性欠佳的得0.5分/项。</w:t>
            </w:r>
          </w:p>
          <w:p w14:paraId="64BAAE27">
            <w:pPr>
              <w:keepLines w:val="0"/>
              <w:pageBreakBefore w:val="0"/>
              <w:wordWrap/>
              <w:topLinePunct w:val="0"/>
              <w:bidi w:val="0"/>
              <w:spacing w:beforeAutospacing="0" w:afterAutospacing="0" w:line="42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（4）“昌宁县医共体中心药房管理系统建设技术方案”</w:t>
            </w:r>
            <w:r>
              <w:rPr>
                <w:rFonts w:hint="eastAsia" w:ascii="宋体" w:hAnsi="宋体" w:eastAsia="宋体" w:cs="宋体"/>
                <w:color w:val="auto"/>
                <w:sz w:val="21"/>
                <w:szCs w:val="21"/>
                <w:highlight w:val="none"/>
              </w:rPr>
              <w:t>中单项内容的描述与本项目对应的内容无关或存在重大缺陷的</w:t>
            </w:r>
            <w:bookmarkStart w:id="219" w:name="_GoBack"/>
            <w:bookmarkEnd w:id="219"/>
            <w:r>
              <w:rPr>
                <w:rFonts w:hint="eastAsia" w:ascii="宋体" w:hAnsi="宋体" w:eastAsia="宋体" w:cs="宋体"/>
                <w:color w:val="auto"/>
                <w:sz w:val="21"/>
                <w:szCs w:val="21"/>
                <w:highlight w:val="none"/>
              </w:rPr>
              <w:t>【如：内容与项目不匹配、项目信息错误（包括时间、地点、名称等）、不符合本项目涉及的相关规范或标准要求等情形】或未提供相应方案的得0分/项。</w:t>
            </w:r>
          </w:p>
        </w:tc>
      </w:tr>
      <w:tr w14:paraId="0FE4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08A5E57B">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1B0C3DFF">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08755E85">
            <w:pPr>
              <w:keepLines w:val="0"/>
              <w:pageBreakBefore w:val="0"/>
              <w:kinsoku w:val="0"/>
              <w:wordWrap/>
              <w:overflowPunct w:val="0"/>
              <w:topLinePunct w:val="0"/>
              <w:autoSpaceDE w:val="0"/>
              <w:autoSpaceDN w:val="0"/>
              <w:bidi w:val="0"/>
              <w:adjustRightInd w:val="0"/>
              <w:snapToGrid w:val="0"/>
              <w:spacing w:beforeAutospacing="0" w:afterAutospacing="0"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项目技术培训服务方案（满分2分）</w:t>
            </w:r>
          </w:p>
        </w:tc>
        <w:tc>
          <w:tcPr>
            <w:tcW w:w="7775" w:type="dxa"/>
            <w:noWrap/>
            <w:vAlign w:val="center"/>
          </w:tcPr>
          <w:p w14:paraId="742DD609">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此部分内容应充分结合本项目采购需求的全部内容以及磋商程序和方法的评审要求进行综合分析后进行编制，此部分包含但不限于：</w:t>
            </w:r>
          </w:p>
          <w:p w14:paraId="46B9CC30">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①项目技术培训内容和培训课程设置；</w:t>
            </w:r>
          </w:p>
          <w:p w14:paraId="59AA428E">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②项目技术培训计划安排（明确具体培训模式、培训工作时间安排和具体各项课程安排等）。</w:t>
            </w:r>
          </w:p>
          <w:p w14:paraId="14EE9668">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的“项目技术培训服务方案”中</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类单项内容进行详细的审查评价评分，本项总分</w:t>
            </w:r>
            <w:r>
              <w:rPr>
                <w:rFonts w:hint="eastAsia" w:ascii="宋体" w:hAnsi="宋体" w:eastAsia="宋体" w:cs="宋体"/>
                <w:color w:val="auto"/>
                <w:sz w:val="21"/>
                <w:szCs w:val="21"/>
                <w:highlight w:val="none"/>
                <w:lang w:val="en-US" w:eastAsia="zh-CN"/>
              </w:rPr>
              <w:t>为2</w:t>
            </w:r>
            <w:r>
              <w:rPr>
                <w:rFonts w:hint="eastAsia" w:ascii="宋体" w:hAnsi="宋体" w:eastAsia="宋体" w:cs="宋体"/>
                <w:color w:val="auto"/>
                <w:sz w:val="21"/>
                <w:szCs w:val="21"/>
                <w:highlight w:val="none"/>
              </w:rPr>
              <w:t>分（每类单项内容最高</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分），具体评审细则如下：</w:t>
            </w:r>
          </w:p>
          <w:p w14:paraId="7C0369E1">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（1）单项内容是基于采购需求和开展</w:t>
            </w:r>
            <w:r>
              <w:rPr>
                <w:rFonts w:hint="eastAsia" w:ascii="宋体" w:hAnsi="宋体" w:eastAsia="宋体" w:cs="宋体"/>
                <w:color w:val="auto"/>
                <w:sz w:val="21"/>
                <w:szCs w:val="21"/>
                <w:highlight w:val="none"/>
                <w:lang w:val="en-US" w:eastAsia="zh-CN"/>
              </w:rPr>
              <w:t>相应仪器设备使用</w:t>
            </w:r>
            <w:r>
              <w:rPr>
                <w:rFonts w:hint="eastAsia" w:ascii="宋体" w:hAnsi="宋体" w:eastAsia="宋体" w:cs="宋体"/>
                <w:color w:val="auto"/>
                <w:sz w:val="21"/>
                <w:szCs w:val="21"/>
                <w:highlight w:val="none"/>
              </w:rPr>
              <w:t>技术培训服务的标准和要求进行编制，相应培训方案内容完整、相应培训流程和培训计划切实可行，完全契合采购需求，能确保培训工作高效有序推进的得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分/项；</w:t>
            </w:r>
          </w:p>
          <w:p w14:paraId="7DA9093D">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（2）单项内容均按照</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编制，但相应培训方案存在缺失相关内容（如：存在未提供明确的培训课程设置、培训模式等情形的）或培训方案内容表述错误（如：内容前后表述矛盾、内容凭空编造、逻辑混乱、不可能实现的夸大的情形）的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分/项；</w:t>
            </w:r>
          </w:p>
          <w:p w14:paraId="544863A4">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技术培训服务方案”单项内容的描述与本项目对应的内容无关或存在重大缺陷的【如：内容与项目不匹配、项目信息错误（包括时间、地点、名称等）、不符合本项目涉及的相关规范或标准要求等情形】或未提供相应方案的关键性内容（如：未载明培训内容、培训工作时间安排，未提供对应单项内容）的得0分/项。</w:t>
            </w:r>
          </w:p>
        </w:tc>
      </w:tr>
      <w:tr w14:paraId="4A09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249835AA">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512DCB27">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506DE646">
            <w:pPr>
              <w:keepLines w:val="0"/>
              <w:pageBreakBefore w:val="0"/>
              <w:kinsoku w:val="0"/>
              <w:wordWrap/>
              <w:overflowPunct w:val="0"/>
              <w:topLinePunct w:val="0"/>
              <w:autoSpaceDE w:val="0"/>
              <w:autoSpaceDN w:val="0"/>
              <w:bidi w:val="0"/>
              <w:adjustRightInd w:val="0"/>
              <w:snapToGrid w:val="0"/>
              <w:spacing w:beforeAutospacing="0" w:afterAutospacing="0"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售后服务能力介绍及售后服务方案（满分7.5分）</w:t>
            </w:r>
          </w:p>
        </w:tc>
        <w:tc>
          <w:tcPr>
            <w:tcW w:w="7775" w:type="dxa"/>
            <w:noWrap/>
            <w:vAlign w:val="center"/>
          </w:tcPr>
          <w:p w14:paraId="0F74B6AF">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此部分内容应充分结合本项目采购需求的全部内容以及磋商程序和方法的评审要求进行综合分析后进行编制，此部分包含但不限于：</w:t>
            </w:r>
          </w:p>
          <w:p w14:paraId="30747637">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①售后服务体系介绍和售后技术团队设置情况（提供售后服务机构设置情况和本次采购产品的备件库设置情况介绍和证明材料，售后管理技术人员数量、技术分工和岗位情况介绍等内容）；</w:t>
            </w:r>
          </w:p>
          <w:p w14:paraId="50F75CDF">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②项目售后运维服务期限介绍，系统运维巡检、运行维护、系统升级技术方案；</w:t>
            </w:r>
          </w:p>
          <w:p w14:paraId="6224B552">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③针对可能发生的各类售后服务问题进行解决、系统出现或者因外部原因形成的各类漏洞BUG进行系统修复和整改升级的工作机制、处理办法及响应（维修维护）时间安排。</w:t>
            </w:r>
          </w:p>
          <w:p w14:paraId="760A0DC8">
            <w:pPr>
              <w:keepNext w:val="0"/>
              <w:keepLines w:val="0"/>
              <w:pageBreakBefore w:val="0"/>
              <w:kinsoku/>
              <w:wordWrap/>
              <w:overflowPunct/>
              <w:topLinePunct w:val="0"/>
              <w:autoSpaceDE/>
              <w:autoSpaceDN/>
              <w:bidi w:val="0"/>
              <w:snapToGrid/>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的“售后服务能力介绍及售后服务方案”中</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类单项内容进行详细的审查评价评分，本项总分</w:t>
            </w:r>
            <w:r>
              <w:rPr>
                <w:rFonts w:hint="eastAsia" w:ascii="宋体" w:hAnsi="宋体" w:eastAsia="宋体" w:cs="宋体"/>
                <w:color w:val="auto"/>
                <w:sz w:val="21"/>
                <w:szCs w:val="21"/>
                <w:highlight w:val="none"/>
                <w:lang w:val="en-US" w:eastAsia="zh-CN"/>
              </w:rPr>
              <w:t>为7.5</w:t>
            </w:r>
            <w:r>
              <w:rPr>
                <w:rFonts w:hint="eastAsia" w:ascii="宋体" w:hAnsi="宋体" w:eastAsia="宋体" w:cs="宋体"/>
                <w:color w:val="auto"/>
                <w:sz w:val="21"/>
                <w:szCs w:val="21"/>
                <w:highlight w:val="none"/>
              </w:rPr>
              <w:t>分（每类单项内容最高</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分），具体评审细则如下：</w:t>
            </w:r>
          </w:p>
          <w:p w14:paraId="0CE8CA18">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（1）单项内容是基于采购需求和项目售后服务要求进行编制，相应内容详实、齐全完整，</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具有完善的售后服务体系（指：提供售后服务机构设置情况和本次采购产品的备件库设置情况介绍和证明材料）、售后服</w:t>
            </w:r>
            <w:r>
              <w:rPr>
                <w:rFonts w:hint="eastAsia" w:ascii="宋体" w:hAnsi="宋体" w:eastAsia="宋体" w:cs="宋体"/>
                <w:color w:val="auto"/>
                <w:sz w:val="21"/>
                <w:szCs w:val="21"/>
                <w:highlight w:val="none"/>
                <w:lang w:eastAsia="zh-CN"/>
              </w:rPr>
              <w:t>务具</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便捷性</w:t>
            </w: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磋商申请</w:t>
            </w:r>
            <w:r>
              <w:rPr>
                <w:rFonts w:hint="eastAsia" w:ascii="宋体" w:hAnsi="宋体" w:eastAsia="宋体" w:cs="宋体"/>
                <w:b w:val="0"/>
                <w:bCs w:val="0"/>
                <w:color w:val="auto"/>
                <w:sz w:val="21"/>
                <w:szCs w:val="21"/>
                <w:highlight w:val="none"/>
                <w:lang w:eastAsia="zh-CN"/>
              </w:rPr>
              <w:t>人</w:t>
            </w:r>
            <w:r>
              <w:rPr>
                <w:rFonts w:hint="eastAsia" w:ascii="宋体" w:hAnsi="宋体" w:eastAsia="宋体" w:cs="宋体"/>
                <w:b w:val="0"/>
                <w:bCs w:val="0"/>
                <w:color w:val="auto"/>
                <w:sz w:val="21"/>
                <w:szCs w:val="21"/>
                <w:highlight w:val="none"/>
              </w:rPr>
              <w:t>提出的</w:t>
            </w:r>
            <w:r>
              <w:rPr>
                <w:rFonts w:hint="eastAsia" w:ascii="宋体" w:hAnsi="宋体" w:eastAsia="宋体" w:cs="宋体"/>
                <w:color w:val="auto"/>
                <w:sz w:val="21"/>
                <w:szCs w:val="21"/>
                <w:highlight w:val="none"/>
                <w:lang w:eastAsia="zh-CN"/>
              </w:rPr>
              <w:t>项目售后运维服务期限</w:t>
            </w:r>
            <w:r>
              <w:rPr>
                <w:rFonts w:hint="eastAsia" w:ascii="宋体" w:hAnsi="宋体" w:eastAsia="宋体" w:cs="宋体"/>
                <w:b w:val="0"/>
                <w:bCs w:val="0"/>
                <w:color w:val="auto"/>
                <w:sz w:val="21"/>
                <w:szCs w:val="21"/>
                <w:highlight w:val="none"/>
                <w:lang w:val="en-US" w:eastAsia="zh-CN"/>
              </w:rPr>
              <w:t>不低于</w:t>
            </w:r>
            <w:r>
              <w:rPr>
                <w:rFonts w:hint="eastAsia" w:ascii="宋体" w:hAnsi="宋体" w:eastAsia="宋体" w:cs="宋体"/>
                <w:b w:val="0"/>
                <w:bCs w:val="0"/>
                <w:color w:val="auto"/>
                <w:sz w:val="21"/>
                <w:szCs w:val="21"/>
                <w:highlight w:val="none"/>
              </w:rPr>
              <w:t>本次采购要求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rPr>
              <w:t>项目售后服务方案中工作任务计划和责任分工明确且契合采购需求，针对本次采购</w:t>
            </w:r>
            <w:r>
              <w:rPr>
                <w:rFonts w:hint="eastAsia" w:ascii="宋体" w:hAnsi="宋体" w:eastAsia="宋体" w:cs="宋体"/>
                <w:color w:val="auto"/>
                <w:sz w:val="21"/>
                <w:szCs w:val="21"/>
                <w:highlight w:val="none"/>
                <w:lang w:val="en-US" w:eastAsia="zh-CN"/>
              </w:rPr>
              <w:t>软硬件</w:t>
            </w:r>
            <w:r>
              <w:rPr>
                <w:rFonts w:hint="eastAsia" w:ascii="宋体" w:hAnsi="宋体" w:eastAsia="宋体" w:cs="宋体"/>
                <w:color w:val="auto"/>
                <w:sz w:val="21"/>
                <w:szCs w:val="21"/>
                <w:highlight w:val="none"/>
              </w:rPr>
              <w:t>设施开展的满足采购需求的巡检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保养</w:t>
            </w:r>
            <w:r>
              <w:rPr>
                <w:rFonts w:hint="eastAsia" w:ascii="宋体" w:hAnsi="宋体" w:eastAsia="宋体" w:cs="宋体"/>
                <w:color w:val="auto"/>
                <w:sz w:val="21"/>
                <w:szCs w:val="21"/>
                <w:highlight w:val="none"/>
                <w:lang w:val="en-US" w:eastAsia="zh-CN"/>
              </w:rPr>
              <w:t>和运行维护</w:t>
            </w:r>
            <w:r>
              <w:rPr>
                <w:rFonts w:hint="eastAsia" w:ascii="宋体" w:hAnsi="宋体" w:eastAsia="宋体" w:cs="宋体"/>
                <w:color w:val="auto"/>
                <w:sz w:val="21"/>
                <w:szCs w:val="21"/>
                <w:highlight w:val="none"/>
              </w:rPr>
              <w:t>服务提出准确详细描述相应的工作流程和技术实施细则；</w:t>
            </w:r>
            <w:r>
              <w:rPr>
                <w:rFonts w:hint="eastAsia" w:ascii="宋体" w:hAnsi="宋体" w:eastAsia="宋体" w:cs="宋体"/>
                <w:color w:val="auto"/>
                <w:sz w:val="21"/>
                <w:szCs w:val="21"/>
                <w:highlight w:val="none"/>
                <w:lang w:eastAsia="zh-CN"/>
              </w:rPr>
              <w:t>针对可能发生的各类售后服务问题和需要技术支持提出详细的售后服务工作机制和处理办法</w:t>
            </w:r>
            <w:r>
              <w:rPr>
                <w:rFonts w:hint="eastAsia" w:ascii="宋体" w:hAnsi="宋体" w:eastAsia="宋体" w:cs="宋体"/>
                <w:color w:val="auto"/>
                <w:sz w:val="21"/>
                <w:szCs w:val="21"/>
                <w:highlight w:val="none"/>
              </w:rPr>
              <w:t>，提出的售后维护和相应技术支持作出的</w:t>
            </w:r>
            <w:r>
              <w:rPr>
                <w:rFonts w:hint="eastAsia" w:ascii="宋体" w:hAnsi="宋体" w:eastAsia="宋体" w:cs="宋体"/>
                <w:color w:val="auto"/>
                <w:sz w:val="21"/>
                <w:szCs w:val="21"/>
                <w:highlight w:val="none"/>
                <w:lang w:eastAsia="zh-CN"/>
              </w:rPr>
              <w:t>响应（维护维修）时间</w:t>
            </w:r>
            <w:r>
              <w:rPr>
                <w:rFonts w:hint="eastAsia" w:ascii="宋体" w:hAnsi="宋体" w:eastAsia="宋体" w:cs="宋体"/>
                <w:color w:val="auto"/>
                <w:sz w:val="21"/>
                <w:szCs w:val="21"/>
                <w:highlight w:val="none"/>
              </w:rPr>
              <w:t>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优于采购需求中的相关售后服务时间要求）</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2.5</w:t>
            </w:r>
            <w:r>
              <w:rPr>
                <w:rFonts w:hint="eastAsia" w:ascii="宋体" w:hAnsi="宋体" w:eastAsia="宋体" w:cs="宋体"/>
                <w:color w:val="auto"/>
                <w:sz w:val="21"/>
                <w:szCs w:val="21"/>
                <w:highlight w:val="none"/>
              </w:rPr>
              <w:t>分/项。</w:t>
            </w:r>
          </w:p>
          <w:p w14:paraId="4AFE6B6E">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（2）单项内容均按照</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要求编制，</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具有较为完善的售后服务体系（指：</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与投标产品制造商共建的售后服务机构和产品备件库设置情况或依托拟提供产品制造商的售后服务机构和产品备件库设置情况证明材料）、售后服务较为便捷</w:t>
            </w: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磋商申请</w:t>
            </w:r>
            <w:r>
              <w:rPr>
                <w:rFonts w:hint="eastAsia" w:ascii="宋体" w:hAnsi="宋体" w:eastAsia="宋体" w:cs="宋体"/>
                <w:b w:val="0"/>
                <w:bCs w:val="0"/>
                <w:color w:val="auto"/>
                <w:sz w:val="21"/>
                <w:szCs w:val="21"/>
                <w:highlight w:val="none"/>
                <w:lang w:eastAsia="zh-CN"/>
              </w:rPr>
              <w:t>人</w:t>
            </w:r>
            <w:r>
              <w:rPr>
                <w:rFonts w:hint="eastAsia" w:ascii="宋体" w:hAnsi="宋体" w:eastAsia="宋体" w:cs="宋体"/>
                <w:b w:val="0"/>
                <w:bCs w:val="0"/>
                <w:color w:val="auto"/>
                <w:sz w:val="21"/>
                <w:szCs w:val="21"/>
                <w:highlight w:val="none"/>
              </w:rPr>
              <w:t>提出的</w:t>
            </w:r>
            <w:r>
              <w:rPr>
                <w:rFonts w:hint="eastAsia" w:ascii="宋体" w:hAnsi="宋体" w:eastAsia="宋体" w:cs="宋体"/>
                <w:color w:val="auto"/>
                <w:sz w:val="21"/>
                <w:szCs w:val="21"/>
                <w:highlight w:val="none"/>
                <w:lang w:eastAsia="zh-CN"/>
              </w:rPr>
              <w:t>项目售后运维服务期限</w:t>
            </w:r>
            <w:r>
              <w:rPr>
                <w:rFonts w:hint="eastAsia" w:ascii="宋体" w:hAnsi="宋体" w:eastAsia="宋体" w:cs="宋体"/>
                <w:b w:val="0"/>
                <w:bCs w:val="0"/>
                <w:color w:val="auto"/>
                <w:sz w:val="21"/>
                <w:szCs w:val="21"/>
                <w:highlight w:val="none"/>
                <w:lang w:val="en-US" w:eastAsia="zh-CN"/>
              </w:rPr>
              <w:t>不低于</w:t>
            </w:r>
            <w:r>
              <w:rPr>
                <w:rFonts w:hint="eastAsia" w:ascii="宋体" w:hAnsi="宋体" w:eastAsia="宋体" w:cs="宋体"/>
                <w:b w:val="0"/>
                <w:bCs w:val="0"/>
                <w:color w:val="auto"/>
                <w:sz w:val="21"/>
                <w:szCs w:val="21"/>
                <w:highlight w:val="none"/>
              </w:rPr>
              <w:t>本次采购要求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rPr>
              <w:t>项目售后服务方案中工作任务计划和责任分工有一定阐述但不详实；对本次采购</w:t>
            </w:r>
            <w:r>
              <w:rPr>
                <w:rFonts w:hint="eastAsia" w:ascii="宋体" w:hAnsi="宋体" w:eastAsia="宋体" w:cs="宋体"/>
                <w:color w:val="auto"/>
                <w:sz w:val="21"/>
                <w:szCs w:val="21"/>
                <w:highlight w:val="none"/>
                <w:lang w:val="en-US" w:eastAsia="zh-CN"/>
              </w:rPr>
              <w:t>软硬件</w:t>
            </w:r>
            <w:r>
              <w:rPr>
                <w:rFonts w:hint="eastAsia" w:ascii="宋体" w:hAnsi="宋体" w:eastAsia="宋体" w:cs="宋体"/>
                <w:color w:val="auto"/>
                <w:sz w:val="21"/>
                <w:szCs w:val="21"/>
                <w:highlight w:val="none"/>
              </w:rPr>
              <w:t>设施开展的满足采购需求的巡检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保养</w:t>
            </w:r>
            <w:r>
              <w:rPr>
                <w:rFonts w:hint="eastAsia" w:ascii="宋体" w:hAnsi="宋体" w:eastAsia="宋体" w:cs="宋体"/>
                <w:color w:val="auto"/>
                <w:sz w:val="21"/>
                <w:szCs w:val="21"/>
                <w:highlight w:val="none"/>
                <w:lang w:val="en-US" w:eastAsia="zh-CN"/>
              </w:rPr>
              <w:t>和运行维护</w:t>
            </w:r>
            <w:r>
              <w:rPr>
                <w:rFonts w:hint="eastAsia" w:ascii="宋体" w:hAnsi="宋体" w:eastAsia="宋体" w:cs="宋体"/>
                <w:color w:val="auto"/>
                <w:sz w:val="21"/>
                <w:szCs w:val="21"/>
                <w:highlight w:val="none"/>
              </w:rPr>
              <w:t>服务提出了常规、通用的实施流程和技术实施细则，与采购需求契合度不高的；针对可能发生的各类售后服务问题提出了常规、通用售后服务工作机制和处理办法，提出的售后维护和相应技术支持作出的</w:t>
            </w:r>
            <w:r>
              <w:rPr>
                <w:rFonts w:hint="eastAsia" w:ascii="宋体" w:hAnsi="宋体" w:eastAsia="宋体" w:cs="宋体"/>
                <w:color w:val="auto"/>
                <w:sz w:val="21"/>
                <w:szCs w:val="21"/>
                <w:highlight w:val="none"/>
                <w:lang w:eastAsia="zh-CN"/>
              </w:rPr>
              <w:t>响应（维护维修）时间</w:t>
            </w:r>
            <w:r>
              <w:rPr>
                <w:rFonts w:hint="eastAsia" w:ascii="宋体" w:hAnsi="宋体" w:eastAsia="宋体" w:cs="宋体"/>
                <w:color w:val="auto"/>
                <w:sz w:val="21"/>
                <w:szCs w:val="21"/>
                <w:highlight w:val="none"/>
              </w:rPr>
              <w:t>较短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满足采购需求中的相关售后服务时间要求）</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分/项。</w:t>
            </w:r>
          </w:p>
          <w:p w14:paraId="1DC916CD">
            <w:pPr>
              <w:keepNext w:val="0"/>
              <w:keepLines w:val="0"/>
              <w:pageBreakBefore w:val="0"/>
              <w:kinsoku/>
              <w:wordWrap/>
              <w:overflowPunct/>
              <w:topLinePunct w:val="0"/>
              <w:autoSpaceDE/>
              <w:autoSpaceDN/>
              <w:bidi w:val="0"/>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（3）单项内容存在缺失相关内容（如：存在部分售后服务体系证明材料缺失、未提供明确的工作任务计划和责任分工、未提供明确的售后维护和相应技术支持作出的</w:t>
            </w:r>
            <w:r>
              <w:rPr>
                <w:rFonts w:hint="eastAsia" w:ascii="宋体" w:hAnsi="宋体" w:eastAsia="宋体" w:cs="宋体"/>
                <w:color w:val="auto"/>
                <w:sz w:val="21"/>
                <w:szCs w:val="21"/>
                <w:highlight w:val="none"/>
                <w:lang w:eastAsia="zh-CN"/>
              </w:rPr>
              <w:t>响应（维护维修）时间、</w:t>
            </w:r>
            <w:r>
              <w:rPr>
                <w:rFonts w:hint="eastAsia" w:ascii="宋体" w:hAnsi="宋体" w:eastAsia="宋体" w:cs="宋体"/>
                <w:color w:val="auto"/>
                <w:sz w:val="21"/>
                <w:szCs w:val="21"/>
                <w:highlight w:val="none"/>
              </w:rPr>
              <w:t>采购</w:t>
            </w:r>
            <w:r>
              <w:rPr>
                <w:rFonts w:hint="eastAsia" w:ascii="宋体" w:hAnsi="宋体" w:eastAsia="宋体" w:cs="宋体"/>
                <w:color w:val="auto"/>
                <w:sz w:val="21"/>
                <w:szCs w:val="21"/>
                <w:highlight w:val="none"/>
                <w:lang w:val="en-US" w:eastAsia="zh-CN"/>
              </w:rPr>
              <w:t>软硬件</w:t>
            </w:r>
            <w:r>
              <w:rPr>
                <w:rFonts w:hint="eastAsia" w:ascii="宋体" w:hAnsi="宋体" w:eastAsia="宋体" w:cs="宋体"/>
                <w:color w:val="auto"/>
                <w:sz w:val="21"/>
                <w:szCs w:val="21"/>
                <w:highlight w:val="none"/>
              </w:rPr>
              <w:t>设施开展的满足采购需求的巡检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保养</w:t>
            </w:r>
            <w:r>
              <w:rPr>
                <w:rFonts w:hint="eastAsia" w:ascii="宋体" w:hAnsi="宋体" w:eastAsia="宋体" w:cs="宋体"/>
                <w:color w:val="auto"/>
                <w:sz w:val="21"/>
                <w:szCs w:val="21"/>
                <w:highlight w:val="none"/>
                <w:lang w:val="en-US" w:eastAsia="zh-CN"/>
              </w:rPr>
              <w:t>和运行维护</w:t>
            </w:r>
            <w:r>
              <w:rPr>
                <w:rFonts w:hint="eastAsia" w:ascii="宋体" w:hAnsi="宋体" w:eastAsia="宋体" w:cs="宋体"/>
                <w:color w:val="auto"/>
                <w:sz w:val="21"/>
                <w:szCs w:val="21"/>
                <w:highlight w:val="none"/>
              </w:rPr>
              <w:t>服务</w:t>
            </w:r>
            <w:r>
              <w:rPr>
                <w:rFonts w:hint="eastAsia" w:ascii="宋体" w:hAnsi="宋体" w:eastAsia="宋体" w:cs="宋体"/>
                <w:color w:val="auto"/>
                <w:sz w:val="21"/>
                <w:szCs w:val="21"/>
                <w:highlight w:val="none"/>
                <w:lang w:val="en-US" w:eastAsia="zh-CN"/>
              </w:rPr>
              <w:t>的标准</w:t>
            </w:r>
            <w:r>
              <w:rPr>
                <w:rFonts w:hint="eastAsia" w:ascii="宋体" w:hAnsi="宋体" w:eastAsia="宋体" w:cs="宋体"/>
                <w:color w:val="auto"/>
                <w:sz w:val="21"/>
                <w:szCs w:val="21"/>
                <w:highlight w:val="none"/>
              </w:rPr>
              <w:t>的情形）或单项内容存在内容表述错误（如：内容前后表述矛盾、内容凭空编造、逻辑混乱、不可能实现的夸大的情形）</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但</w:t>
            </w:r>
            <w:r>
              <w:rPr>
                <w:rFonts w:hint="eastAsia" w:ascii="宋体" w:hAnsi="宋体" w:eastAsia="宋体" w:cs="宋体"/>
                <w:b w:val="0"/>
                <w:bCs w:val="0"/>
                <w:color w:val="auto"/>
                <w:sz w:val="21"/>
                <w:szCs w:val="21"/>
                <w:highlight w:val="none"/>
                <w:lang w:val="en-US" w:eastAsia="zh-CN"/>
              </w:rPr>
              <w:t>磋商申请</w:t>
            </w:r>
            <w:r>
              <w:rPr>
                <w:rFonts w:hint="eastAsia" w:ascii="宋体" w:hAnsi="宋体" w:eastAsia="宋体" w:cs="宋体"/>
                <w:b w:val="0"/>
                <w:bCs w:val="0"/>
                <w:color w:val="auto"/>
                <w:sz w:val="21"/>
                <w:szCs w:val="21"/>
                <w:highlight w:val="none"/>
                <w:lang w:eastAsia="zh-CN"/>
              </w:rPr>
              <w:t>人</w:t>
            </w:r>
            <w:r>
              <w:rPr>
                <w:rFonts w:hint="eastAsia" w:ascii="宋体" w:hAnsi="宋体" w:eastAsia="宋体" w:cs="宋体"/>
                <w:b w:val="0"/>
                <w:bCs w:val="0"/>
                <w:color w:val="auto"/>
                <w:sz w:val="21"/>
                <w:szCs w:val="21"/>
                <w:highlight w:val="none"/>
              </w:rPr>
              <w:t>提出的</w:t>
            </w:r>
            <w:r>
              <w:rPr>
                <w:rFonts w:hint="eastAsia" w:ascii="宋体" w:hAnsi="宋体" w:eastAsia="宋体" w:cs="宋体"/>
                <w:color w:val="auto"/>
                <w:sz w:val="21"/>
                <w:szCs w:val="21"/>
                <w:highlight w:val="none"/>
                <w:lang w:eastAsia="zh-CN"/>
              </w:rPr>
              <w:t>项目售后运维服务期限</w:t>
            </w:r>
            <w:r>
              <w:rPr>
                <w:rFonts w:hint="eastAsia" w:ascii="宋体" w:hAnsi="宋体" w:eastAsia="宋体" w:cs="宋体"/>
                <w:b w:val="0"/>
                <w:bCs w:val="0"/>
                <w:color w:val="auto"/>
                <w:sz w:val="21"/>
                <w:szCs w:val="21"/>
                <w:highlight w:val="none"/>
                <w:lang w:val="en-US" w:eastAsia="zh-CN"/>
              </w:rPr>
              <w:t>满足</w:t>
            </w:r>
            <w:r>
              <w:rPr>
                <w:rFonts w:hint="eastAsia" w:ascii="宋体" w:hAnsi="宋体" w:eastAsia="宋体" w:cs="宋体"/>
                <w:b w:val="0"/>
                <w:bCs w:val="0"/>
                <w:color w:val="auto"/>
                <w:sz w:val="21"/>
                <w:szCs w:val="21"/>
                <w:highlight w:val="none"/>
              </w:rPr>
              <w:t>本次采购要求</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分/项；</w:t>
            </w:r>
          </w:p>
          <w:p w14:paraId="3493F848">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后服务能力介绍及售后服务方案”中单项内容的描述与本项目对应的内容无关或存在重大缺陷的【如：内容与项目不匹配、项目信息错误（包括时间、地点、名称等）、不符合本项目涉及的相关规范或标准要求等情形】或未提供相应方案的关键性内容（如：未提供售后服务体系证明材料、未提供明确的售后服务实施流程和技术实施细则、未提供售后问题的处置工作机制和处理办法、未提供对应单项内容）的得0分/项。</w:t>
            </w:r>
          </w:p>
        </w:tc>
      </w:tr>
      <w:tr w14:paraId="756A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462B7F3E">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1E0FB5BB">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3431DCB5">
            <w:pPr>
              <w:keepLines w:val="0"/>
              <w:pageBreakBefore w:val="0"/>
              <w:kinsoku w:val="0"/>
              <w:wordWrap/>
              <w:overflowPunct w:val="0"/>
              <w:topLinePunct w:val="0"/>
              <w:autoSpaceDE w:val="0"/>
              <w:autoSpaceDN w:val="0"/>
              <w:bidi w:val="0"/>
              <w:adjustRightInd w:val="0"/>
              <w:snapToGrid w:val="0"/>
              <w:spacing w:beforeAutospacing="0" w:afterAutospacing="0" w:line="42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昌宁县医共体中心药房管理系统后期运维服务情况表（满分5分）</w:t>
            </w:r>
          </w:p>
        </w:tc>
        <w:tc>
          <w:tcPr>
            <w:tcW w:w="7775" w:type="dxa"/>
            <w:noWrap/>
            <w:vAlign w:val="center"/>
          </w:tcPr>
          <w:p w14:paraId="4858C03C">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本次采购的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需要长期的运行维护，采购人将考虑本项目的售后运维服务</w:t>
            </w:r>
            <w:r>
              <w:rPr>
                <w:rFonts w:hint="eastAsia" w:ascii="宋体" w:hAnsi="宋体" w:eastAsia="宋体" w:cs="宋体"/>
                <w:color w:val="auto"/>
                <w:sz w:val="21"/>
                <w:szCs w:val="21"/>
                <w:highlight w:val="none"/>
                <w:lang w:val="en-US" w:eastAsia="zh-CN"/>
              </w:rPr>
              <w:t>期满</w:t>
            </w:r>
            <w:r>
              <w:rPr>
                <w:rFonts w:hint="eastAsia" w:ascii="宋体" w:hAnsi="宋体" w:eastAsia="宋体" w:cs="宋体"/>
                <w:color w:val="auto"/>
                <w:sz w:val="21"/>
                <w:szCs w:val="21"/>
                <w:highlight w:val="none"/>
              </w:rPr>
              <w:t>后的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运行维护服务工作的实际需求，后续运维服务内容包含</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在运行中的故障排错、信息数据维护备份及恢复、系统及数据库适配调整、</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定期升级更新等工作。参与本项目的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可根据项目实际情况填报后续运行维护服务费，此服务费将纳入合同签署的考虑范畴。</w:t>
            </w:r>
          </w:p>
          <w:p w14:paraId="1BEF9661">
            <w:pPr>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评标委员会根据投标人填报的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后期运维服务费基于投标报价比例</w:t>
            </w:r>
            <w:r>
              <w:rPr>
                <w:rFonts w:hint="eastAsia" w:ascii="宋体" w:hAnsi="宋体" w:eastAsia="宋体" w:cs="宋体"/>
                <w:color w:val="auto"/>
                <w:kern w:val="0"/>
                <w:sz w:val="21"/>
                <w:szCs w:val="21"/>
                <w:highlight w:val="none"/>
              </w:rPr>
              <w:t>的情况进行评分：</w:t>
            </w:r>
          </w:p>
          <w:p w14:paraId="6523FBD9">
            <w:p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填报的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后期运维服务费基于投标报价比例</w:t>
            </w:r>
            <w:r>
              <w:rPr>
                <w:rFonts w:hint="eastAsia" w:ascii="宋体" w:hAnsi="宋体" w:eastAsia="宋体" w:cs="宋体"/>
                <w:color w:val="auto"/>
                <w:kern w:val="0"/>
                <w:sz w:val="21"/>
                <w:szCs w:val="21"/>
                <w:highlight w:val="none"/>
              </w:rPr>
              <w:t>最低</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本项得满分</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分，其他有效</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的得分=（作出最低的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后期运维服务费基于投标报价比例÷其他有效</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作出的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后期运维服务费基于投标报价比例）×</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43EE0114">
            <w:pPr>
              <w:spacing w:line="4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w:t>
            </w:r>
          </w:p>
          <w:p w14:paraId="5CCCCAF2">
            <w:p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1.计划</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后期运维服务费金额是指</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若有幸</w:t>
            </w:r>
            <w:r>
              <w:rPr>
                <w:rFonts w:hint="eastAsia" w:ascii="宋体" w:hAnsi="宋体" w:eastAsia="宋体" w:cs="宋体"/>
                <w:color w:val="auto"/>
                <w:kern w:val="0"/>
                <w:sz w:val="21"/>
                <w:szCs w:val="21"/>
                <w:highlight w:val="none"/>
                <w:lang w:val="en-US" w:eastAsia="zh-CN"/>
              </w:rPr>
              <w:t>成交</w:t>
            </w:r>
            <w:r>
              <w:rPr>
                <w:rFonts w:hint="eastAsia" w:ascii="宋体" w:hAnsi="宋体" w:eastAsia="宋体" w:cs="宋体"/>
                <w:color w:val="auto"/>
                <w:kern w:val="0"/>
                <w:sz w:val="21"/>
                <w:szCs w:val="21"/>
                <w:highlight w:val="none"/>
              </w:rPr>
              <w:t>，计划在售后运维服务期满后为采购人继续提供后续运维服务的金额，</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后期运维服务费基于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比例是指计划</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后期运维服务费金额与</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本次填报的</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的比值，即：</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后期运维服务费基于</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比例=（</w:t>
            </w:r>
            <w:r>
              <w:rPr>
                <w:rFonts w:hint="eastAsia" w:ascii="宋体" w:hAnsi="宋体" w:eastAsia="宋体" w:cs="宋体"/>
                <w:color w:val="auto"/>
                <w:kern w:val="0"/>
                <w:sz w:val="21"/>
                <w:szCs w:val="21"/>
                <w:highlight w:val="none"/>
                <w:lang w:eastAsia="zh-CN"/>
              </w:rPr>
              <w:t>昌宁县医共体中心药房管理系统</w:t>
            </w:r>
            <w:r>
              <w:rPr>
                <w:rFonts w:hint="eastAsia" w:ascii="宋体" w:hAnsi="宋体" w:eastAsia="宋体" w:cs="宋体"/>
                <w:color w:val="auto"/>
                <w:kern w:val="0"/>
                <w:sz w:val="21"/>
                <w:szCs w:val="21"/>
                <w:highlight w:val="none"/>
              </w:rPr>
              <w:t>后期运维服务费金额÷</w:t>
            </w:r>
            <w:r>
              <w:rPr>
                <w:rFonts w:hint="eastAsia" w:ascii="宋体" w:hAnsi="宋体" w:eastAsia="宋体" w:cs="宋体"/>
                <w:color w:val="auto"/>
                <w:kern w:val="0"/>
                <w:sz w:val="21"/>
                <w:szCs w:val="21"/>
                <w:highlight w:val="none"/>
                <w:lang w:eastAsia="zh-CN"/>
              </w:rPr>
              <w:t>磋商申请人</w:t>
            </w:r>
            <w:r>
              <w:rPr>
                <w:rFonts w:hint="eastAsia" w:ascii="宋体" w:hAnsi="宋体" w:eastAsia="宋体" w:cs="宋体"/>
                <w:color w:val="auto"/>
                <w:kern w:val="0"/>
                <w:sz w:val="21"/>
                <w:szCs w:val="21"/>
                <w:highlight w:val="none"/>
              </w:rPr>
              <w:t>本次填报的</w:t>
            </w:r>
            <w:r>
              <w:rPr>
                <w:rFonts w:hint="eastAsia" w:ascii="宋体" w:hAnsi="宋体" w:eastAsia="宋体" w:cs="宋体"/>
                <w:color w:val="auto"/>
                <w:kern w:val="0"/>
                <w:sz w:val="21"/>
                <w:szCs w:val="21"/>
                <w:highlight w:val="none"/>
                <w:lang w:val="en-US" w:eastAsia="zh-CN"/>
              </w:rPr>
              <w:t>磋商</w:t>
            </w:r>
            <w:r>
              <w:rPr>
                <w:rFonts w:hint="eastAsia" w:ascii="宋体" w:hAnsi="宋体" w:eastAsia="宋体" w:cs="宋体"/>
                <w:color w:val="auto"/>
                <w:kern w:val="0"/>
                <w:sz w:val="21"/>
                <w:szCs w:val="21"/>
                <w:highlight w:val="none"/>
              </w:rPr>
              <w:t>报价</w:t>
            </w:r>
            <w:r>
              <w:rPr>
                <w:rFonts w:hint="eastAsia" w:ascii="宋体" w:hAnsi="宋体" w:eastAsia="宋体" w:cs="宋体"/>
                <w:color w:val="auto"/>
                <w:kern w:val="0"/>
                <w:sz w:val="21"/>
                <w:szCs w:val="21"/>
                <w:highlight w:val="none"/>
                <w:lang w:val="en-US" w:eastAsia="zh-CN"/>
              </w:rPr>
              <w:t>总价</w:t>
            </w:r>
            <w:r>
              <w:rPr>
                <w:rFonts w:hint="eastAsia" w:ascii="宋体" w:hAnsi="宋体" w:eastAsia="宋体" w:cs="宋体"/>
                <w:color w:val="auto"/>
                <w:kern w:val="0"/>
                <w:sz w:val="21"/>
                <w:szCs w:val="21"/>
                <w:highlight w:val="none"/>
              </w:rPr>
              <w:t>）×100%。</w:t>
            </w:r>
          </w:p>
          <w:p w14:paraId="36DC6769">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针对</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后期运维服务填报的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后期运维服务费基于投标报价比例不能高于投标报价的</w:t>
            </w:r>
            <w:r>
              <w:rPr>
                <w:rFonts w:hint="eastAsia" w:hAnsi="宋体" w:cs="宋体"/>
                <w:color w:val="auto"/>
                <w:sz w:val="21"/>
                <w:szCs w:val="21"/>
                <w:highlight w:val="none"/>
                <w:lang w:eastAsia="zh-CN"/>
              </w:rPr>
              <w:t>5%</w:t>
            </w:r>
            <w:r>
              <w:rPr>
                <w:rFonts w:hint="eastAsia" w:ascii="宋体" w:hAnsi="宋体" w:eastAsia="宋体" w:cs="宋体"/>
                <w:color w:val="auto"/>
                <w:sz w:val="21"/>
                <w:szCs w:val="21"/>
                <w:highlight w:val="none"/>
              </w:rPr>
              <w:t>。若</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填报的</w:t>
            </w:r>
            <w:r>
              <w:rPr>
                <w:rFonts w:hint="eastAsia" w:ascii="宋体" w:hAnsi="宋体" w:eastAsia="宋体" w:cs="宋体"/>
                <w:color w:val="auto"/>
                <w:sz w:val="21"/>
                <w:szCs w:val="21"/>
                <w:highlight w:val="none"/>
                <w:lang w:eastAsia="zh-CN"/>
              </w:rPr>
              <w:t>昌宁县医共体中心药房管理系统</w:t>
            </w:r>
            <w:r>
              <w:rPr>
                <w:rFonts w:hint="eastAsia" w:ascii="宋体" w:hAnsi="宋体" w:eastAsia="宋体" w:cs="宋体"/>
                <w:color w:val="auto"/>
                <w:sz w:val="21"/>
                <w:szCs w:val="21"/>
                <w:highlight w:val="none"/>
              </w:rPr>
              <w:t>后期运维服务费基于投标报价比例高于</w:t>
            </w:r>
            <w:r>
              <w:rPr>
                <w:rFonts w:hint="eastAsia" w:hAnsi="宋体" w:cs="宋体"/>
                <w:color w:val="auto"/>
                <w:sz w:val="21"/>
                <w:szCs w:val="21"/>
                <w:highlight w:val="none"/>
                <w:lang w:eastAsia="zh-CN"/>
              </w:rPr>
              <w:t>5%</w:t>
            </w:r>
            <w:r>
              <w:rPr>
                <w:rFonts w:hint="eastAsia" w:ascii="宋体" w:hAnsi="宋体" w:eastAsia="宋体" w:cs="宋体"/>
                <w:color w:val="auto"/>
                <w:sz w:val="21"/>
                <w:szCs w:val="21"/>
                <w:highlight w:val="none"/>
              </w:rPr>
              <w:t>，则本项按0分计。</w:t>
            </w:r>
          </w:p>
        </w:tc>
      </w:tr>
      <w:tr w14:paraId="619D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512722FB">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79FD4066">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7B046E5D">
            <w:pPr>
              <w:keepLines w:val="0"/>
              <w:pageBreakBefore w:val="0"/>
              <w:kinsoku w:val="0"/>
              <w:wordWrap/>
              <w:overflowPunct w:val="0"/>
              <w:topLinePunct w:val="0"/>
              <w:autoSpaceDE w:val="0"/>
              <w:autoSpaceDN w:val="0"/>
              <w:bidi w:val="0"/>
              <w:adjustRightInd w:val="0"/>
              <w:snapToGrid w:val="0"/>
              <w:spacing w:beforeAutospacing="0" w:afterAutospacing="0"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承担本项目的相关违约承诺（满分6分）</w:t>
            </w:r>
          </w:p>
        </w:tc>
        <w:tc>
          <w:tcPr>
            <w:tcW w:w="7775" w:type="dxa"/>
            <w:shd w:val="clear" w:color="auto" w:fill="auto"/>
            <w:noWrap/>
            <w:vAlign w:val="center"/>
          </w:tcPr>
          <w:p w14:paraId="082327BE">
            <w:pPr>
              <w:keepLines w:val="0"/>
              <w:pageBreakBefore w:val="0"/>
              <w:kinsoku w:val="0"/>
              <w:wordWrap/>
              <w:overflowPunct w:val="0"/>
              <w:autoSpaceDE w:val="0"/>
              <w:autoSpaceDN w:val="0"/>
              <w:bidi w:val="0"/>
              <w:adjustRightInd w:val="0"/>
              <w:snapToGrid w:val="0"/>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此部分内容应充分结合本项目采购需求的全部内容以及磋商程序和方法的评审要求进行综合分析后进行编制，此部分包含但不限于：</w:t>
            </w:r>
          </w:p>
          <w:p w14:paraId="1A88E7D5">
            <w:pPr>
              <w:keepLines w:val="0"/>
              <w:pageBreakBefore w:val="0"/>
              <w:kinsoku w:val="0"/>
              <w:wordWrap/>
              <w:overflowPunct w:val="0"/>
              <w:autoSpaceDE w:val="0"/>
              <w:autoSpaceDN w:val="0"/>
              <w:bidi w:val="0"/>
              <w:adjustRightInd w:val="0"/>
              <w:snapToGrid w:val="0"/>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①针对未按合同履行期限规定的时间完成本项目所有采购任务的违约承诺；</w:t>
            </w:r>
          </w:p>
          <w:p w14:paraId="327C399A">
            <w:pPr>
              <w:keepLines w:val="0"/>
              <w:pageBreakBefore w:val="0"/>
              <w:kinsoku w:val="0"/>
              <w:wordWrap/>
              <w:overflowPunct w:val="0"/>
              <w:autoSpaceDE w:val="0"/>
              <w:autoSpaceDN w:val="0"/>
              <w:bidi w:val="0"/>
              <w:adjustRightInd w:val="0"/>
              <w:snapToGrid w:val="0"/>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②针对发生本项目采购系统验收不合格的违约承诺；</w:t>
            </w:r>
          </w:p>
          <w:p w14:paraId="187984D1">
            <w:pPr>
              <w:keepLines w:val="0"/>
              <w:pageBreakBefore w:val="0"/>
              <w:kinsoku w:val="0"/>
              <w:wordWrap/>
              <w:overflowPunct w:val="0"/>
              <w:autoSpaceDE w:val="0"/>
              <w:autoSpaceDN w:val="0"/>
              <w:bidi w:val="0"/>
              <w:adjustRightInd w:val="0"/>
              <w:snapToGrid w:val="0"/>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③针对提供的各项售后服务工作质量不达标的违约承诺；</w:t>
            </w:r>
          </w:p>
          <w:p w14:paraId="6C681279">
            <w:pPr>
              <w:keepLines w:val="0"/>
              <w:pageBreakBefore w:val="0"/>
              <w:kinsoku w:val="0"/>
              <w:wordWrap/>
              <w:overflowPunct w:val="0"/>
              <w:autoSpaceDE w:val="0"/>
              <w:autoSpaceDN w:val="0"/>
              <w:bidi w:val="0"/>
              <w:adjustRightInd w:val="0"/>
              <w:snapToGrid w:val="0"/>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④针对发生项目管理问题（如项目信息数据安全问题、知识产权问题、廉政问题）的违约承诺。</w:t>
            </w:r>
          </w:p>
          <w:p w14:paraId="086FCDD5">
            <w:pPr>
              <w:keepLines w:val="0"/>
              <w:pageBreakBefore w:val="0"/>
              <w:kinsoku w:val="0"/>
              <w:wordWrap/>
              <w:overflowPunct w:val="0"/>
              <w:autoSpaceDE w:val="0"/>
              <w:autoSpaceDN w:val="0"/>
              <w:bidi w:val="0"/>
              <w:adjustRightInd w:val="0"/>
              <w:snapToGrid w:val="0"/>
              <w:spacing w:line="4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的“承担本项目的相关违约承诺”中</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类单项内容进行详细的审查评价评分，本项总分</w:t>
            </w:r>
            <w:r>
              <w:rPr>
                <w:rFonts w:hint="eastAsia" w:ascii="宋体" w:hAnsi="宋体" w:eastAsia="宋体" w:cs="宋体"/>
                <w:color w:val="auto"/>
                <w:sz w:val="21"/>
                <w:szCs w:val="21"/>
                <w:highlight w:val="none"/>
                <w:lang w:val="en-US" w:eastAsia="zh-CN"/>
              </w:rPr>
              <w:t>为6</w:t>
            </w:r>
            <w:r>
              <w:rPr>
                <w:rFonts w:hint="eastAsia" w:ascii="宋体" w:hAnsi="宋体" w:eastAsia="宋体" w:cs="宋体"/>
                <w:color w:val="auto"/>
                <w:sz w:val="21"/>
                <w:szCs w:val="21"/>
                <w:highlight w:val="none"/>
              </w:rPr>
              <w:t>分（每类单项内容最高</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分），具体评审细则如下：</w:t>
            </w:r>
          </w:p>
          <w:p w14:paraId="6A68FF0F">
            <w:pPr>
              <w:kinsoku w:val="0"/>
              <w:overflowPunct w:val="0"/>
              <w:autoSpaceDE w:val="0"/>
              <w:autoSpaceDN w:val="0"/>
              <w:adjustRightInd w:val="0"/>
              <w:snapToGrid w:val="0"/>
              <w:spacing w:line="42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（1）“承担本项目的相关服务承诺”中4类单个小项违约承诺是针对若发生违反此类情况提出结合我国现行的《中华人民共和国民法典》及行业主管部门对本次采购软件开发建设服务的相关法律法规</w:t>
            </w:r>
            <w:r>
              <w:rPr>
                <w:rFonts w:hint="eastAsia" w:ascii="宋体" w:hAnsi="宋体" w:eastAsia="宋体" w:cs="宋体"/>
                <w:color w:val="auto"/>
                <w:sz w:val="21"/>
                <w:szCs w:val="21"/>
                <w:highlight w:val="none"/>
                <w:lang w:val="en-US" w:eastAsia="zh-CN"/>
              </w:rPr>
              <w:t>作出</w:t>
            </w:r>
            <w:r>
              <w:rPr>
                <w:rFonts w:hint="eastAsia" w:ascii="宋体" w:hAnsi="宋体" w:eastAsia="宋体" w:cs="宋体"/>
                <w:color w:val="auto"/>
                <w:kern w:val="2"/>
                <w:sz w:val="21"/>
                <w:szCs w:val="21"/>
                <w:highlight w:val="none"/>
                <w:lang w:val="en-US" w:eastAsia="zh-CN" w:bidi="ar-SA"/>
              </w:rPr>
              <w:t>切实可行的违约补救或赔偿措施，及针对相应违约内容</w:t>
            </w:r>
            <w:r>
              <w:rPr>
                <w:rFonts w:hint="eastAsia" w:ascii="宋体" w:hAnsi="宋体" w:eastAsia="宋体" w:cs="宋体"/>
                <w:color w:val="auto"/>
                <w:sz w:val="21"/>
                <w:szCs w:val="21"/>
                <w:highlight w:val="none"/>
                <w:lang w:val="en-US" w:eastAsia="zh-CN"/>
              </w:rPr>
              <w:t>提出具有明确且能保障采购人权益的违约金额</w:t>
            </w:r>
            <w:r>
              <w:rPr>
                <w:rFonts w:hint="eastAsia" w:ascii="宋体" w:hAnsi="宋体" w:eastAsia="宋体" w:cs="宋体"/>
                <w:color w:val="auto"/>
                <w:kern w:val="2"/>
                <w:sz w:val="21"/>
                <w:szCs w:val="21"/>
                <w:highlight w:val="none"/>
                <w:lang w:val="en-US" w:eastAsia="zh-CN" w:bidi="ar-SA"/>
              </w:rPr>
              <w:t>的得1.5分/项。</w:t>
            </w:r>
          </w:p>
          <w:p w14:paraId="0991E2F8">
            <w:pPr>
              <w:kinsoku w:val="0"/>
              <w:overflowPunct w:val="0"/>
              <w:autoSpaceDE w:val="0"/>
              <w:autoSpaceDN w:val="0"/>
              <w:adjustRightInd w:val="0"/>
              <w:snapToGrid w:val="0"/>
              <w:spacing w:line="42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承担本项目的相关服务承诺”中4类单个小项违约承诺是针对若发生违反此类情况提出结合我国现行的《中华人民共和国民法典》及行业主管部门对本次采购各类产品和业务系统商用密码改造服务的相关法律法规</w:t>
            </w:r>
            <w:r>
              <w:rPr>
                <w:rFonts w:hint="eastAsia" w:ascii="宋体" w:hAnsi="宋体" w:eastAsia="宋体" w:cs="宋体"/>
                <w:color w:val="auto"/>
                <w:sz w:val="21"/>
                <w:szCs w:val="21"/>
                <w:highlight w:val="none"/>
                <w:lang w:val="en-US" w:eastAsia="zh-CN"/>
              </w:rPr>
              <w:t>作出具有一定可操作性的</w:t>
            </w:r>
            <w:r>
              <w:rPr>
                <w:rFonts w:hint="eastAsia" w:ascii="宋体" w:hAnsi="宋体" w:eastAsia="宋体" w:cs="宋体"/>
                <w:color w:val="auto"/>
                <w:kern w:val="2"/>
                <w:sz w:val="21"/>
                <w:szCs w:val="21"/>
                <w:highlight w:val="none"/>
                <w:lang w:val="en-US" w:eastAsia="zh-CN" w:bidi="ar-SA"/>
              </w:rPr>
              <w:t>违约补救或赔偿措施，针对相应违约内容</w:t>
            </w:r>
            <w:r>
              <w:rPr>
                <w:rFonts w:hint="eastAsia" w:ascii="宋体" w:hAnsi="宋体" w:eastAsia="宋体" w:cs="宋体"/>
                <w:color w:val="auto"/>
                <w:sz w:val="21"/>
                <w:szCs w:val="21"/>
                <w:highlight w:val="none"/>
                <w:lang w:val="en-US" w:eastAsia="zh-CN"/>
              </w:rPr>
              <w:t>提出明确的违约金额但违约金额对保障采购人相应权益的力度较小</w:t>
            </w:r>
            <w:r>
              <w:rPr>
                <w:rFonts w:hint="eastAsia" w:ascii="宋体" w:hAnsi="宋体" w:eastAsia="宋体" w:cs="宋体"/>
                <w:color w:val="auto"/>
                <w:sz w:val="21"/>
                <w:szCs w:val="21"/>
                <w:highlight w:val="none"/>
              </w:rPr>
              <w:t>的得</w:t>
            </w:r>
            <w:r>
              <w:rPr>
                <w:rFonts w:hint="eastAsia" w:ascii="宋体" w:hAnsi="宋体" w:eastAsia="宋体" w:cs="宋体"/>
                <w:color w:val="auto"/>
                <w:kern w:val="2"/>
                <w:sz w:val="21"/>
                <w:szCs w:val="21"/>
                <w:highlight w:val="none"/>
                <w:lang w:val="en-US" w:eastAsia="zh-CN" w:bidi="ar-SA"/>
              </w:rPr>
              <w:t>1分/项。</w:t>
            </w:r>
          </w:p>
          <w:p w14:paraId="0F524D2F">
            <w:pPr>
              <w:kinsoku w:val="0"/>
              <w:overflowPunct w:val="0"/>
              <w:autoSpaceDE w:val="0"/>
              <w:autoSpaceDN w:val="0"/>
              <w:adjustRightInd w:val="0"/>
              <w:snapToGrid w:val="0"/>
              <w:spacing w:line="42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（3）“承担本项目的相关服务承诺”中4类单个小项违约承诺</w:t>
            </w:r>
            <w:r>
              <w:rPr>
                <w:rFonts w:hint="eastAsia" w:ascii="宋体" w:hAnsi="宋体" w:eastAsia="宋体" w:cs="宋体"/>
                <w:color w:val="auto"/>
                <w:sz w:val="21"/>
                <w:szCs w:val="21"/>
                <w:highlight w:val="none"/>
              </w:rPr>
              <w:t>针对若发生违反此类情况</w:t>
            </w:r>
            <w:r>
              <w:rPr>
                <w:rFonts w:hint="eastAsia" w:ascii="宋体" w:hAnsi="宋体" w:eastAsia="宋体" w:cs="宋体"/>
                <w:color w:val="auto"/>
                <w:sz w:val="21"/>
                <w:szCs w:val="21"/>
                <w:highlight w:val="none"/>
                <w:lang w:val="en-US" w:eastAsia="zh-CN"/>
              </w:rPr>
              <w:t>做出的</w:t>
            </w:r>
            <w:r>
              <w:rPr>
                <w:rFonts w:hint="eastAsia" w:ascii="宋体" w:hAnsi="宋体" w:eastAsia="宋体" w:cs="宋体"/>
                <w:color w:val="auto"/>
                <w:kern w:val="2"/>
                <w:sz w:val="21"/>
                <w:szCs w:val="21"/>
                <w:highlight w:val="none"/>
                <w:lang w:val="en-US" w:eastAsia="zh-CN" w:bidi="ar-SA"/>
              </w:rPr>
              <w:t>违约补救或赔偿措施不具体、不明确的，没有针对相应违约内容</w:t>
            </w:r>
            <w:r>
              <w:rPr>
                <w:rFonts w:hint="eastAsia" w:ascii="宋体" w:hAnsi="宋体" w:eastAsia="宋体" w:cs="宋体"/>
                <w:color w:val="auto"/>
                <w:sz w:val="21"/>
                <w:szCs w:val="21"/>
                <w:highlight w:val="none"/>
                <w:lang w:val="en-US" w:eastAsia="zh-CN"/>
              </w:rPr>
              <w:t>提出具体的违约金额</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w:t>
            </w:r>
          </w:p>
          <w:p w14:paraId="21130800">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承担本项目的相关服务承诺”中单个小项违约承诺的描述与本项目对应的单项内容的描述与本项目对应的内容无关或存在重大缺陷的【如：内容与项目不匹配、项目信息错误（包括时间、地点、名称等）、不符合本项目涉及的违约范围内容等情形】或未提供对应单项内容的得0分/项。</w:t>
            </w:r>
          </w:p>
          <w:p w14:paraId="0F6A6987">
            <w:pPr>
              <w:keepNext w:val="0"/>
              <w:keepLines w:val="0"/>
              <w:pageBreakBefore w:val="0"/>
              <w:widowControl/>
              <w:kinsoku/>
              <w:wordWrap/>
              <w:overflowPunct/>
              <w:autoSpaceDN/>
              <w:bidi w:val="0"/>
              <w:spacing w:beforeAutospacing="0" w:afterAutospacing="0" w:line="42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特别说明：磋商申请人所承诺的违约金额应当以具体违约赔偿的人民币金额作为承诺依据。</w:t>
            </w:r>
          </w:p>
        </w:tc>
      </w:tr>
      <w:tr w14:paraId="677B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28786ACA">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26795066">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45EDFA90">
            <w:pPr>
              <w:keepNext/>
              <w:spacing w:line="4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olor w:val="auto"/>
                <w:highlight w:val="none"/>
              </w:rPr>
              <w:t>项目团队服务机构能力评价（满分</w:t>
            </w:r>
            <w:r>
              <w:rPr>
                <w:rFonts w:hint="eastAsia" w:ascii="宋体" w:hAnsi="宋体" w:eastAsia="宋体"/>
                <w:color w:val="auto"/>
                <w:highlight w:val="none"/>
                <w:lang w:val="en-US" w:eastAsia="zh-CN"/>
              </w:rPr>
              <w:t>6</w:t>
            </w:r>
            <w:r>
              <w:rPr>
                <w:rFonts w:hint="eastAsia" w:ascii="宋体" w:hAnsi="宋体" w:eastAsia="宋体"/>
                <w:color w:val="auto"/>
                <w:highlight w:val="none"/>
              </w:rPr>
              <w:t>分）</w:t>
            </w:r>
          </w:p>
        </w:tc>
        <w:tc>
          <w:tcPr>
            <w:tcW w:w="7775" w:type="dxa"/>
            <w:shd w:val="clear" w:color="auto" w:fill="auto"/>
            <w:noWrap/>
            <w:vAlign w:val="center"/>
          </w:tcPr>
          <w:p w14:paraId="60D82FC1">
            <w:pPr>
              <w:widowControl/>
              <w:kinsoku w:val="0"/>
              <w:overflowPunct w:val="0"/>
              <w:autoSpaceDE w:val="0"/>
              <w:autoSpaceDN w:val="0"/>
              <w:adjustRightInd w:val="0"/>
              <w:snapToGrid w:val="0"/>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磋商小组对所有磋商响应文件的“拟投入本项目的综合服务力量介绍”部分内容进行详细审查后，综合评审评分：</w:t>
            </w:r>
          </w:p>
          <w:p w14:paraId="05F3E63C">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特别说明：</w:t>
            </w: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磋商响应</w:t>
            </w:r>
            <w:r>
              <w:rPr>
                <w:rFonts w:hint="eastAsia" w:ascii="宋体" w:hAnsi="宋体" w:eastAsia="宋体" w:cs="宋体"/>
                <w:color w:val="auto"/>
                <w:sz w:val="21"/>
                <w:szCs w:val="21"/>
                <w:highlight w:val="none"/>
              </w:rPr>
              <w:t>文件中“拟投入本项目的综合服务力量介绍”部分中提供的相关资料进行综合评价，未提供相应证明材料的，评委可不予认可，</w:t>
            </w:r>
            <w:r>
              <w:rPr>
                <w:rFonts w:hint="eastAsia" w:ascii="宋体" w:hAnsi="宋体" w:eastAsia="宋体" w:cs="宋体"/>
                <w:color w:val="auto"/>
                <w:sz w:val="21"/>
                <w:szCs w:val="21"/>
                <w:highlight w:val="none"/>
                <w:lang w:val="en-US" w:eastAsia="zh-CN"/>
              </w:rPr>
              <w:t>相应评审项</w:t>
            </w:r>
            <w:r>
              <w:rPr>
                <w:rFonts w:hint="eastAsia" w:ascii="宋体" w:hAnsi="宋体" w:eastAsia="宋体" w:cs="宋体"/>
                <w:color w:val="auto"/>
                <w:sz w:val="21"/>
                <w:szCs w:val="21"/>
                <w:highlight w:val="none"/>
              </w:rPr>
              <w:t>按0分计算。</w:t>
            </w:r>
          </w:p>
          <w:p w14:paraId="44F1ABF6">
            <w:pPr>
              <w:keepLines w:val="0"/>
              <w:pageBreakBefore w:val="0"/>
              <w:widowControl/>
              <w:wordWrap/>
              <w:topLinePunct w:val="0"/>
              <w:bidi w:val="0"/>
              <w:spacing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磋商申请人拟组建的项目服务机构根据项目建设情况进行合理技术分工，</w:t>
            </w:r>
            <w:r>
              <w:rPr>
                <w:rFonts w:hint="eastAsia" w:ascii="宋体" w:hAnsi="宋体" w:eastAsia="宋体" w:cs="宋体"/>
                <w:b w:val="0"/>
                <w:bCs w:val="0"/>
                <w:color w:val="auto"/>
                <w:sz w:val="21"/>
                <w:szCs w:val="21"/>
                <w:highlight w:val="none"/>
                <w:lang w:eastAsia="zh-CN"/>
              </w:rPr>
              <w:t>项目技术服务团队</w:t>
            </w:r>
            <w:r>
              <w:rPr>
                <w:rFonts w:hint="eastAsia" w:ascii="宋体" w:hAnsi="宋体" w:eastAsia="宋体" w:cs="宋体"/>
                <w:b w:val="0"/>
                <w:bCs w:val="0"/>
                <w:color w:val="auto"/>
                <w:sz w:val="21"/>
                <w:szCs w:val="21"/>
                <w:highlight w:val="none"/>
              </w:rPr>
              <w:t>组织结构健全设置合理，各类专业技术人员专业和数量构成配备合理，各类技术服务人员的能力资质证明材料【</w:t>
            </w:r>
            <w:r>
              <w:rPr>
                <w:rFonts w:hint="eastAsia" w:ascii="宋体" w:hAnsi="宋体" w:eastAsia="宋体" w:cs="宋体"/>
                <w:b w:val="0"/>
                <w:bCs w:val="0"/>
                <w:color w:val="auto"/>
                <w:sz w:val="21"/>
                <w:szCs w:val="21"/>
                <w:highlight w:val="none"/>
                <w:lang w:val="en-US" w:eastAsia="zh-CN"/>
              </w:rPr>
              <w:t>具有相应设备运维服务能力证明材料，如：具有ITSS服务项目经理证书、软件设计师证书、信息系统管理类证书（如：PMP证书）、数据库系统工程师等人员技术能力证明材料</w:t>
            </w:r>
            <w:r>
              <w:rPr>
                <w:rFonts w:hint="eastAsia" w:ascii="宋体" w:hAnsi="宋体" w:eastAsia="宋体" w:cs="宋体"/>
                <w:b w:val="0"/>
                <w:bCs w:val="0"/>
                <w:color w:val="auto"/>
                <w:sz w:val="21"/>
                <w:szCs w:val="21"/>
                <w:highlight w:val="none"/>
              </w:rPr>
              <w:t>】全面齐全，技术服务人员具有丰富的服务经验，能够充分胜任服务岗位的，能满足项目开展的</w:t>
            </w:r>
            <w:r>
              <w:rPr>
                <w:rFonts w:hint="eastAsia" w:ascii="宋体" w:hAnsi="宋体" w:eastAsia="宋体" w:cs="宋体"/>
                <w:b w:val="0"/>
                <w:bCs w:val="0"/>
                <w:color w:val="auto"/>
                <w:sz w:val="21"/>
                <w:szCs w:val="21"/>
                <w:highlight w:val="none"/>
                <w:lang w:val="en-US" w:eastAsia="zh-CN"/>
              </w:rPr>
              <w:t>得6分</w:t>
            </w:r>
            <w:r>
              <w:rPr>
                <w:rFonts w:hint="eastAsia" w:ascii="宋体" w:hAnsi="宋体" w:eastAsia="宋体" w:cs="宋体"/>
                <w:b w:val="0"/>
                <w:bCs w:val="0"/>
                <w:color w:val="auto"/>
                <w:sz w:val="21"/>
                <w:szCs w:val="21"/>
                <w:highlight w:val="none"/>
              </w:rPr>
              <w:t>；</w:t>
            </w:r>
          </w:p>
          <w:p w14:paraId="4CE534D9">
            <w:pPr>
              <w:keepLines w:val="0"/>
              <w:pageBreakBefore w:val="0"/>
              <w:widowControl/>
              <w:wordWrap/>
              <w:topLinePunct w:val="0"/>
              <w:bidi w:val="0"/>
              <w:spacing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磋商申请人拟组建的项目服务机构根据项目建设情况进行相应技术分工，</w:t>
            </w:r>
            <w:r>
              <w:rPr>
                <w:rFonts w:hint="eastAsia" w:ascii="宋体" w:hAnsi="宋体" w:eastAsia="宋体" w:cs="宋体"/>
                <w:b w:val="0"/>
                <w:bCs w:val="0"/>
                <w:color w:val="auto"/>
                <w:sz w:val="21"/>
                <w:szCs w:val="21"/>
                <w:highlight w:val="none"/>
                <w:lang w:eastAsia="zh-CN"/>
              </w:rPr>
              <w:t>项目技术服务团队</w:t>
            </w:r>
            <w:r>
              <w:rPr>
                <w:rFonts w:hint="eastAsia" w:ascii="宋体" w:hAnsi="宋体" w:eastAsia="宋体" w:cs="宋体"/>
                <w:b w:val="0"/>
                <w:bCs w:val="0"/>
                <w:color w:val="auto"/>
                <w:sz w:val="21"/>
                <w:szCs w:val="21"/>
                <w:highlight w:val="none"/>
              </w:rPr>
              <w:t>组织结构较为健全，各类专业技术人员专业和数量构成配备较为合理，主要技术服务人员的能力资质证明材料【</w:t>
            </w:r>
            <w:r>
              <w:rPr>
                <w:rFonts w:hint="eastAsia" w:ascii="宋体" w:hAnsi="宋体" w:eastAsia="宋体" w:cs="宋体"/>
                <w:b w:val="0"/>
                <w:bCs w:val="0"/>
                <w:color w:val="auto"/>
                <w:sz w:val="21"/>
                <w:szCs w:val="21"/>
                <w:highlight w:val="none"/>
                <w:lang w:val="en-US" w:eastAsia="zh-CN"/>
              </w:rPr>
              <w:t>具有相应设备运维服务能力证明材料，如：具有ITSS服务项目经理证书、软件设计师证书、信息系统管理类证书（如：PMP证书）、数据库系统工程师等人员技术能力证明材料</w:t>
            </w:r>
            <w:r>
              <w:rPr>
                <w:rFonts w:hint="eastAsia" w:ascii="宋体" w:hAnsi="宋体" w:eastAsia="宋体" w:cs="宋体"/>
                <w:b w:val="0"/>
                <w:bCs w:val="0"/>
                <w:color w:val="auto"/>
                <w:sz w:val="21"/>
                <w:szCs w:val="21"/>
                <w:highlight w:val="none"/>
              </w:rPr>
              <w:t>】较为齐全（缺失技术人员能力证明种类的不超过</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类），技术服务人员具有相应的服务经验，能满足项目实施要求的</w:t>
            </w:r>
            <w:r>
              <w:rPr>
                <w:rFonts w:hint="eastAsia" w:ascii="宋体" w:hAnsi="宋体" w:eastAsia="宋体" w:cs="宋体"/>
                <w:b w:val="0"/>
                <w:bCs w:val="0"/>
                <w:color w:val="auto"/>
                <w:sz w:val="21"/>
                <w:szCs w:val="21"/>
                <w:highlight w:val="none"/>
                <w:lang w:val="en-US" w:eastAsia="zh-CN"/>
              </w:rPr>
              <w:t>得4.5分</w:t>
            </w:r>
            <w:r>
              <w:rPr>
                <w:rFonts w:hint="eastAsia" w:ascii="宋体" w:hAnsi="宋体" w:eastAsia="宋体" w:cs="宋体"/>
                <w:b w:val="0"/>
                <w:bCs w:val="0"/>
                <w:color w:val="auto"/>
                <w:sz w:val="21"/>
                <w:szCs w:val="21"/>
                <w:highlight w:val="none"/>
              </w:rPr>
              <w:t>。</w:t>
            </w:r>
          </w:p>
          <w:p w14:paraId="18FB48E9">
            <w:pPr>
              <w:keepLines w:val="0"/>
              <w:pageBreakBefore w:val="0"/>
              <w:widowControl/>
              <w:wordWrap/>
              <w:topLinePunct w:val="0"/>
              <w:bidi w:val="0"/>
              <w:spacing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磋商申请人拟组建的项目服务机构的技术分工介绍表述不完整或分工不明确，</w:t>
            </w:r>
            <w:r>
              <w:rPr>
                <w:rFonts w:hint="eastAsia" w:ascii="宋体" w:hAnsi="宋体" w:eastAsia="宋体" w:cs="宋体"/>
                <w:b w:val="0"/>
                <w:bCs w:val="0"/>
                <w:color w:val="auto"/>
                <w:sz w:val="21"/>
                <w:szCs w:val="21"/>
                <w:highlight w:val="none"/>
                <w:lang w:eastAsia="zh-CN"/>
              </w:rPr>
              <w:t>项目技术服务团队</w:t>
            </w:r>
            <w:r>
              <w:rPr>
                <w:rFonts w:hint="eastAsia" w:ascii="宋体" w:hAnsi="宋体" w:eastAsia="宋体" w:cs="宋体"/>
                <w:b w:val="0"/>
                <w:bCs w:val="0"/>
                <w:color w:val="auto"/>
                <w:sz w:val="21"/>
                <w:szCs w:val="21"/>
                <w:highlight w:val="none"/>
              </w:rPr>
              <w:t>组织结构基本健全，各类专业技术人员专业配置基本合理和数量配置人员较少，主要技术服务人员的能力资质证明材料存在部分缺失（缺失技术人员能力证明种类的超过</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类），技术服务人员具有相应的服务经验，能满足项目实施要求的</w:t>
            </w:r>
            <w:r>
              <w:rPr>
                <w:rFonts w:hint="eastAsia" w:ascii="宋体" w:hAnsi="宋体" w:eastAsia="宋体" w:cs="宋体"/>
                <w:b w:val="0"/>
                <w:bCs w:val="0"/>
                <w:color w:val="auto"/>
                <w:sz w:val="21"/>
                <w:szCs w:val="21"/>
                <w:highlight w:val="none"/>
                <w:lang w:val="en-US" w:eastAsia="zh-CN"/>
              </w:rPr>
              <w:t>得3分</w:t>
            </w:r>
            <w:r>
              <w:rPr>
                <w:rFonts w:hint="eastAsia" w:ascii="宋体" w:hAnsi="宋体" w:eastAsia="宋体" w:cs="宋体"/>
                <w:b w:val="0"/>
                <w:bCs w:val="0"/>
                <w:color w:val="auto"/>
                <w:sz w:val="21"/>
                <w:szCs w:val="21"/>
                <w:highlight w:val="none"/>
              </w:rPr>
              <w:t>。</w:t>
            </w:r>
          </w:p>
          <w:p w14:paraId="13680C2C">
            <w:pPr>
              <w:keepLines w:val="0"/>
              <w:pageBreakBefore w:val="0"/>
              <w:widowControl/>
              <w:wordWrap/>
              <w:topLinePunct w:val="0"/>
              <w:bidi w:val="0"/>
              <w:spacing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磋商申请人拟组建的项目服务机构没有技术分工介绍，</w:t>
            </w:r>
            <w:r>
              <w:rPr>
                <w:rFonts w:hint="eastAsia" w:ascii="宋体" w:hAnsi="宋体" w:eastAsia="宋体" w:cs="宋体"/>
                <w:b w:val="0"/>
                <w:bCs w:val="0"/>
                <w:color w:val="auto"/>
                <w:sz w:val="21"/>
                <w:szCs w:val="21"/>
                <w:highlight w:val="none"/>
                <w:lang w:eastAsia="zh-CN"/>
              </w:rPr>
              <w:t>项目技术服务团队</w:t>
            </w:r>
            <w:r>
              <w:rPr>
                <w:rFonts w:hint="eastAsia" w:ascii="宋体" w:hAnsi="宋体" w:eastAsia="宋体" w:cs="宋体"/>
                <w:b w:val="0"/>
                <w:bCs w:val="0"/>
                <w:color w:val="auto"/>
                <w:sz w:val="21"/>
                <w:szCs w:val="21"/>
                <w:highlight w:val="none"/>
              </w:rPr>
              <w:t>组织结构基本健全，各类专业技术人员专业和数量构成配置基本满足采购要求，主要技术服务人员的能力资质证明材料存在缺失（无相应的职业证书或技术能力证书），技术服务人员无相应的服务经验或提供的证明材料模糊造成无法辨别者的</w:t>
            </w:r>
            <w:r>
              <w:rPr>
                <w:rFonts w:hint="eastAsia" w:ascii="宋体" w:hAnsi="宋体" w:eastAsia="宋体" w:cs="宋体"/>
                <w:b w:val="0"/>
                <w:bCs w:val="0"/>
                <w:color w:val="auto"/>
                <w:sz w:val="21"/>
                <w:szCs w:val="21"/>
                <w:highlight w:val="none"/>
                <w:lang w:val="en-US" w:eastAsia="zh-CN"/>
              </w:rPr>
              <w:t>1.5分</w:t>
            </w:r>
            <w:r>
              <w:rPr>
                <w:rFonts w:hint="eastAsia" w:ascii="宋体" w:hAnsi="宋体" w:eastAsia="宋体" w:cs="宋体"/>
                <w:b w:val="0"/>
                <w:bCs w:val="0"/>
                <w:color w:val="auto"/>
                <w:sz w:val="21"/>
                <w:szCs w:val="21"/>
                <w:highlight w:val="none"/>
              </w:rPr>
              <w:t>。</w:t>
            </w:r>
          </w:p>
          <w:p w14:paraId="780A1CF1">
            <w:pPr>
              <w:keepLines w:val="0"/>
              <w:pageBreakBefore w:val="0"/>
              <w:widowControl/>
              <w:wordWrap/>
              <w:topLinePunct w:val="0"/>
              <w:bidi w:val="0"/>
              <w:spacing w:line="44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rPr>
              <w:t>注：未任何提供相应证明材料的此项得0分，须提供项目团队服务人员的相关证明材料（如身份证、学历证、职称证、执业</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职业资格证书、人员在职证明材料）的，本项按0分计算。</w:t>
            </w:r>
          </w:p>
        </w:tc>
      </w:tr>
      <w:tr w14:paraId="4888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55ED7480">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812" w:type="dxa"/>
            <w:vMerge w:val="continue"/>
            <w:noWrap/>
            <w:vAlign w:val="center"/>
          </w:tcPr>
          <w:p w14:paraId="3D26ED5B">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p>
        </w:tc>
        <w:tc>
          <w:tcPr>
            <w:tcW w:w="1075" w:type="dxa"/>
            <w:noWrap/>
            <w:vAlign w:val="center"/>
          </w:tcPr>
          <w:p w14:paraId="5D1AA2D0">
            <w:pPr>
              <w:spacing w:line="4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项目经验（满分</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tc>
        <w:tc>
          <w:tcPr>
            <w:tcW w:w="7775" w:type="dxa"/>
            <w:shd w:val="clear" w:color="auto" w:fill="auto"/>
            <w:noWrap/>
            <w:vAlign w:val="center"/>
          </w:tcPr>
          <w:p w14:paraId="2F1CC6D5">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包括202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年1月1日至今完成的项目经验情况等因素：</w:t>
            </w:r>
          </w:p>
          <w:p w14:paraId="7C86AD8C">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根据响应文件中提供的项目经验证明材料进行评审，根据项目经验证明材料数量多少进行打分。若未提供项目经验证明材料，评委可不予认可。</w:t>
            </w:r>
          </w:p>
          <w:p w14:paraId="5E6898B0">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磋商申请人</w:t>
            </w:r>
            <w:r>
              <w:rPr>
                <w:rFonts w:hint="eastAsia" w:ascii="宋体" w:hAnsi="宋体" w:eastAsia="宋体" w:cs="宋体"/>
                <w:color w:val="auto"/>
                <w:szCs w:val="21"/>
                <w:highlight w:val="none"/>
              </w:rPr>
              <w:t>每提供一份项目经验证明材料（证明材料指合同</w:t>
            </w:r>
            <w:r>
              <w:rPr>
                <w:rFonts w:hint="eastAsia" w:ascii="宋体" w:hAnsi="宋体" w:eastAsia="宋体" w:cs="宋体"/>
                <w:color w:val="auto"/>
                <w:szCs w:val="21"/>
                <w:highlight w:val="none"/>
                <w:lang w:val="en-US" w:eastAsia="zh-CN"/>
              </w:rPr>
              <w:t>或</w:t>
            </w:r>
            <w:r>
              <w:rPr>
                <w:rFonts w:hint="eastAsia" w:ascii="宋体" w:hAnsi="宋体" w:eastAsia="宋体" w:cs="宋体"/>
                <w:color w:val="auto"/>
                <w:szCs w:val="21"/>
                <w:highlight w:val="none"/>
              </w:rPr>
              <w:t>验收报告）得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分，本项最高不超过</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r>
              <w:rPr>
                <w:rFonts w:hint="eastAsia" w:ascii="宋体" w:hAnsi="宋体" w:eastAsia="宋体" w:cs="宋体"/>
                <w:color w:val="auto"/>
                <w:szCs w:val="21"/>
                <w:highlight w:val="none"/>
                <w:lang w:eastAsia="zh-CN"/>
              </w:rPr>
              <w:t>磋商申请人</w:t>
            </w:r>
            <w:r>
              <w:rPr>
                <w:rFonts w:hint="eastAsia" w:ascii="宋体" w:hAnsi="宋体" w:eastAsia="宋体" w:cs="宋体"/>
                <w:color w:val="auto"/>
                <w:szCs w:val="21"/>
                <w:highlight w:val="none"/>
              </w:rPr>
              <w:t>无同类项目经验证明材料或提供的证明材料模糊造成无法辨别者，得0分。</w:t>
            </w:r>
          </w:p>
          <w:p w14:paraId="2FBB2A3A">
            <w:pPr>
              <w:spacing w:line="420" w:lineRule="exac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Cs w:val="21"/>
                <w:highlight w:val="none"/>
              </w:rPr>
              <w:t>项目经验：是指</w:t>
            </w:r>
            <w:r>
              <w:rPr>
                <w:rFonts w:hint="eastAsia" w:ascii="宋体" w:hAnsi="宋体" w:eastAsia="宋体" w:cs="宋体"/>
                <w:color w:val="auto"/>
                <w:szCs w:val="21"/>
                <w:highlight w:val="none"/>
                <w:lang w:eastAsia="zh-CN"/>
              </w:rPr>
              <w:t>磋商申请人</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年1月1日（以合同签订的时间为准）至今</w:t>
            </w:r>
            <w:r>
              <w:rPr>
                <w:rFonts w:hint="eastAsia" w:ascii="宋体" w:hAnsi="宋体" w:eastAsia="宋体" w:cs="宋体"/>
                <w:color w:val="auto"/>
                <w:szCs w:val="21"/>
                <w:highlight w:val="none"/>
                <w:lang w:val="en-US" w:eastAsia="zh-CN"/>
              </w:rPr>
              <w:t>承办</w:t>
            </w:r>
            <w:r>
              <w:rPr>
                <w:rFonts w:hint="eastAsia" w:ascii="宋体" w:hAnsi="宋体" w:eastAsia="宋体" w:cs="宋体"/>
                <w:color w:val="auto"/>
                <w:szCs w:val="21"/>
                <w:highlight w:val="none"/>
              </w:rPr>
              <w:t>完成过</w:t>
            </w:r>
            <w:r>
              <w:rPr>
                <w:rFonts w:hint="eastAsia" w:ascii="宋体" w:hAnsi="宋体" w:eastAsia="宋体" w:cs="宋体"/>
                <w:color w:val="auto"/>
                <w:szCs w:val="21"/>
                <w:highlight w:val="none"/>
                <w:lang w:val="en-US" w:eastAsia="zh-CN"/>
              </w:rPr>
              <w:t>与本次采购内容相符的软件开发服务项目</w:t>
            </w:r>
            <w:r>
              <w:rPr>
                <w:rFonts w:hint="eastAsia" w:ascii="宋体" w:hAnsi="宋体" w:eastAsia="宋体" w:cs="宋体"/>
                <w:color w:val="auto"/>
                <w:szCs w:val="21"/>
                <w:highlight w:val="none"/>
              </w:rPr>
              <w:t>实施经验。</w:t>
            </w:r>
          </w:p>
        </w:tc>
      </w:tr>
      <w:tr w14:paraId="26F73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Merge w:val="continue"/>
            <w:noWrap/>
            <w:vAlign w:val="center"/>
          </w:tcPr>
          <w:p w14:paraId="6B88EFAA">
            <w:pPr>
              <w:keepLines w:val="0"/>
              <w:pageBreakBefore w:val="0"/>
              <w:widowControl/>
              <w:wordWrap/>
              <w:topLinePunct w:val="0"/>
              <w:bidi w:val="0"/>
              <w:spacing w:line="420" w:lineRule="exact"/>
              <w:jc w:val="left"/>
              <w:textAlignment w:val="auto"/>
              <w:rPr>
                <w:rFonts w:hint="eastAsia" w:ascii="宋体" w:hAnsi="宋体" w:eastAsia="宋体" w:cs="宋体"/>
                <w:color w:val="auto"/>
                <w:sz w:val="21"/>
                <w:szCs w:val="21"/>
                <w:highlight w:val="none"/>
              </w:rPr>
            </w:pPr>
          </w:p>
        </w:tc>
        <w:tc>
          <w:tcPr>
            <w:tcW w:w="812" w:type="dxa"/>
            <w:vMerge w:val="continue"/>
            <w:noWrap/>
            <w:vAlign w:val="center"/>
          </w:tcPr>
          <w:p w14:paraId="3FEE3AD7">
            <w:pPr>
              <w:keepLines w:val="0"/>
              <w:pageBreakBefore w:val="0"/>
              <w:widowControl/>
              <w:wordWrap/>
              <w:topLinePunct w:val="0"/>
              <w:bidi w:val="0"/>
              <w:spacing w:line="420" w:lineRule="exact"/>
              <w:jc w:val="left"/>
              <w:textAlignment w:val="auto"/>
              <w:rPr>
                <w:rFonts w:hint="eastAsia" w:ascii="宋体" w:hAnsi="宋体" w:eastAsia="宋体" w:cs="宋体"/>
                <w:color w:val="auto"/>
                <w:sz w:val="21"/>
                <w:szCs w:val="21"/>
                <w:highlight w:val="none"/>
              </w:rPr>
            </w:pPr>
          </w:p>
        </w:tc>
        <w:tc>
          <w:tcPr>
            <w:tcW w:w="8850" w:type="dxa"/>
            <w:gridSpan w:val="2"/>
            <w:noWrap/>
            <w:vAlign w:val="center"/>
          </w:tcPr>
          <w:p w14:paraId="0CD4EA51">
            <w:pPr>
              <w:keepLines w:val="0"/>
              <w:pageBreakBefore w:val="0"/>
              <w:wordWrap/>
              <w:topLinePunct w:val="0"/>
              <w:bidi w:val="0"/>
              <w:spacing w:line="42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说明：1.</w:t>
            </w:r>
            <w:r>
              <w:rPr>
                <w:rFonts w:hint="eastAsia" w:ascii="宋体" w:hAnsi="宋体" w:eastAsia="宋体" w:cs="宋体"/>
                <w:color w:val="auto"/>
                <w:kern w:val="0"/>
                <w:sz w:val="21"/>
                <w:szCs w:val="21"/>
                <w:highlight w:val="none"/>
                <w:u w:val="single"/>
              </w:rPr>
              <w:t>对各</w:t>
            </w:r>
            <w:r>
              <w:rPr>
                <w:rFonts w:hint="eastAsia" w:ascii="宋体" w:hAnsi="宋体" w:eastAsia="宋体" w:cs="宋体"/>
                <w:color w:val="auto"/>
                <w:kern w:val="0"/>
                <w:sz w:val="21"/>
                <w:szCs w:val="21"/>
                <w:highlight w:val="none"/>
                <w:u w:val="single"/>
                <w:lang w:eastAsia="zh-CN"/>
              </w:rPr>
              <w:t>磋商申请人</w:t>
            </w:r>
            <w:r>
              <w:rPr>
                <w:rFonts w:hint="eastAsia" w:ascii="宋体" w:hAnsi="宋体" w:eastAsia="宋体" w:cs="宋体"/>
                <w:color w:val="auto"/>
                <w:kern w:val="0"/>
                <w:sz w:val="21"/>
                <w:szCs w:val="21"/>
                <w:highlight w:val="none"/>
                <w:u w:val="single"/>
              </w:rPr>
              <w:t>响应文件的综合技术实力部分独立进行分档评分。</w:t>
            </w:r>
          </w:p>
          <w:p w14:paraId="0742A489">
            <w:pPr>
              <w:keepLines w:val="0"/>
              <w:pageBreakBefore w:val="0"/>
              <w:wordWrap/>
              <w:topLinePunct w:val="0"/>
              <w:bidi w:val="0"/>
              <w:spacing w:line="420" w:lineRule="exact"/>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u w:val="single"/>
              </w:rPr>
              <w:t>各</w:t>
            </w:r>
            <w:r>
              <w:rPr>
                <w:rFonts w:hint="eastAsia" w:ascii="宋体" w:hAnsi="宋体" w:eastAsia="宋体" w:cs="宋体"/>
                <w:color w:val="auto"/>
                <w:kern w:val="0"/>
                <w:sz w:val="21"/>
                <w:szCs w:val="21"/>
                <w:highlight w:val="none"/>
                <w:u w:val="single"/>
                <w:lang w:eastAsia="zh-CN"/>
              </w:rPr>
              <w:t>磋商申请人</w:t>
            </w:r>
            <w:r>
              <w:rPr>
                <w:rFonts w:hint="eastAsia" w:ascii="宋体" w:hAnsi="宋体" w:eastAsia="宋体" w:cs="宋体"/>
                <w:color w:val="auto"/>
                <w:kern w:val="0"/>
                <w:sz w:val="21"/>
                <w:szCs w:val="21"/>
                <w:highlight w:val="none"/>
                <w:u w:val="single"/>
              </w:rPr>
              <w:t>须根据上述评分因素提供相应证明材料，以便磋商小组进行审查及评分。如上述资料提供不全或来源不明确，以致磋商小组无法核实的或判定的，则对应评分项应为最后一个档次。</w:t>
            </w:r>
          </w:p>
        </w:tc>
      </w:tr>
      <w:tr w14:paraId="7BD8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62" w:type="dxa"/>
            <w:vMerge w:val="restart"/>
            <w:noWrap/>
            <w:vAlign w:val="center"/>
          </w:tcPr>
          <w:p w14:paraId="1A21B828">
            <w:pPr>
              <w:keepLines w:val="0"/>
              <w:pageBreakBefore w:val="0"/>
              <w:wordWrap/>
              <w:topLinePunct w:val="0"/>
              <w:bidi w:val="0"/>
              <w:spacing w:line="4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p w14:paraId="4CFF521A">
            <w:pPr>
              <w:keepLines w:val="0"/>
              <w:pageBreakBefore w:val="0"/>
              <w:wordWrap/>
              <w:topLinePunct w:val="0"/>
              <w:bidi w:val="0"/>
              <w:spacing w:line="420" w:lineRule="exact"/>
              <w:textAlignment w:val="auto"/>
              <w:rPr>
                <w:rFonts w:hint="eastAsia" w:ascii="宋体" w:hAnsi="宋体" w:eastAsia="宋体" w:cs="宋体"/>
                <w:color w:val="auto"/>
                <w:sz w:val="21"/>
                <w:szCs w:val="21"/>
                <w:highlight w:val="none"/>
              </w:rPr>
            </w:pPr>
          </w:p>
        </w:tc>
        <w:tc>
          <w:tcPr>
            <w:tcW w:w="812" w:type="dxa"/>
            <w:vMerge w:val="restart"/>
            <w:noWrap/>
            <w:vAlign w:val="center"/>
          </w:tcPr>
          <w:p w14:paraId="4FBC2D70">
            <w:pPr>
              <w:keepLines w:val="0"/>
              <w:pageBreakBefore w:val="0"/>
              <w:wordWrap/>
              <w:topLinePunct w:val="0"/>
              <w:bidi w:val="0"/>
              <w:spacing w:line="42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F2磋商报价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满分10分）</w:t>
            </w:r>
          </w:p>
        </w:tc>
        <w:tc>
          <w:tcPr>
            <w:tcW w:w="8850" w:type="dxa"/>
            <w:gridSpan w:val="2"/>
            <w:noWrap/>
            <w:vAlign w:val="center"/>
          </w:tcPr>
          <w:p w14:paraId="23907602">
            <w:pPr>
              <w:adjustRightInd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小微企业报价的确定：</w:t>
            </w:r>
          </w:p>
          <w:p w14:paraId="28975E6B">
            <w:pPr>
              <w:spacing w:line="420" w:lineRule="exac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①小型、微型企业提供参与投标时，须提供本企业的《中小企业声明函》。</w:t>
            </w:r>
          </w:p>
          <w:p w14:paraId="3DF5BB54">
            <w:pPr>
              <w:spacing w:line="420" w:lineRule="exac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②如</w:t>
            </w:r>
            <w:r>
              <w:rPr>
                <w:rFonts w:hint="eastAsia" w:ascii="宋体" w:hAnsi="宋体" w:eastAsia="宋体" w:cs="宋体"/>
                <w:b w:val="0"/>
                <w:bCs/>
                <w:color w:val="auto"/>
                <w:kern w:val="0"/>
                <w:sz w:val="21"/>
                <w:szCs w:val="21"/>
                <w:highlight w:val="none"/>
                <w:lang w:eastAsia="zh-CN"/>
              </w:rPr>
              <w:t>供应商</w:t>
            </w:r>
            <w:r>
              <w:rPr>
                <w:rFonts w:hint="eastAsia" w:ascii="宋体" w:hAnsi="宋体" w:eastAsia="宋体" w:cs="宋体"/>
                <w:b w:val="0"/>
                <w:bCs/>
                <w:color w:val="auto"/>
                <w:kern w:val="0"/>
                <w:sz w:val="21"/>
                <w:szCs w:val="21"/>
                <w:highlight w:val="none"/>
              </w:rPr>
              <w:t>为监狱企业，还须提供省级以上监狱管理局、戒毒管理局（含新疆生产建设兵团）出具的属于监狱企业的证明文件扫描件。</w:t>
            </w:r>
          </w:p>
          <w:p w14:paraId="50063547">
            <w:pPr>
              <w:spacing w:line="420" w:lineRule="exac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rPr>
              <w:t>③如</w:t>
            </w:r>
            <w:r>
              <w:rPr>
                <w:rFonts w:hint="eastAsia" w:ascii="宋体" w:hAnsi="宋体" w:eastAsia="宋体" w:cs="宋体"/>
                <w:b w:val="0"/>
                <w:bCs/>
                <w:color w:val="auto"/>
                <w:kern w:val="0"/>
                <w:sz w:val="21"/>
                <w:szCs w:val="21"/>
                <w:highlight w:val="none"/>
                <w:lang w:eastAsia="zh-CN"/>
              </w:rPr>
              <w:t>供应商</w:t>
            </w:r>
            <w:r>
              <w:rPr>
                <w:rFonts w:hint="eastAsia" w:ascii="宋体" w:hAnsi="宋体" w:eastAsia="宋体" w:cs="宋体"/>
                <w:b w:val="0"/>
                <w:bCs/>
                <w:color w:val="auto"/>
                <w:kern w:val="0"/>
                <w:sz w:val="21"/>
                <w:szCs w:val="21"/>
                <w:highlight w:val="none"/>
              </w:rPr>
              <w:t>为残疾人福利性单位，提供《残疾人福利性单位声明函》。</w:t>
            </w:r>
          </w:p>
          <w:p w14:paraId="5F0D0DDF">
            <w:pPr>
              <w:adjustRightInd w:val="0"/>
              <w:spacing w:line="4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④报价执行方式</w:t>
            </w:r>
          </w:p>
          <w:p w14:paraId="6886CA6E">
            <w:pPr>
              <w:adjustRightIn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磋商申请人不属于联合体的，</w:t>
            </w:r>
            <w:r>
              <w:rPr>
                <w:rFonts w:hint="eastAsia" w:ascii="宋体" w:hAnsi="宋体" w:eastAsia="宋体" w:cs="宋体"/>
                <w:color w:val="auto"/>
                <w:szCs w:val="21"/>
                <w:highlight w:val="none"/>
              </w:rPr>
              <w:t>对小型、微型企业提供的服务的价格给予10%的扣除。</w:t>
            </w:r>
          </w:p>
          <w:p w14:paraId="4F75F0DB">
            <w:pPr>
              <w:adjustRightInd w:val="0"/>
              <w:spacing w:line="420" w:lineRule="exact"/>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color w:val="auto"/>
                <w:szCs w:val="21"/>
                <w:highlight w:val="none"/>
              </w:rPr>
              <w:t>小型、含微型企业报价计算公式：B小=B*(1-</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，该报价作为评审价格。</w:t>
            </w:r>
          </w:p>
        </w:tc>
      </w:tr>
      <w:tr w14:paraId="2DA2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562" w:type="dxa"/>
            <w:vMerge w:val="continue"/>
            <w:noWrap/>
            <w:vAlign w:val="center"/>
          </w:tcPr>
          <w:p w14:paraId="1C6075A8">
            <w:pPr>
              <w:keepLines w:val="0"/>
              <w:pageBreakBefore w:val="0"/>
              <w:wordWrap/>
              <w:topLinePunct w:val="0"/>
              <w:bidi w:val="0"/>
              <w:spacing w:line="420" w:lineRule="exact"/>
              <w:textAlignment w:val="auto"/>
              <w:rPr>
                <w:rFonts w:hint="eastAsia" w:ascii="宋体" w:hAnsi="宋体" w:eastAsia="宋体" w:cs="宋体"/>
                <w:b/>
                <w:bCs/>
                <w:color w:val="auto"/>
                <w:sz w:val="21"/>
                <w:szCs w:val="21"/>
                <w:highlight w:val="none"/>
              </w:rPr>
            </w:pPr>
          </w:p>
        </w:tc>
        <w:tc>
          <w:tcPr>
            <w:tcW w:w="812" w:type="dxa"/>
            <w:vMerge w:val="continue"/>
            <w:noWrap/>
            <w:vAlign w:val="center"/>
          </w:tcPr>
          <w:p w14:paraId="0C805C82">
            <w:pPr>
              <w:keepLines w:val="0"/>
              <w:pageBreakBefore w:val="0"/>
              <w:wordWrap/>
              <w:topLinePunct w:val="0"/>
              <w:bidi w:val="0"/>
              <w:spacing w:line="420" w:lineRule="exact"/>
              <w:textAlignment w:val="auto"/>
              <w:rPr>
                <w:rFonts w:hint="eastAsia" w:ascii="宋体" w:hAnsi="宋体" w:eastAsia="宋体" w:cs="宋体"/>
                <w:b/>
                <w:bCs/>
                <w:color w:val="auto"/>
                <w:sz w:val="21"/>
                <w:szCs w:val="21"/>
                <w:highlight w:val="none"/>
              </w:rPr>
            </w:pPr>
          </w:p>
        </w:tc>
        <w:tc>
          <w:tcPr>
            <w:tcW w:w="8850" w:type="dxa"/>
            <w:gridSpan w:val="2"/>
            <w:noWrap/>
            <w:vAlign w:val="center"/>
          </w:tcPr>
          <w:p w14:paraId="35D7D08B">
            <w:pPr>
              <w:keepLines w:val="0"/>
              <w:pageBreakBefore w:val="0"/>
              <w:wordWrap/>
              <w:topLinePunct w:val="0"/>
              <w:bidi w:val="0"/>
              <w:adjustRightIn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highlight w:val="none"/>
                <w:lang w:val="en-US" w:eastAsia="zh-CN"/>
              </w:rPr>
              <w:t>磋商报价评审（满分10分）</w:t>
            </w:r>
          </w:p>
          <w:p w14:paraId="0B02A4CC">
            <w:pPr>
              <w:keepLines w:val="0"/>
              <w:pageBreakBefore w:val="0"/>
              <w:wordWrap/>
              <w:topLinePunct w:val="0"/>
              <w:bidi w:val="0"/>
              <w:adjustRightIn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磋商最终报价得分计算公式= （</w:t>
            </w:r>
            <w:r>
              <w:rPr>
                <w:rFonts w:hint="eastAsia" w:ascii="宋体" w:hAnsi="宋体" w:eastAsia="宋体" w:cs="宋体"/>
                <w:color w:val="auto"/>
                <w:sz w:val="21"/>
                <w:szCs w:val="21"/>
                <w:highlight w:val="none"/>
                <w:lang w:val="en-US" w:eastAsia="zh-CN"/>
              </w:rPr>
              <w:t>此部分</w:t>
            </w:r>
            <w:r>
              <w:rPr>
                <w:rFonts w:hint="eastAsia" w:ascii="宋体" w:hAnsi="宋体" w:eastAsia="宋体" w:cs="宋体"/>
                <w:color w:val="auto"/>
                <w:sz w:val="21"/>
                <w:szCs w:val="21"/>
                <w:highlight w:val="none"/>
              </w:rPr>
              <w:t>评审基准价/该</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kern w:val="0"/>
                <w:highlight w:val="none"/>
                <w:lang w:val="en-US" w:eastAsia="zh-CN"/>
              </w:rPr>
              <w:t>磋商</w:t>
            </w:r>
            <w:r>
              <w:rPr>
                <w:rFonts w:hint="eastAsia" w:ascii="宋体" w:hAnsi="宋体" w:eastAsia="宋体" w:cs="宋体"/>
                <w:color w:val="auto"/>
                <w:sz w:val="21"/>
                <w:szCs w:val="21"/>
                <w:highlight w:val="none"/>
              </w:rPr>
              <w:t>最终报价）×</w:t>
            </w:r>
            <w:r>
              <w:rPr>
                <w:rFonts w:hint="eastAsia" w:ascii="宋体" w:hAnsi="宋体" w:eastAsia="宋体" w:cs="宋体"/>
                <w:color w:val="auto"/>
                <w:sz w:val="21"/>
                <w:szCs w:val="21"/>
                <w:highlight w:val="none"/>
                <w:lang w:val="en-US" w:eastAsia="zh-CN"/>
              </w:rPr>
              <w:t>10</w:t>
            </w:r>
          </w:p>
          <w:p w14:paraId="71C0260D">
            <w:pPr>
              <w:keepLines w:val="0"/>
              <w:pageBreakBefore w:val="0"/>
              <w:wordWrap/>
              <w:topLinePunct w:val="0"/>
              <w:bidi w:val="0"/>
              <w:adjustRightIn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即：P1=[P/（B1，B2，…，Bn）]×</w:t>
            </w:r>
            <w:r>
              <w:rPr>
                <w:rFonts w:hint="eastAsia" w:ascii="宋体" w:hAnsi="宋体" w:eastAsia="宋体" w:cs="宋体"/>
                <w:color w:val="auto"/>
                <w:sz w:val="21"/>
                <w:szCs w:val="21"/>
                <w:highlight w:val="none"/>
                <w:lang w:val="en-US" w:eastAsia="zh-CN"/>
              </w:rPr>
              <w:t>10</w:t>
            </w:r>
          </w:p>
          <w:p w14:paraId="582547D9">
            <w:pPr>
              <w:keepLines w:val="0"/>
              <w:pageBreakBefore w:val="0"/>
              <w:wordWrap/>
              <w:topLinePunct w:val="0"/>
              <w:bidi w:val="0"/>
              <w:adjustRightInd w:val="0"/>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注：P为评审基准价，即通过响应性评审且磋商最终报价最低的有效报价；</w:t>
            </w:r>
          </w:p>
          <w:p w14:paraId="5A40BEA3">
            <w:pPr>
              <w:keepLines w:val="0"/>
              <w:pageBreakBefore w:val="0"/>
              <w:wordWrap/>
              <w:topLinePunct w:val="0"/>
              <w:bidi w:val="0"/>
              <w:adjustRightInd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B1，B2，…，Bn为通过响应性评审的有效最终报价，n为通过响应性评审的有效最终报价的个数。</w:t>
            </w:r>
          </w:p>
        </w:tc>
      </w:tr>
    </w:tbl>
    <w:p w14:paraId="2AEC2034">
      <w:pPr>
        <w:pStyle w:val="60"/>
        <w:keepNext w:val="0"/>
        <w:keepLines w:val="0"/>
        <w:pageBreakBefore w:val="0"/>
        <w:kinsoku/>
        <w:wordWrap/>
        <w:overflowPunct/>
        <w:topLinePunct w:val="0"/>
        <w:bidi w:val="0"/>
        <w:snapToGrid/>
        <w:spacing w:line="460" w:lineRule="exact"/>
        <w:ind w:firstLine="0" w:firstLineChars="0"/>
        <w:textAlignment w:val="auto"/>
        <w:rPr>
          <w:rFonts w:hint="eastAsia" w:ascii="宋体" w:hAnsi="宋体" w:eastAsia="宋体" w:cs="宋体"/>
          <w:b/>
          <w:bCs/>
          <w:color w:val="auto"/>
          <w:kern w:val="0"/>
          <w:sz w:val="24"/>
          <w:szCs w:val="24"/>
          <w:highlight w:val="none"/>
        </w:rPr>
      </w:pPr>
    </w:p>
    <w:p w14:paraId="2E58CFAF">
      <w:pPr>
        <w:pStyle w:val="60"/>
        <w:keepNext w:val="0"/>
        <w:keepLines w:val="0"/>
        <w:pageBreakBefore w:val="0"/>
        <w:kinsoku/>
        <w:wordWrap/>
        <w:overflowPunct/>
        <w:topLinePunct w:val="0"/>
        <w:bidi w:val="0"/>
        <w:snapToGrid/>
        <w:spacing w:line="460" w:lineRule="exact"/>
        <w:ind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四、磋商方法</w:t>
      </w:r>
    </w:p>
    <w:p w14:paraId="7CC334EC">
      <w:pPr>
        <w:keepNext w:val="0"/>
        <w:keepLines w:val="0"/>
        <w:pageBreakBefore w:val="0"/>
        <w:widowControl/>
        <w:kinsoku/>
        <w:wordWrap/>
        <w:overflowPunct/>
        <w:topLinePunct w:val="0"/>
        <w:bidi w:val="0"/>
        <w:snapToGrid/>
        <w:spacing w:line="460" w:lineRule="exact"/>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（一）综合评分法。磋商小组将根据评审办法计算出各</w:t>
      </w:r>
      <w:r>
        <w:rPr>
          <w:rFonts w:hint="eastAsia" w:ascii="宋体" w:hAnsi="宋体" w:eastAsia="宋体" w:cs="宋体"/>
          <w:color w:val="auto"/>
          <w:kern w:val="0"/>
          <w:szCs w:val="21"/>
          <w:highlight w:val="none"/>
          <w:lang w:eastAsia="zh-CN"/>
        </w:rPr>
        <w:t>磋商申请人</w:t>
      </w:r>
      <w:r>
        <w:rPr>
          <w:rFonts w:hint="eastAsia" w:ascii="宋体" w:hAnsi="宋体" w:eastAsia="宋体" w:cs="宋体"/>
          <w:color w:val="auto"/>
          <w:kern w:val="0"/>
          <w:szCs w:val="21"/>
          <w:highlight w:val="none"/>
        </w:rPr>
        <w:t>的综合得分，按得分由高到低推荐成交候选人排序；得分相同的，按最终报价由低到高顺序排列；得分且最终报价相同的，按产品参数的响应程度部分合计得分高低顺序排列</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z w:val="21"/>
          <w:szCs w:val="21"/>
          <w:highlight w:val="none"/>
          <w:lang w:val="en-US" w:eastAsia="zh-CN"/>
        </w:rPr>
        <w:t>若以上条件均相同时，磋商申请人所投产品中包含节能产品、环境标志产品的应予以优先采购</w:t>
      </w:r>
      <w:r>
        <w:rPr>
          <w:rFonts w:hint="eastAsia" w:ascii="宋体" w:hAnsi="宋体" w:eastAsia="宋体" w:cs="宋体"/>
          <w:color w:val="auto"/>
          <w:kern w:val="0"/>
          <w:szCs w:val="21"/>
          <w:highlight w:val="none"/>
        </w:rPr>
        <w:t>。最终磋商小组将根据评审后的总得分由高到低顺序排列推荐1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3个成交候选人。</w:t>
      </w:r>
    </w:p>
    <w:p w14:paraId="3FC30DAD">
      <w:pPr>
        <w:keepNext w:val="0"/>
        <w:keepLines w:val="0"/>
        <w:pageBreakBefore w:val="0"/>
        <w:widowControl/>
        <w:kinsoku/>
        <w:wordWrap/>
        <w:overflowPunct/>
        <w:topLinePunct w:val="0"/>
        <w:bidi w:val="0"/>
        <w:snapToGrid/>
        <w:spacing w:line="460" w:lineRule="exact"/>
        <w:ind w:firstLine="42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二</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52B1A048">
      <w:pPr>
        <w:keepNext w:val="0"/>
        <w:keepLines w:val="0"/>
        <w:pageBreakBefore w:val="0"/>
        <w:widowControl/>
        <w:kinsoku/>
        <w:wordWrap/>
        <w:overflowPunct/>
        <w:topLinePunct w:val="0"/>
        <w:bidi w:val="0"/>
        <w:snapToGrid/>
        <w:spacing w:line="460" w:lineRule="exact"/>
        <w:ind w:firstLine="420" w:firstLineChars="200"/>
        <w:textAlignment w:val="auto"/>
        <w:rPr>
          <w:rFonts w:hint="eastAsia" w:ascii="宋体" w:hAnsi="宋体" w:eastAsia="宋体" w:cs="宋体"/>
          <w:color w:val="auto"/>
          <w:kern w:val="0"/>
          <w:szCs w:val="21"/>
          <w:highlight w:val="none"/>
        </w:rPr>
      </w:pPr>
      <w:bookmarkStart w:id="202" w:name="_Toc383175535"/>
      <w:bookmarkStart w:id="203" w:name="_Toc86124098"/>
      <w:bookmarkStart w:id="204" w:name="_Toc191374451"/>
      <w:bookmarkStart w:id="205" w:name="_Toc378499754"/>
      <w:bookmarkStart w:id="206" w:name="_Toc347849273"/>
      <w:r>
        <w:rPr>
          <w:rFonts w:hint="eastAsia" w:ascii="宋体" w:hAnsi="宋体" w:eastAsia="宋体" w:cs="宋体"/>
          <w:color w:val="auto"/>
          <w:kern w:val="0"/>
          <w:szCs w:val="21"/>
          <w:highlight w:val="none"/>
        </w:rPr>
        <w:t>（三）核心产品同一品牌中标候选人确定方式：本选择方式根据《财政部87号令》制定。</w:t>
      </w:r>
    </w:p>
    <w:p w14:paraId="37A80A48">
      <w:pPr>
        <w:keepNext w:val="0"/>
        <w:keepLines w:val="0"/>
        <w:pageBreakBefore w:val="0"/>
        <w:widowControl/>
        <w:kinsoku/>
        <w:wordWrap/>
        <w:overflowPunct/>
        <w:topLinePunct w:val="0"/>
        <w:bidi w:val="0"/>
        <w:snapToGrid/>
        <w:spacing w:line="460" w:lineRule="exact"/>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供核心产品相同品牌产品且通过资格审查、符合性审查的不同磋商申请人参加同一合同项下采购活动的，按一家磋商申请人计算，评审后总得分最高的核心产品同品牌磋商申请人获得成交候选人推荐资格；评审得分相同的，按磋商最终报价最低的同品牌磋商申请人获得成交候选人推荐资格；总得分且磋商最终报价相同的，按技术评分最高的同品牌磋商申请人获得成交候选人推荐资格。</w:t>
      </w:r>
    </w:p>
    <w:p w14:paraId="30B445C3">
      <w:pPr>
        <w:pStyle w:val="60"/>
        <w:keepNext w:val="0"/>
        <w:keepLines w:val="0"/>
        <w:pageBreakBefore w:val="0"/>
        <w:kinsoku/>
        <w:wordWrap/>
        <w:overflowPunct/>
        <w:topLinePunct w:val="0"/>
        <w:bidi w:val="0"/>
        <w:snapToGrid/>
        <w:spacing w:line="460" w:lineRule="exact"/>
        <w:ind w:left="420" w:leftChars="200"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五、磋商程序</w:t>
      </w:r>
      <w:bookmarkEnd w:id="202"/>
      <w:bookmarkEnd w:id="203"/>
      <w:bookmarkEnd w:id="204"/>
      <w:bookmarkEnd w:id="205"/>
      <w:bookmarkEnd w:id="206"/>
    </w:p>
    <w:p w14:paraId="6347E616">
      <w:pPr>
        <w:keepNext w:val="0"/>
        <w:keepLines w:val="0"/>
        <w:pageBreakBefore w:val="0"/>
        <w:widowControl/>
        <w:kinsoku/>
        <w:wordWrap/>
        <w:overflowPunct/>
        <w:topLinePunct w:val="0"/>
        <w:bidi w:val="0"/>
        <w:snapToGrid/>
        <w:spacing w:line="460" w:lineRule="exact"/>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资格审查→磋商过程</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在规定的时间内提交最终报价</w:t>
      </w:r>
      <w:r>
        <w:rPr>
          <w:rFonts w:hint="eastAsia" w:ascii="宋体" w:hAnsi="宋体" w:eastAsia="宋体" w:cs="宋体"/>
          <w:color w:val="auto"/>
          <w:szCs w:val="21"/>
          <w:highlight w:val="none"/>
        </w:rPr>
        <w:t>→</w:t>
      </w:r>
      <w:r>
        <w:rPr>
          <w:rFonts w:hint="eastAsia" w:ascii="宋体" w:hAnsi="宋体" w:eastAsia="宋体" w:cs="宋体"/>
          <w:color w:val="auto"/>
          <w:kern w:val="0"/>
          <w:szCs w:val="21"/>
          <w:highlight w:val="none"/>
        </w:rPr>
        <w:t>响应文件的编制符合性审查→响应文件的响应性评审→综合评估评分。</w:t>
      </w:r>
    </w:p>
    <w:p w14:paraId="20746325">
      <w:pPr>
        <w:pStyle w:val="60"/>
        <w:keepNext w:val="0"/>
        <w:keepLines w:val="0"/>
        <w:pageBreakBefore w:val="0"/>
        <w:widowControl/>
        <w:numPr>
          <w:ilvl w:val="0"/>
          <w:numId w:val="9"/>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磋商小组依据本章规定的标准对磋商申请人提交的资格</w:t>
      </w:r>
      <w:r>
        <w:rPr>
          <w:rFonts w:hint="eastAsia" w:ascii="宋体" w:hAnsi="宋体" w:eastAsia="宋体" w:cs="宋体"/>
          <w:color w:val="auto"/>
          <w:kern w:val="0"/>
          <w:szCs w:val="21"/>
          <w:highlight w:val="none"/>
          <w:lang w:val="en-US" w:eastAsia="zh-CN"/>
        </w:rPr>
        <w:t>部分</w:t>
      </w:r>
      <w:r>
        <w:rPr>
          <w:rFonts w:hint="eastAsia" w:ascii="宋体" w:hAnsi="宋体" w:eastAsia="宋体" w:cs="宋体"/>
          <w:color w:val="auto"/>
          <w:kern w:val="0"/>
          <w:szCs w:val="21"/>
          <w:highlight w:val="none"/>
        </w:rPr>
        <w:t>文件进行审查。只要有一项不符合磋商标准的，就不能通过审查，不再参与磋商。当资格审查通过的磋商申请人少于3家时，将终止本次竞争性磋商采购活动。</w:t>
      </w:r>
    </w:p>
    <w:p w14:paraId="6C13772E">
      <w:pPr>
        <w:pStyle w:val="60"/>
        <w:keepNext w:val="0"/>
        <w:keepLines w:val="0"/>
        <w:pageBreakBefore w:val="0"/>
        <w:widowControl/>
        <w:numPr>
          <w:ilvl w:val="0"/>
          <w:numId w:val="9"/>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采购需求的审查以响应文件中所提供的</w:t>
      </w:r>
      <w:r>
        <w:rPr>
          <w:rFonts w:hint="eastAsia" w:ascii="宋体" w:hAnsi="宋体" w:eastAsia="宋体" w:cs="宋体"/>
          <w:color w:val="auto"/>
          <w:kern w:val="0"/>
          <w:szCs w:val="21"/>
          <w:highlight w:val="none"/>
          <w:lang w:val="en-US" w:eastAsia="zh-CN"/>
        </w:rPr>
        <w:t>相应技术证明材料</w:t>
      </w:r>
      <w:r>
        <w:rPr>
          <w:rFonts w:hint="eastAsia" w:ascii="宋体" w:hAnsi="宋体" w:eastAsia="宋体" w:cs="宋体"/>
          <w:color w:val="auto"/>
          <w:kern w:val="0"/>
          <w:szCs w:val="21"/>
          <w:highlight w:val="none"/>
        </w:rPr>
        <w:t>中技术参数进行审查；响应文件中未提供相应资料的，按不实质性响应磋商文件处理。</w:t>
      </w:r>
    </w:p>
    <w:p w14:paraId="09941D80">
      <w:pPr>
        <w:pStyle w:val="60"/>
        <w:keepNext w:val="0"/>
        <w:keepLines w:val="0"/>
        <w:pageBreakBefore w:val="0"/>
        <w:kinsoku/>
        <w:wordWrap/>
        <w:overflowPunct/>
        <w:topLinePunct w:val="0"/>
        <w:bidi w:val="0"/>
        <w:snapToGrid/>
        <w:spacing w:line="460" w:lineRule="exact"/>
        <w:ind w:left="420" w:leftChars="200"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六、磋商标准</w:t>
      </w:r>
    </w:p>
    <w:p w14:paraId="6A13259C">
      <w:pPr>
        <w:pStyle w:val="60"/>
        <w:keepNext w:val="0"/>
        <w:keepLines w:val="0"/>
        <w:pageBreakBefore w:val="0"/>
        <w:widowControl/>
        <w:numPr>
          <w:ilvl w:val="0"/>
          <w:numId w:val="10"/>
        </w:numPr>
        <w:kinsoku/>
        <w:wordWrap/>
        <w:overflowPunct/>
        <w:topLinePunct w:val="0"/>
        <w:bidi w:val="0"/>
        <w:snapToGrid/>
        <w:spacing w:line="460" w:lineRule="exact"/>
        <w:ind w:firstLineChars="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审查标准</w:t>
      </w:r>
    </w:p>
    <w:p w14:paraId="509A9891">
      <w:pPr>
        <w:keepNext w:val="0"/>
        <w:keepLines w:val="0"/>
        <w:pageBreakBefore w:val="0"/>
        <w:widowControl/>
        <w:kinsoku/>
        <w:wordWrap/>
        <w:overflowPunct/>
        <w:topLinePunct w:val="0"/>
        <w:bidi w:val="0"/>
        <w:snapToGrid/>
        <w:spacing w:line="460" w:lineRule="exact"/>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审查标准：依据法律法规和磋商文件的规定，对响应文件中的资格证明、</w:t>
      </w:r>
      <w:r>
        <w:rPr>
          <w:rFonts w:hint="eastAsia" w:ascii="宋体" w:hAnsi="宋体" w:eastAsia="宋体" w:cs="宋体"/>
          <w:color w:val="auto"/>
          <w:kern w:val="0"/>
          <w:szCs w:val="21"/>
          <w:highlight w:val="none"/>
          <w:lang w:val="en-US" w:eastAsia="zh-CN"/>
        </w:rPr>
        <w:t>技术及</w:t>
      </w:r>
      <w:r>
        <w:rPr>
          <w:rFonts w:hint="eastAsia" w:ascii="宋体" w:hAnsi="宋体" w:eastAsia="宋体" w:cs="宋体"/>
          <w:color w:val="auto"/>
          <w:kern w:val="0"/>
          <w:szCs w:val="21"/>
          <w:highlight w:val="none"/>
        </w:rPr>
        <w:t>服务要求等实质性要求审查标准进行审查，见“磋商程序和方法前附表”。</w:t>
      </w:r>
    </w:p>
    <w:p w14:paraId="5A1D7BFC">
      <w:pPr>
        <w:pStyle w:val="60"/>
        <w:keepNext w:val="0"/>
        <w:keepLines w:val="0"/>
        <w:pageBreakBefore w:val="0"/>
        <w:widowControl/>
        <w:numPr>
          <w:ilvl w:val="0"/>
          <w:numId w:val="10"/>
        </w:numPr>
        <w:kinsoku/>
        <w:wordWrap/>
        <w:overflowPunct/>
        <w:topLinePunct w:val="0"/>
        <w:bidi w:val="0"/>
        <w:snapToGrid/>
        <w:spacing w:line="460" w:lineRule="exact"/>
        <w:ind w:firstLineChars="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磋商标准</w:t>
      </w:r>
    </w:p>
    <w:p w14:paraId="4D342F9C">
      <w:pPr>
        <w:pStyle w:val="60"/>
        <w:keepNext w:val="0"/>
        <w:keepLines w:val="0"/>
        <w:pageBreakBefore w:val="0"/>
        <w:widowControl/>
        <w:numPr>
          <w:ilvl w:val="0"/>
          <w:numId w:val="11"/>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磋商申请人只有通过资格审查才能进行磋商过程及提交最终报价（第二轮磋商报价）及详细评审。</w:t>
      </w:r>
    </w:p>
    <w:p w14:paraId="1393D0A8">
      <w:pPr>
        <w:pStyle w:val="60"/>
        <w:keepNext w:val="0"/>
        <w:keepLines w:val="0"/>
        <w:pageBreakBefore w:val="0"/>
        <w:widowControl/>
        <w:numPr>
          <w:ilvl w:val="0"/>
          <w:numId w:val="11"/>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通过审查的各磋商申请人将按照上传磋商响应文件的顺序并根据政采云平台的流程依次与磋商小组进行单一独立磋商，</w:t>
      </w:r>
      <w:r>
        <w:rPr>
          <w:rFonts w:hint="eastAsia" w:ascii="宋体" w:hAnsi="宋体" w:eastAsia="宋体" w:cs="宋体"/>
          <w:color w:val="auto"/>
          <w:kern w:val="0"/>
          <w:szCs w:val="21"/>
          <w:highlight w:val="none"/>
          <w:lang w:val="en-US" w:eastAsia="zh-CN"/>
        </w:rPr>
        <w:t>由磋商小组开启相应磋商流程。</w:t>
      </w:r>
      <w:r>
        <w:rPr>
          <w:rFonts w:hint="eastAsia" w:ascii="宋体" w:hAnsi="宋体" w:eastAsia="宋体" w:cs="宋体"/>
          <w:color w:val="auto"/>
          <w:kern w:val="0"/>
          <w:szCs w:val="21"/>
          <w:highlight w:val="none"/>
        </w:rPr>
        <w:t>磋商申请人可对</w:t>
      </w:r>
      <w:r>
        <w:rPr>
          <w:rFonts w:hint="eastAsia" w:ascii="宋体" w:hAnsi="宋体" w:eastAsia="宋体" w:cs="宋体"/>
          <w:color w:val="auto"/>
          <w:kern w:val="0"/>
          <w:szCs w:val="21"/>
          <w:highlight w:val="none"/>
          <w:lang w:eastAsia="zh-CN"/>
        </w:rPr>
        <w:t>拟提供应</w:t>
      </w:r>
      <w:r>
        <w:rPr>
          <w:rFonts w:hint="eastAsia" w:ascii="宋体" w:hAnsi="宋体" w:eastAsia="宋体" w:cs="宋体"/>
          <w:color w:val="auto"/>
          <w:kern w:val="0"/>
          <w:szCs w:val="21"/>
          <w:highlight w:val="none"/>
        </w:rPr>
        <w:t>的</w:t>
      </w:r>
      <w:r>
        <w:rPr>
          <w:rFonts w:hint="eastAsia" w:ascii="宋体" w:hAnsi="宋体" w:eastAsia="宋体" w:cs="宋体"/>
          <w:color w:val="auto"/>
          <w:kern w:val="0"/>
          <w:szCs w:val="21"/>
          <w:highlight w:val="none"/>
          <w:lang w:val="en-US" w:eastAsia="zh-CN"/>
        </w:rPr>
        <w:t>产品</w:t>
      </w:r>
      <w:r>
        <w:rPr>
          <w:rFonts w:hint="eastAsia" w:ascii="宋体" w:hAnsi="宋体" w:eastAsia="宋体" w:cs="宋体"/>
          <w:color w:val="auto"/>
          <w:kern w:val="0"/>
          <w:szCs w:val="21"/>
          <w:highlight w:val="none"/>
        </w:rPr>
        <w:t>进行述标（</w:t>
      </w:r>
      <w:r>
        <w:rPr>
          <w:rFonts w:hint="eastAsia" w:ascii="宋体" w:hAnsi="宋体" w:eastAsia="宋体" w:cs="宋体"/>
          <w:color w:val="auto"/>
          <w:kern w:val="0"/>
          <w:szCs w:val="21"/>
          <w:highlight w:val="none"/>
          <w:lang w:val="en-US" w:eastAsia="zh-CN"/>
        </w:rPr>
        <w:t>项目（</w:t>
      </w:r>
      <w:r>
        <w:rPr>
          <w:rFonts w:hint="eastAsia" w:ascii="宋体" w:hAnsi="宋体" w:eastAsia="宋体" w:cs="宋体"/>
          <w:color w:val="auto"/>
          <w:kern w:val="0"/>
          <w:szCs w:val="21"/>
          <w:highlight w:val="none"/>
        </w:rPr>
        <w:t>产品</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质量、</w:t>
      </w:r>
      <w:r>
        <w:rPr>
          <w:rFonts w:hint="eastAsia" w:ascii="宋体" w:hAnsi="宋体" w:eastAsia="宋体" w:cs="宋体"/>
          <w:color w:val="auto"/>
          <w:kern w:val="0"/>
          <w:szCs w:val="21"/>
          <w:highlight w:val="none"/>
          <w:lang w:val="en-US" w:eastAsia="zh-CN"/>
        </w:rPr>
        <w:t>产品</w:t>
      </w:r>
      <w:r>
        <w:rPr>
          <w:rFonts w:hint="eastAsia" w:ascii="宋体" w:hAnsi="宋体" w:eastAsia="宋体" w:cs="宋体"/>
          <w:color w:val="auto"/>
          <w:kern w:val="0"/>
          <w:szCs w:val="21"/>
          <w:highlight w:val="none"/>
        </w:rPr>
        <w:t>质量保证期、</w:t>
      </w:r>
      <w:r>
        <w:rPr>
          <w:rFonts w:hint="eastAsia" w:ascii="宋体" w:hAnsi="宋体" w:eastAsia="宋体" w:cs="宋体"/>
          <w:color w:val="auto"/>
          <w:kern w:val="0"/>
          <w:szCs w:val="21"/>
          <w:highlight w:val="none"/>
          <w:lang w:val="en-US" w:eastAsia="zh-CN"/>
        </w:rPr>
        <w:t>技术支持和</w:t>
      </w:r>
      <w:r>
        <w:rPr>
          <w:rFonts w:hint="eastAsia" w:ascii="宋体" w:hAnsi="宋体" w:eastAsia="宋体" w:cs="宋体"/>
          <w:color w:val="auto"/>
          <w:kern w:val="0"/>
          <w:szCs w:val="21"/>
          <w:highlight w:val="none"/>
        </w:rPr>
        <w:t>售后服务等进行介绍）时间：不能超过10分钟。磋商小组将就项目</w:t>
      </w:r>
      <w:r>
        <w:rPr>
          <w:rFonts w:hint="eastAsia" w:ascii="宋体" w:hAnsi="宋体" w:eastAsia="宋体" w:cs="宋体"/>
          <w:color w:val="auto"/>
          <w:kern w:val="0"/>
          <w:szCs w:val="21"/>
          <w:highlight w:val="none"/>
          <w:lang w:val="en-US" w:eastAsia="zh-CN"/>
        </w:rPr>
        <w:t>相关</w:t>
      </w:r>
      <w:r>
        <w:rPr>
          <w:rFonts w:hint="eastAsia" w:ascii="宋体" w:hAnsi="宋体" w:eastAsia="宋体" w:cs="宋体"/>
          <w:color w:val="auto"/>
          <w:kern w:val="0"/>
          <w:szCs w:val="21"/>
          <w:highlight w:val="none"/>
        </w:rPr>
        <w:t>质量、磋商报价等方面进行磋商，磋商申请人可对磋商情况填报二次报价及承诺</w:t>
      </w:r>
      <w:r>
        <w:rPr>
          <w:rFonts w:hint="eastAsia" w:ascii="宋体" w:hAnsi="宋体" w:eastAsia="宋体" w:cs="宋体"/>
          <w:color w:val="auto"/>
          <w:kern w:val="0"/>
          <w:szCs w:val="21"/>
          <w:highlight w:val="none"/>
          <w:lang w:eastAsia="zh-CN"/>
        </w:rPr>
        <w:t>，</w:t>
      </w:r>
      <w:r>
        <w:rPr>
          <w:rFonts w:hint="eastAsia" w:ascii="宋体" w:hAnsi="宋体" w:eastAsia="宋体" w:cs="宋体"/>
          <w:b/>
          <w:bCs/>
          <w:color w:val="auto"/>
          <w:kern w:val="0"/>
          <w:szCs w:val="21"/>
          <w:highlight w:val="none"/>
        </w:rPr>
        <w:t>各磋商申请人须根据</w:t>
      </w:r>
      <w:r>
        <w:rPr>
          <w:rFonts w:hint="eastAsia" w:ascii="宋体" w:hAnsi="宋体" w:eastAsia="宋体" w:cs="宋体"/>
          <w:b/>
          <w:bCs/>
          <w:color w:val="auto"/>
          <w:kern w:val="0"/>
          <w:szCs w:val="21"/>
          <w:highlight w:val="none"/>
          <w:lang w:eastAsia="zh-CN"/>
        </w:rPr>
        <w:t>云南省政府采购电子交易平台</w:t>
      </w:r>
      <w:r>
        <w:rPr>
          <w:rFonts w:hint="eastAsia" w:ascii="宋体" w:hAnsi="宋体" w:eastAsia="宋体" w:cs="宋体"/>
          <w:b/>
          <w:bCs/>
          <w:color w:val="auto"/>
          <w:kern w:val="0"/>
          <w:szCs w:val="21"/>
          <w:highlight w:val="none"/>
        </w:rPr>
        <w:t>的系统提示在规定时间内进行填报二次报价及承诺。</w:t>
      </w:r>
    </w:p>
    <w:p w14:paraId="771EEA4D">
      <w:pPr>
        <w:pStyle w:val="60"/>
        <w:keepNext w:val="0"/>
        <w:keepLines w:val="0"/>
        <w:pageBreakBefore w:val="0"/>
        <w:widowControl/>
        <w:numPr>
          <w:ilvl w:val="0"/>
          <w:numId w:val="11"/>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第二轮磋商报价为磋商申请人的最终报价。若磋商申请人最终报价超过预算价，按无效响应文件处理。</w:t>
      </w:r>
    </w:p>
    <w:p w14:paraId="1DAA7E3F">
      <w:pPr>
        <w:pStyle w:val="60"/>
        <w:keepNext w:val="0"/>
        <w:keepLines w:val="0"/>
        <w:pageBreakBefore w:val="0"/>
        <w:widowControl/>
        <w:numPr>
          <w:ilvl w:val="0"/>
          <w:numId w:val="11"/>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磋商小组对各磋商申请人的响应文件进行详细评审。磋商小组按照得分的高低推荐成交候选人，推荐成交候选人1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3人，并标明排列顺序。</w:t>
      </w:r>
    </w:p>
    <w:p w14:paraId="5C52E66A">
      <w:pPr>
        <w:pStyle w:val="60"/>
        <w:keepNext w:val="0"/>
        <w:keepLines w:val="0"/>
        <w:pageBreakBefore w:val="0"/>
        <w:kinsoku/>
        <w:wordWrap/>
        <w:overflowPunct/>
        <w:topLinePunct w:val="0"/>
        <w:bidi w:val="0"/>
        <w:snapToGrid/>
        <w:spacing w:line="460" w:lineRule="exact"/>
        <w:ind w:left="420" w:leftChars="200" w:firstLine="0" w:firstLineChars="0"/>
        <w:textAlignment w:val="auto"/>
        <w:rPr>
          <w:rFonts w:hint="eastAsia" w:ascii="宋体" w:hAnsi="宋体" w:eastAsia="宋体" w:cs="宋体"/>
          <w:b/>
          <w:bCs/>
          <w:color w:val="auto"/>
          <w:kern w:val="0"/>
          <w:sz w:val="24"/>
          <w:szCs w:val="24"/>
          <w:highlight w:val="none"/>
        </w:rPr>
      </w:pPr>
      <w:bookmarkStart w:id="207" w:name="_Toc48271433"/>
      <w:bookmarkStart w:id="208" w:name="_Toc378499756"/>
      <w:bookmarkStart w:id="209" w:name="_Toc383175537"/>
      <w:bookmarkStart w:id="210" w:name="_Toc347849275"/>
      <w:bookmarkStart w:id="211" w:name="_Toc329810241"/>
      <w:bookmarkStart w:id="212" w:name="_Toc191374454"/>
      <w:bookmarkStart w:id="213" w:name="_Toc86124101"/>
      <w:r>
        <w:rPr>
          <w:rFonts w:hint="eastAsia" w:ascii="宋体" w:hAnsi="宋体" w:eastAsia="宋体" w:cs="宋体"/>
          <w:b/>
          <w:bCs/>
          <w:color w:val="auto"/>
          <w:kern w:val="0"/>
          <w:sz w:val="24"/>
          <w:szCs w:val="24"/>
          <w:highlight w:val="none"/>
        </w:rPr>
        <w:t>七、磋商</w:t>
      </w:r>
      <w:bookmarkEnd w:id="207"/>
      <w:r>
        <w:rPr>
          <w:rFonts w:hint="eastAsia" w:ascii="宋体" w:hAnsi="宋体" w:eastAsia="宋体" w:cs="宋体"/>
          <w:b/>
          <w:bCs/>
          <w:color w:val="auto"/>
          <w:kern w:val="0"/>
          <w:sz w:val="24"/>
          <w:szCs w:val="24"/>
          <w:highlight w:val="none"/>
        </w:rPr>
        <w:t>、比较与评价</w:t>
      </w:r>
      <w:bookmarkEnd w:id="208"/>
      <w:bookmarkEnd w:id="209"/>
      <w:bookmarkEnd w:id="210"/>
      <w:bookmarkEnd w:id="211"/>
    </w:p>
    <w:p w14:paraId="77C2B63D">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磋商小组所有成员集中与通过资格审查的单一磋商申请人分别进行磋商。在磋商中，磋商的任何一方不得透露与磋商有关的其他磋商申请人的技术资料、价格、折扣和其他</w:t>
      </w:r>
      <w:r>
        <w:rPr>
          <w:rFonts w:hint="eastAsia" w:ascii="宋体" w:hAnsi="宋体" w:eastAsia="宋体" w:cs="宋体"/>
          <w:color w:val="auto"/>
          <w:kern w:val="0"/>
          <w:szCs w:val="21"/>
          <w:highlight w:val="none"/>
          <w:lang w:val="en-US" w:eastAsia="zh-CN"/>
        </w:rPr>
        <w:t>商业</w:t>
      </w:r>
      <w:r>
        <w:rPr>
          <w:rFonts w:hint="eastAsia" w:ascii="宋体" w:hAnsi="宋体" w:eastAsia="宋体" w:cs="宋体"/>
          <w:color w:val="auto"/>
          <w:kern w:val="0"/>
          <w:szCs w:val="21"/>
          <w:highlight w:val="none"/>
        </w:rPr>
        <w:t>信息</w:t>
      </w:r>
      <w:r>
        <w:rPr>
          <w:rFonts w:hint="eastAsia" w:ascii="宋体" w:hAnsi="宋体" w:eastAsia="宋体" w:cs="宋体"/>
          <w:color w:val="auto"/>
          <w:kern w:val="0"/>
          <w:szCs w:val="21"/>
          <w:highlight w:val="none"/>
          <w:lang w:val="en-US" w:eastAsia="zh-CN"/>
        </w:rPr>
        <w:t>和商业秘密</w:t>
      </w:r>
      <w:r>
        <w:rPr>
          <w:rFonts w:hint="eastAsia" w:ascii="宋体" w:hAnsi="宋体" w:eastAsia="宋体" w:cs="宋体"/>
          <w:color w:val="auto"/>
          <w:kern w:val="0"/>
          <w:szCs w:val="21"/>
          <w:highlight w:val="none"/>
        </w:rPr>
        <w:t>。</w:t>
      </w:r>
    </w:p>
    <w:p w14:paraId="46F375C7">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磋商文件有实质性变动的，磋商小组将经采购人代表确认后，以书面形式通知所有参加磋商的磋商申请人。但不得对涉及竞争的公平、公正性内容进行修改、变动。</w:t>
      </w:r>
    </w:p>
    <w:p w14:paraId="450F4DF5">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为有助于对响应文件的详细审查、评价和比较，磋商小组可要求对磋商申请人分别进行技术询问、澄清，有关要求和答复</w:t>
      </w:r>
      <w:r>
        <w:rPr>
          <w:rFonts w:hint="eastAsia" w:ascii="宋体" w:hAnsi="宋体" w:eastAsia="宋体" w:cs="宋体"/>
          <w:color w:val="auto"/>
          <w:kern w:val="0"/>
          <w:szCs w:val="21"/>
          <w:highlight w:val="none"/>
          <w:lang w:val="en-US" w:eastAsia="zh-CN"/>
        </w:rPr>
        <w:t>均通过云南省政府采购电子交易平台进行</w:t>
      </w:r>
      <w:r>
        <w:rPr>
          <w:rFonts w:hint="eastAsia" w:ascii="宋体" w:hAnsi="宋体" w:eastAsia="宋体" w:cs="宋体"/>
          <w:color w:val="auto"/>
          <w:kern w:val="0"/>
          <w:szCs w:val="21"/>
          <w:highlight w:val="none"/>
        </w:rPr>
        <w:t>。</w:t>
      </w:r>
    </w:p>
    <w:p w14:paraId="0EFC87C8">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应当由本人签字并附身份证明。</w:t>
      </w:r>
    </w:p>
    <w:p w14:paraId="656EF8B6">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或其授权代表签字或者加盖公章</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lang w:val="en-US" w:eastAsia="zh-CN"/>
        </w:rPr>
        <w:t>并按照云南省政府采购电子交易平台的系统要求进行上传</w:t>
      </w:r>
      <w:r>
        <w:rPr>
          <w:rFonts w:hint="eastAsia" w:ascii="宋体" w:hAnsi="宋体" w:eastAsia="宋体" w:cs="宋体"/>
          <w:color w:val="auto"/>
          <w:kern w:val="0"/>
          <w:szCs w:val="21"/>
          <w:highlight w:val="none"/>
        </w:rPr>
        <w:t>。</w:t>
      </w:r>
    </w:p>
    <w:p w14:paraId="524462CE">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磋商结束后，磋商小组将要求所有继续参加磋商的磋商申请人在规定时间内提交最后报价，提交最后报价的磋商申请人不得少于</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家。</w:t>
      </w:r>
    </w:p>
    <w:p w14:paraId="1F2128F7">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磋商小组成员要依法独立审查，并对审查意见承担个人责任。磋商小组成员对需要共同认定的事项存在争议的，按照少数服从多数的原则作出结论。</w:t>
      </w:r>
    </w:p>
    <w:p w14:paraId="10E7A869">
      <w:pPr>
        <w:pStyle w:val="60"/>
        <w:keepNext w:val="0"/>
        <w:keepLines w:val="0"/>
        <w:pageBreakBefore w:val="0"/>
        <w:widowControl/>
        <w:numPr>
          <w:ilvl w:val="0"/>
          <w:numId w:val="12"/>
        </w:numPr>
        <w:kinsoku/>
        <w:wordWrap/>
        <w:overflowPunct/>
        <w:topLinePunct w:val="0"/>
        <w:bidi w:val="0"/>
        <w:snapToGrid/>
        <w:spacing w:line="460" w:lineRule="exact"/>
        <w:ind w:left="0" w:firstLine="42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1FF6E34">
      <w:pPr>
        <w:pStyle w:val="60"/>
        <w:keepNext w:val="0"/>
        <w:keepLines w:val="0"/>
        <w:pageBreakBefore w:val="0"/>
        <w:kinsoku/>
        <w:wordWrap/>
        <w:overflowPunct/>
        <w:topLinePunct w:val="0"/>
        <w:bidi w:val="0"/>
        <w:snapToGrid/>
        <w:spacing w:line="460" w:lineRule="exact"/>
        <w:ind w:left="420" w:leftChars="200" w:firstLine="0" w:firstLineChars="0"/>
        <w:textAlignment w:val="auto"/>
        <w:rPr>
          <w:rFonts w:hint="eastAsia" w:ascii="宋体" w:hAnsi="宋体" w:eastAsia="宋体" w:cs="宋体"/>
          <w:b/>
          <w:bCs/>
          <w:color w:val="auto"/>
          <w:kern w:val="0"/>
          <w:sz w:val="24"/>
          <w:szCs w:val="24"/>
          <w:highlight w:val="none"/>
        </w:rPr>
      </w:pPr>
      <w:bookmarkStart w:id="214" w:name="_Toc7252792"/>
      <w:bookmarkStart w:id="215" w:name="_Toc383175538"/>
      <w:bookmarkStart w:id="216" w:name="_Toc329810242"/>
      <w:bookmarkStart w:id="217" w:name="_Toc378499757"/>
      <w:bookmarkStart w:id="218" w:name="_Toc347849276"/>
      <w:r>
        <w:rPr>
          <w:rFonts w:hint="eastAsia" w:ascii="宋体" w:hAnsi="宋体" w:eastAsia="宋体" w:cs="宋体"/>
          <w:b/>
          <w:bCs/>
          <w:color w:val="auto"/>
          <w:kern w:val="0"/>
          <w:sz w:val="24"/>
          <w:szCs w:val="24"/>
          <w:highlight w:val="none"/>
        </w:rPr>
        <w:t>八、磋商结果</w:t>
      </w:r>
      <w:bookmarkEnd w:id="214"/>
      <w:bookmarkEnd w:id="215"/>
      <w:bookmarkEnd w:id="216"/>
      <w:bookmarkEnd w:id="217"/>
      <w:bookmarkEnd w:id="218"/>
    </w:p>
    <w:bookmarkEnd w:id="212"/>
    <w:bookmarkEnd w:id="213"/>
    <w:p w14:paraId="209BC07E">
      <w:pPr>
        <w:keepNext w:val="0"/>
        <w:keepLines w:val="0"/>
        <w:pageBreakBefore w:val="0"/>
        <w:widowControl/>
        <w:kinsoku/>
        <w:wordWrap/>
        <w:overflowPunct/>
        <w:topLinePunct w:val="0"/>
        <w:autoSpaceDE/>
        <w:autoSpaceDN/>
        <w:bidi w:val="0"/>
        <w:adjustRightInd/>
        <w:snapToGrid/>
        <w:spacing w:line="460" w:lineRule="exact"/>
        <w:ind w:firstLine="420"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kern w:val="0"/>
          <w:szCs w:val="21"/>
          <w:highlight w:val="none"/>
        </w:rPr>
        <w:t>磋商小组对各磋商申请人的响应文件进行详细评审。磋商小组按照得分的高低推荐成交候选人，推荐成交候选人</w:t>
      </w:r>
      <w:r>
        <w:rPr>
          <w:rFonts w:hint="eastAsia" w:ascii="宋体" w:hAnsi="宋体" w:eastAsia="宋体" w:cs="宋体"/>
          <w:color w:val="auto"/>
          <w:kern w:val="0"/>
          <w:szCs w:val="21"/>
          <w:highlight w:val="none"/>
          <w:lang w:val="en-US" w:eastAsia="zh-CN"/>
        </w:rPr>
        <w:t>1-</w:t>
      </w: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名</w:t>
      </w:r>
      <w:r>
        <w:rPr>
          <w:rFonts w:hint="eastAsia" w:ascii="宋体" w:hAnsi="宋体" w:eastAsia="宋体" w:cs="宋体"/>
          <w:color w:val="auto"/>
          <w:kern w:val="0"/>
          <w:szCs w:val="21"/>
          <w:highlight w:val="none"/>
        </w:rPr>
        <w:t>，并标明排列顺序。</w:t>
      </w:r>
    </w:p>
    <w:sectPr>
      <w:pgSz w:w="11906" w:h="16838"/>
      <w:pgMar w:top="936" w:right="1134" w:bottom="1089"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embedRegular r:id="rId1" w:fontKey="{508AFCFD-7B5B-46A5-B79C-43D51ADAF05A}"/>
  </w:font>
  <w:font w:name="宋体">
    <w:panose1 w:val="02010600030101010101"/>
    <w:charset w:val="0D"/>
    <w:family w:val="auto"/>
    <w:pitch w:val="default"/>
    <w:sig w:usb0="00000003" w:usb1="288F0000" w:usb2="00000006" w:usb3="00000000" w:csb0="00040001" w:csb1="00000000"/>
    <w:embedRegular r:id="rId2" w:fontKey="{BA5C30DD-6A37-4089-ACFC-58ACF25AA8B1}"/>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Akzidenz Grotesk">
    <w:altName w:val="宋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1002AFF" w:usb1="C0000002" w:usb2="00000008" w:usb3="00000000" w:csb0="200101FF" w:csb1="20280000"/>
  </w:font>
  <w:font w:name="华文楷体">
    <w:panose1 w:val="02010600040101010101"/>
    <w:charset w:val="86"/>
    <w:family w:val="auto"/>
    <w:pitch w:val="default"/>
    <w:sig w:usb0="00000287" w:usb1="080F0000" w:usb2="00000000" w:usb3="00000000" w:csb0="0004009F" w:csb1="DFD7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B55B0">
    <w:pPr>
      <w:pStyle w:val="1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618662"/>
                          </w:sdtPr>
                          <w:sdtContent>
                            <w:p w14:paraId="597F29AD">
                              <w:pPr>
                                <w:pStyle w:val="19"/>
                                <w:jc w:val="center"/>
                              </w:pPr>
                              <w:r>
                                <w:fldChar w:fldCharType="begin"/>
                              </w:r>
                              <w:r>
                                <w:instrText xml:space="preserve"> PAGE   \* MERGEFORMAT </w:instrText>
                              </w:r>
                              <w:r>
                                <w:fldChar w:fldCharType="separate"/>
                              </w:r>
                              <w:r>
                                <w:rPr>
                                  <w:lang w:val="zh-CN"/>
                                </w:rPr>
                                <w:t>1</w:t>
                              </w:r>
                              <w:r>
                                <w:rPr>
                                  <w:lang w:val="zh-CN"/>
                                </w:rPr>
                                <w:fldChar w:fldCharType="end"/>
                              </w:r>
                            </w:p>
                          </w:sdtContent>
                        </w:sdt>
                        <w:p w14:paraId="669F427A">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3618662"/>
                    </w:sdtPr>
                    <w:sdtContent>
                      <w:p w14:paraId="597F29AD">
                        <w:pPr>
                          <w:pStyle w:val="19"/>
                          <w:jc w:val="center"/>
                        </w:pPr>
                        <w:r>
                          <w:fldChar w:fldCharType="begin"/>
                        </w:r>
                        <w:r>
                          <w:instrText xml:space="preserve"> PAGE   \* MERGEFORMAT </w:instrText>
                        </w:r>
                        <w:r>
                          <w:fldChar w:fldCharType="separate"/>
                        </w:r>
                        <w:r>
                          <w:rPr>
                            <w:lang w:val="zh-CN"/>
                          </w:rPr>
                          <w:t>1</w:t>
                        </w:r>
                        <w:r>
                          <w:rPr>
                            <w:lang w:val="zh-CN"/>
                          </w:rPr>
                          <w:fldChar w:fldCharType="end"/>
                        </w:r>
                      </w:p>
                    </w:sdtContent>
                  </w:sdt>
                  <w:p w14:paraId="669F427A">
                    <w:pPr>
                      <w:pStyle w:val="13"/>
                    </w:pPr>
                  </w:p>
                </w:txbxContent>
              </v:textbox>
            </v:shape>
          </w:pict>
        </mc:Fallback>
      </mc:AlternateContent>
    </w:r>
  </w:p>
  <w:p w14:paraId="2EBEBCB2">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B67D7">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BE0E07">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6BE0E07">
                    <w:pPr>
                      <w:pStyle w:val="19"/>
                    </w:pPr>
                    <w:r>
                      <w:fldChar w:fldCharType="begin"/>
                    </w:r>
                    <w:r>
                      <w:instrText xml:space="preserve"> PAGE  \* MERGEFORMAT </w:instrText>
                    </w:r>
                    <w:r>
                      <w:fldChar w:fldCharType="separate"/>
                    </w:r>
                    <w:r>
                      <w:t>2</w:t>
                    </w:r>
                    <w:r>
                      <w:fldChar w:fldCharType="end"/>
                    </w:r>
                  </w:p>
                </w:txbxContent>
              </v:textbox>
            </v:shape>
          </w:pict>
        </mc:Fallback>
      </mc:AlternateContent>
    </w:r>
  </w:p>
  <w:p w14:paraId="78346ABA">
    <w:pPr>
      <w:pStyle w:val="19"/>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C47B5">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03076">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E603076">
                    <w:pPr>
                      <w:pStyle w:val="19"/>
                    </w:pPr>
                    <w:r>
                      <w:fldChar w:fldCharType="begin"/>
                    </w:r>
                    <w:r>
                      <w:instrText xml:space="preserve"> PAGE  \* MERGEFORMAT </w:instrText>
                    </w:r>
                    <w:r>
                      <w:fldChar w:fldCharType="separate"/>
                    </w:r>
                    <w:r>
                      <w:t>1</w:t>
                    </w:r>
                    <w:r>
                      <w:fldChar w:fldCharType="end"/>
                    </w:r>
                  </w:p>
                </w:txbxContent>
              </v:textbox>
            </v:shape>
          </w:pict>
        </mc:Fallback>
      </mc:AlternateContent>
    </w:r>
    <w:sdt>
      <w:sdtPr>
        <w:id w:val="147468077"/>
      </w:sdtPr>
      <w:sdtContent>
        <w:r>
          <w:drawing>
            <wp:anchor distT="0" distB="0" distL="114300" distR="114300" simplePos="0" relativeHeight="251659264" behindDoc="0" locked="0" layoutInCell="1" allowOverlap="1">
              <wp:simplePos x="0" y="0"/>
              <wp:positionH relativeFrom="column">
                <wp:posOffset>4671060</wp:posOffset>
              </wp:positionH>
              <wp:positionV relativeFrom="paragraph">
                <wp:posOffset>20320</wp:posOffset>
              </wp:positionV>
              <wp:extent cx="1447165" cy="485775"/>
              <wp:effectExtent l="0" t="0" r="63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47165" cy="485775"/>
                      </a:xfrm>
                      <a:prstGeom prst="rect">
                        <a:avLst/>
                      </a:prstGeom>
                      <a:noFill/>
                      <a:ln w="9525">
                        <a:noFill/>
                        <a:miter lim="800000"/>
                        <a:headEnd/>
                        <a:tailEnd/>
                      </a:ln>
                    </pic:spPr>
                  </pic:pic>
                </a:graphicData>
              </a:graphic>
            </wp:anchor>
          </w:drawing>
        </w:r>
      </w:sdtContent>
    </w:sdt>
  </w:p>
  <w:p w14:paraId="14D3C3FA">
    <w:pPr>
      <w:pStyle w:val="19"/>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AB942">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B362C">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B5B362C">
                    <w:pPr>
                      <w:pStyle w:val="19"/>
                    </w:pPr>
                    <w:r>
                      <w:fldChar w:fldCharType="begin"/>
                    </w:r>
                    <w:r>
                      <w:instrText xml:space="preserve"> PAGE  \* MERGEFORMAT </w:instrText>
                    </w:r>
                    <w:r>
                      <w:fldChar w:fldCharType="separate"/>
                    </w:r>
                    <w:r>
                      <w:t>1</w:t>
                    </w:r>
                    <w:r>
                      <w:fldChar w:fldCharType="end"/>
                    </w:r>
                  </w:p>
                </w:txbxContent>
              </v:textbox>
            </v:shape>
          </w:pict>
        </mc:Fallback>
      </mc:AlternateContent>
    </w:r>
    <w:sdt>
      <w:sdtPr>
        <w:id w:val="1866405595"/>
      </w:sdtPr>
      <w:sdtContent>
        <w:r>
          <w:drawing>
            <wp:anchor distT="0" distB="0" distL="114300" distR="114300" simplePos="0" relativeHeight="251659264" behindDoc="0" locked="0" layoutInCell="1" allowOverlap="1">
              <wp:simplePos x="0" y="0"/>
              <wp:positionH relativeFrom="column">
                <wp:posOffset>4671060</wp:posOffset>
              </wp:positionH>
              <wp:positionV relativeFrom="paragraph">
                <wp:posOffset>20320</wp:posOffset>
              </wp:positionV>
              <wp:extent cx="1447165" cy="485775"/>
              <wp:effectExtent l="0" t="0" r="635" b="9525"/>
              <wp:wrapNone/>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447165" cy="485775"/>
                      </a:xfrm>
                      <a:prstGeom prst="rect">
                        <a:avLst/>
                      </a:prstGeom>
                      <a:noFill/>
                      <a:ln w="9525">
                        <a:noFill/>
                        <a:miter lim="800000"/>
                        <a:headEnd/>
                        <a:tailEnd/>
                      </a:ln>
                    </pic:spPr>
                  </pic:pic>
                </a:graphicData>
              </a:graphic>
            </wp:anchor>
          </w:drawing>
        </w:r>
      </w:sdtContent>
    </w:sdt>
  </w:p>
  <w:p w14:paraId="11C0819E">
    <w:pPr>
      <w:pStyle w:val="19"/>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5A13E">
    <w:pPr>
      <w:pStyle w:val="1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0581"/>
                          </w:sdtPr>
                          <w:sdtContent>
                            <w:p w14:paraId="2823FFC5">
                              <w:pPr>
                                <w:pStyle w:val="19"/>
                                <w:jc w:val="center"/>
                              </w:pPr>
                              <w:r>
                                <w:fldChar w:fldCharType="begin"/>
                              </w:r>
                              <w:r>
                                <w:instrText xml:space="preserve">PAGE   \* MERGEFORMAT</w:instrText>
                              </w:r>
                              <w:r>
                                <w:fldChar w:fldCharType="separate"/>
                              </w:r>
                              <w:r>
                                <w:rPr>
                                  <w:lang w:val="zh-CN"/>
                                </w:rPr>
                                <w:t>83</w:t>
                              </w:r>
                              <w:r>
                                <w:rPr>
                                  <w:lang w:val="zh-CN"/>
                                </w:rPr>
                                <w:fldChar w:fldCharType="end"/>
                              </w:r>
                            </w:p>
                          </w:sdtContent>
                        </w:sdt>
                        <w:p w14:paraId="0DDA4D24">
                          <w:pPr>
                            <w:pStyle w:val="1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60581"/>
                    </w:sdtPr>
                    <w:sdtContent>
                      <w:p w14:paraId="2823FFC5">
                        <w:pPr>
                          <w:pStyle w:val="19"/>
                          <w:jc w:val="center"/>
                        </w:pPr>
                        <w:r>
                          <w:fldChar w:fldCharType="begin"/>
                        </w:r>
                        <w:r>
                          <w:instrText xml:space="preserve">PAGE   \* MERGEFORMAT</w:instrText>
                        </w:r>
                        <w:r>
                          <w:fldChar w:fldCharType="separate"/>
                        </w:r>
                        <w:r>
                          <w:rPr>
                            <w:lang w:val="zh-CN"/>
                          </w:rPr>
                          <w:t>83</w:t>
                        </w:r>
                        <w:r>
                          <w:rPr>
                            <w:lang w:val="zh-CN"/>
                          </w:rPr>
                          <w:fldChar w:fldCharType="end"/>
                        </w:r>
                      </w:p>
                    </w:sdtContent>
                  </w:sdt>
                  <w:p w14:paraId="0DDA4D24">
                    <w:pPr>
                      <w:pStyle w:val="13"/>
                    </w:pPr>
                  </w:p>
                </w:txbxContent>
              </v:textbox>
            </v:shape>
          </w:pict>
        </mc:Fallback>
      </mc:AlternateContent>
    </w:r>
  </w:p>
  <w:p w14:paraId="5168EE27">
    <w:pPr>
      <w:pStyle w:val="19"/>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EA944">
    <w:pPr>
      <w:pStyle w:val="20"/>
      <w:jc w:val="center"/>
      <w:rPr>
        <w:rFonts w:hint="default" w:eastAsia="宋体"/>
        <w:sz w:val="15"/>
        <w:szCs w:val="15"/>
        <w:lang w:val="en-US" w:eastAsia="zh-CN"/>
      </w:rPr>
    </w:pPr>
    <w:r>
      <w:rPr>
        <w:rFonts w:hint="eastAsia" w:ascii="宋体" w:hAnsi="宋体" w:eastAsia="宋体" w:cs="宋体"/>
        <w:sz w:val="16"/>
        <w:szCs w:val="16"/>
        <w:lang w:eastAsia="zh-CN"/>
      </w:rPr>
      <w:t>昌宁县医共体中心药房管理系统采购项目</w:t>
    </w:r>
    <w:r>
      <w:rPr>
        <w:rFonts w:hint="eastAsia" w:ascii="宋体" w:hAnsi="宋体" w:eastAsia="宋体" w:cs="宋体"/>
        <w:sz w:val="16"/>
        <w:szCs w:val="16"/>
      </w:rPr>
      <w:t xml:space="preserve">竞争性磋商文件  </w:t>
    </w:r>
    <w:r>
      <w:rPr>
        <w:rFonts w:hint="eastAsia" w:ascii="宋体" w:hAnsi="宋体" w:eastAsia="宋体" w:cs="宋体"/>
        <w:sz w:val="16"/>
        <w:szCs w:val="16"/>
        <w:lang w:val="en-US" w:eastAsia="zh-CN"/>
      </w:rPr>
      <w:t xml:space="preserve">                         </w:t>
    </w:r>
    <w:r>
      <w:rPr>
        <w:rFonts w:hint="eastAsia" w:ascii="宋体" w:hAnsi="宋体" w:eastAsia="宋体"/>
        <w:sz w:val="16"/>
        <w:szCs w:val="16"/>
        <w:lang w:eastAsia="zh-CN"/>
      </w:rPr>
      <w:t>项目编号</w:t>
    </w:r>
    <w:r>
      <w:rPr>
        <w:rFonts w:hint="eastAsia" w:ascii="宋体" w:hAnsi="宋体" w:eastAsia="宋体"/>
        <w:sz w:val="16"/>
        <w:szCs w:val="16"/>
      </w:rPr>
      <w:t>：</w:t>
    </w:r>
    <w:r>
      <w:rPr>
        <w:rFonts w:hint="eastAsia" w:ascii="宋体" w:hAnsi="宋体" w:eastAsia="宋体"/>
        <w:sz w:val="16"/>
        <w:szCs w:val="16"/>
        <w:lang w:eastAsia="zh-CN"/>
      </w:rPr>
      <w:t>TRZBC2026-72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1528F">
    <w:pPr>
      <w:pStyle w:val="20"/>
    </w:pPr>
    <w:r>
      <w:rPr>
        <w:rFonts w:hint="eastAsia" w:ascii="宋体" w:hAnsi="宋体" w:eastAsia="宋体" w:cs="宋体"/>
        <w:sz w:val="15"/>
        <w:szCs w:val="15"/>
      </w:rPr>
      <w:t>保山中医医院视频监控系统项目竞争性磋商文件</w:t>
    </w:r>
    <w:r>
      <w:rPr>
        <w:rFonts w:hint="eastAsia" w:ascii="宋体" w:hAnsi="宋体" w:eastAsia="宋体"/>
        <w:sz w:val="15"/>
        <w:szCs w:val="15"/>
        <w:lang w:eastAsia="zh-CN"/>
      </w:rPr>
      <w:t>项目编号</w:t>
    </w:r>
    <w:r>
      <w:rPr>
        <w:rFonts w:hint="eastAsia" w:ascii="宋体" w:hAnsi="宋体" w:eastAsia="宋体"/>
        <w:sz w:val="15"/>
        <w:szCs w:val="15"/>
      </w:rPr>
      <w:t>：TRZBC2020-07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5ECC35"/>
    <w:multiLevelType w:val="singleLevel"/>
    <w:tmpl w:val="D25ECC35"/>
    <w:lvl w:ilvl="0" w:tentative="0">
      <w:start w:val="1"/>
      <w:numFmt w:val="decimal"/>
      <w:pStyle w:val="9"/>
      <w:lvlText w:val="%1."/>
      <w:lvlJc w:val="left"/>
      <w:pPr>
        <w:tabs>
          <w:tab w:val="left" w:pos="360"/>
        </w:tabs>
        <w:ind w:left="360" w:hanging="360"/>
      </w:pPr>
    </w:lvl>
  </w:abstractNum>
  <w:abstractNum w:abstractNumId="1">
    <w:nsid w:val="04252575"/>
    <w:multiLevelType w:val="multilevel"/>
    <w:tmpl w:val="04252575"/>
    <w:lvl w:ilvl="0" w:tentative="0">
      <w:start w:val="21"/>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2">
    <w:nsid w:val="069F34F2"/>
    <w:multiLevelType w:val="multilevel"/>
    <w:tmpl w:val="069F34F2"/>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F240975"/>
    <w:multiLevelType w:val="multilevel"/>
    <w:tmpl w:val="0F240975"/>
    <w:lvl w:ilvl="0" w:tentative="0">
      <w:start w:val="1"/>
      <w:numFmt w:val="decimal"/>
      <w:lvlText w:val="%1."/>
      <w:lvlJc w:val="left"/>
      <w:pPr>
        <w:ind w:left="846"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140079A2"/>
    <w:multiLevelType w:val="multilevel"/>
    <w:tmpl w:val="140079A2"/>
    <w:lvl w:ilvl="0" w:tentative="0">
      <w:start w:val="1"/>
      <w:numFmt w:val="decimal"/>
      <w:lvlText w:val="%1."/>
      <w:lvlJc w:val="left"/>
      <w:pPr>
        <w:ind w:left="1242" w:hanging="382"/>
      </w:pPr>
      <w:rPr>
        <w:rFonts w:hint="default" w:ascii="仿宋" w:hAnsi="仿宋" w:eastAsia="仿宋"/>
        <w:spacing w:val="0"/>
        <w:sz w:val="24"/>
        <w:szCs w:val="24"/>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5">
    <w:nsid w:val="26925BDF"/>
    <w:multiLevelType w:val="multilevel"/>
    <w:tmpl w:val="26925BDF"/>
    <w:lvl w:ilvl="0" w:tentative="0">
      <w:start w:val="1"/>
      <w:numFmt w:val="chineseCountingThousand"/>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423F26CD"/>
    <w:multiLevelType w:val="multilevel"/>
    <w:tmpl w:val="423F26CD"/>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decimal"/>
      <w:lvlText w:val="（%3）"/>
      <w:lvlJc w:val="left"/>
      <w:pPr>
        <w:ind w:left="1680" w:hanging="42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4AEE452A"/>
    <w:multiLevelType w:val="multilevel"/>
    <w:tmpl w:val="4AEE452A"/>
    <w:lvl w:ilvl="0" w:tentative="0">
      <w:start w:val="13"/>
      <w:numFmt w:val="decimal"/>
      <w:lvlText w:val="%1"/>
      <w:lvlJc w:val="left"/>
      <w:pPr>
        <w:ind w:left="420" w:hanging="420"/>
      </w:pPr>
      <w:rPr>
        <w:rFonts w:hint="default" w:cs="宋体"/>
      </w:rPr>
    </w:lvl>
    <w:lvl w:ilvl="1" w:tentative="0">
      <w:start w:val="1"/>
      <w:numFmt w:val="decimal"/>
      <w:lvlText w:val="%1.%2"/>
      <w:lvlJc w:val="left"/>
      <w:pPr>
        <w:ind w:left="420" w:hanging="420"/>
      </w:pPr>
      <w:rPr>
        <w:rFonts w:hint="default" w:cs="宋体"/>
      </w:rPr>
    </w:lvl>
    <w:lvl w:ilvl="2" w:tentative="0">
      <w:start w:val="1"/>
      <w:numFmt w:val="decimal"/>
      <w:lvlText w:val="%1.%2.%3"/>
      <w:lvlJc w:val="left"/>
      <w:pPr>
        <w:ind w:left="720" w:hanging="720"/>
      </w:pPr>
      <w:rPr>
        <w:rFonts w:hint="default" w:cs="宋体"/>
      </w:rPr>
    </w:lvl>
    <w:lvl w:ilvl="3" w:tentative="0">
      <w:start w:val="1"/>
      <w:numFmt w:val="decimal"/>
      <w:lvlText w:val="%1.%2.%3.%4"/>
      <w:lvlJc w:val="left"/>
      <w:pPr>
        <w:ind w:left="1080" w:hanging="1080"/>
      </w:pPr>
      <w:rPr>
        <w:rFonts w:hint="default" w:cs="宋体"/>
      </w:rPr>
    </w:lvl>
    <w:lvl w:ilvl="4" w:tentative="0">
      <w:start w:val="1"/>
      <w:numFmt w:val="decimal"/>
      <w:lvlText w:val="%1.%2.%3.%4.%5"/>
      <w:lvlJc w:val="left"/>
      <w:pPr>
        <w:ind w:left="1080" w:hanging="1080"/>
      </w:pPr>
      <w:rPr>
        <w:rFonts w:hint="default" w:cs="宋体"/>
      </w:rPr>
    </w:lvl>
    <w:lvl w:ilvl="5" w:tentative="0">
      <w:start w:val="1"/>
      <w:numFmt w:val="decimal"/>
      <w:lvlText w:val="%1.%2.%3.%4.%5.%6"/>
      <w:lvlJc w:val="left"/>
      <w:pPr>
        <w:ind w:left="1440" w:hanging="1440"/>
      </w:pPr>
      <w:rPr>
        <w:rFonts w:hint="default" w:cs="宋体"/>
      </w:rPr>
    </w:lvl>
    <w:lvl w:ilvl="6" w:tentative="0">
      <w:start w:val="1"/>
      <w:numFmt w:val="decimal"/>
      <w:lvlText w:val="%1.%2.%3.%4.%5.%6.%7"/>
      <w:lvlJc w:val="left"/>
      <w:pPr>
        <w:ind w:left="1440" w:hanging="1440"/>
      </w:pPr>
      <w:rPr>
        <w:rFonts w:hint="default" w:cs="宋体"/>
      </w:rPr>
    </w:lvl>
    <w:lvl w:ilvl="7" w:tentative="0">
      <w:start w:val="1"/>
      <w:numFmt w:val="decimal"/>
      <w:lvlText w:val="%1.%2.%3.%4.%5.%6.%7.%8"/>
      <w:lvlJc w:val="left"/>
      <w:pPr>
        <w:ind w:left="1800" w:hanging="1800"/>
      </w:pPr>
      <w:rPr>
        <w:rFonts w:hint="default" w:cs="宋体"/>
      </w:rPr>
    </w:lvl>
    <w:lvl w:ilvl="8" w:tentative="0">
      <w:start w:val="1"/>
      <w:numFmt w:val="decimal"/>
      <w:lvlText w:val="%1.%2.%3.%4.%5.%6.%7.%8.%9"/>
      <w:lvlJc w:val="left"/>
      <w:pPr>
        <w:ind w:left="1800" w:hanging="1800"/>
      </w:pPr>
      <w:rPr>
        <w:rFonts w:hint="default" w:cs="宋体"/>
      </w:rPr>
    </w:lvl>
  </w:abstractNum>
  <w:abstractNum w:abstractNumId="8">
    <w:nsid w:val="4DEC0A56"/>
    <w:multiLevelType w:val="multilevel"/>
    <w:tmpl w:val="4DEC0A56"/>
    <w:lvl w:ilvl="0" w:tentative="0">
      <w:start w:val="1"/>
      <w:numFmt w:val="decimal"/>
      <w:lvlText w:val="（%1）"/>
      <w:lvlJc w:val="left"/>
      <w:pPr>
        <w:ind w:left="1130" w:hanging="420"/>
      </w:pPr>
      <w:rPr>
        <w:rFonts w:hint="default"/>
        <w:lang w:val="en-US"/>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9">
    <w:nsid w:val="4FA37481"/>
    <w:multiLevelType w:val="multilevel"/>
    <w:tmpl w:val="4FA37481"/>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
    <w:nsid w:val="581278F3"/>
    <w:multiLevelType w:val="multilevel"/>
    <w:tmpl w:val="581278F3"/>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
    <w:nsid w:val="684E3C5D"/>
    <w:multiLevelType w:val="multilevel"/>
    <w:tmpl w:val="684E3C5D"/>
    <w:lvl w:ilvl="0" w:tentative="0">
      <w:start w:val="1"/>
      <w:numFmt w:val="decimal"/>
      <w:lvlText w:val="%1."/>
      <w:lvlJc w:val="left"/>
      <w:pPr>
        <w:ind w:left="420" w:hanging="420"/>
      </w:pPr>
    </w:lvl>
    <w:lvl w:ilvl="1" w:tentative="0">
      <w:start w:val="1"/>
      <w:numFmt w:val="decimal"/>
      <w:lvlText w:val="%2."/>
      <w:lvlJc w:val="left"/>
      <w:pPr>
        <w:ind w:left="840" w:hanging="420"/>
      </w:pPr>
      <w:rPr>
        <w:rFonts w:hint="default"/>
      </w:rPr>
    </w:lvl>
    <w:lvl w:ilvl="2" w:tentative="0">
      <w:start w:val="1"/>
      <w:numFmt w:val="decimal"/>
      <w:lvlText w:val="（%3）"/>
      <w:lvlJc w:val="left"/>
      <w:pPr>
        <w:ind w:left="1560" w:hanging="720"/>
      </w:pPr>
      <w:rPr>
        <w:rFonts w:hint="default"/>
      </w:rPr>
    </w:lvl>
    <w:lvl w:ilvl="3" w:tentative="0">
      <w:start w:val="1"/>
      <w:numFmt w:val="decimal"/>
      <w:lvlText w:val="%4、"/>
      <w:lvlJc w:val="left"/>
      <w:pPr>
        <w:ind w:left="1980" w:hanging="720"/>
      </w:pPr>
      <w:rPr>
        <w:rFonts w:hint="default"/>
      </w:rPr>
    </w:lvl>
    <w:lvl w:ilvl="4" w:tentative="0">
      <w:start w:val="1"/>
      <w:numFmt w:val="japaneseCounting"/>
      <w:lvlText w:val="（%5）"/>
      <w:lvlJc w:val="left"/>
      <w:pPr>
        <w:ind w:left="2400" w:hanging="720"/>
      </w:pPr>
      <w:rPr>
        <w:rFonts w:hint="default"/>
      </w:rPr>
    </w:lvl>
    <w:lvl w:ilvl="5" w:tentative="0">
      <w:start w:val="1"/>
      <w:numFmt w:val="japaneseCounting"/>
      <w:lvlText w:val="第%6节"/>
      <w:lvlJc w:val="left"/>
      <w:pPr>
        <w:ind w:left="4983" w:hanging="1155"/>
      </w:pPr>
      <w:rPr>
        <w:rFonts w:hint="default"/>
      </w:rPr>
    </w:lvl>
    <w:lvl w:ilvl="6" w:tentative="0">
      <w:start w:val="1"/>
      <w:numFmt w:val="japaneseCounting"/>
      <w:lvlText w:val="%7、"/>
      <w:lvlJc w:val="left"/>
      <w:pPr>
        <w:ind w:left="3030" w:hanging="510"/>
      </w:pPr>
      <w:rPr>
        <w:rFonts w:hint="default" w:cs="宋体"/>
        <w:b/>
      </w:r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1"/>
  </w:num>
  <w:num w:numId="3">
    <w:abstractNumId w:val="7"/>
  </w:num>
  <w:num w:numId="4">
    <w:abstractNumId w:val="5"/>
  </w:num>
  <w:num w:numId="5">
    <w:abstractNumId w:val="6"/>
  </w:num>
  <w:num w:numId="6">
    <w:abstractNumId w:val="1"/>
  </w:num>
  <w:num w:numId="7">
    <w:abstractNumId w:val="8"/>
  </w:num>
  <w:num w:numId="8">
    <w:abstractNumId w:val="4"/>
    <w:lvlOverride w:ilvl="0">
      <w:startOverride w:val="1"/>
    </w:lvlOverride>
  </w:num>
  <w:num w:numId="9">
    <w:abstractNumId w:val="10"/>
  </w:num>
  <w:num w:numId="10">
    <w:abstractNumId w:val="2"/>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embedSystemFonts/>
  <w:saveSubsetFonts/>
  <w:bordersDoNotSurroundHeader w:val="0"/>
  <w:bordersDoNotSurroundFooter w:val="0"/>
  <w:hideSpellingErrors/>
  <w:documentProtection w:enforcement="0"/>
  <w:defaultTabStop w:val="105"/>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1MGFkOTliMWMxZjRlNmI3ODIxY2E1NGNhODc3MGUifQ=="/>
  </w:docVars>
  <w:rsids>
    <w:rsidRoot w:val="0023005F"/>
    <w:rsid w:val="0000017C"/>
    <w:rsid w:val="0000077C"/>
    <w:rsid w:val="000007D7"/>
    <w:rsid w:val="00000AD3"/>
    <w:rsid w:val="0000183F"/>
    <w:rsid w:val="00001940"/>
    <w:rsid w:val="00002B2B"/>
    <w:rsid w:val="00003F9A"/>
    <w:rsid w:val="000040A5"/>
    <w:rsid w:val="00004A96"/>
    <w:rsid w:val="00004AED"/>
    <w:rsid w:val="00004D32"/>
    <w:rsid w:val="000055D1"/>
    <w:rsid w:val="000069B4"/>
    <w:rsid w:val="00007299"/>
    <w:rsid w:val="00007EF0"/>
    <w:rsid w:val="00010024"/>
    <w:rsid w:val="00010ACD"/>
    <w:rsid w:val="00011E5F"/>
    <w:rsid w:val="00011F63"/>
    <w:rsid w:val="00011F6F"/>
    <w:rsid w:val="00012719"/>
    <w:rsid w:val="00013354"/>
    <w:rsid w:val="00013BB0"/>
    <w:rsid w:val="00013D62"/>
    <w:rsid w:val="00013E92"/>
    <w:rsid w:val="00014B19"/>
    <w:rsid w:val="00014DF4"/>
    <w:rsid w:val="00014FF3"/>
    <w:rsid w:val="00015671"/>
    <w:rsid w:val="00015DED"/>
    <w:rsid w:val="00016DD9"/>
    <w:rsid w:val="00017569"/>
    <w:rsid w:val="0001764D"/>
    <w:rsid w:val="00020253"/>
    <w:rsid w:val="00021184"/>
    <w:rsid w:val="00021208"/>
    <w:rsid w:val="000218E6"/>
    <w:rsid w:val="00021C4B"/>
    <w:rsid w:val="00021DFF"/>
    <w:rsid w:val="00021FB7"/>
    <w:rsid w:val="000225B7"/>
    <w:rsid w:val="000235F7"/>
    <w:rsid w:val="000242F3"/>
    <w:rsid w:val="00025C6E"/>
    <w:rsid w:val="00025FB7"/>
    <w:rsid w:val="00026543"/>
    <w:rsid w:val="0002699B"/>
    <w:rsid w:val="000271A1"/>
    <w:rsid w:val="000273CC"/>
    <w:rsid w:val="000279C8"/>
    <w:rsid w:val="00027EA0"/>
    <w:rsid w:val="000302A6"/>
    <w:rsid w:val="000302B8"/>
    <w:rsid w:val="00030C0C"/>
    <w:rsid w:val="00031332"/>
    <w:rsid w:val="00031474"/>
    <w:rsid w:val="00031649"/>
    <w:rsid w:val="0003200A"/>
    <w:rsid w:val="0003217F"/>
    <w:rsid w:val="000325B7"/>
    <w:rsid w:val="00032938"/>
    <w:rsid w:val="00032BA3"/>
    <w:rsid w:val="00032C90"/>
    <w:rsid w:val="000333E7"/>
    <w:rsid w:val="000338DE"/>
    <w:rsid w:val="0003470A"/>
    <w:rsid w:val="00034DF0"/>
    <w:rsid w:val="000358A4"/>
    <w:rsid w:val="00036740"/>
    <w:rsid w:val="00036AA0"/>
    <w:rsid w:val="00036F7E"/>
    <w:rsid w:val="0003701C"/>
    <w:rsid w:val="00037EA9"/>
    <w:rsid w:val="000403CF"/>
    <w:rsid w:val="00040612"/>
    <w:rsid w:val="00040846"/>
    <w:rsid w:val="000410D3"/>
    <w:rsid w:val="000414B5"/>
    <w:rsid w:val="00042269"/>
    <w:rsid w:val="00042342"/>
    <w:rsid w:val="00042527"/>
    <w:rsid w:val="00042F2C"/>
    <w:rsid w:val="000444AE"/>
    <w:rsid w:val="00045CEA"/>
    <w:rsid w:val="00046CCC"/>
    <w:rsid w:val="00047326"/>
    <w:rsid w:val="00047981"/>
    <w:rsid w:val="00047B8C"/>
    <w:rsid w:val="00051136"/>
    <w:rsid w:val="0005129C"/>
    <w:rsid w:val="000518A3"/>
    <w:rsid w:val="00051BE6"/>
    <w:rsid w:val="000528C4"/>
    <w:rsid w:val="0005465F"/>
    <w:rsid w:val="0005470C"/>
    <w:rsid w:val="00054C43"/>
    <w:rsid w:val="000556DC"/>
    <w:rsid w:val="00056747"/>
    <w:rsid w:val="000568A9"/>
    <w:rsid w:val="00061A33"/>
    <w:rsid w:val="00061CD8"/>
    <w:rsid w:val="00062AEC"/>
    <w:rsid w:val="00063245"/>
    <w:rsid w:val="00063E73"/>
    <w:rsid w:val="000643C9"/>
    <w:rsid w:val="0006468D"/>
    <w:rsid w:val="0006504F"/>
    <w:rsid w:val="00065542"/>
    <w:rsid w:val="000662BA"/>
    <w:rsid w:val="00067603"/>
    <w:rsid w:val="000677F6"/>
    <w:rsid w:val="0006794C"/>
    <w:rsid w:val="00067B92"/>
    <w:rsid w:val="000710E6"/>
    <w:rsid w:val="00072537"/>
    <w:rsid w:val="00074216"/>
    <w:rsid w:val="000747A8"/>
    <w:rsid w:val="000748F8"/>
    <w:rsid w:val="00075162"/>
    <w:rsid w:val="000763B0"/>
    <w:rsid w:val="00076D51"/>
    <w:rsid w:val="000771B5"/>
    <w:rsid w:val="000776E9"/>
    <w:rsid w:val="00077DB1"/>
    <w:rsid w:val="00080507"/>
    <w:rsid w:val="00080A89"/>
    <w:rsid w:val="00080CC1"/>
    <w:rsid w:val="0008159B"/>
    <w:rsid w:val="000828E3"/>
    <w:rsid w:val="00082A81"/>
    <w:rsid w:val="00082BE3"/>
    <w:rsid w:val="00083B9B"/>
    <w:rsid w:val="000850DD"/>
    <w:rsid w:val="00085DF5"/>
    <w:rsid w:val="0008704C"/>
    <w:rsid w:val="00087349"/>
    <w:rsid w:val="000907AE"/>
    <w:rsid w:val="00090828"/>
    <w:rsid w:val="000909C7"/>
    <w:rsid w:val="00090CC2"/>
    <w:rsid w:val="00090F4E"/>
    <w:rsid w:val="0009165A"/>
    <w:rsid w:val="00091C11"/>
    <w:rsid w:val="00091F4B"/>
    <w:rsid w:val="00091F6F"/>
    <w:rsid w:val="000955D9"/>
    <w:rsid w:val="00096787"/>
    <w:rsid w:val="00096A27"/>
    <w:rsid w:val="00097F7B"/>
    <w:rsid w:val="000A0C72"/>
    <w:rsid w:val="000A1124"/>
    <w:rsid w:val="000A1A05"/>
    <w:rsid w:val="000A1BA7"/>
    <w:rsid w:val="000A21D3"/>
    <w:rsid w:val="000A3151"/>
    <w:rsid w:val="000A319C"/>
    <w:rsid w:val="000A3B96"/>
    <w:rsid w:val="000A4F88"/>
    <w:rsid w:val="000A5C72"/>
    <w:rsid w:val="000A64C5"/>
    <w:rsid w:val="000A6528"/>
    <w:rsid w:val="000B0244"/>
    <w:rsid w:val="000B02CC"/>
    <w:rsid w:val="000B059F"/>
    <w:rsid w:val="000B11B4"/>
    <w:rsid w:val="000B13E5"/>
    <w:rsid w:val="000B1716"/>
    <w:rsid w:val="000B18C7"/>
    <w:rsid w:val="000B200A"/>
    <w:rsid w:val="000B2382"/>
    <w:rsid w:val="000B2E73"/>
    <w:rsid w:val="000B49F6"/>
    <w:rsid w:val="000B6096"/>
    <w:rsid w:val="000B6227"/>
    <w:rsid w:val="000B62BA"/>
    <w:rsid w:val="000B6E95"/>
    <w:rsid w:val="000B73E7"/>
    <w:rsid w:val="000B7779"/>
    <w:rsid w:val="000B7DB7"/>
    <w:rsid w:val="000C0721"/>
    <w:rsid w:val="000C082C"/>
    <w:rsid w:val="000C0DE0"/>
    <w:rsid w:val="000C13BD"/>
    <w:rsid w:val="000C1CAB"/>
    <w:rsid w:val="000C2983"/>
    <w:rsid w:val="000C2A61"/>
    <w:rsid w:val="000C3004"/>
    <w:rsid w:val="000C3639"/>
    <w:rsid w:val="000C3D4A"/>
    <w:rsid w:val="000C47BC"/>
    <w:rsid w:val="000C48E5"/>
    <w:rsid w:val="000C4E31"/>
    <w:rsid w:val="000C56F3"/>
    <w:rsid w:val="000C610D"/>
    <w:rsid w:val="000D0149"/>
    <w:rsid w:val="000D021D"/>
    <w:rsid w:val="000D085C"/>
    <w:rsid w:val="000D0BC2"/>
    <w:rsid w:val="000D0ED0"/>
    <w:rsid w:val="000D18D9"/>
    <w:rsid w:val="000D23AE"/>
    <w:rsid w:val="000D2559"/>
    <w:rsid w:val="000D26FF"/>
    <w:rsid w:val="000D2AC0"/>
    <w:rsid w:val="000D3ABF"/>
    <w:rsid w:val="000D44D0"/>
    <w:rsid w:val="000D55C4"/>
    <w:rsid w:val="000D63D0"/>
    <w:rsid w:val="000D67A1"/>
    <w:rsid w:val="000D77CE"/>
    <w:rsid w:val="000D78A7"/>
    <w:rsid w:val="000E0DBD"/>
    <w:rsid w:val="000E15D9"/>
    <w:rsid w:val="000E2171"/>
    <w:rsid w:val="000E253E"/>
    <w:rsid w:val="000E2C82"/>
    <w:rsid w:val="000E2D9E"/>
    <w:rsid w:val="000E3365"/>
    <w:rsid w:val="000E4792"/>
    <w:rsid w:val="000E5358"/>
    <w:rsid w:val="000E5421"/>
    <w:rsid w:val="000E5D71"/>
    <w:rsid w:val="000E6120"/>
    <w:rsid w:val="000E6260"/>
    <w:rsid w:val="000E635F"/>
    <w:rsid w:val="000E67B5"/>
    <w:rsid w:val="000F001E"/>
    <w:rsid w:val="000F05D5"/>
    <w:rsid w:val="000F06C7"/>
    <w:rsid w:val="000F0C4B"/>
    <w:rsid w:val="000F143A"/>
    <w:rsid w:val="000F143F"/>
    <w:rsid w:val="000F194B"/>
    <w:rsid w:val="000F1B50"/>
    <w:rsid w:val="000F25A9"/>
    <w:rsid w:val="000F267C"/>
    <w:rsid w:val="000F2D5B"/>
    <w:rsid w:val="000F328C"/>
    <w:rsid w:val="000F36F1"/>
    <w:rsid w:val="000F3F0F"/>
    <w:rsid w:val="000F3FD0"/>
    <w:rsid w:val="000F4A97"/>
    <w:rsid w:val="000F4D36"/>
    <w:rsid w:val="000F57F1"/>
    <w:rsid w:val="000F62E9"/>
    <w:rsid w:val="000F6928"/>
    <w:rsid w:val="000F6B08"/>
    <w:rsid w:val="000F6DA0"/>
    <w:rsid w:val="00100EB9"/>
    <w:rsid w:val="0010129D"/>
    <w:rsid w:val="001014A1"/>
    <w:rsid w:val="00101D9B"/>
    <w:rsid w:val="00102124"/>
    <w:rsid w:val="00102B40"/>
    <w:rsid w:val="00106111"/>
    <w:rsid w:val="001065D8"/>
    <w:rsid w:val="00106FEC"/>
    <w:rsid w:val="001103EB"/>
    <w:rsid w:val="00110718"/>
    <w:rsid w:val="001113BD"/>
    <w:rsid w:val="001116A3"/>
    <w:rsid w:val="00112033"/>
    <w:rsid w:val="00112934"/>
    <w:rsid w:val="0011299F"/>
    <w:rsid w:val="00112DFE"/>
    <w:rsid w:val="00114104"/>
    <w:rsid w:val="001148C4"/>
    <w:rsid w:val="001163AD"/>
    <w:rsid w:val="001166E0"/>
    <w:rsid w:val="00117DAC"/>
    <w:rsid w:val="00120150"/>
    <w:rsid w:val="001207DD"/>
    <w:rsid w:val="00120BBD"/>
    <w:rsid w:val="00120C44"/>
    <w:rsid w:val="0012169E"/>
    <w:rsid w:val="00122269"/>
    <w:rsid w:val="00122328"/>
    <w:rsid w:val="00122BB0"/>
    <w:rsid w:val="00122DBA"/>
    <w:rsid w:val="001232F1"/>
    <w:rsid w:val="001233E9"/>
    <w:rsid w:val="001240FE"/>
    <w:rsid w:val="00124784"/>
    <w:rsid w:val="00124921"/>
    <w:rsid w:val="0012503D"/>
    <w:rsid w:val="00125B21"/>
    <w:rsid w:val="00125FD9"/>
    <w:rsid w:val="001260B3"/>
    <w:rsid w:val="00126441"/>
    <w:rsid w:val="00126B23"/>
    <w:rsid w:val="00126D66"/>
    <w:rsid w:val="001276CF"/>
    <w:rsid w:val="00127704"/>
    <w:rsid w:val="00127780"/>
    <w:rsid w:val="00127AE9"/>
    <w:rsid w:val="001307D8"/>
    <w:rsid w:val="00132381"/>
    <w:rsid w:val="001327FF"/>
    <w:rsid w:val="001328EB"/>
    <w:rsid w:val="00132BC7"/>
    <w:rsid w:val="0013335B"/>
    <w:rsid w:val="001347D2"/>
    <w:rsid w:val="00134D37"/>
    <w:rsid w:val="0013539C"/>
    <w:rsid w:val="00135445"/>
    <w:rsid w:val="00135879"/>
    <w:rsid w:val="001361AB"/>
    <w:rsid w:val="001368EB"/>
    <w:rsid w:val="00136C53"/>
    <w:rsid w:val="00137369"/>
    <w:rsid w:val="00137AE0"/>
    <w:rsid w:val="00137B3E"/>
    <w:rsid w:val="00137EC5"/>
    <w:rsid w:val="0014067B"/>
    <w:rsid w:val="001414D8"/>
    <w:rsid w:val="00142109"/>
    <w:rsid w:val="001441DE"/>
    <w:rsid w:val="00144630"/>
    <w:rsid w:val="00144972"/>
    <w:rsid w:val="001451AA"/>
    <w:rsid w:val="00145E19"/>
    <w:rsid w:val="00147C17"/>
    <w:rsid w:val="001500C5"/>
    <w:rsid w:val="00150253"/>
    <w:rsid w:val="00150316"/>
    <w:rsid w:val="0015091F"/>
    <w:rsid w:val="00150F6C"/>
    <w:rsid w:val="0015101B"/>
    <w:rsid w:val="001514CC"/>
    <w:rsid w:val="00151BE5"/>
    <w:rsid w:val="00151FD2"/>
    <w:rsid w:val="001523BE"/>
    <w:rsid w:val="001524B0"/>
    <w:rsid w:val="00153077"/>
    <w:rsid w:val="00154699"/>
    <w:rsid w:val="001547B7"/>
    <w:rsid w:val="00155A05"/>
    <w:rsid w:val="00156196"/>
    <w:rsid w:val="0015659E"/>
    <w:rsid w:val="00157D11"/>
    <w:rsid w:val="00157E3C"/>
    <w:rsid w:val="00160755"/>
    <w:rsid w:val="00161029"/>
    <w:rsid w:val="00161DDF"/>
    <w:rsid w:val="00162309"/>
    <w:rsid w:val="001632BF"/>
    <w:rsid w:val="00163F79"/>
    <w:rsid w:val="00164768"/>
    <w:rsid w:val="00165FEB"/>
    <w:rsid w:val="0016613E"/>
    <w:rsid w:val="001666D8"/>
    <w:rsid w:val="001668AA"/>
    <w:rsid w:val="00166C89"/>
    <w:rsid w:val="00166E13"/>
    <w:rsid w:val="00167564"/>
    <w:rsid w:val="0016793D"/>
    <w:rsid w:val="00170984"/>
    <w:rsid w:val="0017113A"/>
    <w:rsid w:val="00173C4A"/>
    <w:rsid w:val="001743ED"/>
    <w:rsid w:val="0017479A"/>
    <w:rsid w:val="00175AAA"/>
    <w:rsid w:val="001776E8"/>
    <w:rsid w:val="00177A5F"/>
    <w:rsid w:val="00177F67"/>
    <w:rsid w:val="001801AB"/>
    <w:rsid w:val="00182241"/>
    <w:rsid w:val="0018270E"/>
    <w:rsid w:val="00183737"/>
    <w:rsid w:val="00184363"/>
    <w:rsid w:val="00186578"/>
    <w:rsid w:val="0018746C"/>
    <w:rsid w:val="00187C29"/>
    <w:rsid w:val="00191E03"/>
    <w:rsid w:val="001930ED"/>
    <w:rsid w:val="00194E9A"/>
    <w:rsid w:val="00195A83"/>
    <w:rsid w:val="00196DA9"/>
    <w:rsid w:val="001A021E"/>
    <w:rsid w:val="001A12FF"/>
    <w:rsid w:val="001A19C1"/>
    <w:rsid w:val="001A3424"/>
    <w:rsid w:val="001A3603"/>
    <w:rsid w:val="001A3825"/>
    <w:rsid w:val="001A38D5"/>
    <w:rsid w:val="001A4485"/>
    <w:rsid w:val="001A4A75"/>
    <w:rsid w:val="001A4F0F"/>
    <w:rsid w:val="001A5357"/>
    <w:rsid w:val="001A58E6"/>
    <w:rsid w:val="001A5C4C"/>
    <w:rsid w:val="001A7F54"/>
    <w:rsid w:val="001B06E8"/>
    <w:rsid w:val="001B0E84"/>
    <w:rsid w:val="001B11A6"/>
    <w:rsid w:val="001B12E7"/>
    <w:rsid w:val="001B15C6"/>
    <w:rsid w:val="001B1C56"/>
    <w:rsid w:val="001B1D3C"/>
    <w:rsid w:val="001B32D7"/>
    <w:rsid w:val="001B3536"/>
    <w:rsid w:val="001B4F38"/>
    <w:rsid w:val="001B6416"/>
    <w:rsid w:val="001B7131"/>
    <w:rsid w:val="001B7C72"/>
    <w:rsid w:val="001C0330"/>
    <w:rsid w:val="001C071D"/>
    <w:rsid w:val="001C12CA"/>
    <w:rsid w:val="001C18B5"/>
    <w:rsid w:val="001C1BF0"/>
    <w:rsid w:val="001C21F3"/>
    <w:rsid w:val="001C2C21"/>
    <w:rsid w:val="001C312B"/>
    <w:rsid w:val="001C319C"/>
    <w:rsid w:val="001C36BE"/>
    <w:rsid w:val="001C42B5"/>
    <w:rsid w:val="001C486C"/>
    <w:rsid w:val="001C54E5"/>
    <w:rsid w:val="001C64E2"/>
    <w:rsid w:val="001C66C2"/>
    <w:rsid w:val="001C6731"/>
    <w:rsid w:val="001C73EE"/>
    <w:rsid w:val="001D05F7"/>
    <w:rsid w:val="001D0A6B"/>
    <w:rsid w:val="001D1843"/>
    <w:rsid w:val="001D1C1E"/>
    <w:rsid w:val="001D2532"/>
    <w:rsid w:val="001D2C19"/>
    <w:rsid w:val="001D31F5"/>
    <w:rsid w:val="001D3429"/>
    <w:rsid w:val="001D3487"/>
    <w:rsid w:val="001D3612"/>
    <w:rsid w:val="001D399D"/>
    <w:rsid w:val="001D3CCA"/>
    <w:rsid w:val="001D3E04"/>
    <w:rsid w:val="001D5404"/>
    <w:rsid w:val="001D56C5"/>
    <w:rsid w:val="001D6C88"/>
    <w:rsid w:val="001E0DD5"/>
    <w:rsid w:val="001E31F4"/>
    <w:rsid w:val="001E332E"/>
    <w:rsid w:val="001E3398"/>
    <w:rsid w:val="001E4684"/>
    <w:rsid w:val="001E4C5E"/>
    <w:rsid w:val="001E5C37"/>
    <w:rsid w:val="001E663B"/>
    <w:rsid w:val="001E69A3"/>
    <w:rsid w:val="001E70C9"/>
    <w:rsid w:val="001F07E9"/>
    <w:rsid w:val="001F1E3B"/>
    <w:rsid w:val="001F2AA2"/>
    <w:rsid w:val="001F2B65"/>
    <w:rsid w:val="001F2D03"/>
    <w:rsid w:val="001F35B0"/>
    <w:rsid w:val="001F3733"/>
    <w:rsid w:val="001F37BD"/>
    <w:rsid w:val="001F4154"/>
    <w:rsid w:val="001F4E7A"/>
    <w:rsid w:val="001F502E"/>
    <w:rsid w:val="001F6D1B"/>
    <w:rsid w:val="00200EF6"/>
    <w:rsid w:val="0020159B"/>
    <w:rsid w:val="0020251C"/>
    <w:rsid w:val="002028EF"/>
    <w:rsid w:val="00202ABC"/>
    <w:rsid w:val="002040BC"/>
    <w:rsid w:val="00204277"/>
    <w:rsid w:val="00204F28"/>
    <w:rsid w:val="00205A00"/>
    <w:rsid w:val="002064B4"/>
    <w:rsid w:val="00206F6D"/>
    <w:rsid w:val="00211455"/>
    <w:rsid w:val="00212E7A"/>
    <w:rsid w:val="002133AD"/>
    <w:rsid w:val="00213685"/>
    <w:rsid w:val="00213742"/>
    <w:rsid w:val="00213BDC"/>
    <w:rsid w:val="00213C72"/>
    <w:rsid w:val="002142CD"/>
    <w:rsid w:val="00214A52"/>
    <w:rsid w:val="00215B5D"/>
    <w:rsid w:val="00215F86"/>
    <w:rsid w:val="002174C3"/>
    <w:rsid w:val="00217562"/>
    <w:rsid w:val="00217FB0"/>
    <w:rsid w:val="002222C7"/>
    <w:rsid w:val="0022446C"/>
    <w:rsid w:val="00224921"/>
    <w:rsid w:val="00224DBD"/>
    <w:rsid w:val="00225B0E"/>
    <w:rsid w:val="00225FF2"/>
    <w:rsid w:val="00227E07"/>
    <w:rsid w:val="00227EFA"/>
    <w:rsid w:val="0023005F"/>
    <w:rsid w:val="002301FA"/>
    <w:rsid w:val="00230B3F"/>
    <w:rsid w:val="00231FC2"/>
    <w:rsid w:val="0023233D"/>
    <w:rsid w:val="00232549"/>
    <w:rsid w:val="00232B32"/>
    <w:rsid w:val="00232DCE"/>
    <w:rsid w:val="002333ED"/>
    <w:rsid w:val="0023379E"/>
    <w:rsid w:val="0023439F"/>
    <w:rsid w:val="00234A81"/>
    <w:rsid w:val="00235761"/>
    <w:rsid w:val="00235CE1"/>
    <w:rsid w:val="00236B08"/>
    <w:rsid w:val="00237B21"/>
    <w:rsid w:val="00237EB7"/>
    <w:rsid w:val="00237FBC"/>
    <w:rsid w:val="002412C7"/>
    <w:rsid w:val="0024181C"/>
    <w:rsid w:val="00242A4F"/>
    <w:rsid w:val="0024339A"/>
    <w:rsid w:val="00243C1E"/>
    <w:rsid w:val="0024487C"/>
    <w:rsid w:val="00245520"/>
    <w:rsid w:val="00245E9E"/>
    <w:rsid w:val="002467ED"/>
    <w:rsid w:val="002467EE"/>
    <w:rsid w:val="002468C3"/>
    <w:rsid w:val="00246BB2"/>
    <w:rsid w:val="00246F72"/>
    <w:rsid w:val="00247451"/>
    <w:rsid w:val="0025012B"/>
    <w:rsid w:val="00251B8A"/>
    <w:rsid w:val="0025266A"/>
    <w:rsid w:val="00252A0B"/>
    <w:rsid w:val="00253269"/>
    <w:rsid w:val="0025351F"/>
    <w:rsid w:val="00253E79"/>
    <w:rsid w:val="00254834"/>
    <w:rsid w:val="00255804"/>
    <w:rsid w:val="002601DF"/>
    <w:rsid w:val="00260F3B"/>
    <w:rsid w:val="0026105C"/>
    <w:rsid w:val="002610F6"/>
    <w:rsid w:val="00261D74"/>
    <w:rsid w:val="00262564"/>
    <w:rsid w:val="00262943"/>
    <w:rsid w:val="002643F1"/>
    <w:rsid w:val="002644A5"/>
    <w:rsid w:val="0026494C"/>
    <w:rsid w:val="0026522F"/>
    <w:rsid w:val="002653C5"/>
    <w:rsid w:val="00265D42"/>
    <w:rsid w:val="00265FC4"/>
    <w:rsid w:val="00266309"/>
    <w:rsid w:val="002670A5"/>
    <w:rsid w:val="002674A1"/>
    <w:rsid w:val="00274CB6"/>
    <w:rsid w:val="0027532E"/>
    <w:rsid w:val="00276BA0"/>
    <w:rsid w:val="00276CDB"/>
    <w:rsid w:val="00276F64"/>
    <w:rsid w:val="002776FA"/>
    <w:rsid w:val="00277B88"/>
    <w:rsid w:val="002810D1"/>
    <w:rsid w:val="002817DE"/>
    <w:rsid w:val="002818DA"/>
    <w:rsid w:val="00281B84"/>
    <w:rsid w:val="00281DBD"/>
    <w:rsid w:val="002821D9"/>
    <w:rsid w:val="00282673"/>
    <w:rsid w:val="00283279"/>
    <w:rsid w:val="0028337E"/>
    <w:rsid w:val="002835F7"/>
    <w:rsid w:val="00283D8B"/>
    <w:rsid w:val="00284357"/>
    <w:rsid w:val="00285797"/>
    <w:rsid w:val="0028798C"/>
    <w:rsid w:val="002905F1"/>
    <w:rsid w:val="002916FF"/>
    <w:rsid w:val="00291B79"/>
    <w:rsid w:val="00291E81"/>
    <w:rsid w:val="00291F54"/>
    <w:rsid w:val="00292C43"/>
    <w:rsid w:val="002940B9"/>
    <w:rsid w:val="00295452"/>
    <w:rsid w:val="00295B84"/>
    <w:rsid w:val="00296C26"/>
    <w:rsid w:val="00296EB1"/>
    <w:rsid w:val="00297B03"/>
    <w:rsid w:val="002A00C1"/>
    <w:rsid w:val="002A028C"/>
    <w:rsid w:val="002A11F8"/>
    <w:rsid w:val="002A1BEC"/>
    <w:rsid w:val="002A1C8D"/>
    <w:rsid w:val="002A3C74"/>
    <w:rsid w:val="002A46DD"/>
    <w:rsid w:val="002A479A"/>
    <w:rsid w:val="002A5577"/>
    <w:rsid w:val="002A6414"/>
    <w:rsid w:val="002A6CC1"/>
    <w:rsid w:val="002A70AF"/>
    <w:rsid w:val="002B1297"/>
    <w:rsid w:val="002B1B9C"/>
    <w:rsid w:val="002B2F8D"/>
    <w:rsid w:val="002B3BA8"/>
    <w:rsid w:val="002B3EDB"/>
    <w:rsid w:val="002B4A09"/>
    <w:rsid w:val="002B4E92"/>
    <w:rsid w:val="002B4FB4"/>
    <w:rsid w:val="002B50C1"/>
    <w:rsid w:val="002B5832"/>
    <w:rsid w:val="002B68DC"/>
    <w:rsid w:val="002B78D3"/>
    <w:rsid w:val="002B7FE8"/>
    <w:rsid w:val="002C0B0D"/>
    <w:rsid w:val="002C19D7"/>
    <w:rsid w:val="002C1C70"/>
    <w:rsid w:val="002C1DC7"/>
    <w:rsid w:val="002C225D"/>
    <w:rsid w:val="002C2A69"/>
    <w:rsid w:val="002C2DFE"/>
    <w:rsid w:val="002C404D"/>
    <w:rsid w:val="002C5033"/>
    <w:rsid w:val="002D03D6"/>
    <w:rsid w:val="002D1030"/>
    <w:rsid w:val="002D25D4"/>
    <w:rsid w:val="002D2C4F"/>
    <w:rsid w:val="002D2FDE"/>
    <w:rsid w:val="002D4AE1"/>
    <w:rsid w:val="002D5620"/>
    <w:rsid w:val="002D5FF9"/>
    <w:rsid w:val="002D6472"/>
    <w:rsid w:val="002D678A"/>
    <w:rsid w:val="002D7741"/>
    <w:rsid w:val="002D7B65"/>
    <w:rsid w:val="002D7B87"/>
    <w:rsid w:val="002D7C12"/>
    <w:rsid w:val="002D7DF9"/>
    <w:rsid w:val="002E0213"/>
    <w:rsid w:val="002E032F"/>
    <w:rsid w:val="002E0510"/>
    <w:rsid w:val="002E0606"/>
    <w:rsid w:val="002E1769"/>
    <w:rsid w:val="002E1B28"/>
    <w:rsid w:val="002E1FEE"/>
    <w:rsid w:val="002E30CA"/>
    <w:rsid w:val="002E3A24"/>
    <w:rsid w:val="002E3EBD"/>
    <w:rsid w:val="002E4F33"/>
    <w:rsid w:val="002E5CD5"/>
    <w:rsid w:val="002E666C"/>
    <w:rsid w:val="002E687E"/>
    <w:rsid w:val="002E69BC"/>
    <w:rsid w:val="002E73F1"/>
    <w:rsid w:val="002E7649"/>
    <w:rsid w:val="002E772C"/>
    <w:rsid w:val="002E7A28"/>
    <w:rsid w:val="002E7C5D"/>
    <w:rsid w:val="002E7C93"/>
    <w:rsid w:val="002E7EE6"/>
    <w:rsid w:val="002F11B6"/>
    <w:rsid w:val="002F19CC"/>
    <w:rsid w:val="002F4AD7"/>
    <w:rsid w:val="002F5238"/>
    <w:rsid w:val="002F7382"/>
    <w:rsid w:val="00300CF8"/>
    <w:rsid w:val="00301AC3"/>
    <w:rsid w:val="003020A2"/>
    <w:rsid w:val="0030304A"/>
    <w:rsid w:val="00304081"/>
    <w:rsid w:val="00304498"/>
    <w:rsid w:val="003048A4"/>
    <w:rsid w:val="00304E67"/>
    <w:rsid w:val="003058D2"/>
    <w:rsid w:val="00305BA3"/>
    <w:rsid w:val="003060A0"/>
    <w:rsid w:val="00306800"/>
    <w:rsid w:val="0030691F"/>
    <w:rsid w:val="00307834"/>
    <w:rsid w:val="00310111"/>
    <w:rsid w:val="003103DD"/>
    <w:rsid w:val="0031066D"/>
    <w:rsid w:val="003106AA"/>
    <w:rsid w:val="00310BF9"/>
    <w:rsid w:val="00310D7B"/>
    <w:rsid w:val="00311D7A"/>
    <w:rsid w:val="00311FA3"/>
    <w:rsid w:val="00312B83"/>
    <w:rsid w:val="003130F2"/>
    <w:rsid w:val="00313262"/>
    <w:rsid w:val="003138E7"/>
    <w:rsid w:val="0031442F"/>
    <w:rsid w:val="00315188"/>
    <w:rsid w:val="00315238"/>
    <w:rsid w:val="00315A0D"/>
    <w:rsid w:val="00315A62"/>
    <w:rsid w:val="003166C0"/>
    <w:rsid w:val="00317A2E"/>
    <w:rsid w:val="00320156"/>
    <w:rsid w:val="00320990"/>
    <w:rsid w:val="00320D0D"/>
    <w:rsid w:val="00321DA8"/>
    <w:rsid w:val="003225CB"/>
    <w:rsid w:val="00322864"/>
    <w:rsid w:val="00322D5A"/>
    <w:rsid w:val="00323730"/>
    <w:rsid w:val="00323D98"/>
    <w:rsid w:val="0032436B"/>
    <w:rsid w:val="00324A09"/>
    <w:rsid w:val="003251A1"/>
    <w:rsid w:val="00325C41"/>
    <w:rsid w:val="00326C4E"/>
    <w:rsid w:val="00327019"/>
    <w:rsid w:val="00327CB1"/>
    <w:rsid w:val="00327CC2"/>
    <w:rsid w:val="00330426"/>
    <w:rsid w:val="0033242A"/>
    <w:rsid w:val="00332797"/>
    <w:rsid w:val="00332AF6"/>
    <w:rsid w:val="00332E6B"/>
    <w:rsid w:val="00333170"/>
    <w:rsid w:val="003339FB"/>
    <w:rsid w:val="00333F89"/>
    <w:rsid w:val="0033423B"/>
    <w:rsid w:val="00334862"/>
    <w:rsid w:val="00335478"/>
    <w:rsid w:val="003358E8"/>
    <w:rsid w:val="00335C06"/>
    <w:rsid w:val="00336144"/>
    <w:rsid w:val="003369BA"/>
    <w:rsid w:val="00336A29"/>
    <w:rsid w:val="0033746E"/>
    <w:rsid w:val="00340BAD"/>
    <w:rsid w:val="003413BA"/>
    <w:rsid w:val="0034178E"/>
    <w:rsid w:val="00341BB4"/>
    <w:rsid w:val="00343052"/>
    <w:rsid w:val="00343977"/>
    <w:rsid w:val="0034438E"/>
    <w:rsid w:val="00344945"/>
    <w:rsid w:val="00344BFF"/>
    <w:rsid w:val="00344CA0"/>
    <w:rsid w:val="00345193"/>
    <w:rsid w:val="00345199"/>
    <w:rsid w:val="00346153"/>
    <w:rsid w:val="003463A6"/>
    <w:rsid w:val="00346931"/>
    <w:rsid w:val="003472B2"/>
    <w:rsid w:val="00347C5E"/>
    <w:rsid w:val="00347E2F"/>
    <w:rsid w:val="00350BAB"/>
    <w:rsid w:val="00350F17"/>
    <w:rsid w:val="00351284"/>
    <w:rsid w:val="003513F7"/>
    <w:rsid w:val="00351550"/>
    <w:rsid w:val="00351E7E"/>
    <w:rsid w:val="003520A6"/>
    <w:rsid w:val="00355AB3"/>
    <w:rsid w:val="00356066"/>
    <w:rsid w:val="00356084"/>
    <w:rsid w:val="0035632F"/>
    <w:rsid w:val="00360355"/>
    <w:rsid w:val="00360AD7"/>
    <w:rsid w:val="00360D18"/>
    <w:rsid w:val="0036206A"/>
    <w:rsid w:val="00362C7E"/>
    <w:rsid w:val="00362E74"/>
    <w:rsid w:val="0036329D"/>
    <w:rsid w:val="003647F6"/>
    <w:rsid w:val="00364DAD"/>
    <w:rsid w:val="00366968"/>
    <w:rsid w:val="00366A60"/>
    <w:rsid w:val="0036729F"/>
    <w:rsid w:val="0036776D"/>
    <w:rsid w:val="00367895"/>
    <w:rsid w:val="00367B60"/>
    <w:rsid w:val="00370CDC"/>
    <w:rsid w:val="00370D35"/>
    <w:rsid w:val="0037109F"/>
    <w:rsid w:val="00371EBB"/>
    <w:rsid w:val="003722A9"/>
    <w:rsid w:val="003723B1"/>
    <w:rsid w:val="00373684"/>
    <w:rsid w:val="0037377E"/>
    <w:rsid w:val="00373FF7"/>
    <w:rsid w:val="003745EC"/>
    <w:rsid w:val="00374C97"/>
    <w:rsid w:val="0037522C"/>
    <w:rsid w:val="003752C8"/>
    <w:rsid w:val="0037649A"/>
    <w:rsid w:val="00376548"/>
    <w:rsid w:val="00376B7F"/>
    <w:rsid w:val="003776AF"/>
    <w:rsid w:val="00380CDB"/>
    <w:rsid w:val="00380DCB"/>
    <w:rsid w:val="00381029"/>
    <w:rsid w:val="00381D1B"/>
    <w:rsid w:val="00382F63"/>
    <w:rsid w:val="00383004"/>
    <w:rsid w:val="00384630"/>
    <w:rsid w:val="00384778"/>
    <w:rsid w:val="00385181"/>
    <w:rsid w:val="0038549F"/>
    <w:rsid w:val="003864C1"/>
    <w:rsid w:val="00390182"/>
    <w:rsid w:val="00390BA1"/>
    <w:rsid w:val="00392183"/>
    <w:rsid w:val="00392487"/>
    <w:rsid w:val="00392DE5"/>
    <w:rsid w:val="00393190"/>
    <w:rsid w:val="0039355A"/>
    <w:rsid w:val="003935BB"/>
    <w:rsid w:val="003947BC"/>
    <w:rsid w:val="00395373"/>
    <w:rsid w:val="0039565B"/>
    <w:rsid w:val="00395BBF"/>
    <w:rsid w:val="0039669C"/>
    <w:rsid w:val="00396AA6"/>
    <w:rsid w:val="00397875"/>
    <w:rsid w:val="00397B4F"/>
    <w:rsid w:val="00397B55"/>
    <w:rsid w:val="003A0242"/>
    <w:rsid w:val="003A06B6"/>
    <w:rsid w:val="003A06C8"/>
    <w:rsid w:val="003A1081"/>
    <w:rsid w:val="003A350C"/>
    <w:rsid w:val="003A3950"/>
    <w:rsid w:val="003A4295"/>
    <w:rsid w:val="003A5270"/>
    <w:rsid w:val="003A536E"/>
    <w:rsid w:val="003A6944"/>
    <w:rsid w:val="003A7004"/>
    <w:rsid w:val="003A7427"/>
    <w:rsid w:val="003A7EE0"/>
    <w:rsid w:val="003B01E6"/>
    <w:rsid w:val="003B0390"/>
    <w:rsid w:val="003B21CA"/>
    <w:rsid w:val="003B242B"/>
    <w:rsid w:val="003B337B"/>
    <w:rsid w:val="003B33F1"/>
    <w:rsid w:val="003B38A9"/>
    <w:rsid w:val="003B495D"/>
    <w:rsid w:val="003B56D6"/>
    <w:rsid w:val="003B58AB"/>
    <w:rsid w:val="003B67B0"/>
    <w:rsid w:val="003B754A"/>
    <w:rsid w:val="003C11D9"/>
    <w:rsid w:val="003C28DE"/>
    <w:rsid w:val="003C2A14"/>
    <w:rsid w:val="003C2E85"/>
    <w:rsid w:val="003C34B0"/>
    <w:rsid w:val="003C41F7"/>
    <w:rsid w:val="003C491D"/>
    <w:rsid w:val="003C4A2A"/>
    <w:rsid w:val="003C4F3E"/>
    <w:rsid w:val="003C514C"/>
    <w:rsid w:val="003C5B3D"/>
    <w:rsid w:val="003C5E09"/>
    <w:rsid w:val="003C6243"/>
    <w:rsid w:val="003C6AF1"/>
    <w:rsid w:val="003C74D2"/>
    <w:rsid w:val="003D010B"/>
    <w:rsid w:val="003D13E2"/>
    <w:rsid w:val="003D15E7"/>
    <w:rsid w:val="003D1D38"/>
    <w:rsid w:val="003D348A"/>
    <w:rsid w:val="003D384C"/>
    <w:rsid w:val="003D4674"/>
    <w:rsid w:val="003D51E7"/>
    <w:rsid w:val="003D58C8"/>
    <w:rsid w:val="003D5F55"/>
    <w:rsid w:val="003D6E7B"/>
    <w:rsid w:val="003D7976"/>
    <w:rsid w:val="003D7B75"/>
    <w:rsid w:val="003D7D15"/>
    <w:rsid w:val="003E17B7"/>
    <w:rsid w:val="003E1A6C"/>
    <w:rsid w:val="003E2927"/>
    <w:rsid w:val="003E2D0A"/>
    <w:rsid w:val="003E322B"/>
    <w:rsid w:val="003E33CD"/>
    <w:rsid w:val="003E3710"/>
    <w:rsid w:val="003E3DF9"/>
    <w:rsid w:val="003E54EF"/>
    <w:rsid w:val="003E5D74"/>
    <w:rsid w:val="003E63CE"/>
    <w:rsid w:val="003E75B5"/>
    <w:rsid w:val="003F06F4"/>
    <w:rsid w:val="003F0CAF"/>
    <w:rsid w:val="003F1405"/>
    <w:rsid w:val="003F2022"/>
    <w:rsid w:val="003F2285"/>
    <w:rsid w:val="003F23CD"/>
    <w:rsid w:val="003F37EB"/>
    <w:rsid w:val="003F3A59"/>
    <w:rsid w:val="003F4029"/>
    <w:rsid w:val="003F51C7"/>
    <w:rsid w:val="003F6834"/>
    <w:rsid w:val="003F7F63"/>
    <w:rsid w:val="00401CA0"/>
    <w:rsid w:val="00402469"/>
    <w:rsid w:val="004029B9"/>
    <w:rsid w:val="0040312A"/>
    <w:rsid w:val="004032F0"/>
    <w:rsid w:val="00403B71"/>
    <w:rsid w:val="0040445A"/>
    <w:rsid w:val="0040456C"/>
    <w:rsid w:val="00404B0F"/>
    <w:rsid w:val="00404EE5"/>
    <w:rsid w:val="004050D0"/>
    <w:rsid w:val="00406294"/>
    <w:rsid w:val="004062F3"/>
    <w:rsid w:val="00406300"/>
    <w:rsid w:val="00410472"/>
    <w:rsid w:val="004106C8"/>
    <w:rsid w:val="00411104"/>
    <w:rsid w:val="00412273"/>
    <w:rsid w:val="0041282F"/>
    <w:rsid w:val="00412DFA"/>
    <w:rsid w:val="004134E4"/>
    <w:rsid w:val="00413A26"/>
    <w:rsid w:val="00414E5E"/>
    <w:rsid w:val="00415180"/>
    <w:rsid w:val="00415621"/>
    <w:rsid w:val="004156FE"/>
    <w:rsid w:val="00415E3B"/>
    <w:rsid w:val="00416F1B"/>
    <w:rsid w:val="00417328"/>
    <w:rsid w:val="004200AC"/>
    <w:rsid w:val="00420610"/>
    <w:rsid w:val="00420B13"/>
    <w:rsid w:val="00421F86"/>
    <w:rsid w:val="00422140"/>
    <w:rsid w:val="00422EE8"/>
    <w:rsid w:val="00423348"/>
    <w:rsid w:val="0042348B"/>
    <w:rsid w:val="0042442A"/>
    <w:rsid w:val="004264AE"/>
    <w:rsid w:val="00430535"/>
    <w:rsid w:val="004308BC"/>
    <w:rsid w:val="00430EDF"/>
    <w:rsid w:val="004310D9"/>
    <w:rsid w:val="00432EF3"/>
    <w:rsid w:val="00433677"/>
    <w:rsid w:val="00433A85"/>
    <w:rsid w:val="00433E64"/>
    <w:rsid w:val="0043478C"/>
    <w:rsid w:val="00434C1F"/>
    <w:rsid w:val="00435D2E"/>
    <w:rsid w:val="0043613C"/>
    <w:rsid w:val="00436710"/>
    <w:rsid w:val="0043726B"/>
    <w:rsid w:val="004401A1"/>
    <w:rsid w:val="00440EE6"/>
    <w:rsid w:val="00441122"/>
    <w:rsid w:val="00442156"/>
    <w:rsid w:val="004437B0"/>
    <w:rsid w:val="00443C7B"/>
    <w:rsid w:val="00443EB8"/>
    <w:rsid w:val="004447FE"/>
    <w:rsid w:val="00444C00"/>
    <w:rsid w:val="00446D55"/>
    <w:rsid w:val="00447036"/>
    <w:rsid w:val="00447159"/>
    <w:rsid w:val="0044758F"/>
    <w:rsid w:val="004479E5"/>
    <w:rsid w:val="00450382"/>
    <w:rsid w:val="00451E15"/>
    <w:rsid w:val="004521C4"/>
    <w:rsid w:val="00452A96"/>
    <w:rsid w:val="00453EFE"/>
    <w:rsid w:val="00455693"/>
    <w:rsid w:val="00455716"/>
    <w:rsid w:val="00456CD9"/>
    <w:rsid w:val="00457983"/>
    <w:rsid w:val="0046031F"/>
    <w:rsid w:val="004622C7"/>
    <w:rsid w:val="0046255F"/>
    <w:rsid w:val="004636B9"/>
    <w:rsid w:val="004641E2"/>
    <w:rsid w:val="00464615"/>
    <w:rsid w:val="00464DAC"/>
    <w:rsid w:val="004650AB"/>
    <w:rsid w:val="004659DD"/>
    <w:rsid w:val="00466654"/>
    <w:rsid w:val="004707FA"/>
    <w:rsid w:val="00470939"/>
    <w:rsid w:val="004710D7"/>
    <w:rsid w:val="00472C34"/>
    <w:rsid w:val="004740A7"/>
    <w:rsid w:val="0047430E"/>
    <w:rsid w:val="004744B2"/>
    <w:rsid w:val="00474A89"/>
    <w:rsid w:val="00474D8E"/>
    <w:rsid w:val="0047535D"/>
    <w:rsid w:val="00475BCC"/>
    <w:rsid w:val="004764CE"/>
    <w:rsid w:val="0047714B"/>
    <w:rsid w:val="0047757F"/>
    <w:rsid w:val="004800FC"/>
    <w:rsid w:val="0048112F"/>
    <w:rsid w:val="0048158D"/>
    <w:rsid w:val="004816B6"/>
    <w:rsid w:val="00481FF5"/>
    <w:rsid w:val="004847E3"/>
    <w:rsid w:val="004862D7"/>
    <w:rsid w:val="00486944"/>
    <w:rsid w:val="00487269"/>
    <w:rsid w:val="0048731E"/>
    <w:rsid w:val="00487FD4"/>
    <w:rsid w:val="00490F20"/>
    <w:rsid w:val="00490F91"/>
    <w:rsid w:val="004910B8"/>
    <w:rsid w:val="00491C50"/>
    <w:rsid w:val="00492238"/>
    <w:rsid w:val="00493C37"/>
    <w:rsid w:val="004945C8"/>
    <w:rsid w:val="0049490B"/>
    <w:rsid w:val="00494AE9"/>
    <w:rsid w:val="00494F22"/>
    <w:rsid w:val="00495D51"/>
    <w:rsid w:val="00497D0F"/>
    <w:rsid w:val="00497FA5"/>
    <w:rsid w:val="004A0198"/>
    <w:rsid w:val="004A03DE"/>
    <w:rsid w:val="004A1891"/>
    <w:rsid w:val="004A2A6C"/>
    <w:rsid w:val="004A5309"/>
    <w:rsid w:val="004A56BF"/>
    <w:rsid w:val="004A5A39"/>
    <w:rsid w:val="004A6C1A"/>
    <w:rsid w:val="004A71BC"/>
    <w:rsid w:val="004A7415"/>
    <w:rsid w:val="004A7AFB"/>
    <w:rsid w:val="004A7E08"/>
    <w:rsid w:val="004B0839"/>
    <w:rsid w:val="004B126F"/>
    <w:rsid w:val="004B127A"/>
    <w:rsid w:val="004B1827"/>
    <w:rsid w:val="004B1C61"/>
    <w:rsid w:val="004B1DCE"/>
    <w:rsid w:val="004B29AE"/>
    <w:rsid w:val="004B4DCE"/>
    <w:rsid w:val="004B5554"/>
    <w:rsid w:val="004B5C27"/>
    <w:rsid w:val="004B5F04"/>
    <w:rsid w:val="004B609D"/>
    <w:rsid w:val="004B6260"/>
    <w:rsid w:val="004B6314"/>
    <w:rsid w:val="004B6A3D"/>
    <w:rsid w:val="004B75CB"/>
    <w:rsid w:val="004C199E"/>
    <w:rsid w:val="004C19C0"/>
    <w:rsid w:val="004C2999"/>
    <w:rsid w:val="004C3201"/>
    <w:rsid w:val="004C3912"/>
    <w:rsid w:val="004C3EB1"/>
    <w:rsid w:val="004C488E"/>
    <w:rsid w:val="004C4F12"/>
    <w:rsid w:val="004C4F73"/>
    <w:rsid w:val="004C5331"/>
    <w:rsid w:val="004C5471"/>
    <w:rsid w:val="004C6A22"/>
    <w:rsid w:val="004C6DA5"/>
    <w:rsid w:val="004C73E2"/>
    <w:rsid w:val="004C7830"/>
    <w:rsid w:val="004D0833"/>
    <w:rsid w:val="004D0B74"/>
    <w:rsid w:val="004D0B82"/>
    <w:rsid w:val="004D0F03"/>
    <w:rsid w:val="004D1E70"/>
    <w:rsid w:val="004D232A"/>
    <w:rsid w:val="004D2B9A"/>
    <w:rsid w:val="004D2D1D"/>
    <w:rsid w:val="004D406E"/>
    <w:rsid w:val="004D4BAA"/>
    <w:rsid w:val="004D50FD"/>
    <w:rsid w:val="004D6261"/>
    <w:rsid w:val="004D7923"/>
    <w:rsid w:val="004E1084"/>
    <w:rsid w:val="004E228E"/>
    <w:rsid w:val="004E3037"/>
    <w:rsid w:val="004E3913"/>
    <w:rsid w:val="004E3F40"/>
    <w:rsid w:val="004E408E"/>
    <w:rsid w:val="004E40AC"/>
    <w:rsid w:val="004E4856"/>
    <w:rsid w:val="004E4C32"/>
    <w:rsid w:val="004E4EAD"/>
    <w:rsid w:val="004E5066"/>
    <w:rsid w:val="004E5957"/>
    <w:rsid w:val="004E630E"/>
    <w:rsid w:val="004E6489"/>
    <w:rsid w:val="004E6966"/>
    <w:rsid w:val="004F0AC9"/>
    <w:rsid w:val="004F0E5F"/>
    <w:rsid w:val="004F0EDD"/>
    <w:rsid w:val="004F1BB9"/>
    <w:rsid w:val="004F24FA"/>
    <w:rsid w:val="004F2C2E"/>
    <w:rsid w:val="004F4C67"/>
    <w:rsid w:val="004F4E17"/>
    <w:rsid w:val="004F4E54"/>
    <w:rsid w:val="004F50A8"/>
    <w:rsid w:val="004F518D"/>
    <w:rsid w:val="004F5462"/>
    <w:rsid w:val="004F589D"/>
    <w:rsid w:val="004F5C91"/>
    <w:rsid w:val="004F5DD0"/>
    <w:rsid w:val="00500B9B"/>
    <w:rsid w:val="00500E7F"/>
    <w:rsid w:val="00501C97"/>
    <w:rsid w:val="00501D28"/>
    <w:rsid w:val="0050222C"/>
    <w:rsid w:val="00502B00"/>
    <w:rsid w:val="00502B0F"/>
    <w:rsid w:val="00502DF5"/>
    <w:rsid w:val="0050460A"/>
    <w:rsid w:val="00504BB0"/>
    <w:rsid w:val="0050580E"/>
    <w:rsid w:val="005068DD"/>
    <w:rsid w:val="00506E17"/>
    <w:rsid w:val="0051124E"/>
    <w:rsid w:val="00512126"/>
    <w:rsid w:val="00512274"/>
    <w:rsid w:val="00513484"/>
    <w:rsid w:val="00513AAD"/>
    <w:rsid w:val="00513CC1"/>
    <w:rsid w:val="0051428C"/>
    <w:rsid w:val="005142AE"/>
    <w:rsid w:val="00514C84"/>
    <w:rsid w:val="005152B6"/>
    <w:rsid w:val="00515B1B"/>
    <w:rsid w:val="00515D62"/>
    <w:rsid w:val="00516154"/>
    <w:rsid w:val="005165EB"/>
    <w:rsid w:val="00516BDC"/>
    <w:rsid w:val="00517819"/>
    <w:rsid w:val="00517BF4"/>
    <w:rsid w:val="0052018B"/>
    <w:rsid w:val="00520F07"/>
    <w:rsid w:val="00521862"/>
    <w:rsid w:val="0052196A"/>
    <w:rsid w:val="005220DD"/>
    <w:rsid w:val="00522389"/>
    <w:rsid w:val="005227AC"/>
    <w:rsid w:val="00522DDA"/>
    <w:rsid w:val="00523610"/>
    <w:rsid w:val="00523E87"/>
    <w:rsid w:val="00523F1B"/>
    <w:rsid w:val="00524038"/>
    <w:rsid w:val="0052689E"/>
    <w:rsid w:val="00526A97"/>
    <w:rsid w:val="005279C1"/>
    <w:rsid w:val="00530AC3"/>
    <w:rsid w:val="00530F65"/>
    <w:rsid w:val="0053154B"/>
    <w:rsid w:val="00532FF1"/>
    <w:rsid w:val="005332EB"/>
    <w:rsid w:val="00533469"/>
    <w:rsid w:val="00533CD6"/>
    <w:rsid w:val="005356AF"/>
    <w:rsid w:val="005368C2"/>
    <w:rsid w:val="00536BB7"/>
    <w:rsid w:val="00536BE3"/>
    <w:rsid w:val="00540871"/>
    <w:rsid w:val="00541E4F"/>
    <w:rsid w:val="0054276C"/>
    <w:rsid w:val="00542E61"/>
    <w:rsid w:val="005430AF"/>
    <w:rsid w:val="00544100"/>
    <w:rsid w:val="00544984"/>
    <w:rsid w:val="00544CD6"/>
    <w:rsid w:val="005452DA"/>
    <w:rsid w:val="0054563D"/>
    <w:rsid w:val="005477E1"/>
    <w:rsid w:val="005478F6"/>
    <w:rsid w:val="00550074"/>
    <w:rsid w:val="005509CF"/>
    <w:rsid w:val="00550C53"/>
    <w:rsid w:val="0055207F"/>
    <w:rsid w:val="0055219C"/>
    <w:rsid w:val="005522AA"/>
    <w:rsid w:val="005523F9"/>
    <w:rsid w:val="00552402"/>
    <w:rsid w:val="00552707"/>
    <w:rsid w:val="00552832"/>
    <w:rsid w:val="00554066"/>
    <w:rsid w:val="005545ED"/>
    <w:rsid w:val="005572FA"/>
    <w:rsid w:val="00560D3E"/>
    <w:rsid w:val="00560E77"/>
    <w:rsid w:val="005612A5"/>
    <w:rsid w:val="00564A4C"/>
    <w:rsid w:val="00565EE3"/>
    <w:rsid w:val="005660EE"/>
    <w:rsid w:val="00566BE4"/>
    <w:rsid w:val="00566F5D"/>
    <w:rsid w:val="00567943"/>
    <w:rsid w:val="00570858"/>
    <w:rsid w:val="005714E0"/>
    <w:rsid w:val="005716AE"/>
    <w:rsid w:val="005716C3"/>
    <w:rsid w:val="00571722"/>
    <w:rsid w:val="0057191E"/>
    <w:rsid w:val="00572913"/>
    <w:rsid w:val="00572A09"/>
    <w:rsid w:val="0057448B"/>
    <w:rsid w:val="00574E5F"/>
    <w:rsid w:val="00574E92"/>
    <w:rsid w:val="00574F83"/>
    <w:rsid w:val="00576028"/>
    <w:rsid w:val="00576075"/>
    <w:rsid w:val="005765E8"/>
    <w:rsid w:val="00577718"/>
    <w:rsid w:val="00580A9C"/>
    <w:rsid w:val="00580C38"/>
    <w:rsid w:val="00582FA1"/>
    <w:rsid w:val="005834FC"/>
    <w:rsid w:val="00583E2A"/>
    <w:rsid w:val="005848B1"/>
    <w:rsid w:val="0058623F"/>
    <w:rsid w:val="0058668F"/>
    <w:rsid w:val="00586797"/>
    <w:rsid w:val="005875DD"/>
    <w:rsid w:val="00591D75"/>
    <w:rsid w:val="00593C26"/>
    <w:rsid w:val="00594B1E"/>
    <w:rsid w:val="0059554E"/>
    <w:rsid w:val="00595C62"/>
    <w:rsid w:val="005961CC"/>
    <w:rsid w:val="00596AE6"/>
    <w:rsid w:val="00596C68"/>
    <w:rsid w:val="00596D79"/>
    <w:rsid w:val="00597466"/>
    <w:rsid w:val="00597A94"/>
    <w:rsid w:val="005A0CAC"/>
    <w:rsid w:val="005A12BB"/>
    <w:rsid w:val="005A18D0"/>
    <w:rsid w:val="005A2090"/>
    <w:rsid w:val="005A3671"/>
    <w:rsid w:val="005A4054"/>
    <w:rsid w:val="005A5075"/>
    <w:rsid w:val="005A57FC"/>
    <w:rsid w:val="005A6720"/>
    <w:rsid w:val="005A7074"/>
    <w:rsid w:val="005A7B87"/>
    <w:rsid w:val="005A7EF4"/>
    <w:rsid w:val="005B0718"/>
    <w:rsid w:val="005B159A"/>
    <w:rsid w:val="005B18BC"/>
    <w:rsid w:val="005B1FAB"/>
    <w:rsid w:val="005B315F"/>
    <w:rsid w:val="005B31E4"/>
    <w:rsid w:val="005B3938"/>
    <w:rsid w:val="005B5A03"/>
    <w:rsid w:val="005B5C09"/>
    <w:rsid w:val="005B5D04"/>
    <w:rsid w:val="005B6114"/>
    <w:rsid w:val="005B75CE"/>
    <w:rsid w:val="005B797A"/>
    <w:rsid w:val="005C1272"/>
    <w:rsid w:val="005C1375"/>
    <w:rsid w:val="005C16C2"/>
    <w:rsid w:val="005C1A3B"/>
    <w:rsid w:val="005C1D13"/>
    <w:rsid w:val="005C1F09"/>
    <w:rsid w:val="005C2318"/>
    <w:rsid w:val="005C34FE"/>
    <w:rsid w:val="005C3DF8"/>
    <w:rsid w:val="005C43B6"/>
    <w:rsid w:val="005C4F14"/>
    <w:rsid w:val="005C528D"/>
    <w:rsid w:val="005C74AF"/>
    <w:rsid w:val="005C773B"/>
    <w:rsid w:val="005D0C82"/>
    <w:rsid w:val="005D1005"/>
    <w:rsid w:val="005D1E38"/>
    <w:rsid w:val="005D280D"/>
    <w:rsid w:val="005D303C"/>
    <w:rsid w:val="005D657C"/>
    <w:rsid w:val="005D7CE9"/>
    <w:rsid w:val="005E0AA6"/>
    <w:rsid w:val="005E0B02"/>
    <w:rsid w:val="005E1BE4"/>
    <w:rsid w:val="005E261A"/>
    <w:rsid w:val="005E2906"/>
    <w:rsid w:val="005E4899"/>
    <w:rsid w:val="005E5278"/>
    <w:rsid w:val="005E5F6C"/>
    <w:rsid w:val="005E6CA6"/>
    <w:rsid w:val="005E7200"/>
    <w:rsid w:val="005E7B55"/>
    <w:rsid w:val="005F0378"/>
    <w:rsid w:val="005F049B"/>
    <w:rsid w:val="005F1095"/>
    <w:rsid w:val="005F1234"/>
    <w:rsid w:val="005F1826"/>
    <w:rsid w:val="005F2C8C"/>
    <w:rsid w:val="005F392F"/>
    <w:rsid w:val="005F3A39"/>
    <w:rsid w:val="005F43C5"/>
    <w:rsid w:val="005F443F"/>
    <w:rsid w:val="005F492A"/>
    <w:rsid w:val="005F4AD1"/>
    <w:rsid w:val="005F59B7"/>
    <w:rsid w:val="005F5D51"/>
    <w:rsid w:val="005F5D73"/>
    <w:rsid w:val="005F5E99"/>
    <w:rsid w:val="005F655D"/>
    <w:rsid w:val="005F7A15"/>
    <w:rsid w:val="0060091B"/>
    <w:rsid w:val="00600B85"/>
    <w:rsid w:val="00600D9E"/>
    <w:rsid w:val="00600FB6"/>
    <w:rsid w:val="006010EB"/>
    <w:rsid w:val="006011BD"/>
    <w:rsid w:val="006013DA"/>
    <w:rsid w:val="00601912"/>
    <w:rsid w:val="0060288C"/>
    <w:rsid w:val="006029AB"/>
    <w:rsid w:val="00602A27"/>
    <w:rsid w:val="00604163"/>
    <w:rsid w:val="00604771"/>
    <w:rsid w:val="0060508D"/>
    <w:rsid w:val="00605778"/>
    <w:rsid w:val="006058D3"/>
    <w:rsid w:val="00605ECE"/>
    <w:rsid w:val="00606DB3"/>
    <w:rsid w:val="00606F50"/>
    <w:rsid w:val="00607464"/>
    <w:rsid w:val="0060759C"/>
    <w:rsid w:val="006105E8"/>
    <w:rsid w:val="00610A16"/>
    <w:rsid w:val="00612A40"/>
    <w:rsid w:val="00613413"/>
    <w:rsid w:val="00613C54"/>
    <w:rsid w:val="00613C5F"/>
    <w:rsid w:val="00613CA0"/>
    <w:rsid w:val="00615D7D"/>
    <w:rsid w:val="00616F81"/>
    <w:rsid w:val="006171F2"/>
    <w:rsid w:val="006174F7"/>
    <w:rsid w:val="006200B0"/>
    <w:rsid w:val="00620749"/>
    <w:rsid w:val="0062086F"/>
    <w:rsid w:val="00620E16"/>
    <w:rsid w:val="00620FB7"/>
    <w:rsid w:val="00622131"/>
    <w:rsid w:val="00622373"/>
    <w:rsid w:val="006227AE"/>
    <w:rsid w:val="00622CEE"/>
    <w:rsid w:val="00622D9D"/>
    <w:rsid w:val="00623116"/>
    <w:rsid w:val="006237D2"/>
    <w:rsid w:val="00623CED"/>
    <w:rsid w:val="00623D3F"/>
    <w:rsid w:val="006251D2"/>
    <w:rsid w:val="00625410"/>
    <w:rsid w:val="0062595E"/>
    <w:rsid w:val="00625A43"/>
    <w:rsid w:val="00625B20"/>
    <w:rsid w:val="0062624D"/>
    <w:rsid w:val="00626B66"/>
    <w:rsid w:val="00631CB5"/>
    <w:rsid w:val="00631D6F"/>
    <w:rsid w:val="0063360B"/>
    <w:rsid w:val="00633E30"/>
    <w:rsid w:val="0063467E"/>
    <w:rsid w:val="006351C8"/>
    <w:rsid w:val="00635233"/>
    <w:rsid w:val="00635C15"/>
    <w:rsid w:val="0063671D"/>
    <w:rsid w:val="00637A3B"/>
    <w:rsid w:val="00637AEA"/>
    <w:rsid w:val="0064035B"/>
    <w:rsid w:val="0064101D"/>
    <w:rsid w:val="00641A09"/>
    <w:rsid w:val="00641E35"/>
    <w:rsid w:val="00642172"/>
    <w:rsid w:val="0064220F"/>
    <w:rsid w:val="006422EC"/>
    <w:rsid w:val="006436F7"/>
    <w:rsid w:val="00643A18"/>
    <w:rsid w:val="00643C0D"/>
    <w:rsid w:val="006446E7"/>
    <w:rsid w:val="00644EA7"/>
    <w:rsid w:val="0064526E"/>
    <w:rsid w:val="006456C2"/>
    <w:rsid w:val="00645991"/>
    <w:rsid w:val="00646C86"/>
    <w:rsid w:val="006476FF"/>
    <w:rsid w:val="0064780A"/>
    <w:rsid w:val="00647B10"/>
    <w:rsid w:val="00647BF9"/>
    <w:rsid w:val="0065036A"/>
    <w:rsid w:val="00652109"/>
    <w:rsid w:val="00652CD9"/>
    <w:rsid w:val="00652F6C"/>
    <w:rsid w:val="0065300E"/>
    <w:rsid w:val="00653556"/>
    <w:rsid w:val="00653662"/>
    <w:rsid w:val="006548B2"/>
    <w:rsid w:val="00654B69"/>
    <w:rsid w:val="00655311"/>
    <w:rsid w:val="00657007"/>
    <w:rsid w:val="00657BA6"/>
    <w:rsid w:val="00660124"/>
    <w:rsid w:val="00660344"/>
    <w:rsid w:val="00660E9E"/>
    <w:rsid w:val="00661159"/>
    <w:rsid w:val="006621DA"/>
    <w:rsid w:val="006628E7"/>
    <w:rsid w:val="006629FE"/>
    <w:rsid w:val="0066351F"/>
    <w:rsid w:val="0066467F"/>
    <w:rsid w:val="006646A9"/>
    <w:rsid w:val="00664BD7"/>
    <w:rsid w:val="00665198"/>
    <w:rsid w:val="00665A17"/>
    <w:rsid w:val="00666552"/>
    <w:rsid w:val="00666874"/>
    <w:rsid w:val="00666C8F"/>
    <w:rsid w:val="00666DE9"/>
    <w:rsid w:val="006676EC"/>
    <w:rsid w:val="0066796C"/>
    <w:rsid w:val="00667ACA"/>
    <w:rsid w:val="00670017"/>
    <w:rsid w:val="006701CC"/>
    <w:rsid w:val="00670210"/>
    <w:rsid w:val="00670B02"/>
    <w:rsid w:val="00670CF8"/>
    <w:rsid w:val="0067237F"/>
    <w:rsid w:val="00672EA8"/>
    <w:rsid w:val="0067388E"/>
    <w:rsid w:val="00675552"/>
    <w:rsid w:val="0067611E"/>
    <w:rsid w:val="006763CD"/>
    <w:rsid w:val="00676E9F"/>
    <w:rsid w:val="00677208"/>
    <w:rsid w:val="0067752C"/>
    <w:rsid w:val="00677B45"/>
    <w:rsid w:val="0068028B"/>
    <w:rsid w:val="006805F5"/>
    <w:rsid w:val="00681D2B"/>
    <w:rsid w:val="00684AEB"/>
    <w:rsid w:val="0068534F"/>
    <w:rsid w:val="006854E9"/>
    <w:rsid w:val="006855A7"/>
    <w:rsid w:val="0068621E"/>
    <w:rsid w:val="00686AFD"/>
    <w:rsid w:val="00686C9A"/>
    <w:rsid w:val="006876D7"/>
    <w:rsid w:val="00687C59"/>
    <w:rsid w:val="00687E2D"/>
    <w:rsid w:val="00690042"/>
    <w:rsid w:val="00690163"/>
    <w:rsid w:val="00690777"/>
    <w:rsid w:val="00691103"/>
    <w:rsid w:val="006914AA"/>
    <w:rsid w:val="00691D83"/>
    <w:rsid w:val="00691F72"/>
    <w:rsid w:val="00692207"/>
    <w:rsid w:val="00692294"/>
    <w:rsid w:val="006931B0"/>
    <w:rsid w:val="00693E90"/>
    <w:rsid w:val="006944C9"/>
    <w:rsid w:val="00694696"/>
    <w:rsid w:val="00694FDC"/>
    <w:rsid w:val="006953BB"/>
    <w:rsid w:val="00696179"/>
    <w:rsid w:val="00696AFD"/>
    <w:rsid w:val="00697BC3"/>
    <w:rsid w:val="006A0EBD"/>
    <w:rsid w:val="006A2069"/>
    <w:rsid w:val="006A29E3"/>
    <w:rsid w:val="006A2FBF"/>
    <w:rsid w:val="006A3B53"/>
    <w:rsid w:val="006A3EFE"/>
    <w:rsid w:val="006A4994"/>
    <w:rsid w:val="006A4B3B"/>
    <w:rsid w:val="006A4D25"/>
    <w:rsid w:val="006A519D"/>
    <w:rsid w:val="006A5482"/>
    <w:rsid w:val="006A5BAB"/>
    <w:rsid w:val="006A5D1F"/>
    <w:rsid w:val="006A5F48"/>
    <w:rsid w:val="006A5FD9"/>
    <w:rsid w:val="006A6C17"/>
    <w:rsid w:val="006A7092"/>
    <w:rsid w:val="006A7719"/>
    <w:rsid w:val="006A783B"/>
    <w:rsid w:val="006A7A5A"/>
    <w:rsid w:val="006B0044"/>
    <w:rsid w:val="006B0098"/>
    <w:rsid w:val="006B057E"/>
    <w:rsid w:val="006B0653"/>
    <w:rsid w:val="006B0B80"/>
    <w:rsid w:val="006B2915"/>
    <w:rsid w:val="006B391A"/>
    <w:rsid w:val="006B3CD1"/>
    <w:rsid w:val="006B3F5C"/>
    <w:rsid w:val="006B4D76"/>
    <w:rsid w:val="006B4E75"/>
    <w:rsid w:val="006B58A5"/>
    <w:rsid w:val="006B58E1"/>
    <w:rsid w:val="006B6E08"/>
    <w:rsid w:val="006B7191"/>
    <w:rsid w:val="006C0AD8"/>
    <w:rsid w:val="006C0EC9"/>
    <w:rsid w:val="006C11D8"/>
    <w:rsid w:val="006C16F9"/>
    <w:rsid w:val="006C1955"/>
    <w:rsid w:val="006C1C91"/>
    <w:rsid w:val="006C1D16"/>
    <w:rsid w:val="006C25F3"/>
    <w:rsid w:val="006C2776"/>
    <w:rsid w:val="006C575C"/>
    <w:rsid w:val="006C57A8"/>
    <w:rsid w:val="006C583A"/>
    <w:rsid w:val="006C58D7"/>
    <w:rsid w:val="006C672E"/>
    <w:rsid w:val="006C785A"/>
    <w:rsid w:val="006D0351"/>
    <w:rsid w:val="006D0513"/>
    <w:rsid w:val="006D05FF"/>
    <w:rsid w:val="006D0B43"/>
    <w:rsid w:val="006D0C56"/>
    <w:rsid w:val="006D1515"/>
    <w:rsid w:val="006D1E7D"/>
    <w:rsid w:val="006D2231"/>
    <w:rsid w:val="006D2BF3"/>
    <w:rsid w:val="006D2E2D"/>
    <w:rsid w:val="006D35D4"/>
    <w:rsid w:val="006D3B5A"/>
    <w:rsid w:val="006D3EF0"/>
    <w:rsid w:val="006D5651"/>
    <w:rsid w:val="006D59F8"/>
    <w:rsid w:val="006D5BD3"/>
    <w:rsid w:val="006D6BFB"/>
    <w:rsid w:val="006D6E55"/>
    <w:rsid w:val="006D758A"/>
    <w:rsid w:val="006D7948"/>
    <w:rsid w:val="006E03AB"/>
    <w:rsid w:val="006E0EE1"/>
    <w:rsid w:val="006E1320"/>
    <w:rsid w:val="006E1598"/>
    <w:rsid w:val="006E23D2"/>
    <w:rsid w:val="006E2513"/>
    <w:rsid w:val="006E338D"/>
    <w:rsid w:val="006E370B"/>
    <w:rsid w:val="006E47BD"/>
    <w:rsid w:val="006E56B7"/>
    <w:rsid w:val="006E5DA4"/>
    <w:rsid w:val="006E64F4"/>
    <w:rsid w:val="006E6944"/>
    <w:rsid w:val="006E6C3D"/>
    <w:rsid w:val="006E7188"/>
    <w:rsid w:val="006F1172"/>
    <w:rsid w:val="006F1189"/>
    <w:rsid w:val="006F13A8"/>
    <w:rsid w:val="006F1E24"/>
    <w:rsid w:val="006F2BD1"/>
    <w:rsid w:val="006F2E55"/>
    <w:rsid w:val="006F3EEC"/>
    <w:rsid w:val="006F5019"/>
    <w:rsid w:val="006F520F"/>
    <w:rsid w:val="006F5D04"/>
    <w:rsid w:val="006F5E44"/>
    <w:rsid w:val="006F7197"/>
    <w:rsid w:val="006F7DCB"/>
    <w:rsid w:val="007005DC"/>
    <w:rsid w:val="00700617"/>
    <w:rsid w:val="00700A42"/>
    <w:rsid w:val="007014C6"/>
    <w:rsid w:val="007025BE"/>
    <w:rsid w:val="0070342D"/>
    <w:rsid w:val="0070438B"/>
    <w:rsid w:val="00704421"/>
    <w:rsid w:val="007045EB"/>
    <w:rsid w:val="00706BAD"/>
    <w:rsid w:val="0070745F"/>
    <w:rsid w:val="00707709"/>
    <w:rsid w:val="007114C4"/>
    <w:rsid w:val="007118B4"/>
    <w:rsid w:val="00713219"/>
    <w:rsid w:val="0071331E"/>
    <w:rsid w:val="0071351A"/>
    <w:rsid w:val="007145E0"/>
    <w:rsid w:val="00714A08"/>
    <w:rsid w:val="00714A56"/>
    <w:rsid w:val="00714C17"/>
    <w:rsid w:val="00715081"/>
    <w:rsid w:val="0071580E"/>
    <w:rsid w:val="00715A1A"/>
    <w:rsid w:val="00716A29"/>
    <w:rsid w:val="00716DC4"/>
    <w:rsid w:val="007179EE"/>
    <w:rsid w:val="007206FD"/>
    <w:rsid w:val="0072103B"/>
    <w:rsid w:val="00721357"/>
    <w:rsid w:val="007218EE"/>
    <w:rsid w:val="00721A51"/>
    <w:rsid w:val="007220B5"/>
    <w:rsid w:val="007230FB"/>
    <w:rsid w:val="007232E9"/>
    <w:rsid w:val="0072340C"/>
    <w:rsid w:val="007242B8"/>
    <w:rsid w:val="0072553B"/>
    <w:rsid w:val="007263E3"/>
    <w:rsid w:val="00726544"/>
    <w:rsid w:val="00726E86"/>
    <w:rsid w:val="00726F7E"/>
    <w:rsid w:val="00727078"/>
    <w:rsid w:val="0073020A"/>
    <w:rsid w:val="00732282"/>
    <w:rsid w:val="007324ED"/>
    <w:rsid w:val="00732AA3"/>
    <w:rsid w:val="00732C5A"/>
    <w:rsid w:val="00732F6A"/>
    <w:rsid w:val="0073324E"/>
    <w:rsid w:val="0073477F"/>
    <w:rsid w:val="007358CE"/>
    <w:rsid w:val="007368D4"/>
    <w:rsid w:val="007368E2"/>
    <w:rsid w:val="007369AA"/>
    <w:rsid w:val="0073762A"/>
    <w:rsid w:val="007378C6"/>
    <w:rsid w:val="007378C8"/>
    <w:rsid w:val="00737DD3"/>
    <w:rsid w:val="00741A4D"/>
    <w:rsid w:val="00741C4F"/>
    <w:rsid w:val="007425E5"/>
    <w:rsid w:val="007429A2"/>
    <w:rsid w:val="00742B5D"/>
    <w:rsid w:val="0074335B"/>
    <w:rsid w:val="00743407"/>
    <w:rsid w:val="00743F25"/>
    <w:rsid w:val="00745063"/>
    <w:rsid w:val="007457A9"/>
    <w:rsid w:val="00745DEE"/>
    <w:rsid w:val="0074768D"/>
    <w:rsid w:val="007477D3"/>
    <w:rsid w:val="0074787B"/>
    <w:rsid w:val="00747D17"/>
    <w:rsid w:val="00747E2F"/>
    <w:rsid w:val="00751C35"/>
    <w:rsid w:val="00752339"/>
    <w:rsid w:val="0075274C"/>
    <w:rsid w:val="00753382"/>
    <w:rsid w:val="0075353F"/>
    <w:rsid w:val="00754817"/>
    <w:rsid w:val="007558A7"/>
    <w:rsid w:val="00755F01"/>
    <w:rsid w:val="00756025"/>
    <w:rsid w:val="007564C1"/>
    <w:rsid w:val="0075696F"/>
    <w:rsid w:val="00756A71"/>
    <w:rsid w:val="00756B84"/>
    <w:rsid w:val="00756DD1"/>
    <w:rsid w:val="0075707B"/>
    <w:rsid w:val="007572CB"/>
    <w:rsid w:val="00761423"/>
    <w:rsid w:val="00761F98"/>
    <w:rsid w:val="0076222F"/>
    <w:rsid w:val="00762671"/>
    <w:rsid w:val="007627E1"/>
    <w:rsid w:val="00762CBB"/>
    <w:rsid w:val="00763967"/>
    <w:rsid w:val="00763998"/>
    <w:rsid w:val="00764804"/>
    <w:rsid w:val="00765853"/>
    <w:rsid w:val="00765A05"/>
    <w:rsid w:val="007668B9"/>
    <w:rsid w:val="00766B4F"/>
    <w:rsid w:val="00766BAB"/>
    <w:rsid w:val="0076711E"/>
    <w:rsid w:val="0076781A"/>
    <w:rsid w:val="00767C72"/>
    <w:rsid w:val="007704FE"/>
    <w:rsid w:val="00771A2C"/>
    <w:rsid w:val="00771CC4"/>
    <w:rsid w:val="00771DD3"/>
    <w:rsid w:val="00771DEF"/>
    <w:rsid w:val="00772020"/>
    <w:rsid w:val="00772E2D"/>
    <w:rsid w:val="00772FCA"/>
    <w:rsid w:val="007730DE"/>
    <w:rsid w:val="007737DC"/>
    <w:rsid w:val="00773B85"/>
    <w:rsid w:val="007746C5"/>
    <w:rsid w:val="00774888"/>
    <w:rsid w:val="00774A51"/>
    <w:rsid w:val="00775005"/>
    <w:rsid w:val="0077627A"/>
    <w:rsid w:val="0077683D"/>
    <w:rsid w:val="00777137"/>
    <w:rsid w:val="00780368"/>
    <w:rsid w:val="0078095C"/>
    <w:rsid w:val="00780C87"/>
    <w:rsid w:val="00780D84"/>
    <w:rsid w:val="0078165F"/>
    <w:rsid w:val="0078167A"/>
    <w:rsid w:val="0078261F"/>
    <w:rsid w:val="0078331B"/>
    <w:rsid w:val="007840FF"/>
    <w:rsid w:val="00784D7D"/>
    <w:rsid w:val="00785424"/>
    <w:rsid w:val="00785FAC"/>
    <w:rsid w:val="0078671A"/>
    <w:rsid w:val="00791CAD"/>
    <w:rsid w:val="00792FB5"/>
    <w:rsid w:val="007933D5"/>
    <w:rsid w:val="00793972"/>
    <w:rsid w:val="007939BF"/>
    <w:rsid w:val="00793BBB"/>
    <w:rsid w:val="00794298"/>
    <w:rsid w:val="0079495F"/>
    <w:rsid w:val="00795F92"/>
    <w:rsid w:val="007967CD"/>
    <w:rsid w:val="0079697A"/>
    <w:rsid w:val="00796C6D"/>
    <w:rsid w:val="00796DAF"/>
    <w:rsid w:val="00796F8E"/>
    <w:rsid w:val="007A0501"/>
    <w:rsid w:val="007A0C61"/>
    <w:rsid w:val="007A0C6D"/>
    <w:rsid w:val="007A0EB6"/>
    <w:rsid w:val="007A16C9"/>
    <w:rsid w:val="007A17E1"/>
    <w:rsid w:val="007A1AB2"/>
    <w:rsid w:val="007A2177"/>
    <w:rsid w:val="007A23D4"/>
    <w:rsid w:val="007A2847"/>
    <w:rsid w:val="007A3683"/>
    <w:rsid w:val="007A46AE"/>
    <w:rsid w:val="007A46F3"/>
    <w:rsid w:val="007A59EE"/>
    <w:rsid w:val="007A5D12"/>
    <w:rsid w:val="007A5D44"/>
    <w:rsid w:val="007A6515"/>
    <w:rsid w:val="007A6D7C"/>
    <w:rsid w:val="007A7567"/>
    <w:rsid w:val="007A7CF6"/>
    <w:rsid w:val="007A7FBD"/>
    <w:rsid w:val="007B03E9"/>
    <w:rsid w:val="007B0486"/>
    <w:rsid w:val="007B075C"/>
    <w:rsid w:val="007B1C3E"/>
    <w:rsid w:val="007B1E3A"/>
    <w:rsid w:val="007B206D"/>
    <w:rsid w:val="007B42B3"/>
    <w:rsid w:val="007B4633"/>
    <w:rsid w:val="007B64CB"/>
    <w:rsid w:val="007B7238"/>
    <w:rsid w:val="007B7B60"/>
    <w:rsid w:val="007C0EE3"/>
    <w:rsid w:val="007C0F84"/>
    <w:rsid w:val="007C0FEA"/>
    <w:rsid w:val="007C340A"/>
    <w:rsid w:val="007C4269"/>
    <w:rsid w:val="007C4AFE"/>
    <w:rsid w:val="007C4CA7"/>
    <w:rsid w:val="007C667C"/>
    <w:rsid w:val="007D0599"/>
    <w:rsid w:val="007D07E7"/>
    <w:rsid w:val="007D0839"/>
    <w:rsid w:val="007D0FC6"/>
    <w:rsid w:val="007D106D"/>
    <w:rsid w:val="007D32F5"/>
    <w:rsid w:val="007D3A39"/>
    <w:rsid w:val="007D3CF5"/>
    <w:rsid w:val="007D3D63"/>
    <w:rsid w:val="007D40BE"/>
    <w:rsid w:val="007D4C10"/>
    <w:rsid w:val="007D4CAE"/>
    <w:rsid w:val="007D68E9"/>
    <w:rsid w:val="007D6BBC"/>
    <w:rsid w:val="007D6E2E"/>
    <w:rsid w:val="007D70FF"/>
    <w:rsid w:val="007D72EF"/>
    <w:rsid w:val="007E05A6"/>
    <w:rsid w:val="007E1709"/>
    <w:rsid w:val="007E1AE5"/>
    <w:rsid w:val="007E2BFE"/>
    <w:rsid w:val="007E2CF8"/>
    <w:rsid w:val="007E3486"/>
    <w:rsid w:val="007E40C9"/>
    <w:rsid w:val="007E4691"/>
    <w:rsid w:val="007E4C5A"/>
    <w:rsid w:val="007E4DB3"/>
    <w:rsid w:val="007E5177"/>
    <w:rsid w:val="007E5CC6"/>
    <w:rsid w:val="007E5E79"/>
    <w:rsid w:val="007E5F4E"/>
    <w:rsid w:val="007E6B96"/>
    <w:rsid w:val="007F1C6A"/>
    <w:rsid w:val="007F1E9A"/>
    <w:rsid w:val="007F1EB6"/>
    <w:rsid w:val="007F241A"/>
    <w:rsid w:val="007F298B"/>
    <w:rsid w:val="007F29A6"/>
    <w:rsid w:val="007F3042"/>
    <w:rsid w:val="007F31B4"/>
    <w:rsid w:val="007F3C1D"/>
    <w:rsid w:val="007F3F54"/>
    <w:rsid w:val="007F44DD"/>
    <w:rsid w:val="007F46D9"/>
    <w:rsid w:val="007F4A22"/>
    <w:rsid w:val="007F4CCF"/>
    <w:rsid w:val="007F5463"/>
    <w:rsid w:val="007F5E68"/>
    <w:rsid w:val="007F5EC2"/>
    <w:rsid w:val="007F6F1B"/>
    <w:rsid w:val="007F737B"/>
    <w:rsid w:val="00801210"/>
    <w:rsid w:val="008022FD"/>
    <w:rsid w:val="0080291D"/>
    <w:rsid w:val="008031D0"/>
    <w:rsid w:val="008039A0"/>
    <w:rsid w:val="008039BA"/>
    <w:rsid w:val="00804163"/>
    <w:rsid w:val="00804493"/>
    <w:rsid w:val="00805D61"/>
    <w:rsid w:val="008069FC"/>
    <w:rsid w:val="0080704A"/>
    <w:rsid w:val="0080707F"/>
    <w:rsid w:val="00810DFC"/>
    <w:rsid w:val="00811CE5"/>
    <w:rsid w:val="00811E69"/>
    <w:rsid w:val="00813A17"/>
    <w:rsid w:val="008140BC"/>
    <w:rsid w:val="008149A1"/>
    <w:rsid w:val="00814BE3"/>
    <w:rsid w:val="008156D1"/>
    <w:rsid w:val="00815A51"/>
    <w:rsid w:val="00815CDF"/>
    <w:rsid w:val="00815D50"/>
    <w:rsid w:val="0081654E"/>
    <w:rsid w:val="00816702"/>
    <w:rsid w:val="00817156"/>
    <w:rsid w:val="00817C81"/>
    <w:rsid w:val="00820DEA"/>
    <w:rsid w:val="0082110B"/>
    <w:rsid w:val="008211D9"/>
    <w:rsid w:val="00821B4B"/>
    <w:rsid w:val="00821B50"/>
    <w:rsid w:val="00821B79"/>
    <w:rsid w:val="00821E15"/>
    <w:rsid w:val="0082373A"/>
    <w:rsid w:val="00823A6D"/>
    <w:rsid w:val="00824F9E"/>
    <w:rsid w:val="008250F4"/>
    <w:rsid w:val="00825189"/>
    <w:rsid w:val="00825809"/>
    <w:rsid w:val="00825CA9"/>
    <w:rsid w:val="0082603C"/>
    <w:rsid w:val="00826A85"/>
    <w:rsid w:val="0082748B"/>
    <w:rsid w:val="00827914"/>
    <w:rsid w:val="008300D2"/>
    <w:rsid w:val="00830AB1"/>
    <w:rsid w:val="0083269D"/>
    <w:rsid w:val="00832739"/>
    <w:rsid w:val="00833789"/>
    <w:rsid w:val="00834381"/>
    <w:rsid w:val="00834540"/>
    <w:rsid w:val="00834613"/>
    <w:rsid w:val="00834C4E"/>
    <w:rsid w:val="00834FDF"/>
    <w:rsid w:val="00840294"/>
    <w:rsid w:val="00840324"/>
    <w:rsid w:val="008412A1"/>
    <w:rsid w:val="0084156D"/>
    <w:rsid w:val="00841653"/>
    <w:rsid w:val="00841A63"/>
    <w:rsid w:val="00841D3A"/>
    <w:rsid w:val="00841F1E"/>
    <w:rsid w:val="00842431"/>
    <w:rsid w:val="00842E0B"/>
    <w:rsid w:val="00843108"/>
    <w:rsid w:val="008433D3"/>
    <w:rsid w:val="00843DA1"/>
    <w:rsid w:val="00843DFC"/>
    <w:rsid w:val="00845104"/>
    <w:rsid w:val="00845832"/>
    <w:rsid w:val="0084616F"/>
    <w:rsid w:val="00846948"/>
    <w:rsid w:val="00846BFF"/>
    <w:rsid w:val="00847338"/>
    <w:rsid w:val="0084746D"/>
    <w:rsid w:val="00850508"/>
    <w:rsid w:val="0085119C"/>
    <w:rsid w:val="008517CD"/>
    <w:rsid w:val="008522F1"/>
    <w:rsid w:val="00852BCF"/>
    <w:rsid w:val="00853698"/>
    <w:rsid w:val="00854971"/>
    <w:rsid w:val="00856AC2"/>
    <w:rsid w:val="008570C0"/>
    <w:rsid w:val="0085767D"/>
    <w:rsid w:val="008605BB"/>
    <w:rsid w:val="008606A3"/>
    <w:rsid w:val="00860B5A"/>
    <w:rsid w:val="00860EE4"/>
    <w:rsid w:val="00861AD3"/>
    <w:rsid w:val="0086293A"/>
    <w:rsid w:val="00862AF3"/>
    <w:rsid w:val="00862C67"/>
    <w:rsid w:val="0086360A"/>
    <w:rsid w:val="0086398F"/>
    <w:rsid w:val="00863F53"/>
    <w:rsid w:val="00864309"/>
    <w:rsid w:val="008651AE"/>
    <w:rsid w:val="00865497"/>
    <w:rsid w:val="00865897"/>
    <w:rsid w:val="00865D05"/>
    <w:rsid w:val="00865F27"/>
    <w:rsid w:val="008663A0"/>
    <w:rsid w:val="00866756"/>
    <w:rsid w:val="00866B6D"/>
    <w:rsid w:val="00867673"/>
    <w:rsid w:val="0086786F"/>
    <w:rsid w:val="008706EC"/>
    <w:rsid w:val="00871FFF"/>
    <w:rsid w:val="0087200E"/>
    <w:rsid w:val="008727B0"/>
    <w:rsid w:val="00874B27"/>
    <w:rsid w:val="00874F38"/>
    <w:rsid w:val="00875F21"/>
    <w:rsid w:val="00876018"/>
    <w:rsid w:val="00876867"/>
    <w:rsid w:val="008769C2"/>
    <w:rsid w:val="008777EE"/>
    <w:rsid w:val="008778DE"/>
    <w:rsid w:val="00877A1C"/>
    <w:rsid w:val="00880460"/>
    <w:rsid w:val="008806DF"/>
    <w:rsid w:val="008811EB"/>
    <w:rsid w:val="00881F5A"/>
    <w:rsid w:val="00882B3E"/>
    <w:rsid w:val="0088395D"/>
    <w:rsid w:val="00883C10"/>
    <w:rsid w:val="00884157"/>
    <w:rsid w:val="00884A0E"/>
    <w:rsid w:val="00887B03"/>
    <w:rsid w:val="00887DB7"/>
    <w:rsid w:val="00890CD5"/>
    <w:rsid w:val="00892102"/>
    <w:rsid w:val="00892596"/>
    <w:rsid w:val="0089324D"/>
    <w:rsid w:val="00893F60"/>
    <w:rsid w:val="00893FCE"/>
    <w:rsid w:val="0089470D"/>
    <w:rsid w:val="0089499A"/>
    <w:rsid w:val="008952FF"/>
    <w:rsid w:val="0089562C"/>
    <w:rsid w:val="008957BD"/>
    <w:rsid w:val="0089595D"/>
    <w:rsid w:val="0089699F"/>
    <w:rsid w:val="00897C1B"/>
    <w:rsid w:val="00897E22"/>
    <w:rsid w:val="008A0488"/>
    <w:rsid w:val="008A0BEB"/>
    <w:rsid w:val="008A2527"/>
    <w:rsid w:val="008A28DC"/>
    <w:rsid w:val="008A2C9B"/>
    <w:rsid w:val="008A30FD"/>
    <w:rsid w:val="008A36C5"/>
    <w:rsid w:val="008A3AEF"/>
    <w:rsid w:val="008A543F"/>
    <w:rsid w:val="008A5F58"/>
    <w:rsid w:val="008A76D5"/>
    <w:rsid w:val="008B0009"/>
    <w:rsid w:val="008B02FB"/>
    <w:rsid w:val="008B0650"/>
    <w:rsid w:val="008B07C6"/>
    <w:rsid w:val="008B1170"/>
    <w:rsid w:val="008B18A4"/>
    <w:rsid w:val="008B1C3F"/>
    <w:rsid w:val="008B2E49"/>
    <w:rsid w:val="008B3113"/>
    <w:rsid w:val="008B3181"/>
    <w:rsid w:val="008B3E89"/>
    <w:rsid w:val="008B4643"/>
    <w:rsid w:val="008B4D77"/>
    <w:rsid w:val="008B610F"/>
    <w:rsid w:val="008B6C25"/>
    <w:rsid w:val="008B7253"/>
    <w:rsid w:val="008B7858"/>
    <w:rsid w:val="008B7C1F"/>
    <w:rsid w:val="008C022C"/>
    <w:rsid w:val="008C1992"/>
    <w:rsid w:val="008C220E"/>
    <w:rsid w:val="008C22D2"/>
    <w:rsid w:val="008C240D"/>
    <w:rsid w:val="008C292C"/>
    <w:rsid w:val="008C3642"/>
    <w:rsid w:val="008C365F"/>
    <w:rsid w:val="008C3929"/>
    <w:rsid w:val="008C3D33"/>
    <w:rsid w:val="008C41E6"/>
    <w:rsid w:val="008C56A5"/>
    <w:rsid w:val="008C5915"/>
    <w:rsid w:val="008C616B"/>
    <w:rsid w:val="008C6179"/>
    <w:rsid w:val="008C7AA8"/>
    <w:rsid w:val="008C7EE6"/>
    <w:rsid w:val="008D0958"/>
    <w:rsid w:val="008D0F83"/>
    <w:rsid w:val="008D10A5"/>
    <w:rsid w:val="008D22DE"/>
    <w:rsid w:val="008D4C8B"/>
    <w:rsid w:val="008D4C97"/>
    <w:rsid w:val="008D4EF8"/>
    <w:rsid w:val="008D58C9"/>
    <w:rsid w:val="008D615A"/>
    <w:rsid w:val="008D6636"/>
    <w:rsid w:val="008D74F8"/>
    <w:rsid w:val="008D7A8D"/>
    <w:rsid w:val="008E0BC2"/>
    <w:rsid w:val="008E1BB5"/>
    <w:rsid w:val="008E1C05"/>
    <w:rsid w:val="008E1F19"/>
    <w:rsid w:val="008E2291"/>
    <w:rsid w:val="008E2546"/>
    <w:rsid w:val="008E28C0"/>
    <w:rsid w:val="008E309C"/>
    <w:rsid w:val="008E3C81"/>
    <w:rsid w:val="008E5512"/>
    <w:rsid w:val="008E5639"/>
    <w:rsid w:val="008E5FB8"/>
    <w:rsid w:val="008E767A"/>
    <w:rsid w:val="008F033F"/>
    <w:rsid w:val="008F1A49"/>
    <w:rsid w:val="008F1E95"/>
    <w:rsid w:val="008F2F79"/>
    <w:rsid w:val="008F36D1"/>
    <w:rsid w:val="008F370F"/>
    <w:rsid w:val="008F4AD4"/>
    <w:rsid w:val="008F4E81"/>
    <w:rsid w:val="008F5CEF"/>
    <w:rsid w:val="008F5D39"/>
    <w:rsid w:val="008F5DA4"/>
    <w:rsid w:val="008F6749"/>
    <w:rsid w:val="009008BF"/>
    <w:rsid w:val="009009BD"/>
    <w:rsid w:val="00900C4A"/>
    <w:rsid w:val="00900D23"/>
    <w:rsid w:val="00901915"/>
    <w:rsid w:val="00901C91"/>
    <w:rsid w:val="00901D14"/>
    <w:rsid w:val="00902047"/>
    <w:rsid w:val="009024C3"/>
    <w:rsid w:val="00902F56"/>
    <w:rsid w:val="009038C2"/>
    <w:rsid w:val="00904883"/>
    <w:rsid w:val="0090565A"/>
    <w:rsid w:val="00906269"/>
    <w:rsid w:val="009074A0"/>
    <w:rsid w:val="00907CCA"/>
    <w:rsid w:val="00907F82"/>
    <w:rsid w:val="00910991"/>
    <w:rsid w:val="00910D4E"/>
    <w:rsid w:val="00910EA2"/>
    <w:rsid w:val="00911064"/>
    <w:rsid w:val="00911FB2"/>
    <w:rsid w:val="0091259A"/>
    <w:rsid w:val="00913A19"/>
    <w:rsid w:val="009149D8"/>
    <w:rsid w:val="00915124"/>
    <w:rsid w:val="009153DC"/>
    <w:rsid w:val="009155E5"/>
    <w:rsid w:val="0091569F"/>
    <w:rsid w:val="00915D2B"/>
    <w:rsid w:val="00915FE9"/>
    <w:rsid w:val="009161EF"/>
    <w:rsid w:val="00916311"/>
    <w:rsid w:val="00916465"/>
    <w:rsid w:val="009164B4"/>
    <w:rsid w:val="00916A9D"/>
    <w:rsid w:val="00916AFC"/>
    <w:rsid w:val="00917168"/>
    <w:rsid w:val="009176D5"/>
    <w:rsid w:val="00920610"/>
    <w:rsid w:val="00920BEB"/>
    <w:rsid w:val="009211A6"/>
    <w:rsid w:val="009220D4"/>
    <w:rsid w:val="009221C2"/>
    <w:rsid w:val="00923A62"/>
    <w:rsid w:val="00925227"/>
    <w:rsid w:val="009264E8"/>
    <w:rsid w:val="00926820"/>
    <w:rsid w:val="00926A3D"/>
    <w:rsid w:val="00926E53"/>
    <w:rsid w:val="00926FEB"/>
    <w:rsid w:val="00927CFE"/>
    <w:rsid w:val="00927D96"/>
    <w:rsid w:val="009304B1"/>
    <w:rsid w:val="009311FB"/>
    <w:rsid w:val="0093129F"/>
    <w:rsid w:val="0093227A"/>
    <w:rsid w:val="00932D6D"/>
    <w:rsid w:val="00933DBA"/>
    <w:rsid w:val="00935CCA"/>
    <w:rsid w:val="00936126"/>
    <w:rsid w:val="00937325"/>
    <w:rsid w:val="00937424"/>
    <w:rsid w:val="00941607"/>
    <w:rsid w:val="00941C22"/>
    <w:rsid w:val="00941D5E"/>
    <w:rsid w:val="00942A3A"/>
    <w:rsid w:val="00944436"/>
    <w:rsid w:val="00944A53"/>
    <w:rsid w:val="00944D74"/>
    <w:rsid w:val="00944DFF"/>
    <w:rsid w:val="00946377"/>
    <w:rsid w:val="009475A6"/>
    <w:rsid w:val="00947B27"/>
    <w:rsid w:val="00950240"/>
    <w:rsid w:val="009503D5"/>
    <w:rsid w:val="00951C1D"/>
    <w:rsid w:val="0095251D"/>
    <w:rsid w:val="0095253F"/>
    <w:rsid w:val="00952AFD"/>
    <w:rsid w:val="00953EC4"/>
    <w:rsid w:val="00954B4F"/>
    <w:rsid w:val="00954FF8"/>
    <w:rsid w:val="009560A6"/>
    <w:rsid w:val="0095640E"/>
    <w:rsid w:val="009573EE"/>
    <w:rsid w:val="00957AC4"/>
    <w:rsid w:val="009601EF"/>
    <w:rsid w:val="009602A9"/>
    <w:rsid w:val="00960463"/>
    <w:rsid w:val="00960D3B"/>
    <w:rsid w:val="00961CA4"/>
    <w:rsid w:val="0096325C"/>
    <w:rsid w:val="00964392"/>
    <w:rsid w:val="00964869"/>
    <w:rsid w:val="00964952"/>
    <w:rsid w:val="00966097"/>
    <w:rsid w:val="00966105"/>
    <w:rsid w:val="00966B4F"/>
    <w:rsid w:val="0096724B"/>
    <w:rsid w:val="009673F8"/>
    <w:rsid w:val="009675D6"/>
    <w:rsid w:val="00967CCC"/>
    <w:rsid w:val="009707E8"/>
    <w:rsid w:val="00973461"/>
    <w:rsid w:val="00973A76"/>
    <w:rsid w:val="00976443"/>
    <w:rsid w:val="0097739B"/>
    <w:rsid w:val="00977F3D"/>
    <w:rsid w:val="009802CF"/>
    <w:rsid w:val="00980B28"/>
    <w:rsid w:val="00980D54"/>
    <w:rsid w:val="0098121F"/>
    <w:rsid w:val="009814F3"/>
    <w:rsid w:val="00982624"/>
    <w:rsid w:val="00982BC2"/>
    <w:rsid w:val="009830BB"/>
    <w:rsid w:val="0098388D"/>
    <w:rsid w:val="009839DF"/>
    <w:rsid w:val="0098423D"/>
    <w:rsid w:val="00984B0D"/>
    <w:rsid w:val="0098506A"/>
    <w:rsid w:val="0098589F"/>
    <w:rsid w:val="009865A8"/>
    <w:rsid w:val="00986678"/>
    <w:rsid w:val="00986A6A"/>
    <w:rsid w:val="00986F59"/>
    <w:rsid w:val="00990E39"/>
    <w:rsid w:val="00992FC9"/>
    <w:rsid w:val="0099306B"/>
    <w:rsid w:val="00994713"/>
    <w:rsid w:val="00994774"/>
    <w:rsid w:val="009947F2"/>
    <w:rsid w:val="009949DE"/>
    <w:rsid w:val="009950A0"/>
    <w:rsid w:val="00995284"/>
    <w:rsid w:val="009962AD"/>
    <w:rsid w:val="009963CE"/>
    <w:rsid w:val="009964E9"/>
    <w:rsid w:val="00996CA3"/>
    <w:rsid w:val="009971E4"/>
    <w:rsid w:val="00997C47"/>
    <w:rsid w:val="009A1355"/>
    <w:rsid w:val="009A1C2D"/>
    <w:rsid w:val="009A1D65"/>
    <w:rsid w:val="009A200A"/>
    <w:rsid w:val="009A3155"/>
    <w:rsid w:val="009A3BF6"/>
    <w:rsid w:val="009A3FE8"/>
    <w:rsid w:val="009A4054"/>
    <w:rsid w:val="009A55EB"/>
    <w:rsid w:val="009A57FC"/>
    <w:rsid w:val="009A5EFE"/>
    <w:rsid w:val="009A5F57"/>
    <w:rsid w:val="009A6186"/>
    <w:rsid w:val="009A67B3"/>
    <w:rsid w:val="009A7DBF"/>
    <w:rsid w:val="009B0A3A"/>
    <w:rsid w:val="009B1F83"/>
    <w:rsid w:val="009B2F40"/>
    <w:rsid w:val="009B32E3"/>
    <w:rsid w:val="009B41A1"/>
    <w:rsid w:val="009B4383"/>
    <w:rsid w:val="009B55C0"/>
    <w:rsid w:val="009B5F16"/>
    <w:rsid w:val="009B5F64"/>
    <w:rsid w:val="009B60C3"/>
    <w:rsid w:val="009B63E7"/>
    <w:rsid w:val="009B695F"/>
    <w:rsid w:val="009B7964"/>
    <w:rsid w:val="009B7F43"/>
    <w:rsid w:val="009C0B3B"/>
    <w:rsid w:val="009C1393"/>
    <w:rsid w:val="009C202C"/>
    <w:rsid w:val="009C2B55"/>
    <w:rsid w:val="009C2F0B"/>
    <w:rsid w:val="009C36B5"/>
    <w:rsid w:val="009C534C"/>
    <w:rsid w:val="009C5F72"/>
    <w:rsid w:val="009C740C"/>
    <w:rsid w:val="009C749F"/>
    <w:rsid w:val="009D0383"/>
    <w:rsid w:val="009D05C7"/>
    <w:rsid w:val="009D0910"/>
    <w:rsid w:val="009D12EB"/>
    <w:rsid w:val="009D1505"/>
    <w:rsid w:val="009D1B39"/>
    <w:rsid w:val="009D3118"/>
    <w:rsid w:val="009D3D7E"/>
    <w:rsid w:val="009D5183"/>
    <w:rsid w:val="009D5EF9"/>
    <w:rsid w:val="009D7317"/>
    <w:rsid w:val="009D7BC1"/>
    <w:rsid w:val="009D7DE0"/>
    <w:rsid w:val="009E0CB3"/>
    <w:rsid w:val="009E0DCC"/>
    <w:rsid w:val="009E126C"/>
    <w:rsid w:val="009E206E"/>
    <w:rsid w:val="009E239D"/>
    <w:rsid w:val="009E3416"/>
    <w:rsid w:val="009E39FE"/>
    <w:rsid w:val="009E575A"/>
    <w:rsid w:val="009E6608"/>
    <w:rsid w:val="009E6D9D"/>
    <w:rsid w:val="009E746E"/>
    <w:rsid w:val="009E7D5D"/>
    <w:rsid w:val="009E7F9B"/>
    <w:rsid w:val="009F0496"/>
    <w:rsid w:val="009F0B14"/>
    <w:rsid w:val="009F10DC"/>
    <w:rsid w:val="009F12EA"/>
    <w:rsid w:val="009F17F0"/>
    <w:rsid w:val="009F2123"/>
    <w:rsid w:val="009F2695"/>
    <w:rsid w:val="009F39B1"/>
    <w:rsid w:val="009F651D"/>
    <w:rsid w:val="009F7834"/>
    <w:rsid w:val="009F7A45"/>
    <w:rsid w:val="00A014BD"/>
    <w:rsid w:val="00A02583"/>
    <w:rsid w:val="00A028A1"/>
    <w:rsid w:val="00A02CEA"/>
    <w:rsid w:val="00A03A48"/>
    <w:rsid w:val="00A0494B"/>
    <w:rsid w:val="00A04C1D"/>
    <w:rsid w:val="00A057CA"/>
    <w:rsid w:val="00A05BA7"/>
    <w:rsid w:val="00A05E56"/>
    <w:rsid w:val="00A060E0"/>
    <w:rsid w:val="00A06F6D"/>
    <w:rsid w:val="00A06F7E"/>
    <w:rsid w:val="00A1036F"/>
    <w:rsid w:val="00A103CA"/>
    <w:rsid w:val="00A10D36"/>
    <w:rsid w:val="00A11B33"/>
    <w:rsid w:val="00A11D44"/>
    <w:rsid w:val="00A136F4"/>
    <w:rsid w:val="00A13C9D"/>
    <w:rsid w:val="00A14279"/>
    <w:rsid w:val="00A144ED"/>
    <w:rsid w:val="00A14627"/>
    <w:rsid w:val="00A14748"/>
    <w:rsid w:val="00A147CA"/>
    <w:rsid w:val="00A164DA"/>
    <w:rsid w:val="00A175FE"/>
    <w:rsid w:val="00A2053F"/>
    <w:rsid w:val="00A21787"/>
    <w:rsid w:val="00A21B54"/>
    <w:rsid w:val="00A21BA0"/>
    <w:rsid w:val="00A224A2"/>
    <w:rsid w:val="00A225A0"/>
    <w:rsid w:val="00A2265B"/>
    <w:rsid w:val="00A22DEF"/>
    <w:rsid w:val="00A2392F"/>
    <w:rsid w:val="00A23C96"/>
    <w:rsid w:val="00A25BF6"/>
    <w:rsid w:val="00A26415"/>
    <w:rsid w:val="00A2695A"/>
    <w:rsid w:val="00A27DC3"/>
    <w:rsid w:val="00A30264"/>
    <w:rsid w:val="00A31319"/>
    <w:rsid w:val="00A33183"/>
    <w:rsid w:val="00A33335"/>
    <w:rsid w:val="00A33932"/>
    <w:rsid w:val="00A33AA0"/>
    <w:rsid w:val="00A345D6"/>
    <w:rsid w:val="00A3464F"/>
    <w:rsid w:val="00A34AF5"/>
    <w:rsid w:val="00A34B05"/>
    <w:rsid w:val="00A34C56"/>
    <w:rsid w:val="00A35548"/>
    <w:rsid w:val="00A35F7A"/>
    <w:rsid w:val="00A3620F"/>
    <w:rsid w:val="00A403A2"/>
    <w:rsid w:val="00A40804"/>
    <w:rsid w:val="00A409B4"/>
    <w:rsid w:val="00A410B6"/>
    <w:rsid w:val="00A4166C"/>
    <w:rsid w:val="00A41AA3"/>
    <w:rsid w:val="00A42E06"/>
    <w:rsid w:val="00A43422"/>
    <w:rsid w:val="00A43EAC"/>
    <w:rsid w:val="00A44D62"/>
    <w:rsid w:val="00A45D9C"/>
    <w:rsid w:val="00A46685"/>
    <w:rsid w:val="00A46AF1"/>
    <w:rsid w:val="00A4719A"/>
    <w:rsid w:val="00A472FA"/>
    <w:rsid w:val="00A4737F"/>
    <w:rsid w:val="00A4738B"/>
    <w:rsid w:val="00A47426"/>
    <w:rsid w:val="00A479CE"/>
    <w:rsid w:val="00A47C17"/>
    <w:rsid w:val="00A47D37"/>
    <w:rsid w:val="00A506F0"/>
    <w:rsid w:val="00A5171C"/>
    <w:rsid w:val="00A52833"/>
    <w:rsid w:val="00A528D3"/>
    <w:rsid w:val="00A52A40"/>
    <w:rsid w:val="00A52A7B"/>
    <w:rsid w:val="00A52BBB"/>
    <w:rsid w:val="00A542AC"/>
    <w:rsid w:val="00A54442"/>
    <w:rsid w:val="00A555A9"/>
    <w:rsid w:val="00A56D3B"/>
    <w:rsid w:val="00A573CF"/>
    <w:rsid w:val="00A579F3"/>
    <w:rsid w:val="00A57E08"/>
    <w:rsid w:val="00A614CF"/>
    <w:rsid w:val="00A619E5"/>
    <w:rsid w:val="00A62920"/>
    <w:rsid w:val="00A62C02"/>
    <w:rsid w:val="00A63F2E"/>
    <w:rsid w:val="00A641FB"/>
    <w:rsid w:val="00A64DDE"/>
    <w:rsid w:val="00A65507"/>
    <w:rsid w:val="00A66098"/>
    <w:rsid w:val="00A66349"/>
    <w:rsid w:val="00A667C2"/>
    <w:rsid w:val="00A67269"/>
    <w:rsid w:val="00A703B1"/>
    <w:rsid w:val="00A71C9E"/>
    <w:rsid w:val="00A734A1"/>
    <w:rsid w:val="00A7415F"/>
    <w:rsid w:val="00A74797"/>
    <w:rsid w:val="00A74C8E"/>
    <w:rsid w:val="00A75F0B"/>
    <w:rsid w:val="00A75FF2"/>
    <w:rsid w:val="00A7746B"/>
    <w:rsid w:val="00A80317"/>
    <w:rsid w:val="00A80B93"/>
    <w:rsid w:val="00A80F64"/>
    <w:rsid w:val="00A81698"/>
    <w:rsid w:val="00A817B7"/>
    <w:rsid w:val="00A83145"/>
    <w:rsid w:val="00A83A1E"/>
    <w:rsid w:val="00A83A77"/>
    <w:rsid w:val="00A83C7B"/>
    <w:rsid w:val="00A83CE3"/>
    <w:rsid w:val="00A83FE4"/>
    <w:rsid w:val="00A841EF"/>
    <w:rsid w:val="00A84BFA"/>
    <w:rsid w:val="00A855C9"/>
    <w:rsid w:val="00A867CE"/>
    <w:rsid w:val="00A868C2"/>
    <w:rsid w:val="00A86DB3"/>
    <w:rsid w:val="00A87155"/>
    <w:rsid w:val="00A875B9"/>
    <w:rsid w:val="00A87AA2"/>
    <w:rsid w:val="00A90273"/>
    <w:rsid w:val="00A91BDB"/>
    <w:rsid w:val="00A92301"/>
    <w:rsid w:val="00A92342"/>
    <w:rsid w:val="00A928DB"/>
    <w:rsid w:val="00A92B9C"/>
    <w:rsid w:val="00A92EC7"/>
    <w:rsid w:val="00A9304F"/>
    <w:rsid w:val="00A937CB"/>
    <w:rsid w:val="00A93B27"/>
    <w:rsid w:val="00A94EB7"/>
    <w:rsid w:val="00A9608D"/>
    <w:rsid w:val="00A96355"/>
    <w:rsid w:val="00A9658A"/>
    <w:rsid w:val="00A96ADF"/>
    <w:rsid w:val="00A96CA1"/>
    <w:rsid w:val="00A97686"/>
    <w:rsid w:val="00A97937"/>
    <w:rsid w:val="00AA0245"/>
    <w:rsid w:val="00AA02BA"/>
    <w:rsid w:val="00AA1899"/>
    <w:rsid w:val="00AA29D4"/>
    <w:rsid w:val="00AA2D08"/>
    <w:rsid w:val="00AA2DE1"/>
    <w:rsid w:val="00AA3183"/>
    <w:rsid w:val="00AA32C8"/>
    <w:rsid w:val="00AA37BB"/>
    <w:rsid w:val="00AA3CEC"/>
    <w:rsid w:val="00AA4202"/>
    <w:rsid w:val="00AA4314"/>
    <w:rsid w:val="00AA5167"/>
    <w:rsid w:val="00AA51CD"/>
    <w:rsid w:val="00AA5209"/>
    <w:rsid w:val="00AA5355"/>
    <w:rsid w:val="00AA6D96"/>
    <w:rsid w:val="00AA6F90"/>
    <w:rsid w:val="00AA7233"/>
    <w:rsid w:val="00AA7476"/>
    <w:rsid w:val="00AA75E5"/>
    <w:rsid w:val="00AA77F6"/>
    <w:rsid w:val="00AA7AE9"/>
    <w:rsid w:val="00AB0324"/>
    <w:rsid w:val="00AB035B"/>
    <w:rsid w:val="00AB058F"/>
    <w:rsid w:val="00AB1812"/>
    <w:rsid w:val="00AB183A"/>
    <w:rsid w:val="00AB1D64"/>
    <w:rsid w:val="00AB3563"/>
    <w:rsid w:val="00AB3DC2"/>
    <w:rsid w:val="00AB3F6B"/>
    <w:rsid w:val="00AB530B"/>
    <w:rsid w:val="00AB60D1"/>
    <w:rsid w:val="00AB74AC"/>
    <w:rsid w:val="00AC0BCF"/>
    <w:rsid w:val="00AC20B4"/>
    <w:rsid w:val="00AC446B"/>
    <w:rsid w:val="00AC4B2A"/>
    <w:rsid w:val="00AC5F65"/>
    <w:rsid w:val="00AC6952"/>
    <w:rsid w:val="00AC75B6"/>
    <w:rsid w:val="00AD012B"/>
    <w:rsid w:val="00AD0627"/>
    <w:rsid w:val="00AD1392"/>
    <w:rsid w:val="00AD195C"/>
    <w:rsid w:val="00AD1E74"/>
    <w:rsid w:val="00AD227C"/>
    <w:rsid w:val="00AD31C8"/>
    <w:rsid w:val="00AD34CF"/>
    <w:rsid w:val="00AD47A8"/>
    <w:rsid w:val="00AD5898"/>
    <w:rsid w:val="00AD5B29"/>
    <w:rsid w:val="00AD5FBD"/>
    <w:rsid w:val="00AD6472"/>
    <w:rsid w:val="00AD6D50"/>
    <w:rsid w:val="00AD7338"/>
    <w:rsid w:val="00AD77EB"/>
    <w:rsid w:val="00AE0238"/>
    <w:rsid w:val="00AE0D4C"/>
    <w:rsid w:val="00AE2485"/>
    <w:rsid w:val="00AE2BA1"/>
    <w:rsid w:val="00AE4805"/>
    <w:rsid w:val="00AE4912"/>
    <w:rsid w:val="00AE53DA"/>
    <w:rsid w:val="00AE5D74"/>
    <w:rsid w:val="00AE61C8"/>
    <w:rsid w:val="00AE6BE2"/>
    <w:rsid w:val="00AE71DA"/>
    <w:rsid w:val="00AE7A75"/>
    <w:rsid w:val="00AF1542"/>
    <w:rsid w:val="00AF2250"/>
    <w:rsid w:val="00AF29C2"/>
    <w:rsid w:val="00AF30D0"/>
    <w:rsid w:val="00AF3CEC"/>
    <w:rsid w:val="00AF4EA2"/>
    <w:rsid w:val="00AF590D"/>
    <w:rsid w:val="00AF6236"/>
    <w:rsid w:val="00AF681F"/>
    <w:rsid w:val="00AF6CBC"/>
    <w:rsid w:val="00AF6D65"/>
    <w:rsid w:val="00AF7E98"/>
    <w:rsid w:val="00B0114A"/>
    <w:rsid w:val="00B01701"/>
    <w:rsid w:val="00B01E7E"/>
    <w:rsid w:val="00B0253A"/>
    <w:rsid w:val="00B02E5B"/>
    <w:rsid w:val="00B03492"/>
    <w:rsid w:val="00B03ADA"/>
    <w:rsid w:val="00B05441"/>
    <w:rsid w:val="00B05764"/>
    <w:rsid w:val="00B0630F"/>
    <w:rsid w:val="00B06793"/>
    <w:rsid w:val="00B06951"/>
    <w:rsid w:val="00B06AD3"/>
    <w:rsid w:val="00B06FE2"/>
    <w:rsid w:val="00B07DC6"/>
    <w:rsid w:val="00B10381"/>
    <w:rsid w:val="00B10B67"/>
    <w:rsid w:val="00B10D57"/>
    <w:rsid w:val="00B11089"/>
    <w:rsid w:val="00B11225"/>
    <w:rsid w:val="00B11946"/>
    <w:rsid w:val="00B11F35"/>
    <w:rsid w:val="00B121AD"/>
    <w:rsid w:val="00B1246D"/>
    <w:rsid w:val="00B126E9"/>
    <w:rsid w:val="00B12865"/>
    <w:rsid w:val="00B12BCA"/>
    <w:rsid w:val="00B12D30"/>
    <w:rsid w:val="00B13507"/>
    <w:rsid w:val="00B139D7"/>
    <w:rsid w:val="00B13AE9"/>
    <w:rsid w:val="00B14089"/>
    <w:rsid w:val="00B14310"/>
    <w:rsid w:val="00B14EA7"/>
    <w:rsid w:val="00B154AD"/>
    <w:rsid w:val="00B1579A"/>
    <w:rsid w:val="00B15873"/>
    <w:rsid w:val="00B163CB"/>
    <w:rsid w:val="00B16609"/>
    <w:rsid w:val="00B166E7"/>
    <w:rsid w:val="00B17144"/>
    <w:rsid w:val="00B171B7"/>
    <w:rsid w:val="00B17D83"/>
    <w:rsid w:val="00B2002E"/>
    <w:rsid w:val="00B21BDB"/>
    <w:rsid w:val="00B22582"/>
    <w:rsid w:val="00B229C6"/>
    <w:rsid w:val="00B23389"/>
    <w:rsid w:val="00B2494E"/>
    <w:rsid w:val="00B24BE9"/>
    <w:rsid w:val="00B24FBB"/>
    <w:rsid w:val="00B25991"/>
    <w:rsid w:val="00B25DFB"/>
    <w:rsid w:val="00B261D7"/>
    <w:rsid w:val="00B2753A"/>
    <w:rsid w:val="00B279DE"/>
    <w:rsid w:val="00B30015"/>
    <w:rsid w:val="00B315BB"/>
    <w:rsid w:val="00B31F3B"/>
    <w:rsid w:val="00B32745"/>
    <w:rsid w:val="00B3350E"/>
    <w:rsid w:val="00B341E2"/>
    <w:rsid w:val="00B34548"/>
    <w:rsid w:val="00B35413"/>
    <w:rsid w:val="00B3554D"/>
    <w:rsid w:val="00B35E8F"/>
    <w:rsid w:val="00B3611D"/>
    <w:rsid w:val="00B36DAE"/>
    <w:rsid w:val="00B36E4B"/>
    <w:rsid w:val="00B37A72"/>
    <w:rsid w:val="00B37E43"/>
    <w:rsid w:val="00B4000C"/>
    <w:rsid w:val="00B402E4"/>
    <w:rsid w:val="00B409D1"/>
    <w:rsid w:val="00B40B3A"/>
    <w:rsid w:val="00B4185E"/>
    <w:rsid w:val="00B41C60"/>
    <w:rsid w:val="00B42308"/>
    <w:rsid w:val="00B4257D"/>
    <w:rsid w:val="00B42690"/>
    <w:rsid w:val="00B42928"/>
    <w:rsid w:val="00B42CDD"/>
    <w:rsid w:val="00B44789"/>
    <w:rsid w:val="00B45016"/>
    <w:rsid w:val="00B46069"/>
    <w:rsid w:val="00B469F6"/>
    <w:rsid w:val="00B47795"/>
    <w:rsid w:val="00B50234"/>
    <w:rsid w:val="00B50635"/>
    <w:rsid w:val="00B5170E"/>
    <w:rsid w:val="00B51C24"/>
    <w:rsid w:val="00B52644"/>
    <w:rsid w:val="00B528FC"/>
    <w:rsid w:val="00B52937"/>
    <w:rsid w:val="00B52E97"/>
    <w:rsid w:val="00B54262"/>
    <w:rsid w:val="00B54421"/>
    <w:rsid w:val="00B54648"/>
    <w:rsid w:val="00B54C3E"/>
    <w:rsid w:val="00B55698"/>
    <w:rsid w:val="00B55D5E"/>
    <w:rsid w:val="00B55F48"/>
    <w:rsid w:val="00B55F93"/>
    <w:rsid w:val="00B56074"/>
    <w:rsid w:val="00B560A8"/>
    <w:rsid w:val="00B563C2"/>
    <w:rsid w:val="00B5648F"/>
    <w:rsid w:val="00B56841"/>
    <w:rsid w:val="00B56886"/>
    <w:rsid w:val="00B61115"/>
    <w:rsid w:val="00B616A0"/>
    <w:rsid w:val="00B61720"/>
    <w:rsid w:val="00B61E1F"/>
    <w:rsid w:val="00B62435"/>
    <w:rsid w:val="00B627BF"/>
    <w:rsid w:val="00B62FB3"/>
    <w:rsid w:val="00B635DD"/>
    <w:rsid w:val="00B637AB"/>
    <w:rsid w:val="00B638D3"/>
    <w:rsid w:val="00B64673"/>
    <w:rsid w:val="00B64792"/>
    <w:rsid w:val="00B66A2A"/>
    <w:rsid w:val="00B67F90"/>
    <w:rsid w:val="00B703E1"/>
    <w:rsid w:val="00B705E2"/>
    <w:rsid w:val="00B7071C"/>
    <w:rsid w:val="00B70A17"/>
    <w:rsid w:val="00B70DB3"/>
    <w:rsid w:val="00B70F61"/>
    <w:rsid w:val="00B71F65"/>
    <w:rsid w:val="00B723CC"/>
    <w:rsid w:val="00B72A06"/>
    <w:rsid w:val="00B7371A"/>
    <w:rsid w:val="00B74146"/>
    <w:rsid w:val="00B74748"/>
    <w:rsid w:val="00B74977"/>
    <w:rsid w:val="00B75CD3"/>
    <w:rsid w:val="00B77DC8"/>
    <w:rsid w:val="00B80B08"/>
    <w:rsid w:val="00B80D60"/>
    <w:rsid w:val="00B813B1"/>
    <w:rsid w:val="00B81B7D"/>
    <w:rsid w:val="00B835DB"/>
    <w:rsid w:val="00B83662"/>
    <w:rsid w:val="00B841BC"/>
    <w:rsid w:val="00B84346"/>
    <w:rsid w:val="00B85EEB"/>
    <w:rsid w:val="00B86524"/>
    <w:rsid w:val="00B87594"/>
    <w:rsid w:val="00B87EBA"/>
    <w:rsid w:val="00B906A5"/>
    <w:rsid w:val="00B9080B"/>
    <w:rsid w:val="00B923DE"/>
    <w:rsid w:val="00B92559"/>
    <w:rsid w:val="00B93195"/>
    <w:rsid w:val="00B936FF"/>
    <w:rsid w:val="00B939D3"/>
    <w:rsid w:val="00B93A49"/>
    <w:rsid w:val="00B93F2F"/>
    <w:rsid w:val="00B94683"/>
    <w:rsid w:val="00B948B4"/>
    <w:rsid w:val="00B94C1C"/>
    <w:rsid w:val="00B9547E"/>
    <w:rsid w:val="00B963F8"/>
    <w:rsid w:val="00B9782E"/>
    <w:rsid w:val="00BA0182"/>
    <w:rsid w:val="00BA0B28"/>
    <w:rsid w:val="00BA1309"/>
    <w:rsid w:val="00BA1A8C"/>
    <w:rsid w:val="00BA2255"/>
    <w:rsid w:val="00BA2C63"/>
    <w:rsid w:val="00BA2CC7"/>
    <w:rsid w:val="00BA302C"/>
    <w:rsid w:val="00BA3219"/>
    <w:rsid w:val="00BA396E"/>
    <w:rsid w:val="00BA3AEB"/>
    <w:rsid w:val="00BA4B52"/>
    <w:rsid w:val="00BA57A8"/>
    <w:rsid w:val="00BA58CE"/>
    <w:rsid w:val="00BA5981"/>
    <w:rsid w:val="00BA6150"/>
    <w:rsid w:val="00BA63DA"/>
    <w:rsid w:val="00BA74F7"/>
    <w:rsid w:val="00BA7852"/>
    <w:rsid w:val="00BB0444"/>
    <w:rsid w:val="00BB0589"/>
    <w:rsid w:val="00BB098C"/>
    <w:rsid w:val="00BB1355"/>
    <w:rsid w:val="00BB1722"/>
    <w:rsid w:val="00BB2624"/>
    <w:rsid w:val="00BB45FE"/>
    <w:rsid w:val="00BB4BB0"/>
    <w:rsid w:val="00BB4CCF"/>
    <w:rsid w:val="00BB631E"/>
    <w:rsid w:val="00BB690E"/>
    <w:rsid w:val="00BB74AE"/>
    <w:rsid w:val="00BB7E3B"/>
    <w:rsid w:val="00BC0727"/>
    <w:rsid w:val="00BC0E47"/>
    <w:rsid w:val="00BC1040"/>
    <w:rsid w:val="00BC2CD4"/>
    <w:rsid w:val="00BC3FA0"/>
    <w:rsid w:val="00BC49F0"/>
    <w:rsid w:val="00BC4F14"/>
    <w:rsid w:val="00BC4F90"/>
    <w:rsid w:val="00BC662D"/>
    <w:rsid w:val="00BC66EB"/>
    <w:rsid w:val="00BC68C0"/>
    <w:rsid w:val="00BC742F"/>
    <w:rsid w:val="00BC7CCA"/>
    <w:rsid w:val="00BD0579"/>
    <w:rsid w:val="00BD0817"/>
    <w:rsid w:val="00BD1ADB"/>
    <w:rsid w:val="00BD2AF3"/>
    <w:rsid w:val="00BD32B6"/>
    <w:rsid w:val="00BD4959"/>
    <w:rsid w:val="00BD552B"/>
    <w:rsid w:val="00BD5C5F"/>
    <w:rsid w:val="00BD65BA"/>
    <w:rsid w:val="00BD6F91"/>
    <w:rsid w:val="00BD7C04"/>
    <w:rsid w:val="00BE04A0"/>
    <w:rsid w:val="00BE1719"/>
    <w:rsid w:val="00BE174B"/>
    <w:rsid w:val="00BE4054"/>
    <w:rsid w:val="00BE43DF"/>
    <w:rsid w:val="00BE4865"/>
    <w:rsid w:val="00BE4C62"/>
    <w:rsid w:val="00BE649A"/>
    <w:rsid w:val="00BE6BAB"/>
    <w:rsid w:val="00BF0E8D"/>
    <w:rsid w:val="00BF10D9"/>
    <w:rsid w:val="00BF210F"/>
    <w:rsid w:val="00BF257D"/>
    <w:rsid w:val="00BF286F"/>
    <w:rsid w:val="00BF2F6A"/>
    <w:rsid w:val="00BF3465"/>
    <w:rsid w:val="00BF47D9"/>
    <w:rsid w:val="00BF4986"/>
    <w:rsid w:val="00BF5CED"/>
    <w:rsid w:val="00BF6256"/>
    <w:rsid w:val="00BF62F3"/>
    <w:rsid w:val="00BF680B"/>
    <w:rsid w:val="00BF71A3"/>
    <w:rsid w:val="00BF7E76"/>
    <w:rsid w:val="00C00A7F"/>
    <w:rsid w:val="00C01357"/>
    <w:rsid w:val="00C01D6A"/>
    <w:rsid w:val="00C03A24"/>
    <w:rsid w:val="00C03DB0"/>
    <w:rsid w:val="00C06AA6"/>
    <w:rsid w:val="00C0706E"/>
    <w:rsid w:val="00C10A39"/>
    <w:rsid w:val="00C11328"/>
    <w:rsid w:val="00C11390"/>
    <w:rsid w:val="00C119A2"/>
    <w:rsid w:val="00C11F00"/>
    <w:rsid w:val="00C135D5"/>
    <w:rsid w:val="00C14014"/>
    <w:rsid w:val="00C146DC"/>
    <w:rsid w:val="00C1477B"/>
    <w:rsid w:val="00C160F0"/>
    <w:rsid w:val="00C16957"/>
    <w:rsid w:val="00C16A40"/>
    <w:rsid w:val="00C2005D"/>
    <w:rsid w:val="00C20EBD"/>
    <w:rsid w:val="00C22307"/>
    <w:rsid w:val="00C22D8F"/>
    <w:rsid w:val="00C23030"/>
    <w:rsid w:val="00C23075"/>
    <w:rsid w:val="00C239CF"/>
    <w:rsid w:val="00C23DC2"/>
    <w:rsid w:val="00C24695"/>
    <w:rsid w:val="00C24972"/>
    <w:rsid w:val="00C250A7"/>
    <w:rsid w:val="00C26A4E"/>
    <w:rsid w:val="00C26AB7"/>
    <w:rsid w:val="00C2719A"/>
    <w:rsid w:val="00C27B8D"/>
    <w:rsid w:val="00C27CFB"/>
    <w:rsid w:val="00C27D3F"/>
    <w:rsid w:val="00C31DB9"/>
    <w:rsid w:val="00C330FE"/>
    <w:rsid w:val="00C33288"/>
    <w:rsid w:val="00C33316"/>
    <w:rsid w:val="00C3352A"/>
    <w:rsid w:val="00C3390D"/>
    <w:rsid w:val="00C3469B"/>
    <w:rsid w:val="00C34BEA"/>
    <w:rsid w:val="00C34D2F"/>
    <w:rsid w:val="00C34DAD"/>
    <w:rsid w:val="00C3638A"/>
    <w:rsid w:val="00C40571"/>
    <w:rsid w:val="00C4131F"/>
    <w:rsid w:val="00C4141D"/>
    <w:rsid w:val="00C42A46"/>
    <w:rsid w:val="00C4314E"/>
    <w:rsid w:val="00C437E0"/>
    <w:rsid w:val="00C443B2"/>
    <w:rsid w:val="00C44514"/>
    <w:rsid w:val="00C44B4C"/>
    <w:rsid w:val="00C4559B"/>
    <w:rsid w:val="00C45908"/>
    <w:rsid w:val="00C45FD9"/>
    <w:rsid w:val="00C468DA"/>
    <w:rsid w:val="00C46AFB"/>
    <w:rsid w:val="00C471CF"/>
    <w:rsid w:val="00C47569"/>
    <w:rsid w:val="00C5149B"/>
    <w:rsid w:val="00C52304"/>
    <w:rsid w:val="00C52931"/>
    <w:rsid w:val="00C538E8"/>
    <w:rsid w:val="00C5482F"/>
    <w:rsid w:val="00C54C15"/>
    <w:rsid w:val="00C57594"/>
    <w:rsid w:val="00C57658"/>
    <w:rsid w:val="00C60393"/>
    <w:rsid w:val="00C609C0"/>
    <w:rsid w:val="00C60DE4"/>
    <w:rsid w:val="00C612BA"/>
    <w:rsid w:val="00C621A8"/>
    <w:rsid w:val="00C6283E"/>
    <w:rsid w:val="00C62F9D"/>
    <w:rsid w:val="00C63DB5"/>
    <w:rsid w:val="00C645FC"/>
    <w:rsid w:val="00C65417"/>
    <w:rsid w:val="00C6650B"/>
    <w:rsid w:val="00C67809"/>
    <w:rsid w:val="00C67BBC"/>
    <w:rsid w:val="00C67E09"/>
    <w:rsid w:val="00C700E8"/>
    <w:rsid w:val="00C719D8"/>
    <w:rsid w:val="00C71D91"/>
    <w:rsid w:val="00C721D7"/>
    <w:rsid w:val="00C73A6C"/>
    <w:rsid w:val="00C7403C"/>
    <w:rsid w:val="00C757CC"/>
    <w:rsid w:val="00C75C27"/>
    <w:rsid w:val="00C75C76"/>
    <w:rsid w:val="00C75F3C"/>
    <w:rsid w:val="00C76465"/>
    <w:rsid w:val="00C77531"/>
    <w:rsid w:val="00C77DCF"/>
    <w:rsid w:val="00C8004B"/>
    <w:rsid w:val="00C811AC"/>
    <w:rsid w:val="00C81A0C"/>
    <w:rsid w:val="00C82D1D"/>
    <w:rsid w:val="00C82F96"/>
    <w:rsid w:val="00C84172"/>
    <w:rsid w:val="00C853D0"/>
    <w:rsid w:val="00C86234"/>
    <w:rsid w:val="00C864A2"/>
    <w:rsid w:val="00C87A6F"/>
    <w:rsid w:val="00C87FF7"/>
    <w:rsid w:val="00C90BB6"/>
    <w:rsid w:val="00C90DF7"/>
    <w:rsid w:val="00C920C7"/>
    <w:rsid w:val="00C937B1"/>
    <w:rsid w:val="00C944C6"/>
    <w:rsid w:val="00C94C48"/>
    <w:rsid w:val="00C95AD0"/>
    <w:rsid w:val="00C964A3"/>
    <w:rsid w:val="00C96811"/>
    <w:rsid w:val="00C96BCB"/>
    <w:rsid w:val="00C96C20"/>
    <w:rsid w:val="00C9743A"/>
    <w:rsid w:val="00CA028D"/>
    <w:rsid w:val="00CA0744"/>
    <w:rsid w:val="00CA2022"/>
    <w:rsid w:val="00CA21AB"/>
    <w:rsid w:val="00CA2B9D"/>
    <w:rsid w:val="00CA2BFF"/>
    <w:rsid w:val="00CA2D15"/>
    <w:rsid w:val="00CA3406"/>
    <w:rsid w:val="00CA378D"/>
    <w:rsid w:val="00CA39D7"/>
    <w:rsid w:val="00CA3D5B"/>
    <w:rsid w:val="00CA3F51"/>
    <w:rsid w:val="00CA443E"/>
    <w:rsid w:val="00CA50BC"/>
    <w:rsid w:val="00CA55A7"/>
    <w:rsid w:val="00CB0581"/>
    <w:rsid w:val="00CB05E0"/>
    <w:rsid w:val="00CB06E2"/>
    <w:rsid w:val="00CB1385"/>
    <w:rsid w:val="00CB1505"/>
    <w:rsid w:val="00CB1792"/>
    <w:rsid w:val="00CB2F02"/>
    <w:rsid w:val="00CB31B3"/>
    <w:rsid w:val="00CB365F"/>
    <w:rsid w:val="00CB3CB1"/>
    <w:rsid w:val="00CB45D1"/>
    <w:rsid w:val="00CB5660"/>
    <w:rsid w:val="00CB5A16"/>
    <w:rsid w:val="00CB5F48"/>
    <w:rsid w:val="00CB624D"/>
    <w:rsid w:val="00CB71B7"/>
    <w:rsid w:val="00CC0717"/>
    <w:rsid w:val="00CC1D71"/>
    <w:rsid w:val="00CC215A"/>
    <w:rsid w:val="00CC21F9"/>
    <w:rsid w:val="00CC42B9"/>
    <w:rsid w:val="00CC5C7B"/>
    <w:rsid w:val="00CC5D6D"/>
    <w:rsid w:val="00CC62E3"/>
    <w:rsid w:val="00CC6E3C"/>
    <w:rsid w:val="00CC7EC8"/>
    <w:rsid w:val="00CD03FC"/>
    <w:rsid w:val="00CD1EBC"/>
    <w:rsid w:val="00CD2097"/>
    <w:rsid w:val="00CD2B5B"/>
    <w:rsid w:val="00CD4B7A"/>
    <w:rsid w:val="00CD4E9E"/>
    <w:rsid w:val="00CD5FA7"/>
    <w:rsid w:val="00CD7BE5"/>
    <w:rsid w:val="00CE03DF"/>
    <w:rsid w:val="00CE1F7E"/>
    <w:rsid w:val="00CE268C"/>
    <w:rsid w:val="00CE390A"/>
    <w:rsid w:val="00CE4A92"/>
    <w:rsid w:val="00CE54A3"/>
    <w:rsid w:val="00CE56C3"/>
    <w:rsid w:val="00CE6DCD"/>
    <w:rsid w:val="00CE713F"/>
    <w:rsid w:val="00CE7215"/>
    <w:rsid w:val="00CE764E"/>
    <w:rsid w:val="00CF1F5C"/>
    <w:rsid w:val="00CF2771"/>
    <w:rsid w:val="00CF2C11"/>
    <w:rsid w:val="00CF3147"/>
    <w:rsid w:val="00CF36BC"/>
    <w:rsid w:val="00CF36F1"/>
    <w:rsid w:val="00CF452B"/>
    <w:rsid w:val="00CF467C"/>
    <w:rsid w:val="00CF5115"/>
    <w:rsid w:val="00CF529D"/>
    <w:rsid w:val="00CF5EAF"/>
    <w:rsid w:val="00CF5F54"/>
    <w:rsid w:val="00CF728B"/>
    <w:rsid w:val="00D004E0"/>
    <w:rsid w:val="00D026C3"/>
    <w:rsid w:val="00D02AA0"/>
    <w:rsid w:val="00D030BD"/>
    <w:rsid w:val="00D03DBE"/>
    <w:rsid w:val="00D04780"/>
    <w:rsid w:val="00D04DA6"/>
    <w:rsid w:val="00D04FD5"/>
    <w:rsid w:val="00D05149"/>
    <w:rsid w:val="00D0658E"/>
    <w:rsid w:val="00D0667B"/>
    <w:rsid w:val="00D0752D"/>
    <w:rsid w:val="00D10653"/>
    <w:rsid w:val="00D10AFD"/>
    <w:rsid w:val="00D11221"/>
    <w:rsid w:val="00D11412"/>
    <w:rsid w:val="00D1142E"/>
    <w:rsid w:val="00D12425"/>
    <w:rsid w:val="00D125EB"/>
    <w:rsid w:val="00D136EB"/>
    <w:rsid w:val="00D14991"/>
    <w:rsid w:val="00D14D58"/>
    <w:rsid w:val="00D1507D"/>
    <w:rsid w:val="00D15C5A"/>
    <w:rsid w:val="00D15DF7"/>
    <w:rsid w:val="00D17A46"/>
    <w:rsid w:val="00D20028"/>
    <w:rsid w:val="00D20BF5"/>
    <w:rsid w:val="00D21406"/>
    <w:rsid w:val="00D225D7"/>
    <w:rsid w:val="00D227DA"/>
    <w:rsid w:val="00D22EB8"/>
    <w:rsid w:val="00D23907"/>
    <w:rsid w:val="00D23987"/>
    <w:rsid w:val="00D23D4B"/>
    <w:rsid w:val="00D23EF6"/>
    <w:rsid w:val="00D2437E"/>
    <w:rsid w:val="00D2572D"/>
    <w:rsid w:val="00D261CD"/>
    <w:rsid w:val="00D27175"/>
    <w:rsid w:val="00D272BD"/>
    <w:rsid w:val="00D3034F"/>
    <w:rsid w:val="00D303E1"/>
    <w:rsid w:val="00D311B9"/>
    <w:rsid w:val="00D3175E"/>
    <w:rsid w:val="00D322F4"/>
    <w:rsid w:val="00D323C0"/>
    <w:rsid w:val="00D3448B"/>
    <w:rsid w:val="00D3711A"/>
    <w:rsid w:val="00D37406"/>
    <w:rsid w:val="00D4020D"/>
    <w:rsid w:val="00D40DAC"/>
    <w:rsid w:val="00D40DEA"/>
    <w:rsid w:val="00D41C32"/>
    <w:rsid w:val="00D451E7"/>
    <w:rsid w:val="00D45AB3"/>
    <w:rsid w:val="00D45C73"/>
    <w:rsid w:val="00D46152"/>
    <w:rsid w:val="00D477E9"/>
    <w:rsid w:val="00D508E7"/>
    <w:rsid w:val="00D508F6"/>
    <w:rsid w:val="00D508F8"/>
    <w:rsid w:val="00D51188"/>
    <w:rsid w:val="00D5127D"/>
    <w:rsid w:val="00D51710"/>
    <w:rsid w:val="00D51858"/>
    <w:rsid w:val="00D5197C"/>
    <w:rsid w:val="00D51B3C"/>
    <w:rsid w:val="00D558B4"/>
    <w:rsid w:val="00D55ED1"/>
    <w:rsid w:val="00D5654D"/>
    <w:rsid w:val="00D5796A"/>
    <w:rsid w:val="00D57E7E"/>
    <w:rsid w:val="00D60B8F"/>
    <w:rsid w:val="00D6157F"/>
    <w:rsid w:val="00D61BBF"/>
    <w:rsid w:val="00D622F3"/>
    <w:rsid w:val="00D6379D"/>
    <w:rsid w:val="00D63D37"/>
    <w:rsid w:val="00D64CB1"/>
    <w:rsid w:val="00D64F1B"/>
    <w:rsid w:val="00D650A1"/>
    <w:rsid w:val="00D6549B"/>
    <w:rsid w:val="00D65DE0"/>
    <w:rsid w:val="00D66FD2"/>
    <w:rsid w:val="00D66FD3"/>
    <w:rsid w:val="00D70BCE"/>
    <w:rsid w:val="00D72288"/>
    <w:rsid w:val="00D722C4"/>
    <w:rsid w:val="00D72AEC"/>
    <w:rsid w:val="00D73885"/>
    <w:rsid w:val="00D74E25"/>
    <w:rsid w:val="00D75364"/>
    <w:rsid w:val="00D76AC9"/>
    <w:rsid w:val="00D76B37"/>
    <w:rsid w:val="00D76CB8"/>
    <w:rsid w:val="00D76CDD"/>
    <w:rsid w:val="00D76F02"/>
    <w:rsid w:val="00D7735A"/>
    <w:rsid w:val="00D77940"/>
    <w:rsid w:val="00D77C04"/>
    <w:rsid w:val="00D8080D"/>
    <w:rsid w:val="00D8255F"/>
    <w:rsid w:val="00D8334A"/>
    <w:rsid w:val="00D83BA0"/>
    <w:rsid w:val="00D83CA6"/>
    <w:rsid w:val="00D84EB9"/>
    <w:rsid w:val="00D87D40"/>
    <w:rsid w:val="00D90201"/>
    <w:rsid w:val="00D9098D"/>
    <w:rsid w:val="00D90E96"/>
    <w:rsid w:val="00D91A8A"/>
    <w:rsid w:val="00D92476"/>
    <w:rsid w:val="00D92D5C"/>
    <w:rsid w:val="00D93275"/>
    <w:rsid w:val="00D9351C"/>
    <w:rsid w:val="00D942EC"/>
    <w:rsid w:val="00D94DCD"/>
    <w:rsid w:val="00D94EA3"/>
    <w:rsid w:val="00D9637F"/>
    <w:rsid w:val="00D96DE4"/>
    <w:rsid w:val="00DA0676"/>
    <w:rsid w:val="00DA0CF6"/>
    <w:rsid w:val="00DA0E68"/>
    <w:rsid w:val="00DA1211"/>
    <w:rsid w:val="00DA1A1F"/>
    <w:rsid w:val="00DA2073"/>
    <w:rsid w:val="00DA23B2"/>
    <w:rsid w:val="00DA2587"/>
    <w:rsid w:val="00DA2A8F"/>
    <w:rsid w:val="00DA3148"/>
    <w:rsid w:val="00DA3D89"/>
    <w:rsid w:val="00DA3EA5"/>
    <w:rsid w:val="00DA4DF4"/>
    <w:rsid w:val="00DA4EA9"/>
    <w:rsid w:val="00DA59A0"/>
    <w:rsid w:val="00DA5A19"/>
    <w:rsid w:val="00DA609D"/>
    <w:rsid w:val="00DA6E15"/>
    <w:rsid w:val="00DA6E1F"/>
    <w:rsid w:val="00DA7E83"/>
    <w:rsid w:val="00DB0160"/>
    <w:rsid w:val="00DB0256"/>
    <w:rsid w:val="00DB0312"/>
    <w:rsid w:val="00DB0F43"/>
    <w:rsid w:val="00DB1B9B"/>
    <w:rsid w:val="00DB2128"/>
    <w:rsid w:val="00DB25E2"/>
    <w:rsid w:val="00DB2702"/>
    <w:rsid w:val="00DB3AF5"/>
    <w:rsid w:val="00DB498A"/>
    <w:rsid w:val="00DB4ABA"/>
    <w:rsid w:val="00DB4AC5"/>
    <w:rsid w:val="00DB4D6F"/>
    <w:rsid w:val="00DB5085"/>
    <w:rsid w:val="00DB55EA"/>
    <w:rsid w:val="00DB636D"/>
    <w:rsid w:val="00DB663D"/>
    <w:rsid w:val="00DB66FF"/>
    <w:rsid w:val="00DB6FB1"/>
    <w:rsid w:val="00DB7DE2"/>
    <w:rsid w:val="00DC19F3"/>
    <w:rsid w:val="00DC1E39"/>
    <w:rsid w:val="00DC2398"/>
    <w:rsid w:val="00DC3C4B"/>
    <w:rsid w:val="00DC3CBF"/>
    <w:rsid w:val="00DC5DA3"/>
    <w:rsid w:val="00DC6FB6"/>
    <w:rsid w:val="00DC765F"/>
    <w:rsid w:val="00DC7729"/>
    <w:rsid w:val="00DC7E8A"/>
    <w:rsid w:val="00DD0A9C"/>
    <w:rsid w:val="00DD0C7B"/>
    <w:rsid w:val="00DD2504"/>
    <w:rsid w:val="00DD3781"/>
    <w:rsid w:val="00DD3B27"/>
    <w:rsid w:val="00DD4CD5"/>
    <w:rsid w:val="00DD51B1"/>
    <w:rsid w:val="00DD51E2"/>
    <w:rsid w:val="00DD523E"/>
    <w:rsid w:val="00DD5799"/>
    <w:rsid w:val="00DD6215"/>
    <w:rsid w:val="00DE0E57"/>
    <w:rsid w:val="00DE13F3"/>
    <w:rsid w:val="00DE1868"/>
    <w:rsid w:val="00DE1933"/>
    <w:rsid w:val="00DE3408"/>
    <w:rsid w:val="00DE35EB"/>
    <w:rsid w:val="00DE54BF"/>
    <w:rsid w:val="00DE5743"/>
    <w:rsid w:val="00DE6A57"/>
    <w:rsid w:val="00DE7166"/>
    <w:rsid w:val="00DE75F5"/>
    <w:rsid w:val="00DF0EA8"/>
    <w:rsid w:val="00DF18C7"/>
    <w:rsid w:val="00DF2537"/>
    <w:rsid w:val="00DF274A"/>
    <w:rsid w:val="00DF3F63"/>
    <w:rsid w:val="00DF4101"/>
    <w:rsid w:val="00DF4345"/>
    <w:rsid w:val="00DF497D"/>
    <w:rsid w:val="00DF51A7"/>
    <w:rsid w:val="00DF5928"/>
    <w:rsid w:val="00DF5C3E"/>
    <w:rsid w:val="00DF660D"/>
    <w:rsid w:val="00DF66C0"/>
    <w:rsid w:val="00DF699D"/>
    <w:rsid w:val="00DF6AE7"/>
    <w:rsid w:val="00DF6DBA"/>
    <w:rsid w:val="00DF75AE"/>
    <w:rsid w:val="00DF7762"/>
    <w:rsid w:val="00DF79E1"/>
    <w:rsid w:val="00DF7BB9"/>
    <w:rsid w:val="00E00782"/>
    <w:rsid w:val="00E01437"/>
    <w:rsid w:val="00E01A79"/>
    <w:rsid w:val="00E01A8F"/>
    <w:rsid w:val="00E02574"/>
    <w:rsid w:val="00E02789"/>
    <w:rsid w:val="00E0295C"/>
    <w:rsid w:val="00E02B32"/>
    <w:rsid w:val="00E02E7F"/>
    <w:rsid w:val="00E03720"/>
    <w:rsid w:val="00E04419"/>
    <w:rsid w:val="00E056C8"/>
    <w:rsid w:val="00E05ADF"/>
    <w:rsid w:val="00E06848"/>
    <w:rsid w:val="00E06862"/>
    <w:rsid w:val="00E075C3"/>
    <w:rsid w:val="00E07920"/>
    <w:rsid w:val="00E07D22"/>
    <w:rsid w:val="00E07F0C"/>
    <w:rsid w:val="00E100AA"/>
    <w:rsid w:val="00E1018C"/>
    <w:rsid w:val="00E106DC"/>
    <w:rsid w:val="00E113B6"/>
    <w:rsid w:val="00E114CA"/>
    <w:rsid w:val="00E11A96"/>
    <w:rsid w:val="00E11E28"/>
    <w:rsid w:val="00E11E6F"/>
    <w:rsid w:val="00E12C76"/>
    <w:rsid w:val="00E12D8C"/>
    <w:rsid w:val="00E14995"/>
    <w:rsid w:val="00E14CCD"/>
    <w:rsid w:val="00E14EAA"/>
    <w:rsid w:val="00E15443"/>
    <w:rsid w:val="00E162C8"/>
    <w:rsid w:val="00E16B44"/>
    <w:rsid w:val="00E20F0E"/>
    <w:rsid w:val="00E21CE9"/>
    <w:rsid w:val="00E2223A"/>
    <w:rsid w:val="00E225E0"/>
    <w:rsid w:val="00E228DD"/>
    <w:rsid w:val="00E2311D"/>
    <w:rsid w:val="00E23AB4"/>
    <w:rsid w:val="00E23E8A"/>
    <w:rsid w:val="00E24B2D"/>
    <w:rsid w:val="00E2531E"/>
    <w:rsid w:val="00E25581"/>
    <w:rsid w:val="00E25665"/>
    <w:rsid w:val="00E25ABD"/>
    <w:rsid w:val="00E27723"/>
    <w:rsid w:val="00E277E1"/>
    <w:rsid w:val="00E30126"/>
    <w:rsid w:val="00E30186"/>
    <w:rsid w:val="00E30B41"/>
    <w:rsid w:val="00E30E98"/>
    <w:rsid w:val="00E30EDE"/>
    <w:rsid w:val="00E31C31"/>
    <w:rsid w:val="00E3244B"/>
    <w:rsid w:val="00E33444"/>
    <w:rsid w:val="00E345AC"/>
    <w:rsid w:val="00E37B41"/>
    <w:rsid w:val="00E37E20"/>
    <w:rsid w:val="00E37F6E"/>
    <w:rsid w:val="00E40047"/>
    <w:rsid w:val="00E40A36"/>
    <w:rsid w:val="00E40DCD"/>
    <w:rsid w:val="00E40E25"/>
    <w:rsid w:val="00E415E4"/>
    <w:rsid w:val="00E41BB1"/>
    <w:rsid w:val="00E42EB2"/>
    <w:rsid w:val="00E44139"/>
    <w:rsid w:val="00E44145"/>
    <w:rsid w:val="00E4431B"/>
    <w:rsid w:val="00E444E5"/>
    <w:rsid w:val="00E45A42"/>
    <w:rsid w:val="00E45DF3"/>
    <w:rsid w:val="00E46185"/>
    <w:rsid w:val="00E46625"/>
    <w:rsid w:val="00E46AB5"/>
    <w:rsid w:val="00E46CF2"/>
    <w:rsid w:val="00E47AB7"/>
    <w:rsid w:val="00E47CA3"/>
    <w:rsid w:val="00E47D7C"/>
    <w:rsid w:val="00E5012B"/>
    <w:rsid w:val="00E50646"/>
    <w:rsid w:val="00E511E7"/>
    <w:rsid w:val="00E51EE6"/>
    <w:rsid w:val="00E52A1A"/>
    <w:rsid w:val="00E5471E"/>
    <w:rsid w:val="00E54E66"/>
    <w:rsid w:val="00E54EE1"/>
    <w:rsid w:val="00E55B06"/>
    <w:rsid w:val="00E5667C"/>
    <w:rsid w:val="00E56E22"/>
    <w:rsid w:val="00E56FDF"/>
    <w:rsid w:val="00E57BD7"/>
    <w:rsid w:val="00E57C4D"/>
    <w:rsid w:val="00E60520"/>
    <w:rsid w:val="00E61F49"/>
    <w:rsid w:val="00E6209B"/>
    <w:rsid w:val="00E62FEC"/>
    <w:rsid w:val="00E63D3E"/>
    <w:rsid w:val="00E65096"/>
    <w:rsid w:val="00E6538D"/>
    <w:rsid w:val="00E65B92"/>
    <w:rsid w:val="00E66805"/>
    <w:rsid w:val="00E67601"/>
    <w:rsid w:val="00E700E2"/>
    <w:rsid w:val="00E704F1"/>
    <w:rsid w:val="00E70C3F"/>
    <w:rsid w:val="00E70CA2"/>
    <w:rsid w:val="00E72677"/>
    <w:rsid w:val="00E72746"/>
    <w:rsid w:val="00E72BE0"/>
    <w:rsid w:val="00E752EC"/>
    <w:rsid w:val="00E75D53"/>
    <w:rsid w:val="00E775CF"/>
    <w:rsid w:val="00E77AE4"/>
    <w:rsid w:val="00E8059B"/>
    <w:rsid w:val="00E80A72"/>
    <w:rsid w:val="00E81299"/>
    <w:rsid w:val="00E818E0"/>
    <w:rsid w:val="00E81E13"/>
    <w:rsid w:val="00E825F1"/>
    <w:rsid w:val="00E8426E"/>
    <w:rsid w:val="00E84785"/>
    <w:rsid w:val="00E84814"/>
    <w:rsid w:val="00E84C9E"/>
    <w:rsid w:val="00E865C2"/>
    <w:rsid w:val="00E877AB"/>
    <w:rsid w:val="00E87A8A"/>
    <w:rsid w:val="00E87BC5"/>
    <w:rsid w:val="00E90DEA"/>
    <w:rsid w:val="00E91355"/>
    <w:rsid w:val="00E91C06"/>
    <w:rsid w:val="00E91C33"/>
    <w:rsid w:val="00E91CF8"/>
    <w:rsid w:val="00E91D0D"/>
    <w:rsid w:val="00E92678"/>
    <w:rsid w:val="00E92E20"/>
    <w:rsid w:val="00E93346"/>
    <w:rsid w:val="00E934ED"/>
    <w:rsid w:val="00E93623"/>
    <w:rsid w:val="00E957CE"/>
    <w:rsid w:val="00E95DBC"/>
    <w:rsid w:val="00E95F5E"/>
    <w:rsid w:val="00E96245"/>
    <w:rsid w:val="00E9677A"/>
    <w:rsid w:val="00E968DC"/>
    <w:rsid w:val="00E96D86"/>
    <w:rsid w:val="00E972C0"/>
    <w:rsid w:val="00EA03BF"/>
    <w:rsid w:val="00EA0E02"/>
    <w:rsid w:val="00EA1A4D"/>
    <w:rsid w:val="00EA1BE1"/>
    <w:rsid w:val="00EA2397"/>
    <w:rsid w:val="00EA2536"/>
    <w:rsid w:val="00EA3527"/>
    <w:rsid w:val="00EA35C7"/>
    <w:rsid w:val="00EA3C03"/>
    <w:rsid w:val="00EA3E3F"/>
    <w:rsid w:val="00EA4106"/>
    <w:rsid w:val="00EA48C8"/>
    <w:rsid w:val="00EA4CA9"/>
    <w:rsid w:val="00EA5E4E"/>
    <w:rsid w:val="00EA62E0"/>
    <w:rsid w:val="00EA65D1"/>
    <w:rsid w:val="00EA6DA8"/>
    <w:rsid w:val="00EA77A6"/>
    <w:rsid w:val="00EB0812"/>
    <w:rsid w:val="00EB186F"/>
    <w:rsid w:val="00EB2066"/>
    <w:rsid w:val="00EB2878"/>
    <w:rsid w:val="00EB3613"/>
    <w:rsid w:val="00EB3C75"/>
    <w:rsid w:val="00EB4BCE"/>
    <w:rsid w:val="00EB4E6B"/>
    <w:rsid w:val="00EB504B"/>
    <w:rsid w:val="00EB5777"/>
    <w:rsid w:val="00EB57D4"/>
    <w:rsid w:val="00EB5CB1"/>
    <w:rsid w:val="00EB5F35"/>
    <w:rsid w:val="00EB632C"/>
    <w:rsid w:val="00EB655E"/>
    <w:rsid w:val="00EB6A6E"/>
    <w:rsid w:val="00EB74C7"/>
    <w:rsid w:val="00EB74D6"/>
    <w:rsid w:val="00EC1ED5"/>
    <w:rsid w:val="00EC279E"/>
    <w:rsid w:val="00EC27FC"/>
    <w:rsid w:val="00EC2926"/>
    <w:rsid w:val="00EC415F"/>
    <w:rsid w:val="00EC4353"/>
    <w:rsid w:val="00EC4462"/>
    <w:rsid w:val="00EC44DD"/>
    <w:rsid w:val="00EC4EE1"/>
    <w:rsid w:val="00EC5134"/>
    <w:rsid w:val="00EC6A5F"/>
    <w:rsid w:val="00EC6F2D"/>
    <w:rsid w:val="00EC76BF"/>
    <w:rsid w:val="00EC7D0C"/>
    <w:rsid w:val="00ED0C9A"/>
    <w:rsid w:val="00ED0D0E"/>
    <w:rsid w:val="00ED104B"/>
    <w:rsid w:val="00ED1962"/>
    <w:rsid w:val="00ED19DF"/>
    <w:rsid w:val="00ED2388"/>
    <w:rsid w:val="00ED2C98"/>
    <w:rsid w:val="00ED2F9C"/>
    <w:rsid w:val="00ED3433"/>
    <w:rsid w:val="00ED4AF1"/>
    <w:rsid w:val="00ED5592"/>
    <w:rsid w:val="00ED59AA"/>
    <w:rsid w:val="00ED5C41"/>
    <w:rsid w:val="00ED6BEA"/>
    <w:rsid w:val="00ED7830"/>
    <w:rsid w:val="00ED78AE"/>
    <w:rsid w:val="00ED7ED3"/>
    <w:rsid w:val="00EE02CF"/>
    <w:rsid w:val="00EE1045"/>
    <w:rsid w:val="00EE1799"/>
    <w:rsid w:val="00EE20F5"/>
    <w:rsid w:val="00EE265A"/>
    <w:rsid w:val="00EE2A9E"/>
    <w:rsid w:val="00EE33E6"/>
    <w:rsid w:val="00EE3D9B"/>
    <w:rsid w:val="00EE45E0"/>
    <w:rsid w:val="00EE4BA0"/>
    <w:rsid w:val="00EE6B90"/>
    <w:rsid w:val="00EE7C2C"/>
    <w:rsid w:val="00EE7DA4"/>
    <w:rsid w:val="00EF0449"/>
    <w:rsid w:val="00EF09AC"/>
    <w:rsid w:val="00EF09E6"/>
    <w:rsid w:val="00EF0B1B"/>
    <w:rsid w:val="00EF32D5"/>
    <w:rsid w:val="00EF4EDE"/>
    <w:rsid w:val="00EF5067"/>
    <w:rsid w:val="00EF5ECF"/>
    <w:rsid w:val="00EF6CC5"/>
    <w:rsid w:val="00EF7067"/>
    <w:rsid w:val="00EF76F3"/>
    <w:rsid w:val="00EF7BC8"/>
    <w:rsid w:val="00EF7BF3"/>
    <w:rsid w:val="00EF7EF0"/>
    <w:rsid w:val="00F00219"/>
    <w:rsid w:val="00F01D8A"/>
    <w:rsid w:val="00F02F0C"/>
    <w:rsid w:val="00F033DD"/>
    <w:rsid w:val="00F03796"/>
    <w:rsid w:val="00F03B27"/>
    <w:rsid w:val="00F03C04"/>
    <w:rsid w:val="00F03D03"/>
    <w:rsid w:val="00F04288"/>
    <w:rsid w:val="00F0437C"/>
    <w:rsid w:val="00F04871"/>
    <w:rsid w:val="00F04F24"/>
    <w:rsid w:val="00F063AE"/>
    <w:rsid w:val="00F06919"/>
    <w:rsid w:val="00F06DC0"/>
    <w:rsid w:val="00F078CB"/>
    <w:rsid w:val="00F07EE1"/>
    <w:rsid w:val="00F10411"/>
    <w:rsid w:val="00F104CE"/>
    <w:rsid w:val="00F10D71"/>
    <w:rsid w:val="00F10E43"/>
    <w:rsid w:val="00F11532"/>
    <w:rsid w:val="00F1198E"/>
    <w:rsid w:val="00F122C8"/>
    <w:rsid w:val="00F132DD"/>
    <w:rsid w:val="00F13803"/>
    <w:rsid w:val="00F13C73"/>
    <w:rsid w:val="00F14285"/>
    <w:rsid w:val="00F148CA"/>
    <w:rsid w:val="00F149A6"/>
    <w:rsid w:val="00F14D3F"/>
    <w:rsid w:val="00F14E62"/>
    <w:rsid w:val="00F14F34"/>
    <w:rsid w:val="00F150A6"/>
    <w:rsid w:val="00F150B2"/>
    <w:rsid w:val="00F156C0"/>
    <w:rsid w:val="00F15A20"/>
    <w:rsid w:val="00F15BCE"/>
    <w:rsid w:val="00F15DC9"/>
    <w:rsid w:val="00F15EF8"/>
    <w:rsid w:val="00F1646C"/>
    <w:rsid w:val="00F16899"/>
    <w:rsid w:val="00F21A45"/>
    <w:rsid w:val="00F21A82"/>
    <w:rsid w:val="00F22645"/>
    <w:rsid w:val="00F22943"/>
    <w:rsid w:val="00F22A34"/>
    <w:rsid w:val="00F22F9D"/>
    <w:rsid w:val="00F23591"/>
    <w:rsid w:val="00F23A08"/>
    <w:rsid w:val="00F23DBD"/>
    <w:rsid w:val="00F24A33"/>
    <w:rsid w:val="00F24C27"/>
    <w:rsid w:val="00F25506"/>
    <w:rsid w:val="00F2597E"/>
    <w:rsid w:val="00F259EF"/>
    <w:rsid w:val="00F25A36"/>
    <w:rsid w:val="00F25E7C"/>
    <w:rsid w:val="00F25EE0"/>
    <w:rsid w:val="00F26B43"/>
    <w:rsid w:val="00F2750C"/>
    <w:rsid w:val="00F30FE0"/>
    <w:rsid w:val="00F313ED"/>
    <w:rsid w:val="00F31706"/>
    <w:rsid w:val="00F31A74"/>
    <w:rsid w:val="00F32CBB"/>
    <w:rsid w:val="00F32E41"/>
    <w:rsid w:val="00F3369C"/>
    <w:rsid w:val="00F34BD9"/>
    <w:rsid w:val="00F34E4E"/>
    <w:rsid w:val="00F353E6"/>
    <w:rsid w:val="00F36B71"/>
    <w:rsid w:val="00F36E23"/>
    <w:rsid w:val="00F370C4"/>
    <w:rsid w:val="00F37AA4"/>
    <w:rsid w:val="00F4282E"/>
    <w:rsid w:val="00F42B20"/>
    <w:rsid w:val="00F43F3C"/>
    <w:rsid w:val="00F44636"/>
    <w:rsid w:val="00F44B49"/>
    <w:rsid w:val="00F458D3"/>
    <w:rsid w:val="00F45A03"/>
    <w:rsid w:val="00F45FD9"/>
    <w:rsid w:val="00F4605F"/>
    <w:rsid w:val="00F5002A"/>
    <w:rsid w:val="00F50118"/>
    <w:rsid w:val="00F513C5"/>
    <w:rsid w:val="00F518FD"/>
    <w:rsid w:val="00F51A17"/>
    <w:rsid w:val="00F52648"/>
    <w:rsid w:val="00F52856"/>
    <w:rsid w:val="00F5391C"/>
    <w:rsid w:val="00F54574"/>
    <w:rsid w:val="00F556A7"/>
    <w:rsid w:val="00F56319"/>
    <w:rsid w:val="00F56324"/>
    <w:rsid w:val="00F56B0F"/>
    <w:rsid w:val="00F56DBB"/>
    <w:rsid w:val="00F57619"/>
    <w:rsid w:val="00F606E5"/>
    <w:rsid w:val="00F60A18"/>
    <w:rsid w:val="00F60BAE"/>
    <w:rsid w:val="00F6118B"/>
    <w:rsid w:val="00F6150D"/>
    <w:rsid w:val="00F6151E"/>
    <w:rsid w:val="00F62065"/>
    <w:rsid w:val="00F628B4"/>
    <w:rsid w:val="00F63350"/>
    <w:rsid w:val="00F63493"/>
    <w:rsid w:val="00F653F7"/>
    <w:rsid w:val="00F6589F"/>
    <w:rsid w:val="00F6595E"/>
    <w:rsid w:val="00F66FEB"/>
    <w:rsid w:val="00F671B9"/>
    <w:rsid w:val="00F673EF"/>
    <w:rsid w:val="00F67BFC"/>
    <w:rsid w:val="00F7091B"/>
    <w:rsid w:val="00F70C86"/>
    <w:rsid w:val="00F71474"/>
    <w:rsid w:val="00F71B15"/>
    <w:rsid w:val="00F726E3"/>
    <w:rsid w:val="00F72B31"/>
    <w:rsid w:val="00F7311D"/>
    <w:rsid w:val="00F73B44"/>
    <w:rsid w:val="00F73FB9"/>
    <w:rsid w:val="00F74ABA"/>
    <w:rsid w:val="00F74B69"/>
    <w:rsid w:val="00F75F80"/>
    <w:rsid w:val="00F76945"/>
    <w:rsid w:val="00F76F2C"/>
    <w:rsid w:val="00F76F55"/>
    <w:rsid w:val="00F76F8C"/>
    <w:rsid w:val="00F77B38"/>
    <w:rsid w:val="00F80FB6"/>
    <w:rsid w:val="00F80FCE"/>
    <w:rsid w:val="00F81EFD"/>
    <w:rsid w:val="00F82CF2"/>
    <w:rsid w:val="00F84B87"/>
    <w:rsid w:val="00F85453"/>
    <w:rsid w:val="00F85612"/>
    <w:rsid w:val="00F869B2"/>
    <w:rsid w:val="00F86DDD"/>
    <w:rsid w:val="00F87B57"/>
    <w:rsid w:val="00F87E30"/>
    <w:rsid w:val="00F9050F"/>
    <w:rsid w:val="00F90F1A"/>
    <w:rsid w:val="00F92442"/>
    <w:rsid w:val="00F92DAA"/>
    <w:rsid w:val="00F93B2F"/>
    <w:rsid w:val="00F93DD7"/>
    <w:rsid w:val="00F94638"/>
    <w:rsid w:val="00F959C8"/>
    <w:rsid w:val="00F96956"/>
    <w:rsid w:val="00F97AB4"/>
    <w:rsid w:val="00FA00A3"/>
    <w:rsid w:val="00FA031C"/>
    <w:rsid w:val="00FA0E81"/>
    <w:rsid w:val="00FA331F"/>
    <w:rsid w:val="00FA33D9"/>
    <w:rsid w:val="00FA3BCE"/>
    <w:rsid w:val="00FA3FC8"/>
    <w:rsid w:val="00FA53FF"/>
    <w:rsid w:val="00FA5E39"/>
    <w:rsid w:val="00FA5F6E"/>
    <w:rsid w:val="00FA627E"/>
    <w:rsid w:val="00FA6E8B"/>
    <w:rsid w:val="00FA7976"/>
    <w:rsid w:val="00FA7EB6"/>
    <w:rsid w:val="00FB0B33"/>
    <w:rsid w:val="00FB157D"/>
    <w:rsid w:val="00FB195A"/>
    <w:rsid w:val="00FB1C87"/>
    <w:rsid w:val="00FB2F36"/>
    <w:rsid w:val="00FB37B9"/>
    <w:rsid w:val="00FB3AD9"/>
    <w:rsid w:val="00FB3B72"/>
    <w:rsid w:val="00FB46CF"/>
    <w:rsid w:val="00FB4E8E"/>
    <w:rsid w:val="00FB6443"/>
    <w:rsid w:val="00FB6EF4"/>
    <w:rsid w:val="00FB7A2A"/>
    <w:rsid w:val="00FB7B3C"/>
    <w:rsid w:val="00FB7D67"/>
    <w:rsid w:val="00FC0072"/>
    <w:rsid w:val="00FC0BA8"/>
    <w:rsid w:val="00FC1B55"/>
    <w:rsid w:val="00FC2231"/>
    <w:rsid w:val="00FC2664"/>
    <w:rsid w:val="00FC27AC"/>
    <w:rsid w:val="00FC2FC3"/>
    <w:rsid w:val="00FC34E6"/>
    <w:rsid w:val="00FC3B79"/>
    <w:rsid w:val="00FC3C12"/>
    <w:rsid w:val="00FC4BB7"/>
    <w:rsid w:val="00FC5485"/>
    <w:rsid w:val="00FC580E"/>
    <w:rsid w:val="00FC6450"/>
    <w:rsid w:val="00FC653A"/>
    <w:rsid w:val="00FC7850"/>
    <w:rsid w:val="00FC7E42"/>
    <w:rsid w:val="00FD106B"/>
    <w:rsid w:val="00FD155D"/>
    <w:rsid w:val="00FD1E7D"/>
    <w:rsid w:val="00FD1FAB"/>
    <w:rsid w:val="00FD2603"/>
    <w:rsid w:val="00FD26F4"/>
    <w:rsid w:val="00FD2B26"/>
    <w:rsid w:val="00FD3472"/>
    <w:rsid w:val="00FD39CC"/>
    <w:rsid w:val="00FD3D37"/>
    <w:rsid w:val="00FD3DB2"/>
    <w:rsid w:val="00FD4A17"/>
    <w:rsid w:val="00FD5214"/>
    <w:rsid w:val="00FD576D"/>
    <w:rsid w:val="00FD6927"/>
    <w:rsid w:val="00FD6F72"/>
    <w:rsid w:val="00FD7F67"/>
    <w:rsid w:val="00FE029C"/>
    <w:rsid w:val="00FE038C"/>
    <w:rsid w:val="00FE0C34"/>
    <w:rsid w:val="00FE0F84"/>
    <w:rsid w:val="00FE138C"/>
    <w:rsid w:val="00FE14BD"/>
    <w:rsid w:val="00FE1D7F"/>
    <w:rsid w:val="00FE563F"/>
    <w:rsid w:val="00FE5E69"/>
    <w:rsid w:val="00FE64B0"/>
    <w:rsid w:val="00FE67B6"/>
    <w:rsid w:val="00FE6EC1"/>
    <w:rsid w:val="00FE7B94"/>
    <w:rsid w:val="00FE7E9E"/>
    <w:rsid w:val="00FF02DF"/>
    <w:rsid w:val="00FF0483"/>
    <w:rsid w:val="00FF0540"/>
    <w:rsid w:val="00FF1A36"/>
    <w:rsid w:val="00FF2FC7"/>
    <w:rsid w:val="00FF38AD"/>
    <w:rsid w:val="00FF3E2C"/>
    <w:rsid w:val="00FF48C1"/>
    <w:rsid w:val="00FF4C18"/>
    <w:rsid w:val="00FF534F"/>
    <w:rsid w:val="00FF54B0"/>
    <w:rsid w:val="00FF5D55"/>
    <w:rsid w:val="00FF5ED4"/>
    <w:rsid w:val="00FF60CF"/>
    <w:rsid w:val="00FF6E2B"/>
    <w:rsid w:val="00FF703C"/>
    <w:rsid w:val="01066A48"/>
    <w:rsid w:val="01080A12"/>
    <w:rsid w:val="01094808"/>
    <w:rsid w:val="010A29DC"/>
    <w:rsid w:val="010B2AF9"/>
    <w:rsid w:val="010C07D7"/>
    <w:rsid w:val="010E1780"/>
    <w:rsid w:val="01145609"/>
    <w:rsid w:val="01150CE5"/>
    <w:rsid w:val="011D2710"/>
    <w:rsid w:val="01203FAE"/>
    <w:rsid w:val="0128514C"/>
    <w:rsid w:val="012A2737"/>
    <w:rsid w:val="012B32E7"/>
    <w:rsid w:val="01315448"/>
    <w:rsid w:val="01326F3B"/>
    <w:rsid w:val="01347C2F"/>
    <w:rsid w:val="01394D41"/>
    <w:rsid w:val="01396E1E"/>
    <w:rsid w:val="013B4944"/>
    <w:rsid w:val="013D4B60"/>
    <w:rsid w:val="01437EC0"/>
    <w:rsid w:val="01483184"/>
    <w:rsid w:val="01562915"/>
    <w:rsid w:val="015754F6"/>
    <w:rsid w:val="0159009C"/>
    <w:rsid w:val="0162779C"/>
    <w:rsid w:val="0163262B"/>
    <w:rsid w:val="016814B1"/>
    <w:rsid w:val="016C0FA1"/>
    <w:rsid w:val="0179546C"/>
    <w:rsid w:val="017E784D"/>
    <w:rsid w:val="018468C7"/>
    <w:rsid w:val="018B1C01"/>
    <w:rsid w:val="018E1EA2"/>
    <w:rsid w:val="018E2B85"/>
    <w:rsid w:val="01904A93"/>
    <w:rsid w:val="01933707"/>
    <w:rsid w:val="019613A1"/>
    <w:rsid w:val="01962088"/>
    <w:rsid w:val="0196601E"/>
    <w:rsid w:val="01995B0E"/>
    <w:rsid w:val="019F652F"/>
    <w:rsid w:val="01A26771"/>
    <w:rsid w:val="01AF5332"/>
    <w:rsid w:val="01B110AA"/>
    <w:rsid w:val="01B85F94"/>
    <w:rsid w:val="01BD204C"/>
    <w:rsid w:val="01C16D3B"/>
    <w:rsid w:val="01CC1A40"/>
    <w:rsid w:val="01CD7985"/>
    <w:rsid w:val="01CF1530"/>
    <w:rsid w:val="01CF7782"/>
    <w:rsid w:val="01D011C5"/>
    <w:rsid w:val="01D23F28"/>
    <w:rsid w:val="01DD106E"/>
    <w:rsid w:val="01E0373D"/>
    <w:rsid w:val="01E322EE"/>
    <w:rsid w:val="01E626CD"/>
    <w:rsid w:val="01E925F2"/>
    <w:rsid w:val="01EE19B6"/>
    <w:rsid w:val="01EF572E"/>
    <w:rsid w:val="01F1594A"/>
    <w:rsid w:val="01F30BBC"/>
    <w:rsid w:val="01F36FCC"/>
    <w:rsid w:val="01F66931"/>
    <w:rsid w:val="01FA1688"/>
    <w:rsid w:val="01FF4D18"/>
    <w:rsid w:val="020411DA"/>
    <w:rsid w:val="02092C94"/>
    <w:rsid w:val="020A2692"/>
    <w:rsid w:val="0212505C"/>
    <w:rsid w:val="021667FB"/>
    <w:rsid w:val="021F3C5C"/>
    <w:rsid w:val="021F7DC1"/>
    <w:rsid w:val="02247ACE"/>
    <w:rsid w:val="0227263C"/>
    <w:rsid w:val="02283016"/>
    <w:rsid w:val="022C2C17"/>
    <w:rsid w:val="022E44A8"/>
    <w:rsid w:val="02355837"/>
    <w:rsid w:val="023615AF"/>
    <w:rsid w:val="02363994"/>
    <w:rsid w:val="02385327"/>
    <w:rsid w:val="024164DA"/>
    <w:rsid w:val="024261A6"/>
    <w:rsid w:val="02436F63"/>
    <w:rsid w:val="024912E2"/>
    <w:rsid w:val="02493090"/>
    <w:rsid w:val="024B6E08"/>
    <w:rsid w:val="024C492F"/>
    <w:rsid w:val="024F506A"/>
    <w:rsid w:val="02510197"/>
    <w:rsid w:val="0256755B"/>
    <w:rsid w:val="025811AF"/>
    <w:rsid w:val="02587777"/>
    <w:rsid w:val="02590DEF"/>
    <w:rsid w:val="0261662C"/>
    <w:rsid w:val="0264611C"/>
    <w:rsid w:val="02692041"/>
    <w:rsid w:val="027D2D3A"/>
    <w:rsid w:val="02816CCE"/>
    <w:rsid w:val="02820350"/>
    <w:rsid w:val="028265A2"/>
    <w:rsid w:val="02895B83"/>
    <w:rsid w:val="029600E7"/>
    <w:rsid w:val="0297204E"/>
    <w:rsid w:val="02985DC6"/>
    <w:rsid w:val="029B3ED2"/>
    <w:rsid w:val="02A156BA"/>
    <w:rsid w:val="02A62291"/>
    <w:rsid w:val="02A97FD3"/>
    <w:rsid w:val="02AE327C"/>
    <w:rsid w:val="02AF383B"/>
    <w:rsid w:val="02AF7852"/>
    <w:rsid w:val="02B20C36"/>
    <w:rsid w:val="02B26E88"/>
    <w:rsid w:val="02B56978"/>
    <w:rsid w:val="02B82D67"/>
    <w:rsid w:val="02BE75F0"/>
    <w:rsid w:val="02CB1732"/>
    <w:rsid w:val="02CE3403"/>
    <w:rsid w:val="02D45050"/>
    <w:rsid w:val="02D50DC8"/>
    <w:rsid w:val="02D84414"/>
    <w:rsid w:val="02DA6E33"/>
    <w:rsid w:val="02E01C47"/>
    <w:rsid w:val="02E55A35"/>
    <w:rsid w:val="02EA4873"/>
    <w:rsid w:val="02EB05EB"/>
    <w:rsid w:val="02F0175E"/>
    <w:rsid w:val="02F27FB9"/>
    <w:rsid w:val="03021DBB"/>
    <w:rsid w:val="03045209"/>
    <w:rsid w:val="03077138"/>
    <w:rsid w:val="030A0A72"/>
    <w:rsid w:val="03152FC7"/>
    <w:rsid w:val="031C62A7"/>
    <w:rsid w:val="032079CC"/>
    <w:rsid w:val="032558AB"/>
    <w:rsid w:val="03261624"/>
    <w:rsid w:val="0328714A"/>
    <w:rsid w:val="032F2286"/>
    <w:rsid w:val="03305FFE"/>
    <w:rsid w:val="033200FC"/>
    <w:rsid w:val="03343D40"/>
    <w:rsid w:val="03422E78"/>
    <w:rsid w:val="034A70C0"/>
    <w:rsid w:val="034C1F10"/>
    <w:rsid w:val="034D5288"/>
    <w:rsid w:val="034D6BB0"/>
    <w:rsid w:val="034F0B7A"/>
    <w:rsid w:val="03511C9F"/>
    <w:rsid w:val="03547F3F"/>
    <w:rsid w:val="03573574"/>
    <w:rsid w:val="0358051C"/>
    <w:rsid w:val="035C4902"/>
    <w:rsid w:val="035E700F"/>
    <w:rsid w:val="03600692"/>
    <w:rsid w:val="0361454E"/>
    <w:rsid w:val="03630182"/>
    <w:rsid w:val="0366488A"/>
    <w:rsid w:val="03690EAC"/>
    <w:rsid w:val="036B7036"/>
    <w:rsid w:val="036C5E11"/>
    <w:rsid w:val="036D7252"/>
    <w:rsid w:val="03731012"/>
    <w:rsid w:val="037660BA"/>
    <w:rsid w:val="03782B4D"/>
    <w:rsid w:val="037B54CB"/>
    <w:rsid w:val="03850225"/>
    <w:rsid w:val="038720C2"/>
    <w:rsid w:val="038B1487"/>
    <w:rsid w:val="03960557"/>
    <w:rsid w:val="0396194E"/>
    <w:rsid w:val="03977E2B"/>
    <w:rsid w:val="039B5B6E"/>
    <w:rsid w:val="039E565E"/>
    <w:rsid w:val="03A04F32"/>
    <w:rsid w:val="03A055CA"/>
    <w:rsid w:val="03A2514E"/>
    <w:rsid w:val="03A323C4"/>
    <w:rsid w:val="03A52548"/>
    <w:rsid w:val="03AD58A1"/>
    <w:rsid w:val="03B24315"/>
    <w:rsid w:val="03BC4BD4"/>
    <w:rsid w:val="03BE360A"/>
    <w:rsid w:val="03C07382"/>
    <w:rsid w:val="03C10429"/>
    <w:rsid w:val="03C129C0"/>
    <w:rsid w:val="03C50843"/>
    <w:rsid w:val="03C74BB5"/>
    <w:rsid w:val="03CD109D"/>
    <w:rsid w:val="03CD1F8C"/>
    <w:rsid w:val="03D35307"/>
    <w:rsid w:val="03D712BE"/>
    <w:rsid w:val="03DA6A2E"/>
    <w:rsid w:val="03E05C76"/>
    <w:rsid w:val="03E26ED3"/>
    <w:rsid w:val="03E42333"/>
    <w:rsid w:val="03E5328D"/>
    <w:rsid w:val="03E7460F"/>
    <w:rsid w:val="03F4527E"/>
    <w:rsid w:val="03F90AE6"/>
    <w:rsid w:val="03FA199A"/>
    <w:rsid w:val="03FB485E"/>
    <w:rsid w:val="04016281"/>
    <w:rsid w:val="04021749"/>
    <w:rsid w:val="040E6340"/>
    <w:rsid w:val="0410290D"/>
    <w:rsid w:val="0411010C"/>
    <w:rsid w:val="04161698"/>
    <w:rsid w:val="041B2BA7"/>
    <w:rsid w:val="04221DEB"/>
    <w:rsid w:val="04226987"/>
    <w:rsid w:val="042A0CA0"/>
    <w:rsid w:val="042C2C6A"/>
    <w:rsid w:val="042E0790"/>
    <w:rsid w:val="043A064F"/>
    <w:rsid w:val="043F0BEF"/>
    <w:rsid w:val="04435A90"/>
    <w:rsid w:val="04446205"/>
    <w:rsid w:val="044A579B"/>
    <w:rsid w:val="04544215"/>
    <w:rsid w:val="04575F38"/>
    <w:rsid w:val="0458580D"/>
    <w:rsid w:val="046B100C"/>
    <w:rsid w:val="046C12B8"/>
    <w:rsid w:val="04700DA8"/>
    <w:rsid w:val="04706FFA"/>
    <w:rsid w:val="04714B20"/>
    <w:rsid w:val="047168CE"/>
    <w:rsid w:val="04796DD1"/>
    <w:rsid w:val="047F723D"/>
    <w:rsid w:val="04815948"/>
    <w:rsid w:val="048B065E"/>
    <w:rsid w:val="048C3708"/>
    <w:rsid w:val="048E5014"/>
    <w:rsid w:val="049614AC"/>
    <w:rsid w:val="049853D9"/>
    <w:rsid w:val="049C150C"/>
    <w:rsid w:val="049D12CA"/>
    <w:rsid w:val="049D3B67"/>
    <w:rsid w:val="049F168E"/>
    <w:rsid w:val="04A46CA4"/>
    <w:rsid w:val="04A86794"/>
    <w:rsid w:val="04A942BA"/>
    <w:rsid w:val="04AE367F"/>
    <w:rsid w:val="04B213C1"/>
    <w:rsid w:val="04B509E1"/>
    <w:rsid w:val="04B769D7"/>
    <w:rsid w:val="04B87D94"/>
    <w:rsid w:val="04BD1B14"/>
    <w:rsid w:val="04BD4FD8"/>
    <w:rsid w:val="04C44C50"/>
    <w:rsid w:val="04CE5ACF"/>
    <w:rsid w:val="04D31337"/>
    <w:rsid w:val="04D54F3B"/>
    <w:rsid w:val="04D94C69"/>
    <w:rsid w:val="04DF5FF1"/>
    <w:rsid w:val="04E377CC"/>
    <w:rsid w:val="04E419B4"/>
    <w:rsid w:val="04E43A59"/>
    <w:rsid w:val="04E452F2"/>
    <w:rsid w:val="04E6106A"/>
    <w:rsid w:val="04E83035"/>
    <w:rsid w:val="04E84DE3"/>
    <w:rsid w:val="04EC3924"/>
    <w:rsid w:val="04EE5708"/>
    <w:rsid w:val="04EF177E"/>
    <w:rsid w:val="04FC263C"/>
    <w:rsid w:val="04FE74A3"/>
    <w:rsid w:val="051058E9"/>
    <w:rsid w:val="05107E95"/>
    <w:rsid w:val="0512079F"/>
    <w:rsid w:val="05121E5F"/>
    <w:rsid w:val="05184F9C"/>
    <w:rsid w:val="05191440"/>
    <w:rsid w:val="051E25B2"/>
    <w:rsid w:val="052351C0"/>
    <w:rsid w:val="05241B93"/>
    <w:rsid w:val="0526590B"/>
    <w:rsid w:val="0526646A"/>
    <w:rsid w:val="052829BA"/>
    <w:rsid w:val="053011A4"/>
    <w:rsid w:val="05301830"/>
    <w:rsid w:val="05311CF3"/>
    <w:rsid w:val="05373674"/>
    <w:rsid w:val="05394859"/>
    <w:rsid w:val="053C0C8A"/>
    <w:rsid w:val="054162A1"/>
    <w:rsid w:val="0548177D"/>
    <w:rsid w:val="05533CBE"/>
    <w:rsid w:val="05543E06"/>
    <w:rsid w:val="056015FA"/>
    <w:rsid w:val="0560706F"/>
    <w:rsid w:val="05614B95"/>
    <w:rsid w:val="0561665A"/>
    <w:rsid w:val="05616943"/>
    <w:rsid w:val="05656433"/>
    <w:rsid w:val="05705DB7"/>
    <w:rsid w:val="05726DA2"/>
    <w:rsid w:val="05793C8D"/>
    <w:rsid w:val="05795E98"/>
    <w:rsid w:val="057B176B"/>
    <w:rsid w:val="0588711B"/>
    <w:rsid w:val="0589009F"/>
    <w:rsid w:val="058F34B0"/>
    <w:rsid w:val="05926AFC"/>
    <w:rsid w:val="059C5BCD"/>
    <w:rsid w:val="05A056BD"/>
    <w:rsid w:val="05A625A8"/>
    <w:rsid w:val="05AA02EA"/>
    <w:rsid w:val="05B35E4B"/>
    <w:rsid w:val="05B63373"/>
    <w:rsid w:val="05BB24F7"/>
    <w:rsid w:val="05BB42A5"/>
    <w:rsid w:val="05C56BBF"/>
    <w:rsid w:val="05CB200E"/>
    <w:rsid w:val="05CD5D86"/>
    <w:rsid w:val="05CE0012"/>
    <w:rsid w:val="05D67331"/>
    <w:rsid w:val="05D971E1"/>
    <w:rsid w:val="05DA43D9"/>
    <w:rsid w:val="05DB66F5"/>
    <w:rsid w:val="05E27A84"/>
    <w:rsid w:val="05E732EC"/>
    <w:rsid w:val="05F263F3"/>
    <w:rsid w:val="05F814A1"/>
    <w:rsid w:val="06021ED4"/>
    <w:rsid w:val="060D4472"/>
    <w:rsid w:val="061B33AB"/>
    <w:rsid w:val="061D286A"/>
    <w:rsid w:val="062475CD"/>
    <w:rsid w:val="06287461"/>
    <w:rsid w:val="062E0F1B"/>
    <w:rsid w:val="06304C93"/>
    <w:rsid w:val="06307FED"/>
    <w:rsid w:val="063858F6"/>
    <w:rsid w:val="06420522"/>
    <w:rsid w:val="06420711"/>
    <w:rsid w:val="0645240D"/>
    <w:rsid w:val="0650515A"/>
    <w:rsid w:val="065546FA"/>
    <w:rsid w:val="065E775E"/>
    <w:rsid w:val="0664493D"/>
    <w:rsid w:val="06652463"/>
    <w:rsid w:val="06676029"/>
    <w:rsid w:val="06701B73"/>
    <w:rsid w:val="067539B5"/>
    <w:rsid w:val="067F3525"/>
    <w:rsid w:val="067F72E2"/>
    <w:rsid w:val="06862B05"/>
    <w:rsid w:val="0696086E"/>
    <w:rsid w:val="069A036D"/>
    <w:rsid w:val="069C687F"/>
    <w:rsid w:val="06A173EE"/>
    <w:rsid w:val="06A349F0"/>
    <w:rsid w:val="06AB234E"/>
    <w:rsid w:val="06AB256C"/>
    <w:rsid w:val="06AB431A"/>
    <w:rsid w:val="06AB4E25"/>
    <w:rsid w:val="06AB60C8"/>
    <w:rsid w:val="06AD37E7"/>
    <w:rsid w:val="06AF6DFB"/>
    <w:rsid w:val="06B70F10"/>
    <w:rsid w:val="06B71D57"/>
    <w:rsid w:val="06BA630B"/>
    <w:rsid w:val="06BE5BE4"/>
    <w:rsid w:val="06C851A0"/>
    <w:rsid w:val="06D3561E"/>
    <w:rsid w:val="06D53145"/>
    <w:rsid w:val="06D73361"/>
    <w:rsid w:val="06D76A5A"/>
    <w:rsid w:val="06DE2BA7"/>
    <w:rsid w:val="06DF3FC3"/>
    <w:rsid w:val="06EC048E"/>
    <w:rsid w:val="06F7539A"/>
    <w:rsid w:val="06F85085"/>
    <w:rsid w:val="07035F73"/>
    <w:rsid w:val="07047ECE"/>
    <w:rsid w:val="07083BAF"/>
    <w:rsid w:val="070954E4"/>
    <w:rsid w:val="070A023E"/>
    <w:rsid w:val="070B0AB9"/>
    <w:rsid w:val="070B125C"/>
    <w:rsid w:val="070B4DB8"/>
    <w:rsid w:val="070E6657"/>
    <w:rsid w:val="07112C5B"/>
    <w:rsid w:val="07117EF5"/>
    <w:rsid w:val="07132FB9"/>
    <w:rsid w:val="07140111"/>
    <w:rsid w:val="07153E89"/>
    <w:rsid w:val="071613D7"/>
    <w:rsid w:val="071D689A"/>
    <w:rsid w:val="071E2D3E"/>
    <w:rsid w:val="07245E7A"/>
    <w:rsid w:val="0731167A"/>
    <w:rsid w:val="073C0184"/>
    <w:rsid w:val="073C31C4"/>
    <w:rsid w:val="07416A2C"/>
    <w:rsid w:val="074D717F"/>
    <w:rsid w:val="07512DF9"/>
    <w:rsid w:val="07533584"/>
    <w:rsid w:val="075C5614"/>
    <w:rsid w:val="075F5104"/>
    <w:rsid w:val="076072C9"/>
    <w:rsid w:val="07612C2A"/>
    <w:rsid w:val="07630750"/>
    <w:rsid w:val="0777244E"/>
    <w:rsid w:val="0778608B"/>
    <w:rsid w:val="077C61EA"/>
    <w:rsid w:val="07830DF3"/>
    <w:rsid w:val="07834DF6"/>
    <w:rsid w:val="07866B35"/>
    <w:rsid w:val="078B414B"/>
    <w:rsid w:val="078B7FF7"/>
    <w:rsid w:val="078D3A1F"/>
    <w:rsid w:val="078E1545"/>
    <w:rsid w:val="0790350F"/>
    <w:rsid w:val="079270B3"/>
    <w:rsid w:val="079A613C"/>
    <w:rsid w:val="079F5C06"/>
    <w:rsid w:val="07AA45D1"/>
    <w:rsid w:val="07AD4364"/>
    <w:rsid w:val="07AF3996"/>
    <w:rsid w:val="07B02D9F"/>
    <w:rsid w:val="07B40395"/>
    <w:rsid w:val="07B40FAC"/>
    <w:rsid w:val="07C75183"/>
    <w:rsid w:val="07CA4C73"/>
    <w:rsid w:val="07CA6A21"/>
    <w:rsid w:val="07CC0951"/>
    <w:rsid w:val="07D01B5E"/>
    <w:rsid w:val="07D6482B"/>
    <w:rsid w:val="07DC0503"/>
    <w:rsid w:val="07E00A0F"/>
    <w:rsid w:val="07E1193E"/>
    <w:rsid w:val="07E21B99"/>
    <w:rsid w:val="07E55609"/>
    <w:rsid w:val="07ED44BE"/>
    <w:rsid w:val="07F25A76"/>
    <w:rsid w:val="07F65A68"/>
    <w:rsid w:val="07F75B71"/>
    <w:rsid w:val="08064057"/>
    <w:rsid w:val="08065580"/>
    <w:rsid w:val="080D2DB2"/>
    <w:rsid w:val="08144D37"/>
    <w:rsid w:val="081E4FBF"/>
    <w:rsid w:val="08236EC5"/>
    <w:rsid w:val="08273E74"/>
    <w:rsid w:val="082962EA"/>
    <w:rsid w:val="082D0D5E"/>
    <w:rsid w:val="08395955"/>
    <w:rsid w:val="083E11BD"/>
    <w:rsid w:val="083F4F74"/>
    <w:rsid w:val="08417D02"/>
    <w:rsid w:val="08431ACB"/>
    <w:rsid w:val="084C5688"/>
    <w:rsid w:val="084E5DED"/>
    <w:rsid w:val="0854278F"/>
    <w:rsid w:val="08566507"/>
    <w:rsid w:val="085A276B"/>
    <w:rsid w:val="086700DB"/>
    <w:rsid w:val="086F3422"/>
    <w:rsid w:val="087066FC"/>
    <w:rsid w:val="08744BDF"/>
    <w:rsid w:val="087F5A5E"/>
    <w:rsid w:val="08803584"/>
    <w:rsid w:val="08805332"/>
    <w:rsid w:val="08857BBC"/>
    <w:rsid w:val="088C017B"/>
    <w:rsid w:val="088D4E43"/>
    <w:rsid w:val="088E3EF3"/>
    <w:rsid w:val="0899227D"/>
    <w:rsid w:val="089B1EC4"/>
    <w:rsid w:val="089E3A0A"/>
    <w:rsid w:val="08AC338A"/>
    <w:rsid w:val="08AF5C17"/>
    <w:rsid w:val="08B446D3"/>
    <w:rsid w:val="08B83EB5"/>
    <w:rsid w:val="08BB45BC"/>
    <w:rsid w:val="08BE081E"/>
    <w:rsid w:val="08C276F9"/>
    <w:rsid w:val="08C461D1"/>
    <w:rsid w:val="08C47661"/>
    <w:rsid w:val="08C93226"/>
    <w:rsid w:val="08CB0CA3"/>
    <w:rsid w:val="08D4043A"/>
    <w:rsid w:val="08D4468A"/>
    <w:rsid w:val="08D85F88"/>
    <w:rsid w:val="08E81855"/>
    <w:rsid w:val="08EC29C7"/>
    <w:rsid w:val="08F024B8"/>
    <w:rsid w:val="08F04266"/>
    <w:rsid w:val="08F17FDE"/>
    <w:rsid w:val="08F33D56"/>
    <w:rsid w:val="08F875BE"/>
    <w:rsid w:val="08F979E1"/>
    <w:rsid w:val="08FD1976"/>
    <w:rsid w:val="08FD4BD5"/>
    <w:rsid w:val="090221EB"/>
    <w:rsid w:val="09027FAC"/>
    <w:rsid w:val="090830A4"/>
    <w:rsid w:val="090C33A6"/>
    <w:rsid w:val="090D62B3"/>
    <w:rsid w:val="090F7036"/>
    <w:rsid w:val="090F782C"/>
    <w:rsid w:val="09121B08"/>
    <w:rsid w:val="09130AD3"/>
    <w:rsid w:val="09153C1F"/>
    <w:rsid w:val="091837BC"/>
    <w:rsid w:val="091D0DD3"/>
    <w:rsid w:val="09271661"/>
    <w:rsid w:val="092E3A4F"/>
    <w:rsid w:val="09381EAE"/>
    <w:rsid w:val="093C031A"/>
    <w:rsid w:val="0940106F"/>
    <w:rsid w:val="09413E70"/>
    <w:rsid w:val="0944289E"/>
    <w:rsid w:val="0946032A"/>
    <w:rsid w:val="09480908"/>
    <w:rsid w:val="094C3466"/>
    <w:rsid w:val="094E7493"/>
    <w:rsid w:val="0951052A"/>
    <w:rsid w:val="095446DE"/>
    <w:rsid w:val="095A5B83"/>
    <w:rsid w:val="095A6844"/>
    <w:rsid w:val="095B0C22"/>
    <w:rsid w:val="09672A54"/>
    <w:rsid w:val="09684744"/>
    <w:rsid w:val="096864F2"/>
    <w:rsid w:val="096B7D90"/>
    <w:rsid w:val="096D1D5A"/>
    <w:rsid w:val="09706D78"/>
    <w:rsid w:val="09795283"/>
    <w:rsid w:val="097E176B"/>
    <w:rsid w:val="09827DCD"/>
    <w:rsid w:val="09842C00"/>
    <w:rsid w:val="098552F6"/>
    <w:rsid w:val="098D7D07"/>
    <w:rsid w:val="0992356F"/>
    <w:rsid w:val="09925A90"/>
    <w:rsid w:val="09926E4D"/>
    <w:rsid w:val="09931095"/>
    <w:rsid w:val="099C7CF2"/>
    <w:rsid w:val="09AB63DF"/>
    <w:rsid w:val="09AB798B"/>
    <w:rsid w:val="09AC135B"/>
    <w:rsid w:val="09AC4634"/>
    <w:rsid w:val="09AF2373"/>
    <w:rsid w:val="09B10119"/>
    <w:rsid w:val="09B53677"/>
    <w:rsid w:val="09B83B0C"/>
    <w:rsid w:val="09BA2AC6"/>
    <w:rsid w:val="09BC4A90"/>
    <w:rsid w:val="09C6146A"/>
    <w:rsid w:val="09D17584"/>
    <w:rsid w:val="09D75426"/>
    <w:rsid w:val="09D85583"/>
    <w:rsid w:val="09D9119E"/>
    <w:rsid w:val="09DB5D48"/>
    <w:rsid w:val="09DC47EA"/>
    <w:rsid w:val="09E240A4"/>
    <w:rsid w:val="09E475D8"/>
    <w:rsid w:val="09EC3A40"/>
    <w:rsid w:val="09EF276F"/>
    <w:rsid w:val="09EF451D"/>
    <w:rsid w:val="09F04D02"/>
    <w:rsid w:val="09F14739"/>
    <w:rsid w:val="09F2225F"/>
    <w:rsid w:val="09FE29B2"/>
    <w:rsid w:val="0A0145E3"/>
    <w:rsid w:val="0A0A57FB"/>
    <w:rsid w:val="0A0B591F"/>
    <w:rsid w:val="0A0D1961"/>
    <w:rsid w:val="0A171CC6"/>
    <w:rsid w:val="0A1D552E"/>
    <w:rsid w:val="0A2A63E7"/>
    <w:rsid w:val="0A2F7010"/>
    <w:rsid w:val="0A3B48B9"/>
    <w:rsid w:val="0A40121D"/>
    <w:rsid w:val="0A40746F"/>
    <w:rsid w:val="0A407D85"/>
    <w:rsid w:val="0A426D43"/>
    <w:rsid w:val="0A472281"/>
    <w:rsid w:val="0A484412"/>
    <w:rsid w:val="0A4C0D82"/>
    <w:rsid w:val="0A4E5ABC"/>
    <w:rsid w:val="0A5F080B"/>
    <w:rsid w:val="0A601D71"/>
    <w:rsid w:val="0A650C83"/>
    <w:rsid w:val="0A652A31"/>
    <w:rsid w:val="0A670558"/>
    <w:rsid w:val="0A6932D7"/>
    <w:rsid w:val="0A6B77C1"/>
    <w:rsid w:val="0A747118"/>
    <w:rsid w:val="0A844475"/>
    <w:rsid w:val="0A8455AD"/>
    <w:rsid w:val="0A863B68"/>
    <w:rsid w:val="0A867BBA"/>
    <w:rsid w:val="0A8D3D36"/>
    <w:rsid w:val="0A8E1890"/>
    <w:rsid w:val="0A900A2D"/>
    <w:rsid w:val="0A911A78"/>
    <w:rsid w:val="0A9926DB"/>
    <w:rsid w:val="0A9F70DB"/>
    <w:rsid w:val="0AA2576C"/>
    <w:rsid w:val="0AA417AC"/>
    <w:rsid w:val="0AA438A7"/>
    <w:rsid w:val="0AA572D2"/>
    <w:rsid w:val="0AA96DC2"/>
    <w:rsid w:val="0AAF1EFF"/>
    <w:rsid w:val="0AB063A2"/>
    <w:rsid w:val="0AB44C7D"/>
    <w:rsid w:val="0AB85257"/>
    <w:rsid w:val="0AB87005"/>
    <w:rsid w:val="0ABB191E"/>
    <w:rsid w:val="0AC05EBA"/>
    <w:rsid w:val="0AC534D0"/>
    <w:rsid w:val="0ACA1B56"/>
    <w:rsid w:val="0ACA6D38"/>
    <w:rsid w:val="0AD07E92"/>
    <w:rsid w:val="0AD67BFB"/>
    <w:rsid w:val="0AD71885"/>
    <w:rsid w:val="0AD90E7C"/>
    <w:rsid w:val="0AE24082"/>
    <w:rsid w:val="0AEA1189"/>
    <w:rsid w:val="0AEC4F01"/>
    <w:rsid w:val="0AED49F2"/>
    <w:rsid w:val="0AF03373"/>
    <w:rsid w:val="0AF65D7F"/>
    <w:rsid w:val="0B0A115E"/>
    <w:rsid w:val="0B0A5387"/>
    <w:rsid w:val="0B0B7473"/>
    <w:rsid w:val="0B0F01F5"/>
    <w:rsid w:val="0B116715"/>
    <w:rsid w:val="0B2428ED"/>
    <w:rsid w:val="0B2529AE"/>
    <w:rsid w:val="0B26038E"/>
    <w:rsid w:val="0B2B3C7B"/>
    <w:rsid w:val="0B310B66"/>
    <w:rsid w:val="0B357B6B"/>
    <w:rsid w:val="0B370759"/>
    <w:rsid w:val="0B3C19E4"/>
    <w:rsid w:val="0B412FE6"/>
    <w:rsid w:val="0B41524D"/>
    <w:rsid w:val="0B444D3D"/>
    <w:rsid w:val="0B464611"/>
    <w:rsid w:val="0B550CF8"/>
    <w:rsid w:val="0B554854"/>
    <w:rsid w:val="0B5605CC"/>
    <w:rsid w:val="0B561090"/>
    <w:rsid w:val="0B5739B0"/>
    <w:rsid w:val="0B6251C3"/>
    <w:rsid w:val="0B63105D"/>
    <w:rsid w:val="0B642CE9"/>
    <w:rsid w:val="0B6B2219"/>
    <w:rsid w:val="0B6C0A84"/>
    <w:rsid w:val="0B705B32"/>
    <w:rsid w:val="0B7078E0"/>
    <w:rsid w:val="0B7471EA"/>
    <w:rsid w:val="0B786794"/>
    <w:rsid w:val="0B7E024F"/>
    <w:rsid w:val="0B7F5D75"/>
    <w:rsid w:val="0B837613"/>
    <w:rsid w:val="0B941820"/>
    <w:rsid w:val="0B955598"/>
    <w:rsid w:val="0B971310"/>
    <w:rsid w:val="0B9730BE"/>
    <w:rsid w:val="0B973792"/>
    <w:rsid w:val="0BAE7951"/>
    <w:rsid w:val="0BB15CFC"/>
    <w:rsid w:val="0BB3615F"/>
    <w:rsid w:val="0BB643CC"/>
    <w:rsid w:val="0BB84DE3"/>
    <w:rsid w:val="0BBC48D3"/>
    <w:rsid w:val="0BC1013B"/>
    <w:rsid w:val="0BC56019"/>
    <w:rsid w:val="0BC639A4"/>
    <w:rsid w:val="0BC83278"/>
    <w:rsid w:val="0BCB0FBA"/>
    <w:rsid w:val="0BCF2CAD"/>
    <w:rsid w:val="0BDC6284"/>
    <w:rsid w:val="0BDF6813"/>
    <w:rsid w:val="0BF027CF"/>
    <w:rsid w:val="0BF70001"/>
    <w:rsid w:val="0BF978D5"/>
    <w:rsid w:val="0BFA514F"/>
    <w:rsid w:val="0BFC73C5"/>
    <w:rsid w:val="0BFF54E7"/>
    <w:rsid w:val="0C083FBC"/>
    <w:rsid w:val="0C097569"/>
    <w:rsid w:val="0C0A1AE2"/>
    <w:rsid w:val="0C1069CD"/>
    <w:rsid w:val="0C126BE9"/>
    <w:rsid w:val="0C152FCB"/>
    <w:rsid w:val="0C160487"/>
    <w:rsid w:val="0C175FAD"/>
    <w:rsid w:val="0C1E2A2D"/>
    <w:rsid w:val="0C1F4E62"/>
    <w:rsid w:val="0C22507E"/>
    <w:rsid w:val="0C34090D"/>
    <w:rsid w:val="0C3703FE"/>
    <w:rsid w:val="0C3D1EB8"/>
    <w:rsid w:val="0C3F0CE9"/>
    <w:rsid w:val="0C3F7CB2"/>
    <w:rsid w:val="0C400913"/>
    <w:rsid w:val="0C427796"/>
    <w:rsid w:val="0C4C1587"/>
    <w:rsid w:val="0C4F3999"/>
    <w:rsid w:val="0C525237"/>
    <w:rsid w:val="0C547201"/>
    <w:rsid w:val="0C550884"/>
    <w:rsid w:val="0C594818"/>
    <w:rsid w:val="0C641D70"/>
    <w:rsid w:val="0C674149"/>
    <w:rsid w:val="0C6E3B82"/>
    <w:rsid w:val="0C6F4DCD"/>
    <w:rsid w:val="0C727A18"/>
    <w:rsid w:val="0C741652"/>
    <w:rsid w:val="0C7D42D8"/>
    <w:rsid w:val="0C853291"/>
    <w:rsid w:val="0C8973F9"/>
    <w:rsid w:val="0C8E0CA1"/>
    <w:rsid w:val="0C931AD8"/>
    <w:rsid w:val="0C97189C"/>
    <w:rsid w:val="0C985340"/>
    <w:rsid w:val="0C994C14"/>
    <w:rsid w:val="0C9B3A4F"/>
    <w:rsid w:val="0C9C4A0A"/>
    <w:rsid w:val="0CA02447"/>
    <w:rsid w:val="0CA21D1B"/>
    <w:rsid w:val="0CA8616C"/>
    <w:rsid w:val="0CAA0BCF"/>
    <w:rsid w:val="0CAE6912"/>
    <w:rsid w:val="0CB63A18"/>
    <w:rsid w:val="0CB90E13"/>
    <w:rsid w:val="0CB97065"/>
    <w:rsid w:val="0CC57E71"/>
    <w:rsid w:val="0CC71781"/>
    <w:rsid w:val="0CC779D3"/>
    <w:rsid w:val="0CCC323C"/>
    <w:rsid w:val="0CD30126"/>
    <w:rsid w:val="0CD81BE1"/>
    <w:rsid w:val="0CDB6FDB"/>
    <w:rsid w:val="0CDD71F7"/>
    <w:rsid w:val="0CE2480D"/>
    <w:rsid w:val="0CE62A84"/>
    <w:rsid w:val="0CE71E24"/>
    <w:rsid w:val="0CE916F8"/>
    <w:rsid w:val="0CF27C1D"/>
    <w:rsid w:val="0CF307C8"/>
    <w:rsid w:val="0CF32576"/>
    <w:rsid w:val="0CF4009D"/>
    <w:rsid w:val="0CFA1B57"/>
    <w:rsid w:val="0CFB142B"/>
    <w:rsid w:val="0D045593"/>
    <w:rsid w:val="0D076022"/>
    <w:rsid w:val="0D0A269D"/>
    <w:rsid w:val="0D0D2CFE"/>
    <w:rsid w:val="0D0F4ED6"/>
    <w:rsid w:val="0D1D75F3"/>
    <w:rsid w:val="0D202E11"/>
    <w:rsid w:val="0D2167C4"/>
    <w:rsid w:val="0D246BD4"/>
    <w:rsid w:val="0D270472"/>
    <w:rsid w:val="0D2B61B4"/>
    <w:rsid w:val="0D335069"/>
    <w:rsid w:val="0D34162B"/>
    <w:rsid w:val="0D35136C"/>
    <w:rsid w:val="0D355B8A"/>
    <w:rsid w:val="0D3A01A5"/>
    <w:rsid w:val="0D3C666E"/>
    <w:rsid w:val="0D3F3A0E"/>
    <w:rsid w:val="0D404FEF"/>
    <w:rsid w:val="0D430128"/>
    <w:rsid w:val="0D474670"/>
    <w:rsid w:val="0D4A4AC2"/>
    <w:rsid w:val="0D4B2102"/>
    <w:rsid w:val="0D4B23B2"/>
    <w:rsid w:val="0D4B29FE"/>
    <w:rsid w:val="0D4E75B4"/>
    <w:rsid w:val="0D502BB6"/>
    <w:rsid w:val="0D562B05"/>
    <w:rsid w:val="0D576FA9"/>
    <w:rsid w:val="0D585E47"/>
    <w:rsid w:val="0D5937C0"/>
    <w:rsid w:val="0D5972D7"/>
    <w:rsid w:val="0D5C45C0"/>
    <w:rsid w:val="0D5F2CC7"/>
    <w:rsid w:val="0D602D17"/>
    <w:rsid w:val="0D605732"/>
    <w:rsid w:val="0D6945E7"/>
    <w:rsid w:val="0D696DCC"/>
    <w:rsid w:val="0D6F7730"/>
    <w:rsid w:val="0D721847"/>
    <w:rsid w:val="0D743CCE"/>
    <w:rsid w:val="0D750857"/>
    <w:rsid w:val="0D830E03"/>
    <w:rsid w:val="0D844F76"/>
    <w:rsid w:val="0D8458C4"/>
    <w:rsid w:val="0D865CFD"/>
    <w:rsid w:val="0D8B7497"/>
    <w:rsid w:val="0D8C6527"/>
    <w:rsid w:val="0D8D4E93"/>
    <w:rsid w:val="0D906017"/>
    <w:rsid w:val="0D9553DC"/>
    <w:rsid w:val="0D992A2B"/>
    <w:rsid w:val="0DA25D4B"/>
    <w:rsid w:val="0DAB2E51"/>
    <w:rsid w:val="0DAE514D"/>
    <w:rsid w:val="0DB066B9"/>
    <w:rsid w:val="0DB75DFF"/>
    <w:rsid w:val="0DB9619A"/>
    <w:rsid w:val="0DBC5D69"/>
    <w:rsid w:val="0DBE65FF"/>
    <w:rsid w:val="0DBF68FD"/>
    <w:rsid w:val="0DC14423"/>
    <w:rsid w:val="0DC42165"/>
    <w:rsid w:val="0DD028B8"/>
    <w:rsid w:val="0DD24882"/>
    <w:rsid w:val="0DEA03BD"/>
    <w:rsid w:val="0DEF3FB0"/>
    <w:rsid w:val="0DF11314"/>
    <w:rsid w:val="0DF50570"/>
    <w:rsid w:val="0E0013EF"/>
    <w:rsid w:val="0E027503"/>
    <w:rsid w:val="0E0A5DCA"/>
    <w:rsid w:val="0E0D1416"/>
    <w:rsid w:val="0E1739B8"/>
    <w:rsid w:val="0E1924B1"/>
    <w:rsid w:val="0E1C3D4F"/>
    <w:rsid w:val="0E266744"/>
    <w:rsid w:val="0E26697C"/>
    <w:rsid w:val="0E2718C1"/>
    <w:rsid w:val="0E286250"/>
    <w:rsid w:val="0E28755C"/>
    <w:rsid w:val="0E2C2B37"/>
    <w:rsid w:val="0E2F5830"/>
    <w:rsid w:val="0E320E7D"/>
    <w:rsid w:val="0E325320"/>
    <w:rsid w:val="0E353577"/>
    <w:rsid w:val="0E3552BE"/>
    <w:rsid w:val="0E3623F7"/>
    <w:rsid w:val="0E370B89"/>
    <w:rsid w:val="0E3B5A87"/>
    <w:rsid w:val="0E425FEA"/>
    <w:rsid w:val="0E4312DC"/>
    <w:rsid w:val="0E464928"/>
    <w:rsid w:val="0E4A4418"/>
    <w:rsid w:val="0E527771"/>
    <w:rsid w:val="0E575EC1"/>
    <w:rsid w:val="0E5A54F6"/>
    <w:rsid w:val="0E5E105B"/>
    <w:rsid w:val="0E601E8E"/>
    <w:rsid w:val="0E686875"/>
    <w:rsid w:val="0E6D2076"/>
    <w:rsid w:val="0E7616B1"/>
    <w:rsid w:val="0E76520D"/>
    <w:rsid w:val="0E770F85"/>
    <w:rsid w:val="0E7D2A40"/>
    <w:rsid w:val="0E8577A9"/>
    <w:rsid w:val="0E8C2C83"/>
    <w:rsid w:val="0E8D2557"/>
    <w:rsid w:val="0EA16002"/>
    <w:rsid w:val="0EA170AA"/>
    <w:rsid w:val="0EA248AC"/>
    <w:rsid w:val="0EA37FCC"/>
    <w:rsid w:val="0EA4010F"/>
    <w:rsid w:val="0EAB7F23"/>
    <w:rsid w:val="0EAD041A"/>
    <w:rsid w:val="0EAE1E76"/>
    <w:rsid w:val="0EAE2BD9"/>
    <w:rsid w:val="0EB61AAE"/>
    <w:rsid w:val="0EB96B98"/>
    <w:rsid w:val="0EBF36D0"/>
    <w:rsid w:val="0EC20452"/>
    <w:rsid w:val="0EC22C38"/>
    <w:rsid w:val="0EC43F85"/>
    <w:rsid w:val="0EC71F0D"/>
    <w:rsid w:val="0ECA37AB"/>
    <w:rsid w:val="0ECC12D1"/>
    <w:rsid w:val="0ED14B39"/>
    <w:rsid w:val="0ED6779A"/>
    <w:rsid w:val="0ED91C40"/>
    <w:rsid w:val="0EDC2BF8"/>
    <w:rsid w:val="0EDD4F42"/>
    <w:rsid w:val="0EDF667F"/>
    <w:rsid w:val="0EDF7256"/>
    <w:rsid w:val="0EE505E5"/>
    <w:rsid w:val="0EE72544"/>
    <w:rsid w:val="0EF2164E"/>
    <w:rsid w:val="0EF80318"/>
    <w:rsid w:val="0EF820C6"/>
    <w:rsid w:val="0EFD592E"/>
    <w:rsid w:val="0EFD746F"/>
    <w:rsid w:val="0F035B83"/>
    <w:rsid w:val="0F052A35"/>
    <w:rsid w:val="0F077A4C"/>
    <w:rsid w:val="0F0A3BA7"/>
    <w:rsid w:val="0F0F7410"/>
    <w:rsid w:val="0F166D2F"/>
    <w:rsid w:val="0F213A77"/>
    <w:rsid w:val="0F2410E0"/>
    <w:rsid w:val="0F2E3D3A"/>
    <w:rsid w:val="0F3A26DF"/>
    <w:rsid w:val="0F437652"/>
    <w:rsid w:val="0F4948EC"/>
    <w:rsid w:val="0F5218DB"/>
    <w:rsid w:val="0F557518"/>
    <w:rsid w:val="0F5F0397"/>
    <w:rsid w:val="0F601A19"/>
    <w:rsid w:val="0F64150A"/>
    <w:rsid w:val="0F681B47"/>
    <w:rsid w:val="0F6972E3"/>
    <w:rsid w:val="0F6C6610"/>
    <w:rsid w:val="0F723082"/>
    <w:rsid w:val="0F735BF1"/>
    <w:rsid w:val="0F751969"/>
    <w:rsid w:val="0F7A2ADB"/>
    <w:rsid w:val="0F80613A"/>
    <w:rsid w:val="0F875BF8"/>
    <w:rsid w:val="0F8A6A96"/>
    <w:rsid w:val="0F8C0A60"/>
    <w:rsid w:val="0F8E57DC"/>
    <w:rsid w:val="0F933B9D"/>
    <w:rsid w:val="0F9E0C0B"/>
    <w:rsid w:val="0FA26822"/>
    <w:rsid w:val="0FA364D6"/>
    <w:rsid w:val="0FA7589A"/>
    <w:rsid w:val="0FAD1102"/>
    <w:rsid w:val="0FB12275"/>
    <w:rsid w:val="0FB6788B"/>
    <w:rsid w:val="0FBC4108"/>
    <w:rsid w:val="0FBD6E6C"/>
    <w:rsid w:val="0FC14BAE"/>
    <w:rsid w:val="0FC236B1"/>
    <w:rsid w:val="0FCB77DB"/>
    <w:rsid w:val="0FD04DF1"/>
    <w:rsid w:val="0FD94B70"/>
    <w:rsid w:val="0FDC3796"/>
    <w:rsid w:val="0FE1227B"/>
    <w:rsid w:val="0FE73EE9"/>
    <w:rsid w:val="0FED14FF"/>
    <w:rsid w:val="0FF24D67"/>
    <w:rsid w:val="0FF46D31"/>
    <w:rsid w:val="0FFA3C1C"/>
    <w:rsid w:val="100200A7"/>
    <w:rsid w:val="100E7925"/>
    <w:rsid w:val="101210C7"/>
    <w:rsid w:val="1016131A"/>
    <w:rsid w:val="101C64FB"/>
    <w:rsid w:val="101F18D4"/>
    <w:rsid w:val="1021389E"/>
    <w:rsid w:val="10305890"/>
    <w:rsid w:val="10321608"/>
    <w:rsid w:val="10376C1E"/>
    <w:rsid w:val="10390BE8"/>
    <w:rsid w:val="104010EA"/>
    <w:rsid w:val="104E26CE"/>
    <w:rsid w:val="104E7D16"/>
    <w:rsid w:val="10540C60"/>
    <w:rsid w:val="10594CCA"/>
    <w:rsid w:val="10594DE6"/>
    <w:rsid w:val="10685029"/>
    <w:rsid w:val="10741C20"/>
    <w:rsid w:val="10765998"/>
    <w:rsid w:val="107B329C"/>
    <w:rsid w:val="107C0AD5"/>
    <w:rsid w:val="107F0312"/>
    <w:rsid w:val="10832C30"/>
    <w:rsid w:val="10832EE3"/>
    <w:rsid w:val="108654B0"/>
    <w:rsid w:val="108C6F6A"/>
    <w:rsid w:val="109059C3"/>
    <w:rsid w:val="10905CD8"/>
    <w:rsid w:val="10953A67"/>
    <w:rsid w:val="109745B6"/>
    <w:rsid w:val="109C2F25"/>
    <w:rsid w:val="10AD7440"/>
    <w:rsid w:val="10B14C22"/>
    <w:rsid w:val="10B27DBC"/>
    <w:rsid w:val="10B4260B"/>
    <w:rsid w:val="10BB33AB"/>
    <w:rsid w:val="10BC7123"/>
    <w:rsid w:val="10C02CE5"/>
    <w:rsid w:val="10C304B2"/>
    <w:rsid w:val="10C67196"/>
    <w:rsid w:val="10C81F6C"/>
    <w:rsid w:val="10CE0ECA"/>
    <w:rsid w:val="10D73F5D"/>
    <w:rsid w:val="10DD4DDE"/>
    <w:rsid w:val="10DD77C5"/>
    <w:rsid w:val="10DF33CB"/>
    <w:rsid w:val="10E50428"/>
    <w:rsid w:val="10EB7E81"/>
    <w:rsid w:val="10ED6EA5"/>
    <w:rsid w:val="10EE003C"/>
    <w:rsid w:val="10F66AD9"/>
    <w:rsid w:val="10F93ED3"/>
    <w:rsid w:val="10FB1780"/>
    <w:rsid w:val="10FB40F0"/>
    <w:rsid w:val="110411F6"/>
    <w:rsid w:val="110416CA"/>
    <w:rsid w:val="11047F89"/>
    <w:rsid w:val="110C29FA"/>
    <w:rsid w:val="110F36F7"/>
    <w:rsid w:val="11114A51"/>
    <w:rsid w:val="1115115A"/>
    <w:rsid w:val="111B02EE"/>
    <w:rsid w:val="111E393A"/>
    <w:rsid w:val="112006F6"/>
    <w:rsid w:val="112518E3"/>
    <w:rsid w:val="11254147"/>
    <w:rsid w:val="11274A63"/>
    <w:rsid w:val="11292A0B"/>
    <w:rsid w:val="112C076E"/>
    <w:rsid w:val="112E6273"/>
    <w:rsid w:val="11300EFF"/>
    <w:rsid w:val="11325DA5"/>
    <w:rsid w:val="113A2A01"/>
    <w:rsid w:val="113C092E"/>
    <w:rsid w:val="113F5831"/>
    <w:rsid w:val="1143764E"/>
    <w:rsid w:val="114D3F9C"/>
    <w:rsid w:val="114F7F97"/>
    <w:rsid w:val="1154735C"/>
    <w:rsid w:val="11567578"/>
    <w:rsid w:val="11586695"/>
    <w:rsid w:val="115F642C"/>
    <w:rsid w:val="11635DDC"/>
    <w:rsid w:val="11644F67"/>
    <w:rsid w:val="116B3023"/>
    <w:rsid w:val="116D71F8"/>
    <w:rsid w:val="117479FE"/>
    <w:rsid w:val="117F6ACF"/>
    <w:rsid w:val="118C6A91"/>
    <w:rsid w:val="118E286E"/>
    <w:rsid w:val="119423A3"/>
    <w:rsid w:val="119E525C"/>
    <w:rsid w:val="11A402E3"/>
    <w:rsid w:val="11A4040E"/>
    <w:rsid w:val="11A70D04"/>
    <w:rsid w:val="11A77DD3"/>
    <w:rsid w:val="11AD2C95"/>
    <w:rsid w:val="11AE2F10"/>
    <w:rsid w:val="11B36778"/>
    <w:rsid w:val="11BD1052"/>
    <w:rsid w:val="11BD333C"/>
    <w:rsid w:val="11C95F9C"/>
    <w:rsid w:val="11CC6EBD"/>
    <w:rsid w:val="11CE35B2"/>
    <w:rsid w:val="11D16BFE"/>
    <w:rsid w:val="11D73F28"/>
    <w:rsid w:val="11D8503F"/>
    <w:rsid w:val="11DA1F57"/>
    <w:rsid w:val="11DC0CEA"/>
    <w:rsid w:val="11DC5CCF"/>
    <w:rsid w:val="11DD55A3"/>
    <w:rsid w:val="11E2739D"/>
    <w:rsid w:val="11F254F3"/>
    <w:rsid w:val="11F31F18"/>
    <w:rsid w:val="11F528ED"/>
    <w:rsid w:val="11F954F0"/>
    <w:rsid w:val="11FF52A7"/>
    <w:rsid w:val="12024E68"/>
    <w:rsid w:val="120D392E"/>
    <w:rsid w:val="12106DA0"/>
    <w:rsid w:val="121C60CC"/>
    <w:rsid w:val="12307DC9"/>
    <w:rsid w:val="12312063"/>
    <w:rsid w:val="1235718D"/>
    <w:rsid w:val="12376618"/>
    <w:rsid w:val="123C676E"/>
    <w:rsid w:val="123F000C"/>
    <w:rsid w:val="124949E7"/>
    <w:rsid w:val="124D097B"/>
    <w:rsid w:val="1252425B"/>
    <w:rsid w:val="12616CD8"/>
    <w:rsid w:val="12695089"/>
    <w:rsid w:val="12695EC5"/>
    <w:rsid w:val="127D7762"/>
    <w:rsid w:val="127E0B34"/>
    <w:rsid w:val="127E6D86"/>
    <w:rsid w:val="1280154D"/>
    <w:rsid w:val="1283439D"/>
    <w:rsid w:val="1283614B"/>
    <w:rsid w:val="12837EF9"/>
    <w:rsid w:val="128924DC"/>
    <w:rsid w:val="128D4230"/>
    <w:rsid w:val="128E689D"/>
    <w:rsid w:val="12940358"/>
    <w:rsid w:val="129640D0"/>
    <w:rsid w:val="12A21BF2"/>
    <w:rsid w:val="12A70891"/>
    <w:rsid w:val="12AA6585"/>
    <w:rsid w:val="12B44556"/>
    <w:rsid w:val="12BA7692"/>
    <w:rsid w:val="12BE7183"/>
    <w:rsid w:val="12C573FF"/>
    <w:rsid w:val="12C64289"/>
    <w:rsid w:val="12D06EB6"/>
    <w:rsid w:val="12D1335A"/>
    <w:rsid w:val="12D568D7"/>
    <w:rsid w:val="12D9068F"/>
    <w:rsid w:val="12DC3AAD"/>
    <w:rsid w:val="12E0359D"/>
    <w:rsid w:val="12E3142B"/>
    <w:rsid w:val="12E82452"/>
    <w:rsid w:val="12E869AC"/>
    <w:rsid w:val="12EF1A32"/>
    <w:rsid w:val="12F22131"/>
    <w:rsid w:val="12F86B39"/>
    <w:rsid w:val="12FA4174"/>
    <w:rsid w:val="13037AFF"/>
    <w:rsid w:val="13070594"/>
    <w:rsid w:val="13081E9E"/>
    <w:rsid w:val="13082AF4"/>
    <w:rsid w:val="130A23C8"/>
    <w:rsid w:val="130A36C0"/>
    <w:rsid w:val="130C25E4"/>
    <w:rsid w:val="13114A30"/>
    <w:rsid w:val="13171183"/>
    <w:rsid w:val="131C6F65"/>
    <w:rsid w:val="131D659F"/>
    <w:rsid w:val="131E6360"/>
    <w:rsid w:val="13206AA2"/>
    <w:rsid w:val="13272F7A"/>
    <w:rsid w:val="132C233E"/>
    <w:rsid w:val="13312262"/>
    <w:rsid w:val="13330B4B"/>
    <w:rsid w:val="133833D9"/>
    <w:rsid w:val="13440AFE"/>
    <w:rsid w:val="13454A16"/>
    <w:rsid w:val="13491142"/>
    <w:rsid w:val="134933C7"/>
    <w:rsid w:val="13495C7E"/>
    <w:rsid w:val="134C0C32"/>
    <w:rsid w:val="13525B1D"/>
    <w:rsid w:val="13545D39"/>
    <w:rsid w:val="13581385"/>
    <w:rsid w:val="135B0E75"/>
    <w:rsid w:val="135D2E40"/>
    <w:rsid w:val="136202C9"/>
    <w:rsid w:val="13637D2A"/>
    <w:rsid w:val="13655850"/>
    <w:rsid w:val="136C3083"/>
    <w:rsid w:val="136C7AF4"/>
    <w:rsid w:val="136E2957"/>
    <w:rsid w:val="136F66CF"/>
    <w:rsid w:val="13743CE5"/>
    <w:rsid w:val="137837D5"/>
    <w:rsid w:val="137A2642"/>
    <w:rsid w:val="137F4B64"/>
    <w:rsid w:val="13805A3A"/>
    <w:rsid w:val="138165B6"/>
    <w:rsid w:val="13833F28"/>
    <w:rsid w:val="13873911"/>
    <w:rsid w:val="138D5A2F"/>
    <w:rsid w:val="138E2FF9"/>
    <w:rsid w:val="13936861"/>
    <w:rsid w:val="13974D45"/>
    <w:rsid w:val="13A02D05"/>
    <w:rsid w:val="13B00075"/>
    <w:rsid w:val="13B77A3B"/>
    <w:rsid w:val="13B862C8"/>
    <w:rsid w:val="13BB79E5"/>
    <w:rsid w:val="13BF7656"/>
    <w:rsid w:val="13C317B7"/>
    <w:rsid w:val="13C36177"/>
    <w:rsid w:val="13CE7C08"/>
    <w:rsid w:val="13D259D6"/>
    <w:rsid w:val="13D334C9"/>
    <w:rsid w:val="13D36C5E"/>
    <w:rsid w:val="13DD188A"/>
    <w:rsid w:val="13E10270"/>
    <w:rsid w:val="13E20728"/>
    <w:rsid w:val="13E61511"/>
    <w:rsid w:val="13E7305A"/>
    <w:rsid w:val="13EC79B4"/>
    <w:rsid w:val="13EE1CEA"/>
    <w:rsid w:val="13F15336"/>
    <w:rsid w:val="13F155AF"/>
    <w:rsid w:val="13F433FE"/>
    <w:rsid w:val="13F866C4"/>
    <w:rsid w:val="13FD3CDB"/>
    <w:rsid w:val="13FF0056"/>
    <w:rsid w:val="13FF5CA5"/>
    <w:rsid w:val="14025795"/>
    <w:rsid w:val="1404150D"/>
    <w:rsid w:val="140B355C"/>
    <w:rsid w:val="140E09E5"/>
    <w:rsid w:val="14117786"/>
    <w:rsid w:val="14157276"/>
    <w:rsid w:val="141A488D"/>
    <w:rsid w:val="141B24D5"/>
    <w:rsid w:val="141E0211"/>
    <w:rsid w:val="143D3349"/>
    <w:rsid w:val="1440211B"/>
    <w:rsid w:val="14445DAD"/>
    <w:rsid w:val="14447B5C"/>
    <w:rsid w:val="144722AA"/>
    <w:rsid w:val="145204CA"/>
    <w:rsid w:val="14531B4D"/>
    <w:rsid w:val="14551D69"/>
    <w:rsid w:val="14586C61"/>
    <w:rsid w:val="145C60CF"/>
    <w:rsid w:val="1461426A"/>
    <w:rsid w:val="14692F06"/>
    <w:rsid w:val="146975C2"/>
    <w:rsid w:val="146A5814"/>
    <w:rsid w:val="146E09ED"/>
    <w:rsid w:val="146F2E2A"/>
    <w:rsid w:val="147026FF"/>
    <w:rsid w:val="14753CC2"/>
    <w:rsid w:val="14757B22"/>
    <w:rsid w:val="147D6BCA"/>
    <w:rsid w:val="147D7EAE"/>
    <w:rsid w:val="147E4E1C"/>
    <w:rsid w:val="147F6DE6"/>
    <w:rsid w:val="14832432"/>
    <w:rsid w:val="14943E0F"/>
    <w:rsid w:val="1497412F"/>
    <w:rsid w:val="149E54BE"/>
    <w:rsid w:val="14A35840"/>
    <w:rsid w:val="14A377CB"/>
    <w:rsid w:val="14A423A8"/>
    <w:rsid w:val="14BA1BCC"/>
    <w:rsid w:val="14BB6147"/>
    <w:rsid w:val="14BE346A"/>
    <w:rsid w:val="14BF2B96"/>
    <w:rsid w:val="14C111AC"/>
    <w:rsid w:val="14C33176"/>
    <w:rsid w:val="14C36CD2"/>
    <w:rsid w:val="14C45D7E"/>
    <w:rsid w:val="14C52A4A"/>
    <w:rsid w:val="14C81A92"/>
    <w:rsid w:val="14CA037D"/>
    <w:rsid w:val="14CC4B3C"/>
    <w:rsid w:val="14D07641"/>
    <w:rsid w:val="14D1061F"/>
    <w:rsid w:val="14D44347"/>
    <w:rsid w:val="14D507B4"/>
    <w:rsid w:val="14D94748"/>
    <w:rsid w:val="14DC1B42"/>
    <w:rsid w:val="14DE0216"/>
    <w:rsid w:val="14DE58BA"/>
    <w:rsid w:val="14E31122"/>
    <w:rsid w:val="14EB6229"/>
    <w:rsid w:val="14F15EFC"/>
    <w:rsid w:val="14F72E20"/>
    <w:rsid w:val="14FD3553"/>
    <w:rsid w:val="14FE5F5C"/>
    <w:rsid w:val="15000793"/>
    <w:rsid w:val="15001CD4"/>
    <w:rsid w:val="15015A4D"/>
    <w:rsid w:val="15051099"/>
    <w:rsid w:val="150D2643"/>
    <w:rsid w:val="15177431"/>
    <w:rsid w:val="151B539B"/>
    <w:rsid w:val="151E65FF"/>
    <w:rsid w:val="151F51CF"/>
    <w:rsid w:val="15237771"/>
    <w:rsid w:val="1525101E"/>
    <w:rsid w:val="15263A3E"/>
    <w:rsid w:val="15270331"/>
    <w:rsid w:val="152705BC"/>
    <w:rsid w:val="152E1787"/>
    <w:rsid w:val="153100E0"/>
    <w:rsid w:val="1534372C"/>
    <w:rsid w:val="153E45AB"/>
    <w:rsid w:val="153F5340"/>
    <w:rsid w:val="15451DDD"/>
    <w:rsid w:val="1546345F"/>
    <w:rsid w:val="15493F46"/>
    <w:rsid w:val="154A0C40"/>
    <w:rsid w:val="154D47EE"/>
    <w:rsid w:val="155618F4"/>
    <w:rsid w:val="155C2C36"/>
    <w:rsid w:val="155D6F13"/>
    <w:rsid w:val="156009C5"/>
    <w:rsid w:val="15605210"/>
    <w:rsid w:val="15613053"/>
    <w:rsid w:val="15655FDB"/>
    <w:rsid w:val="15695ACC"/>
    <w:rsid w:val="156A0E93"/>
    <w:rsid w:val="157224A6"/>
    <w:rsid w:val="15761F97"/>
    <w:rsid w:val="157905F8"/>
    <w:rsid w:val="1582093B"/>
    <w:rsid w:val="15841A39"/>
    <w:rsid w:val="158A77F0"/>
    <w:rsid w:val="15932A1F"/>
    <w:rsid w:val="159F14ED"/>
    <w:rsid w:val="15A11D9D"/>
    <w:rsid w:val="15A17689"/>
    <w:rsid w:val="15A20227"/>
    <w:rsid w:val="15AB60E4"/>
    <w:rsid w:val="15AC7766"/>
    <w:rsid w:val="15B3484C"/>
    <w:rsid w:val="15B718AB"/>
    <w:rsid w:val="15C86CDD"/>
    <w:rsid w:val="15C9656A"/>
    <w:rsid w:val="15CA22E2"/>
    <w:rsid w:val="15E07FAE"/>
    <w:rsid w:val="15E6711C"/>
    <w:rsid w:val="15E855D7"/>
    <w:rsid w:val="15EA64E1"/>
    <w:rsid w:val="15EF3AF7"/>
    <w:rsid w:val="15F86E50"/>
    <w:rsid w:val="15FC2B6A"/>
    <w:rsid w:val="15FD6214"/>
    <w:rsid w:val="15FF1F8C"/>
    <w:rsid w:val="16006C37"/>
    <w:rsid w:val="16073338"/>
    <w:rsid w:val="1609105D"/>
    <w:rsid w:val="16094BB9"/>
    <w:rsid w:val="16136F08"/>
    <w:rsid w:val="161A0B74"/>
    <w:rsid w:val="161D01D5"/>
    <w:rsid w:val="162714E3"/>
    <w:rsid w:val="162D2CD7"/>
    <w:rsid w:val="162D573E"/>
    <w:rsid w:val="162F4336"/>
    <w:rsid w:val="1632088E"/>
    <w:rsid w:val="16353C00"/>
    <w:rsid w:val="16354792"/>
    <w:rsid w:val="163D4862"/>
    <w:rsid w:val="164107F7"/>
    <w:rsid w:val="164125A5"/>
    <w:rsid w:val="16491459"/>
    <w:rsid w:val="164D719B"/>
    <w:rsid w:val="16526560"/>
    <w:rsid w:val="165A3A18"/>
    <w:rsid w:val="166444E5"/>
    <w:rsid w:val="16663DB9"/>
    <w:rsid w:val="16664C4C"/>
    <w:rsid w:val="166A38C9"/>
    <w:rsid w:val="166B13D0"/>
    <w:rsid w:val="166E0EC0"/>
    <w:rsid w:val="166E163C"/>
    <w:rsid w:val="166E331E"/>
    <w:rsid w:val="167026D5"/>
    <w:rsid w:val="16794B55"/>
    <w:rsid w:val="167D6DB2"/>
    <w:rsid w:val="167E01FF"/>
    <w:rsid w:val="167F4057"/>
    <w:rsid w:val="16823791"/>
    <w:rsid w:val="16832BBD"/>
    <w:rsid w:val="16873D30"/>
    <w:rsid w:val="16881402"/>
    <w:rsid w:val="168B3A44"/>
    <w:rsid w:val="168D7598"/>
    <w:rsid w:val="16914446"/>
    <w:rsid w:val="16934DE0"/>
    <w:rsid w:val="169528F0"/>
    <w:rsid w:val="16953304"/>
    <w:rsid w:val="169E17A5"/>
    <w:rsid w:val="169F1079"/>
    <w:rsid w:val="16A15948"/>
    <w:rsid w:val="16A17193"/>
    <w:rsid w:val="16A21074"/>
    <w:rsid w:val="16A24B17"/>
    <w:rsid w:val="16AA2483"/>
    <w:rsid w:val="16AD5139"/>
    <w:rsid w:val="16B32233"/>
    <w:rsid w:val="16BF171B"/>
    <w:rsid w:val="16C64858"/>
    <w:rsid w:val="16CB627D"/>
    <w:rsid w:val="16CB6312"/>
    <w:rsid w:val="16CF0D57"/>
    <w:rsid w:val="16D1425A"/>
    <w:rsid w:val="16D231FD"/>
    <w:rsid w:val="16D30781"/>
    <w:rsid w:val="16D36F75"/>
    <w:rsid w:val="16D97F29"/>
    <w:rsid w:val="16DA6555"/>
    <w:rsid w:val="16DE0A1B"/>
    <w:rsid w:val="16DF591A"/>
    <w:rsid w:val="16E12EBC"/>
    <w:rsid w:val="16E66CA8"/>
    <w:rsid w:val="16EC0753"/>
    <w:rsid w:val="16F65AEF"/>
    <w:rsid w:val="16FD6031"/>
    <w:rsid w:val="16FF7D6A"/>
    <w:rsid w:val="17013326"/>
    <w:rsid w:val="17013AE2"/>
    <w:rsid w:val="17045380"/>
    <w:rsid w:val="1706559C"/>
    <w:rsid w:val="17084E70"/>
    <w:rsid w:val="170878B8"/>
    <w:rsid w:val="170F61FF"/>
    <w:rsid w:val="17111128"/>
    <w:rsid w:val="17127A9D"/>
    <w:rsid w:val="17190E2C"/>
    <w:rsid w:val="171D6872"/>
    <w:rsid w:val="172F68A1"/>
    <w:rsid w:val="17306175"/>
    <w:rsid w:val="17334A86"/>
    <w:rsid w:val="17365BCD"/>
    <w:rsid w:val="17393D38"/>
    <w:rsid w:val="173F12DE"/>
    <w:rsid w:val="174437BC"/>
    <w:rsid w:val="174B0F64"/>
    <w:rsid w:val="17573B63"/>
    <w:rsid w:val="1759391E"/>
    <w:rsid w:val="175B20F3"/>
    <w:rsid w:val="175C2955"/>
    <w:rsid w:val="175D5335"/>
    <w:rsid w:val="17654071"/>
    <w:rsid w:val="176779C5"/>
    <w:rsid w:val="176C7196"/>
    <w:rsid w:val="17744424"/>
    <w:rsid w:val="177469AA"/>
    <w:rsid w:val="17771E61"/>
    <w:rsid w:val="177B5642"/>
    <w:rsid w:val="17846BFD"/>
    <w:rsid w:val="17864105"/>
    <w:rsid w:val="178D35C8"/>
    <w:rsid w:val="178E66A5"/>
    <w:rsid w:val="178F2402"/>
    <w:rsid w:val="178F7340"/>
    <w:rsid w:val="17930FB9"/>
    <w:rsid w:val="179314B4"/>
    <w:rsid w:val="179606CE"/>
    <w:rsid w:val="17965CD5"/>
    <w:rsid w:val="179C102A"/>
    <w:rsid w:val="179D1A5D"/>
    <w:rsid w:val="179D35E7"/>
    <w:rsid w:val="17A513B0"/>
    <w:rsid w:val="17A80401"/>
    <w:rsid w:val="17A821AF"/>
    <w:rsid w:val="17A96653"/>
    <w:rsid w:val="17AD77C6"/>
    <w:rsid w:val="17B6195E"/>
    <w:rsid w:val="17B84AE8"/>
    <w:rsid w:val="17C0574B"/>
    <w:rsid w:val="17C96826"/>
    <w:rsid w:val="17CA0378"/>
    <w:rsid w:val="17CF598E"/>
    <w:rsid w:val="17D2722C"/>
    <w:rsid w:val="17D47448"/>
    <w:rsid w:val="17D631C0"/>
    <w:rsid w:val="17D73367"/>
    <w:rsid w:val="17D77080"/>
    <w:rsid w:val="17E70F2A"/>
    <w:rsid w:val="17EC6CE1"/>
    <w:rsid w:val="17EF7DDE"/>
    <w:rsid w:val="17F13B56"/>
    <w:rsid w:val="17F378CF"/>
    <w:rsid w:val="17FB49D5"/>
    <w:rsid w:val="17FD4E6A"/>
    <w:rsid w:val="17FD699F"/>
    <w:rsid w:val="1809529B"/>
    <w:rsid w:val="180A4C18"/>
    <w:rsid w:val="180E6167"/>
    <w:rsid w:val="18167A61"/>
    <w:rsid w:val="181A30AD"/>
    <w:rsid w:val="181B5077"/>
    <w:rsid w:val="18253800"/>
    <w:rsid w:val="183D4FEE"/>
    <w:rsid w:val="18502F73"/>
    <w:rsid w:val="1850765B"/>
    <w:rsid w:val="18510A99"/>
    <w:rsid w:val="18550589"/>
    <w:rsid w:val="18624A54"/>
    <w:rsid w:val="186802BC"/>
    <w:rsid w:val="1869193F"/>
    <w:rsid w:val="186C142F"/>
    <w:rsid w:val="187230A6"/>
    <w:rsid w:val="18734821"/>
    <w:rsid w:val="1876405C"/>
    <w:rsid w:val="188D1AD1"/>
    <w:rsid w:val="188E687B"/>
    <w:rsid w:val="1890336F"/>
    <w:rsid w:val="1890511D"/>
    <w:rsid w:val="189A41EE"/>
    <w:rsid w:val="189A735D"/>
    <w:rsid w:val="189C7F66"/>
    <w:rsid w:val="18A230A3"/>
    <w:rsid w:val="18A262B3"/>
    <w:rsid w:val="18A62B93"/>
    <w:rsid w:val="18AB79B6"/>
    <w:rsid w:val="18AD3F21"/>
    <w:rsid w:val="18B0756E"/>
    <w:rsid w:val="18B143A6"/>
    <w:rsid w:val="18B54B84"/>
    <w:rsid w:val="18B76CDF"/>
    <w:rsid w:val="18BC3B0A"/>
    <w:rsid w:val="18BE612E"/>
    <w:rsid w:val="18C1177B"/>
    <w:rsid w:val="18C354F3"/>
    <w:rsid w:val="18C36C68"/>
    <w:rsid w:val="18C4126B"/>
    <w:rsid w:val="18C70CEC"/>
    <w:rsid w:val="18C73EE5"/>
    <w:rsid w:val="18CD0120"/>
    <w:rsid w:val="18DE2845"/>
    <w:rsid w:val="18DF7EE0"/>
    <w:rsid w:val="18E13D43"/>
    <w:rsid w:val="18E544DC"/>
    <w:rsid w:val="18E96D3B"/>
    <w:rsid w:val="18EB2C9C"/>
    <w:rsid w:val="18EE7016"/>
    <w:rsid w:val="18F71640"/>
    <w:rsid w:val="18F7519C"/>
    <w:rsid w:val="18FD70D6"/>
    <w:rsid w:val="18FE652B"/>
    <w:rsid w:val="19045B0B"/>
    <w:rsid w:val="190F698A"/>
    <w:rsid w:val="1910625E"/>
    <w:rsid w:val="19145D4E"/>
    <w:rsid w:val="19157D18"/>
    <w:rsid w:val="19164CA2"/>
    <w:rsid w:val="191B3154"/>
    <w:rsid w:val="191F46F3"/>
    <w:rsid w:val="19287A4C"/>
    <w:rsid w:val="19313B8D"/>
    <w:rsid w:val="193208CA"/>
    <w:rsid w:val="193261D5"/>
    <w:rsid w:val="193463F1"/>
    <w:rsid w:val="19397AAF"/>
    <w:rsid w:val="193E7F56"/>
    <w:rsid w:val="19406B43"/>
    <w:rsid w:val="19480D61"/>
    <w:rsid w:val="194975A4"/>
    <w:rsid w:val="19533227"/>
    <w:rsid w:val="19570331"/>
    <w:rsid w:val="19573E8D"/>
    <w:rsid w:val="19581AD5"/>
    <w:rsid w:val="195B19B9"/>
    <w:rsid w:val="19611588"/>
    <w:rsid w:val="196315DB"/>
    <w:rsid w:val="196D1903"/>
    <w:rsid w:val="196D545F"/>
    <w:rsid w:val="197202C2"/>
    <w:rsid w:val="197607B7"/>
    <w:rsid w:val="197B5DCD"/>
    <w:rsid w:val="19876D0F"/>
    <w:rsid w:val="1988673C"/>
    <w:rsid w:val="198A4263"/>
    <w:rsid w:val="19940C3D"/>
    <w:rsid w:val="19946E8F"/>
    <w:rsid w:val="1997072D"/>
    <w:rsid w:val="1998697F"/>
    <w:rsid w:val="199944A6"/>
    <w:rsid w:val="199E7931"/>
    <w:rsid w:val="19A31619"/>
    <w:rsid w:val="19A37CFA"/>
    <w:rsid w:val="19A54345"/>
    <w:rsid w:val="19A7540A"/>
    <w:rsid w:val="19A83F01"/>
    <w:rsid w:val="19A8745A"/>
    <w:rsid w:val="19AA220F"/>
    <w:rsid w:val="19B60BB4"/>
    <w:rsid w:val="19BA0C94"/>
    <w:rsid w:val="19BD019E"/>
    <w:rsid w:val="19C14B13"/>
    <w:rsid w:val="19C2199A"/>
    <w:rsid w:val="19C534ED"/>
    <w:rsid w:val="19C90EF2"/>
    <w:rsid w:val="19CC5BD5"/>
    <w:rsid w:val="19D0105F"/>
    <w:rsid w:val="19D11E91"/>
    <w:rsid w:val="19E27BFB"/>
    <w:rsid w:val="19E971DB"/>
    <w:rsid w:val="19FA13E8"/>
    <w:rsid w:val="1A02029D"/>
    <w:rsid w:val="1A077661"/>
    <w:rsid w:val="1A107268"/>
    <w:rsid w:val="1A12351C"/>
    <w:rsid w:val="1A18361C"/>
    <w:rsid w:val="1A1A39CF"/>
    <w:rsid w:val="1A253F8B"/>
    <w:rsid w:val="1A2C188E"/>
    <w:rsid w:val="1A300DC6"/>
    <w:rsid w:val="1A31185F"/>
    <w:rsid w:val="1A351413"/>
    <w:rsid w:val="1A3D7527"/>
    <w:rsid w:val="1A4227F8"/>
    <w:rsid w:val="1A4408B5"/>
    <w:rsid w:val="1A4C6DBB"/>
    <w:rsid w:val="1A4E41D5"/>
    <w:rsid w:val="1A516B2E"/>
    <w:rsid w:val="1A543DEA"/>
    <w:rsid w:val="1A554870"/>
    <w:rsid w:val="1A58610F"/>
    <w:rsid w:val="1A617515"/>
    <w:rsid w:val="1A654388"/>
    <w:rsid w:val="1A68075F"/>
    <w:rsid w:val="1A6C3968"/>
    <w:rsid w:val="1A6E5932"/>
    <w:rsid w:val="1A7174D1"/>
    <w:rsid w:val="1A7D5B75"/>
    <w:rsid w:val="1A7F369B"/>
    <w:rsid w:val="1A850666"/>
    <w:rsid w:val="1A880B5F"/>
    <w:rsid w:val="1A890438"/>
    <w:rsid w:val="1A907657"/>
    <w:rsid w:val="1A990BD3"/>
    <w:rsid w:val="1A9F789A"/>
    <w:rsid w:val="1AA749A0"/>
    <w:rsid w:val="1AAC65AB"/>
    <w:rsid w:val="1AB07444"/>
    <w:rsid w:val="1AB217D3"/>
    <w:rsid w:val="1AB53FA1"/>
    <w:rsid w:val="1AB570BD"/>
    <w:rsid w:val="1ABE298D"/>
    <w:rsid w:val="1ABF7F3C"/>
    <w:rsid w:val="1AC57B19"/>
    <w:rsid w:val="1ACD08AB"/>
    <w:rsid w:val="1ACD5330"/>
    <w:rsid w:val="1ACE017F"/>
    <w:rsid w:val="1ACF1846"/>
    <w:rsid w:val="1AD03EF7"/>
    <w:rsid w:val="1AD334D8"/>
    <w:rsid w:val="1AD43080"/>
    <w:rsid w:val="1ADA6B24"/>
    <w:rsid w:val="1AE45BF4"/>
    <w:rsid w:val="1AED4AA9"/>
    <w:rsid w:val="1AEF59D8"/>
    <w:rsid w:val="1B0167A6"/>
    <w:rsid w:val="1B052639"/>
    <w:rsid w:val="1B0911B7"/>
    <w:rsid w:val="1B1F6592"/>
    <w:rsid w:val="1B256925"/>
    <w:rsid w:val="1B277405"/>
    <w:rsid w:val="1B28788F"/>
    <w:rsid w:val="1B2915DB"/>
    <w:rsid w:val="1B2942A8"/>
    <w:rsid w:val="1B2D785E"/>
    <w:rsid w:val="1B352414"/>
    <w:rsid w:val="1B3A34BE"/>
    <w:rsid w:val="1B3A3A66"/>
    <w:rsid w:val="1B3D6EF4"/>
    <w:rsid w:val="1B3E1D60"/>
    <w:rsid w:val="1B416BA3"/>
    <w:rsid w:val="1B430D6D"/>
    <w:rsid w:val="1B440441"/>
    <w:rsid w:val="1B4B7CF3"/>
    <w:rsid w:val="1B4F6E1F"/>
    <w:rsid w:val="1B5178FA"/>
    <w:rsid w:val="1B522B5E"/>
    <w:rsid w:val="1B5B2BF4"/>
    <w:rsid w:val="1B5B5EB7"/>
    <w:rsid w:val="1B617245"/>
    <w:rsid w:val="1B6A154A"/>
    <w:rsid w:val="1B6B6A6E"/>
    <w:rsid w:val="1B707488"/>
    <w:rsid w:val="1B713F72"/>
    <w:rsid w:val="1B7326B5"/>
    <w:rsid w:val="1B776A68"/>
    <w:rsid w:val="1B7E7DF7"/>
    <w:rsid w:val="1B84582A"/>
    <w:rsid w:val="1B8532AD"/>
    <w:rsid w:val="1B8C17F7"/>
    <w:rsid w:val="1B8D003A"/>
    <w:rsid w:val="1B8D3B96"/>
    <w:rsid w:val="1B8F3DB2"/>
    <w:rsid w:val="1B8F6F82"/>
    <w:rsid w:val="1B903686"/>
    <w:rsid w:val="1BA17641"/>
    <w:rsid w:val="1BA535D6"/>
    <w:rsid w:val="1BBB0703"/>
    <w:rsid w:val="1BBC26CD"/>
    <w:rsid w:val="1BC33A5C"/>
    <w:rsid w:val="1BCC553F"/>
    <w:rsid w:val="1BCF2401"/>
    <w:rsid w:val="1BCF41AF"/>
    <w:rsid w:val="1BDA61C5"/>
    <w:rsid w:val="1BE063BC"/>
    <w:rsid w:val="1BE20386"/>
    <w:rsid w:val="1BE217CF"/>
    <w:rsid w:val="1BF40922"/>
    <w:rsid w:val="1BF50D63"/>
    <w:rsid w:val="1BF63E31"/>
    <w:rsid w:val="1BF754B3"/>
    <w:rsid w:val="1BF7727F"/>
    <w:rsid w:val="1BFB31F6"/>
    <w:rsid w:val="1BFC5870"/>
    <w:rsid w:val="1BFD51C0"/>
    <w:rsid w:val="1BFE2CE6"/>
    <w:rsid w:val="1C006A5E"/>
    <w:rsid w:val="1C0A3439"/>
    <w:rsid w:val="1C0C71B1"/>
    <w:rsid w:val="1C0F0A4F"/>
    <w:rsid w:val="1C113F9D"/>
    <w:rsid w:val="1C1153B4"/>
    <w:rsid w:val="1C16002F"/>
    <w:rsid w:val="1C200EAE"/>
    <w:rsid w:val="1C297D63"/>
    <w:rsid w:val="1C3109C5"/>
    <w:rsid w:val="1C381C79"/>
    <w:rsid w:val="1C3D380E"/>
    <w:rsid w:val="1C3E30E2"/>
    <w:rsid w:val="1C411611"/>
    <w:rsid w:val="1C413C34"/>
    <w:rsid w:val="1C417613"/>
    <w:rsid w:val="1C44694B"/>
    <w:rsid w:val="1C4C75BF"/>
    <w:rsid w:val="1C536B8E"/>
    <w:rsid w:val="1C56667E"/>
    <w:rsid w:val="1C651DCF"/>
    <w:rsid w:val="1C694603"/>
    <w:rsid w:val="1C6A3ED7"/>
    <w:rsid w:val="1C6E7E6B"/>
    <w:rsid w:val="1C72228F"/>
    <w:rsid w:val="1C734ABC"/>
    <w:rsid w:val="1C750501"/>
    <w:rsid w:val="1C7558BE"/>
    <w:rsid w:val="1C7D3C04"/>
    <w:rsid w:val="1C7F5342"/>
    <w:rsid w:val="1C7F7983"/>
    <w:rsid w:val="1C831B11"/>
    <w:rsid w:val="1C84143D"/>
    <w:rsid w:val="1C8947CA"/>
    <w:rsid w:val="1C8A6D4D"/>
    <w:rsid w:val="1C8E7BC6"/>
    <w:rsid w:val="1C907DE2"/>
    <w:rsid w:val="1C913B5A"/>
    <w:rsid w:val="1C964CCC"/>
    <w:rsid w:val="1C973E8A"/>
    <w:rsid w:val="1C980A44"/>
    <w:rsid w:val="1C9D605B"/>
    <w:rsid w:val="1C9E2082"/>
    <w:rsid w:val="1C9F1DD3"/>
    <w:rsid w:val="1C9F233B"/>
    <w:rsid w:val="1CA732C5"/>
    <w:rsid w:val="1CAE0268"/>
    <w:rsid w:val="1CB515F6"/>
    <w:rsid w:val="1CB6536F"/>
    <w:rsid w:val="1CB67014"/>
    <w:rsid w:val="1CB810E7"/>
    <w:rsid w:val="1CBB47F8"/>
    <w:rsid w:val="1CC21F65"/>
    <w:rsid w:val="1CC25AC1"/>
    <w:rsid w:val="1CC61A56"/>
    <w:rsid w:val="1CC932F4"/>
    <w:rsid w:val="1CCA761E"/>
    <w:rsid w:val="1CCB49AB"/>
    <w:rsid w:val="1CCE5248"/>
    <w:rsid w:val="1CD239BF"/>
    <w:rsid w:val="1CD557F5"/>
    <w:rsid w:val="1CDD691D"/>
    <w:rsid w:val="1CDD6D9F"/>
    <w:rsid w:val="1CDF0421"/>
    <w:rsid w:val="1CE41EDC"/>
    <w:rsid w:val="1CE67A02"/>
    <w:rsid w:val="1CE912A0"/>
    <w:rsid w:val="1CE95744"/>
    <w:rsid w:val="1CEE6C3F"/>
    <w:rsid w:val="1CF53848"/>
    <w:rsid w:val="1CF90A21"/>
    <w:rsid w:val="1CFA525B"/>
    <w:rsid w:val="1CFD2499"/>
    <w:rsid w:val="1D00027F"/>
    <w:rsid w:val="1D01599A"/>
    <w:rsid w:val="1D1123C2"/>
    <w:rsid w:val="1D1363F5"/>
    <w:rsid w:val="1D183933"/>
    <w:rsid w:val="1D1F3284"/>
    <w:rsid w:val="1D2422D8"/>
    <w:rsid w:val="1D290F49"/>
    <w:rsid w:val="1D2D5631"/>
    <w:rsid w:val="1D2E13A9"/>
    <w:rsid w:val="1D300C7D"/>
    <w:rsid w:val="1D3102EB"/>
    <w:rsid w:val="1D342403"/>
    <w:rsid w:val="1D3544E5"/>
    <w:rsid w:val="1D36542D"/>
    <w:rsid w:val="1D3756C7"/>
    <w:rsid w:val="1D3C3AC6"/>
    <w:rsid w:val="1D3D752B"/>
    <w:rsid w:val="1D3E15EC"/>
    <w:rsid w:val="1D3E6416"/>
    <w:rsid w:val="1D3F5364"/>
    <w:rsid w:val="1D4209B0"/>
    <w:rsid w:val="1D4529C5"/>
    <w:rsid w:val="1D4C459D"/>
    <w:rsid w:val="1D547061"/>
    <w:rsid w:val="1D5C7CC4"/>
    <w:rsid w:val="1D61352C"/>
    <w:rsid w:val="1D65301C"/>
    <w:rsid w:val="1D6D1ED1"/>
    <w:rsid w:val="1D6F3866"/>
    <w:rsid w:val="1D6F5C49"/>
    <w:rsid w:val="1D795028"/>
    <w:rsid w:val="1D807281"/>
    <w:rsid w:val="1D8316F5"/>
    <w:rsid w:val="1D837D50"/>
    <w:rsid w:val="1D864D41"/>
    <w:rsid w:val="1D8D2573"/>
    <w:rsid w:val="1D8F1387"/>
    <w:rsid w:val="1D915330"/>
    <w:rsid w:val="1D921938"/>
    <w:rsid w:val="1D990F18"/>
    <w:rsid w:val="1D9B4C90"/>
    <w:rsid w:val="1D9E066F"/>
    <w:rsid w:val="1DA01BE8"/>
    <w:rsid w:val="1DA22587"/>
    <w:rsid w:val="1DA51521"/>
    <w:rsid w:val="1DAA2EFB"/>
    <w:rsid w:val="1DAA4A53"/>
    <w:rsid w:val="1DAD0520"/>
    <w:rsid w:val="1DAD6772"/>
    <w:rsid w:val="1DB16262"/>
    <w:rsid w:val="1DC35F95"/>
    <w:rsid w:val="1DC45B4A"/>
    <w:rsid w:val="1DC53ABB"/>
    <w:rsid w:val="1DCA2E80"/>
    <w:rsid w:val="1DCC7E0D"/>
    <w:rsid w:val="1DCF493A"/>
    <w:rsid w:val="1DD51824"/>
    <w:rsid w:val="1DDB4F4E"/>
    <w:rsid w:val="1DDF4451"/>
    <w:rsid w:val="1DE008F5"/>
    <w:rsid w:val="1DE30FE9"/>
    <w:rsid w:val="1DE643D4"/>
    <w:rsid w:val="1DE71C83"/>
    <w:rsid w:val="1DE87329"/>
    <w:rsid w:val="1DED4DC0"/>
    <w:rsid w:val="1DEF0B38"/>
    <w:rsid w:val="1DF62637"/>
    <w:rsid w:val="1E0540E7"/>
    <w:rsid w:val="1E0565AE"/>
    <w:rsid w:val="1E0D5462"/>
    <w:rsid w:val="1E0F4D36"/>
    <w:rsid w:val="1E18182C"/>
    <w:rsid w:val="1E197963"/>
    <w:rsid w:val="1E1D56A5"/>
    <w:rsid w:val="1E214A6A"/>
    <w:rsid w:val="1E2556F1"/>
    <w:rsid w:val="1E285DF8"/>
    <w:rsid w:val="1E2C7696"/>
    <w:rsid w:val="1E336318"/>
    <w:rsid w:val="1E34479D"/>
    <w:rsid w:val="1E430E84"/>
    <w:rsid w:val="1E432C32"/>
    <w:rsid w:val="1E561C6C"/>
    <w:rsid w:val="1E5A2ED1"/>
    <w:rsid w:val="1E5B107D"/>
    <w:rsid w:val="1E5E181A"/>
    <w:rsid w:val="1E6524EF"/>
    <w:rsid w:val="1E816369"/>
    <w:rsid w:val="1E821E95"/>
    <w:rsid w:val="1E834905"/>
    <w:rsid w:val="1E85149C"/>
    <w:rsid w:val="1E875215"/>
    <w:rsid w:val="1E8A398C"/>
    <w:rsid w:val="1E8E20FF"/>
    <w:rsid w:val="1E965458"/>
    <w:rsid w:val="1E9853D2"/>
    <w:rsid w:val="1E9D50CA"/>
    <w:rsid w:val="1EAA4A5F"/>
    <w:rsid w:val="1EBA7626"/>
    <w:rsid w:val="1EBB4EBE"/>
    <w:rsid w:val="1EC40696"/>
    <w:rsid w:val="1ECB5F13"/>
    <w:rsid w:val="1ECD73ED"/>
    <w:rsid w:val="1ED038AF"/>
    <w:rsid w:val="1ED55F80"/>
    <w:rsid w:val="1ED710B7"/>
    <w:rsid w:val="1EDE6099"/>
    <w:rsid w:val="1EE6018D"/>
    <w:rsid w:val="1EEB7551"/>
    <w:rsid w:val="1EF74148"/>
    <w:rsid w:val="1EFF2FFD"/>
    <w:rsid w:val="1F044F09"/>
    <w:rsid w:val="1F0979D8"/>
    <w:rsid w:val="1F0A3482"/>
    <w:rsid w:val="1F1328C8"/>
    <w:rsid w:val="1F1D3483"/>
    <w:rsid w:val="1F224924"/>
    <w:rsid w:val="1F244C93"/>
    <w:rsid w:val="1F2A3348"/>
    <w:rsid w:val="1F354FC8"/>
    <w:rsid w:val="1F4153C3"/>
    <w:rsid w:val="1F4D6AC3"/>
    <w:rsid w:val="1F4E6B6F"/>
    <w:rsid w:val="1F501AAA"/>
    <w:rsid w:val="1F5350F7"/>
    <w:rsid w:val="1F5C21FD"/>
    <w:rsid w:val="1F62499A"/>
    <w:rsid w:val="1F6B2440"/>
    <w:rsid w:val="1F742856"/>
    <w:rsid w:val="1F7734DC"/>
    <w:rsid w:val="1F92003C"/>
    <w:rsid w:val="1F923E71"/>
    <w:rsid w:val="1F947BE9"/>
    <w:rsid w:val="1F9E1131"/>
    <w:rsid w:val="1F9F7744"/>
    <w:rsid w:val="1FA44684"/>
    <w:rsid w:val="1FA63478"/>
    <w:rsid w:val="1FAB0A8F"/>
    <w:rsid w:val="1FAD7C6E"/>
    <w:rsid w:val="1FB52ACC"/>
    <w:rsid w:val="1FBC0EEE"/>
    <w:rsid w:val="1FBE07C2"/>
    <w:rsid w:val="1FC841E4"/>
    <w:rsid w:val="1FCD6D3A"/>
    <w:rsid w:val="1FCE2232"/>
    <w:rsid w:val="1FCF29CF"/>
    <w:rsid w:val="1FD3016F"/>
    <w:rsid w:val="1FD61FB0"/>
    <w:rsid w:val="1FE60600"/>
    <w:rsid w:val="1FE65F6B"/>
    <w:rsid w:val="1FEA15B7"/>
    <w:rsid w:val="1FEB3581"/>
    <w:rsid w:val="1FF70178"/>
    <w:rsid w:val="1FFF67A6"/>
    <w:rsid w:val="2000702C"/>
    <w:rsid w:val="200E1065"/>
    <w:rsid w:val="20140D2A"/>
    <w:rsid w:val="201523AC"/>
    <w:rsid w:val="2016181B"/>
    <w:rsid w:val="20197E7E"/>
    <w:rsid w:val="20234AC9"/>
    <w:rsid w:val="202645B9"/>
    <w:rsid w:val="202972A7"/>
    <w:rsid w:val="203E5DA7"/>
    <w:rsid w:val="203E7B55"/>
    <w:rsid w:val="20427645"/>
    <w:rsid w:val="20482782"/>
    <w:rsid w:val="204A64FA"/>
    <w:rsid w:val="204C55B9"/>
    <w:rsid w:val="204F3B10"/>
    <w:rsid w:val="205F6F32"/>
    <w:rsid w:val="20642787"/>
    <w:rsid w:val="206477DC"/>
    <w:rsid w:val="20684BD2"/>
    <w:rsid w:val="206F778E"/>
    <w:rsid w:val="206F7871"/>
    <w:rsid w:val="207356D7"/>
    <w:rsid w:val="20784E15"/>
    <w:rsid w:val="207E5261"/>
    <w:rsid w:val="20847C5E"/>
    <w:rsid w:val="208E145F"/>
    <w:rsid w:val="20947775"/>
    <w:rsid w:val="209634ED"/>
    <w:rsid w:val="20990E39"/>
    <w:rsid w:val="209D060D"/>
    <w:rsid w:val="209D7A66"/>
    <w:rsid w:val="20A27B39"/>
    <w:rsid w:val="20B47156"/>
    <w:rsid w:val="20B63B8F"/>
    <w:rsid w:val="20B931EF"/>
    <w:rsid w:val="20BB4C23"/>
    <w:rsid w:val="20BC4845"/>
    <w:rsid w:val="20BD3FB9"/>
    <w:rsid w:val="20C01C32"/>
    <w:rsid w:val="20C305B3"/>
    <w:rsid w:val="20C462AC"/>
    <w:rsid w:val="20C64363"/>
    <w:rsid w:val="20C95670"/>
    <w:rsid w:val="20CF4C51"/>
    <w:rsid w:val="20CF69FF"/>
    <w:rsid w:val="20DD3944"/>
    <w:rsid w:val="20DF30E6"/>
    <w:rsid w:val="20DF4E94"/>
    <w:rsid w:val="20E06E5E"/>
    <w:rsid w:val="20EC5803"/>
    <w:rsid w:val="20EC75B1"/>
    <w:rsid w:val="20F21E83"/>
    <w:rsid w:val="21010448"/>
    <w:rsid w:val="21026DD4"/>
    <w:rsid w:val="210448FA"/>
    <w:rsid w:val="21091F11"/>
    <w:rsid w:val="210A7A37"/>
    <w:rsid w:val="210B3EDB"/>
    <w:rsid w:val="211508B6"/>
    <w:rsid w:val="21265E6C"/>
    <w:rsid w:val="21292543"/>
    <w:rsid w:val="21303941"/>
    <w:rsid w:val="2130749E"/>
    <w:rsid w:val="2133507B"/>
    <w:rsid w:val="213351E0"/>
    <w:rsid w:val="213571AA"/>
    <w:rsid w:val="213C22E6"/>
    <w:rsid w:val="213D2E28"/>
    <w:rsid w:val="214B4867"/>
    <w:rsid w:val="21543E5D"/>
    <w:rsid w:val="215603E5"/>
    <w:rsid w:val="21635AC5"/>
    <w:rsid w:val="21661111"/>
    <w:rsid w:val="216D6F62"/>
    <w:rsid w:val="217001E2"/>
    <w:rsid w:val="2175073E"/>
    <w:rsid w:val="217F0425"/>
    <w:rsid w:val="21814378"/>
    <w:rsid w:val="21884F0C"/>
    <w:rsid w:val="218872DA"/>
    <w:rsid w:val="218D2B42"/>
    <w:rsid w:val="21957AA6"/>
    <w:rsid w:val="21A34113"/>
    <w:rsid w:val="21AB2FC8"/>
    <w:rsid w:val="21AC71BA"/>
    <w:rsid w:val="21B55BF5"/>
    <w:rsid w:val="21B61AB9"/>
    <w:rsid w:val="21B940E6"/>
    <w:rsid w:val="21BA145D"/>
    <w:rsid w:val="21C66F9D"/>
    <w:rsid w:val="21CB366A"/>
    <w:rsid w:val="21D249F9"/>
    <w:rsid w:val="21D27CB9"/>
    <w:rsid w:val="21D30B38"/>
    <w:rsid w:val="21D7200F"/>
    <w:rsid w:val="21D82BF7"/>
    <w:rsid w:val="21DA565B"/>
    <w:rsid w:val="21DE339D"/>
    <w:rsid w:val="21E464DA"/>
    <w:rsid w:val="21E53AB3"/>
    <w:rsid w:val="21EE1107"/>
    <w:rsid w:val="21F229A5"/>
    <w:rsid w:val="21F91927"/>
    <w:rsid w:val="21FD45E7"/>
    <w:rsid w:val="22077ED1"/>
    <w:rsid w:val="220F4878"/>
    <w:rsid w:val="2210278E"/>
    <w:rsid w:val="22105521"/>
    <w:rsid w:val="221072CF"/>
    <w:rsid w:val="22197450"/>
    <w:rsid w:val="221A3813"/>
    <w:rsid w:val="2223019A"/>
    <w:rsid w:val="22250FCC"/>
    <w:rsid w:val="22266AF2"/>
    <w:rsid w:val="222A49B8"/>
    <w:rsid w:val="222A65E3"/>
    <w:rsid w:val="222B328F"/>
    <w:rsid w:val="222E307C"/>
    <w:rsid w:val="222F1B96"/>
    <w:rsid w:val="22347461"/>
    <w:rsid w:val="223905D4"/>
    <w:rsid w:val="223B259E"/>
    <w:rsid w:val="22401962"/>
    <w:rsid w:val="224129EF"/>
    <w:rsid w:val="2246751B"/>
    <w:rsid w:val="22535B89"/>
    <w:rsid w:val="22576CAC"/>
    <w:rsid w:val="2259234A"/>
    <w:rsid w:val="22596EC8"/>
    <w:rsid w:val="22661F39"/>
    <w:rsid w:val="22665141"/>
    <w:rsid w:val="22671DC5"/>
    <w:rsid w:val="227105D1"/>
    <w:rsid w:val="227609CD"/>
    <w:rsid w:val="227A3848"/>
    <w:rsid w:val="2281305A"/>
    <w:rsid w:val="22832569"/>
    <w:rsid w:val="22853819"/>
    <w:rsid w:val="22873A35"/>
    <w:rsid w:val="228850B7"/>
    <w:rsid w:val="22886039"/>
    <w:rsid w:val="22925F36"/>
    <w:rsid w:val="229A5B98"/>
    <w:rsid w:val="229B128E"/>
    <w:rsid w:val="229B303C"/>
    <w:rsid w:val="22A243CB"/>
    <w:rsid w:val="22A75E85"/>
    <w:rsid w:val="22A92FC0"/>
    <w:rsid w:val="22A9658B"/>
    <w:rsid w:val="22AC6FF8"/>
    <w:rsid w:val="22B1460E"/>
    <w:rsid w:val="22B440FE"/>
    <w:rsid w:val="22B45EAC"/>
    <w:rsid w:val="22BA5BB9"/>
    <w:rsid w:val="22BC7FA6"/>
    <w:rsid w:val="22C04851"/>
    <w:rsid w:val="22C205C9"/>
    <w:rsid w:val="22C500B9"/>
    <w:rsid w:val="22D30A28"/>
    <w:rsid w:val="22D4654E"/>
    <w:rsid w:val="22DF561F"/>
    <w:rsid w:val="22DF7FE5"/>
    <w:rsid w:val="22E06DFF"/>
    <w:rsid w:val="22E13401"/>
    <w:rsid w:val="22E91FFA"/>
    <w:rsid w:val="22F17100"/>
    <w:rsid w:val="22F4099F"/>
    <w:rsid w:val="22F6354E"/>
    <w:rsid w:val="22F8048F"/>
    <w:rsid w:val="22F91025"/>
    <w:rsid w:val="23024E6A"/>
    <w:rsid w:val="23101ECA"/>
    <w:rsid w:val="231150AD"/>
    <w:rsid w:val="23164DB9"/>
    <w:rsid w:val="231A178A"/>
    <w:rsid w:val="232A43C0"/>
    <w:rsid w:val="232C1EE7"/>
    <w:rsid w:val="232C62EE"/>
    <w:rsid w:val="2331285C"/>
    <w:rsid w:val="23363D9D"/>
    <w:rsid w:val="23365EEC"/>
    <w:rsid w:val="233A4603"/>
    <w:rsid w:val="233D40F4"/>
    <w:rsid w:val="234436D4"/>
    <w:rsid w:val="234A579B"/>
    <w:rsid w:val="235651B5"/>
    <w:rsid w:val="235F20CF"/>
    <w:rsid w:val="23627FFE"/>
    <w:rsid w:val="23641680"/>
    <w:rsid w:val="236478D2"/>
    <w:rsid w:val="23675987"/>
    <w:rsid w:val="23755012"/>
    <w:rsid w:val="23790901"/>
    <w:rsid w:val="237A0EA4"/>
    <w:rsid w:val="238166D6"/>
    <w:rsid w:val="2389558B"/>
    <w:rsid w:val="238A2AE9"/>
    <w:rsid w:val="238D4C56"/>
    <w:rsid w:val="238E7A12"/>
    <w:rsid w:val="23971A56"/>
    <w:rsid w:val="239C081F"/>
    <w:rsid w:val="23B51EDC"/>
    <w:rsid w:val="23B7190B"/>
    <w:rsid w:val="23B9512F"/>
    <w:rsid w:val="23C03637"/>
    <w:rsid w:val="23C17855"/>
    <w:rsid w:val="23C465C3"/>
    <w:rsid w:val="23C547B3"/>
    <w:rsid w:val="23CC162C"/>
    <w:rsid w:val="23D21FE8"/>
    <w:rsid w:val="23D507D0"/>
    <w:rsid w:val="23D5257E"/>
    <w:rsid w:val="23D9206E"/>
    <w:rsid w:val="23DC56BB"/>
    <w:rsid w:val="23DE5354"/>
    <w:rsid w:val="23DF51AB"/>
    <w:rsid w:val="23E10F23"/>
    <w:rsid w:val="23F13E30"/>
    <w:rsid w:val="23F75026"/>
    <w:rsid w:val="23F878E6"/>
    <w:rsid w:val="23FD319B"/>
    <w:rsid w:val="24015121"/>
    <w:rsid w:val="24050FBD"/>
    <w:rsid w:val="24084702"/>
    <w:rsid w:val="240A291F"/>
    <w:rsid w:val="240D3AC6"/>
    <w:rsid w:val="241269A8"/>
    <w:rsid w:val="24172B97"/>
    <w:rsid w:val="24194B61"/>
    <w:rsid w:val="241D0172"/>
    <w:rsid w:val="24241890"/>
    <w:rsid w:val="242A28CA"/>
    <w:rsid w:val="242C1665"/>
    <w:rsid w:val="24342F2B"/>
    <w:rsid w:val="243510D4"/>
    <w:rsid w:val="2441442C"/>
    <w:rsid w:val="24476D6C"/>
    <w:rsid w:val="244A2F6C"/>
    <w:rsid w:val="244D0366"/>
    <w:rsid w:val="244E1896"/>
    <w:rsid w:val="244F06AA"/>
    <w:rsid w:val="24545B99"/>
    <w:rsid w:val="2466767A"/>
    <w:rsid w:val="24772EAA"/>
    <w:rsid w:val="247B3D0C"/>
    <w:rsid w:val="247C0C4C"/>
    <w:rsid w:val="2482431B"/>
    <w:rsid w:val="24857B00"/>
    <w:rsid w:val="24881AF0"/>
    <w:rsid w:val="248C70E1"/>
    <w:rsid w:val="249064A5"/>
    <w:rsid w:val="24944C54"/>
    <w:rsid w:val="24945F95"/>
    <w:rsid w:val="24961512"/>
    <w:rsid w:val="249A2142"/>
    <w:rsid w:val="249B1395"/>
    <w:rsid w:val="249B5E51"/>
    <w:rsid w:val="24B30B11"/>
    <w:rsid w:val="24B5794C"/>
    <w:rsid w:val="24BB5C18"/>
    <w:rsid w:val="24BF302A"/>
    <w:rsid w:val="24C20D54"/>
    <w:rsid w:val="24CB36D9"/>
    <w:rsid w:val="24CC0649"/>
    <w:rsid w:val="24CF68EF"/>
    <w:rsid w:val="24D03CD9"/>
    <w:rsid w:val="24D40A88"/>
    <w:rsid w:val="24D64800"/>
    <w:rsid w:val="24DE2C05"/>
    <w:rsid w:val="24EA6EC3"/>
    <w:rsid w:val="24EC4023"/>
    <w:rsid w:val="24EE1B49"/>
    <w:rsid w:val="24F829C8"/>
    <w:rsid w:val="24F8762D"/>
    <w:rsid w:val="24FF43E0"/>
    <w:rsid w:val="25050C41"/>
    <w:rsid w:val="25061AD0"/>
    <w:rsid w:val="25070E5D"/>
    <w:rsid w:val="250A6257"/>
    <w:rsid w:val="250E5D48"/>
    <w:rsid w:val="25140E84"/>
    <w:rsid w:val="251610A0"/>
    <w:rsid w:val="251D5F8B"/>
    <w:rsid w:val="252061BE"/>
    <w:rsid w:val="2527683A"/>
    <w:rsid w:val="25292B82"/>
    <w:rsid w:val="25411063"/>
    <w:rsid w:val="25423941"/>
    <w:rsid w:val="254519CA"/>
    <w:rsid w:val="254841E7"/>
    <w:rsid w:val="254A2AF8"/>
    <w:rsid w:val="25501C64"/>
    <w:rsid w:val="25535E50"/>
    <w:rsid w:val="25540AF3"/>
    <w:rsid w:val="25545725"/>
    <w:rsid w:val="2556149D"/>
    <w:rsid w:val="255A1523"/>
    <w:rsid w:val="255C1195"/>
    <w:rsid w:val="2561612C"/>
    <w:rsid w:val="25626093"/>
    <w:rsid w:val="25665B84"/>
    <w:rsid w:val="256C5DEF"/>
    <w:rsid w:val="256F098B"/>
    <w:rsid w:val="256F64B0"/>
    <w:rsid w:val="2572277A"/>
    <w:rsid w:val="257E1BB8"/>
    <w:rsid w:val="25847DEE"/>
    <w:rsid w:val="258A1977"/>
    <w:rsid w:val="258E0C37"/>
    <w:rsid w:val="25AE6518"/>
    <w:rsid w:val="25B34B41"/>
    <w:rsid w:val="25C428AA"/>
    <w:rsid w:val="25CB1E8B"/>
    <w:rsid w:val="25CB3688"/>
    <w:rsid w:val="25CE3729"/>
    <w:rsid w:val="25D725DE"/>
    <w:rsid w:val="25DE670F"/>
    <w:rsid w:val="25E1072B"/>
    <w:rsid w:val="25E604AB"/>
    <w:rsid w:val="25E847EB"/>
    <w:rsid w:val="25EF3DCB"/>
    <w:rsid w:val="25F26EAC"/>
    <w:rsid w:val="25F5515A"/>
    <w:rsid w:val="25F62593"/>
    <w:rsid w:val="25F74A2E"/>
    <w:rsid w:val="25F82554"/>
    <w:rsid w:val="25FC3DF2"/>
    <w:rsid w:val="25FD73F4"/>
    <w:rsid w:val="260016A2"/>
    <w:rsid w:val="260E7FC9"/>
    <w:rsid w:val="261234E5"/>
    <w:rsid w:val="261633B2"/>
    <w:rsid w:val="26192901"/>
    <w:rsid w:val="26263565"/>
    <w:rsid w:val="2629095F"/>
    <w:rsid w:val="262C63D9"/>
    <w:rsid w:val="26327CD9"/>
    <w:rsid w:val="2637307C"/>
    <w:rsid w:val="263E15FB"/>
    <w:rsid w:val="264439EB"/>
    <w:rsid w:val="2644442D"/>
    <w:rsid w:val="264C1AB1"/>
    <w:rsid w:val="264F486A"/>
    <w:rsid w:val="26526108"/>
    <w:rsid w:val="26635C93"/>
    <w:rsid w:val="266879AE"/>
    <w:rsid w:val="266C119C"/>
    <w:rsid w:val="2671601B"/>
    <w:rsid w:val="267442D0"/>
    <w:rsid w:val="26760048"/>
    <w:rsid w:val="2677349D"/>
    <w:rsid w:val="26793695"/>
    <w:rsid w:val="26795820"/>
    <w:rsid w:val="267C4ECF"/>
    <w:rsid w:val="267D214E"/>
    <w:rsid w:val="26843CED"/>
    <w:rsid w:val="268A75BF"/>
    <w:rsid w:val="268B161A"/>
    <w:rsid w:val="268C03BB"/>
    <w:rsid w:val="269404CF"/>
    <w:rsid w:val="26962499"/>
    <w:rsid w:val="269E759F"/>
    <w:rsid w:val="26A050C5"/>
    <w:rsid w:val="26AA7CF2"/>
    <w:rsid w:val="26AF70B6"/>
    <w:rsid w:val="26B11081"/>
    <w:rsid w:val="26B54D1B"/>
    <w:rsid w:val="26B7240F"/>
    <w:rsid w:val="26C16DEA"/>
    <w:rsid w:val="26D30D1A"/>
    <w:rsid w:val="26D353B8"/>
    <w:rsid w:val="26D42FC1"/>
    <w:rsid w:val="26D66C62"/>
    <w:rsid w:val="26D703BB"/>
    <w:rsid w:val="26DC3C24"/>
    <w:rsid w:val="26DE174A"/>
    <w:rsid w:val="26DE6A53"/>
    <w:rsid w:val="26DE799C"/>
    <w:rsid w:val="26E50C5D"/>
    <w:rsid w:val="26E620ED"/>
    <w:rsid w:val="26E73118"/>
    <w:rsid w:val="26E75774"/>
    <w:rsid w:val="26ED5E31"/>
    <w:rsid w:val="26F96F67"/>
    <w:rsid w:val="26FB3D55"/>
    <w:rsid w:val="26FC4C3D"/>
    <w:rsid w:val="26FE3B9A"/>
    <w:rsid w:val="27076EF2"/>
    <w:rsid w:val="270A69E3"/>
    <w:rsid w:val="270D0765"/>
    <w:rsid w:val="270E279A"/>
    <w:rsid w:val="270F7B55"/>
    <w:rsid w:val="27127645"/>
    <w:rsid w:val="27133AE9"/>
    <w:rsid w:val="271433BD"/>
    <w:rsid w:val="27182EAE"/>
    <w:rsid w:val="271913D4"/>
    <w:rsid w:val="271E795E"/>
    <w:rsid w:val="272432F0"/>
    <w:rsid w:val="27280C17"/>
    <w:rsid w:val="27292135"/>
    <w:rsid w:val="2729330D"/>
    <w:rsid w:val="272A498F"/>
    <w:rsid w:val="272C4BAB"/>
    <w:rsid w:val="27321A96"/>
    <w:rsid w:val="2734580E"/>
    <w:rsid w:val="27351CB2"/>
    <w:rsid w:val="2738099E"/>
    <w:rsid w:val="27392746"/>
    <w:rsid w:val="273A72C8"/>
    <w:rsid w:val="273B094A"/>
    <w:rsid w:val="273B3040"/>
    <w:rsid w:val="273E65AE"/>
    <w:rsid w:val="274912B9"/>
    <w:rsid w:val="27492919"/>
    <w:rsid w:val="27497710"/>
    <w:rsid w:val="275472F8"/>
    <w:rsid w:val="27561ACE"/>
    <w:rsid w:val="2762237B"/>
    <w:rsid w:val="276C4FA7"/>
    <w:rsid w:val="276E1EB7"/>
    <w:rsid w:val="277B51EB"/>
    <w:rsid w:val="27802801"/>
    <w:rsid w:val="27806CA5"/>
    <w:rsid w:val="278074CE"/>
    <w:rsid w:val="2781275E"/>
    <w:rsid w:val="27840BC4"/>
    <w:rsid w:val="2784149E"/>
    <w:rsid w:val="27872E2F"/>
    <w:rsid w:val="278913EE"/>
    <w:rsid w:val="278E2729"/>
    <w:rsid w:val="278E628D"/>
    <w:rsid w:val="278F0C96"/>
    <w:rsid w:val="278F1023"/>
    <w:rsid w:val="278F7016"/>
    <w:rsid w:val="27930786"/>
    <w:rsid w:val="279369D8"/>
    <w:rsid w:val="279A2668"/>
    <w:rsid w:val="279B763B"/>
    <w:rsid w:val="279D1605"/>
    <w:rsid w:val="279D33B3"/>
    <w:rsid w:val="27A31142"/>
    <w:rsid w:val="27A60C72"/>
    <w:rsid w:val="27A72484"/>
    <w:rsid w:val="27AE4EB0"/>
    <w:rsid w:val="27AF0600"/>
    <w:rsid w:val="27B01338"/>
    <w:rsid w:val="27B91C39"/>
    <w:rsid w:val="27BB248B"/>
    <w:rsid w:val="27BF014F"/>
    <w:rsid w:val="27C2106B"/>
    <w:rsid w:val="27C6290A"/>
    <w:rsid w:val="27CB6172"/>
    <w:rsid w:val="27D75BAD"/>
    <w:rsid w:val="27E4065B"/>
    <w:rsid w:val="27E47736"/>
    <w:rsid w:val="27E502D5"/>
    <w:rsid w:val="27E869AE"/>
    <w:rsid w:val="27E92A9C"/>
    <w:rsid w:val="27EE3C0E"/>
    <w:rsid w:val="27F51F70"/>
    <w:rsid w:val="27F60D15"/>
    <w:rsid w:val="28011B94"/>
    <w:rsid w:val="280255D6"/>
    <w:rsid w:val="28033B5E"/>
    <w:rsid w:val="2810627B"/>
    <w:rsid w:val="281222F4"/>
    <w:rsid w:val="28175EDD"/>
    <w:rsid w:val="281C0B48"/>
    <w:rsid w:val="281E4BA9"/>
    <w:rsid w:val="28201335"/>
    <w:rsid w:val="28210CC5"/>
    <w:rsid w:val="28270DE3"/>
    <w:rsid w:val="28272274"/>
    <w:rsid w:val="282A728C"/>
    <w:rsid w:val="282B3706"/>
    <w:rsid w:val="28302479"/>
    <w:rsid w:val="283755B5"/>
    <w:rsid w:val="283D6944"/>
    <w:rsid w:val="28425D08"/>
    <w:rsid w:val="28435545"/>
    <w:rsid w:val="284B1061"/>
    <w:rsid w:val="284C5056"/>
    <w:rsid w:val="284D7843"/>
    <w:rsid w:val="285048C9"/>
    <w:rsid w:val="28556C0F"/>
    <w:rsid w:val="28577A06"/>
    <w:rsid w:val="28597BFD"/>
    <w:rsid w:val="285B1B22"/>
    <w:rsid w:val="285C501C"/>
    <w:rsid w:val="286B2CA4"/>
    <w:rsid w:val="286D6F60"/>
    <w:rsid w:val="286E4D4F"/>
    <w:rsid w:val="287A00D4"/>
    <w:rsid w:val="287A1946"/>
    <w:rsid w:val="287E31E4"/>
    <w:rsid w:val="28812228"/>
    <w:rsid w:val="28846321"/>
    <w:rsid w:val="288F5AD7"/>
    <w:rsid w:val="289742A6"/>
    <w:rsid w:val="28975559"/>
    <w:rsid w:val="289C366A"/>
    <w:rsid w:val="289E73E3"/>
    <w:rsid w:val="28A95D87"/>
    <w:rsid w:val="28AB7D51"/>
    <w:rsid w:val="28B05368"/>
    <w:rsid w:val="28B44E58"/>
    <w:rsid w:val="28BE5CD7"/>
    <w:rsid w:val="28C40C3C"/>
    <w:rsid w:val="28C50E13"/>
    <w:rsid w:val="28CC03F4"/>
    <w:rsid w:val="28D21782"/>
    <w:rsid w:val="28D667EF"/>
    <w:rsid w:val="28D74A8E"/>
    <w:rsid w:val="28E27D0E"/>
    <w:rsid w:val="28E82D54"/>
    <w:rsid w:val="28EA087A"/>
    <w:rsid w:val="28EC16F7"/>
    <w:rsid w:val="28F33BD2"/>
    <w:rsid w:val="28F60FCD"/>
    <w:rsid w:val="28F75508"/>
    <w:rsid w:val="28FB471E"/>
    <w:rsid w:val="28FE4325"/>
    <w:rsid w:val="28FE5F4E"/>
    <w:rsid w:val="2902118B"/>
    <w:rsid w:val="29022CE8"/>
    <w:rsid w:val="29064F88"/>
    <w:rsid w:val="29135A19"/>
    <w:rsid w:val="29143B49"/>
    <w:rsid w:val="29156E44"/>
    <w:rsid w:val="291750BF"/>
    <w:rsid w:val="29192F0D"/>
    <w:rsid w:val="291E6775"/>
    <w:rsid w:val="291F738B"/>
    <w:rsid w:val="29211BC6"/>
    <w:rsid w:val="29220014"/>
    <w:rsid w:val="292253FF"/>
    <w:rsid w:val="29231FDE"/>
    <w:rsid w:val="2924597A"/>
    <w:rsid w:val="2929735B"/>
    <w:rsid w:val="292B46E4"/>
    <w:rsid w:val="292E24A0"/>
    <w:rsid w:val="292F45A1"/>
    <w:rsid w:val="293146FB"/>
    <w:rsid w:val="29387837"/>
    <w:rsid w:val="29393012"/>
    <w:rsid w:val="293E2974"/>
    <w:rsid w:val="293F28E1"/>
    <w:rsid w:val="2940049A"/>
    <w:rsid w:val="29474CAF"/>
    <w:rsid w:val="294F692F"/>
    <w:rsid w:val="29606D8E"/>
    <w:rsid w:val="29632B06"/>
    <w:rsid w:val="2964687E"/>
    <w:rsid w:val="2968180F"/>
    <w:rsid w:val="29683511"/>
    <w:rsid w:val="296A5517"/>
    <w:rsid w:val="296C6D10"/>
    <w:rsid w:val="2973086F"/>
    <w:rsid w:val="297939AC"/>
    <w:rsid w:val="297C55D3"/>
    <w:rsid w:val="297F03AC"/>
    <w:rsid w:val="29830BB3"/>
    <w:rsid w:val="2987256D"/>
    <w:rsid w:val="2987431B"/>
    <w:rsid w:val="298962E5"/>
    <w:rsid w:val="29963BF5"/>
    <w:rsid w:val="299B255D"/>
    <w:rsid w:val="299D24FB"/>
    <w:rsid w:val="29A24CB1"/>
    <w:rsid w:val="29A7676B"/>
    <w:rsid w:val="29AE2ACE"/>
    <w:rsid w:val="29B136AE"/>
    <w:rsid w:val="29B449E4"/>
    <w:rsid w:val="29BA46F0"/>
    <w:rsid w:val="29BF2491"/>
    <w:rsid w:val="29C668A7"/>
    <w:rsid w:val="29C71FE2"/>
    <w:rsid w:val="29C92888"/>
    <w:rsid w:val="29CF1967"/>
    <w:rsid w:val="29D02829"/>
    <w:rsid w:val="29D33A72"/>
    <w:rsid w:val="29D43C46"/>
    <w:rsid w:val="29D44611"/>
    <w:rsid w:val="29D55640"/>
    <w:rsid w:val="29D67050"/>
    <w:rsid w:val="29D97ADD"/>
    <w:rsid w:val="29E05822"/>
    <w:rsid w:val="29E96D83"/>
    <w:rsid w:val="29EB2AFB"/>
    <w:rsid w:val="29F15D5A"/>
    <w:rsid w:val="29F36820"/>
    <w:rsid w:val="29FA2D3E"/>
    <w:rsid w:val="29FD638B"/>
    <w:rsid w:val="29FF6F50"/>
    <w:rsid w:val="2A027E45"/>
    <w:rsid w:val="2A070FB7"/>
    <w:rsid w:val="2A0B2D62"/>
    <w:rsid w:val="2A104310"/>
    <w:rsid w:val="2A10729A"/>
    <w:rsid w:val="2A110088"/>
    <w:rsid w:val="2A1831C5"/>
    <w:rsid w:val="2A21651D"/>
    <w:rsid w:val="2A222295"/>
    <w:rsid w:val="2A273408"/>
    <w:rsid w:val="2A34534C"/>
    <w:rsid w:val="2A383867"/>
    <w:rsid w:val="2A3909A4"/>
    <w:rsid w:val="2A3F69A3"/>
    <w:rsid w:val="2A470638"/>
    <w:rsid w:val="2A4E4E38"/>
    <w:rsid w:val="2A510485"/>
    <w:rsid w:val="2A522B7B"/>
    <w:rsid w:val="2A595F18"/>
    <w:rsid w:val="2A5A03AF"/>
    <w:rsid w:val="2A5A1A2F"/>
    <w:rsid w:val="2A5C4C93"/>
    <w:rsid w:val="2A5F2BA2"/>
    <w:rsid w:val="2A650251"/>
    <w:rsid w:val="2A67567F"/>
    <w:rsid w:val="2A6E7289"/>
    <w:rsid w:val="2A6F0E8C"/>
    <w:rsid w:val="2A6F4BB0"/>
    <w:rsid w:val="2A714A70"/>
    <w:rsid w:val="2A732242"/>
    <w:rsid w:val="2A7F3244"/>
    <w:rsid w:val="2A81355A"/>
    <w:rsid w:val="2A88659C"/>
    <w:rsid w:val="2A8E3487"/>
    <w:rsid w:val="2A9A007E"/>
    <w:rsid w:val="2A9E191C"/>
    <w:rsid w:val="2A9F0A77"/>
    <w:rsid w:val="2AA03ACF"/>
    <w:rsid w:val="2AA131BA"/>
    <w:rsid w:val="2AA607D0"/>
    <w:rsid w:val="2AAB4039"/>
    <w:rsid w:val="2AAB5DE7"/>
    <w:rsid w:val="2AB16E31"/>
    <w:rsid w:val="2AB32EED"/>
    <w:rsid w:val="2ABC1DA2"/>
    <w:rsid w:val="2AC800C8"/>
    <w:rsid w:val="2AC944BF"/>
    <w:rsid w:val="2ACB77CC"/>
    <w:rsid w:val="2ACC6349"/>
    <w:rsid w:val="2ACD3FAF"/>
    <w:rsid w:val="2ACE1AD5"/>
    <w:rsid w:val="2ACF41CB"/>
    <w:rsid w:val="2ADC41F2"/>
    <w:rsid w:val="2AE412F9"/>
    <w:rsid w:val="2AF552B4"/>
    <w:rsid w:val="2AF7102C"/>
    <w:rsid w:val="2AF8696A"/>
    <w:rsid w:val="2AF92FF6"/>
    <w:rsid w:val="2B011EAB"/>
    <w:rsid w:val="2B084FE7"/>
    <w:rsid w:val="2B0C727D"/>
    <w:rsid w:val="2B110340"/>
    <w:rsid w:val="2B147E30"/>
    <w:rsid w:val="2B151156"/>
    <w:rsid w:val="2B16032B"/>
    <w:rsid w:val="2B17347C"/>
    <w:rsid w:val="2B1B11BE"/>
    <w:rsid w:val="2B2362C5"/>
    <w:rsid w:val="2B326508"/>
    <w:rsid w:val="2B345DDC"/>
    <w:rsid w:val="2B371DFC"/>
    <w:rsid w:val="2B3E0135"/>
    <w:rsid w:val="2B404781"/>
    <w:rsid w:val="2B430715"/>
    <w:rsid w:val="2B45623B"/>
    <w:rsid w:val="2B457FE9"/>
    <w:rsid w:val="2B57010A"/>
    <w:rsid w:val="2B591CE7"/>
    <w:rsid w:val="2B5B15BB"/>
    <w:rsid w:val="2B5B5A5F"/>
    <w:rsid w:val="2B5D5D70"/>
    <w:rsid w:val="2B632B65"/>
    <w:rsid w:val="2B675630"/>
    <w:rsid w:val="2B76018C"/>
    <w:rsid w:val="2B776FAF"/>
    <w:rsid w:val="2B7D3C27"/>
    <w:rsid w:val="2B8D4A10"/>
    <w:rsid w:val="2B9A264F"/>
    <w:rsid w:val="2B9B40AD"/>
    <w:rsid w:val="2BA22119"/>
    <w:rsid w:val="2BA2543C"/>
    <w:rsid w:val="2BAD5B8F"/>
    <w:rsid w:val="2BAE3DE1"/>
    <w:rsid w:val="2BB41D4D"/>
    <w:rsid w:val="2BB92785"/>
    <w:rsid w:val="2BBC3D43"/>
    <w:rsid w:val="2BC17995"/>
    <w:rsid w:val="2BD52167"/>
    <w:rsid w:val="2BD575BF"/>
    <w:rsid w:val="2BD66E93"/>
    <w:rsid w:val="2BE05E12"/>
    <w:rsid w:val="2BE9496F"/>
    <w:rsid w:val="2BF0264B"/>
    <w:rsid w:val="2BFC0FF0"/>
    <w:rsid w:val="2BFD2B77"/>
    <w:rsid w:val="2C055ADF"/>
    <w:rsid w:val="2C097269"/>
    <w:rsid w:val="2C0B4178"/>
    <w:rsid w:val="2C134802"/>
    <w:rsid w:val="2C1B221C"/>
    <w:rsid w:val="2C1E72AD"/>
    <w:rsid w:val="2C2220D9"/>
    <w:rsid w:val="2C2E3173"/>
    <w:rsid w:val="2C2E6664"/>
    <w:rsid w:val="2C3056EC"/>
    <w:rsid w:val="2C31056E"/>
    <w:rsid w:val="2C366877"/>
    <w:rsid w:val="2C380089"/>
    <w:rsid w:val="2C386E53"/>
    <w:rsid w:val="2C3B13EC"/>
    <w:rsid w:val="2C3D26A8"/>
    <w:rsid w:val="2C414C55"/>
    <w:rsid w:val="2C4330AB"/>
    <w:rsid w:val="2C460F8E"/>
    <w:rsid w:val="2C466C2E"/>
    <w:rsid w:val="2C5046F1"/>
    <w:rsid w:val="2C5A5D16"/>
    <w:rsid w:val="2C5B55EB"/>
    <w:rsid w:val="2C610E53"/>
    <w:rsid w:val="2C646B95"/>
    <w:rsid w:val="2C69329C"/>
    <w:rsid w:val="2C6B7F24"/>
    <w:rsid w:val="2C70553A"/>
    <w:rsid w:val="2C721548"/>
    <w:rsid w:val="2C7768C8"/>
    <w:rsid w:val="2C792640"/>
    <w:rsid w:val="2C7A1F15"/>
    <w:rsid w:val="2C7C109E"/>
    <w:rsid w:val="2C7F4FF3"/>
    <w:rsid w:val="2C82701B"/>
    <w:rsid w:val="2C892158"/>
    <w:rsid w:val="2C8D1C48"/>
    <w:rsid w:val="2C932FD6"/>
    <w:rsid w:val="2C950AFD"/>
    <w:rsid w:val="2C985B8A"/>
    <w:rsid w:val="2C9C1E8B"/>
    <w:rsid w:val="2C9D3A89"/>
    <w:rsid w:val="2C9E20A7"/>
    <w:rsid w:val="2CA50ADA"/>
    <w:rsid w:val="2CA654B9"/>
    <w:rsid w:val="2CAD370D"/>
    <w:rsid w:val="2CB82A3D"/>
    <w:rsid w:val="2CC338BC"/>
    <w:rsid w:val="2CC338CA"/>
    <w:rsid w:val="2CC82C80"/>
    <w:rsid w:val="2CD07D87"/>
    <w:rsid w:val="2CD40DDD"/>
    <w:rsid w:val="2CD72A9E"/>
    <w:rsid w:val="2CD86C3B"/>
    <w:rsid w:val="2CE201B3"/>
    <w:rsid w:val="2CE2708D"/>
    <w:rsid w:val="2CE808B5"/>
    <w:rsid w:val="2CE81574"/>
    <w:rsid w:val="2CEF4985"/>
    <w:rsid w:val="2CFA3055"/>
    <w:rsid w:val="2CFE66A2"/>
    <w:rsid w:val="2D047A30"/>
    <w:rsid w:val="2D095368"/>
    <w:rsid w:val="2D0D2D89"/>
    <w:rsid w:val="2D1477FF"/>
    <w:rsid w:val="2D1714F9"/>
    <w:rsid w:val="2D1C121E"/>
    <w:rsid w:val="2D202ABC"/>
    <w:rsid w:val="2D2E0A6A"/>
    <w:rsid w:val="2D302395"/>
    <w:rsid w:val="2D320A41"/>
    <w:rsid w:val="2D3E73E6"/>
    <w:rsid w:val="2D400BED"/>
    <w:rsid w:val="2D405B59"/>
    <w:rsid w:val="2D430559"/>
    <w:rsid w:val="2D482013"/>
    <w:rsid w:val="2D4B38B1"/>
    <w:rsid w:val="2D60603A"/>
    <w:rsid w:val="2D6152BB"/>
    <w:rsid w:val="2D6329A9"/>
    <w:rsid w:val="2D662499"/>
    <w:rsid w:val="2D6A01DB"/>
    <w:rsid w:val="2D6C5D01"/>
    <w:rsid w:val="2D742E08"/>
    <w:rsid w:val="2D7A65A6"/>
    <w:rsid w:val="2D8A43D9"/>
    <w:rsid w:val="2D8B1BD0"/>
    <w:rsid w:val="2D944C91"/>
    <w:rsid w:val="2D945258"/>
    <w:rsid w:val="2D957987"/>
    <w:rsid w:val="2D9675C3"/>
    <w:rsid w:val="2D972170"/>
    <w:rsid w:val="2DA01B9A"/>
    <w:rsid w:val="2DA15F14"/>
    <w:rsid w:val="2DA57465"/>
    <w:rsid w:val="2DAE631A"/>
    <w:rsid w:val="2DB24B20"/>
    <w:rsid w:val="2DB2501B"/>
    <w:rsid w:val="2DB41456"/>
    <w:rsid w:val="2DB56DA0"/>
    <w:rsid w:val="2DB9081B"/>
    <w:rsid w:val="2DBD50E7"/>
    <w:rsid w:val="2DCF0981"/>
    <w:rsid w:val="2DD2348B"/>
    <w:rsid w:val="2DD24E04"/>
    <w:rsid w:val="2DD45655"/>
    <w:rsid w:val="2DE0049D"/>
    <w:rsid w:val="2DE57862"/>
    <w:rsid w:val="2DE709D9"/>
    <w:rsid w:val="2DE75388"/>
    <w:rsid w:val="2DE81100"/>
    <w:rsid w:val="2DEA0EE7"/>
    <w:rsid w:val="2DEA30CA"/>
    <w:rsid w:val="2DF02AE0"/>
    <w:rsid w:val="2DF90FEB"/>
    <w:rsid w:val="2DFB0E33"/>
    <w:rsid w:val="2DFD467B"/>
    <w:rsid w:val="2E020414"/>
    <w:rsid w:val="2E04418C"/>
    <w:rsid w:val="2E0779E5"/>
    <w:rsid w:val="2E0A52EF"/>
    <w:rsid w:val="2E112C5C"/>
    <w:rsid w:val="2E187486"/>
    <w:rsid w:val="2E187865"/>
    <w:rsid w:val="2E1D349F"/>
    <w:rsid w:val="2E206AEC"/>
    <w:rsid w:val="2E24038A"/>
    <w:rsid w:val="2E2C5491"/>
    <w:rsid w:val="2E2D7583"/>
    <w:rsid w:val="2E390E72"/>
    <w:rsid w:val="2E401296"/>
    <w:rsid w:val="2E45028C"/>
    <w:rsid w:val="2E474078"/>
    <w:rsid w:val="2E4A4A48"/>
    <w:rsid w:val="2E4E18AB"/>
    <w:rsid w:val="2E50117F"/>
    <w:rsid w:val="2E5C55A3"/>
    <w:rsid w:val="2E5F45A1"/>
    <w:rsid w:val="2E626BAD"/>
    <w:rsid w:val="2E6764C9"/>
    <w:rsid w:val="2E6B353D"/>
    <w:rsid w:val="2E6E5AA9"/>
    <w:rsid w:val="2E6E7857"/>
    <w:rsid w:val="2E7F3812"/>
    <w:rsid w:val="2E8026E6"/>
    <w:rsid w:val="2E860DB8"/>
    <w:rsid w:val="2E89343E"/>
    <w:rsid w:val="2E91366A"/>
    <w:rsid w:val="2E921798"/>
    <w:rsid w:val="2E9272E9"/>
    <w:rsid w:val="2E9279E9"/>
    <w:rsid w:val="2E9A19B2"/>
    <w:rsid w:val="2E9A4AF0"/>
    <w:rsid w:val="2EA046D5"/>
    <w:rsid w:val="2EA80FBB"/>
    <w:rsid w:val="2EAE5763"/>
    <w:rsid w:val="2EB56A4E"/>
    <w:rsid w:val="2EB77450"/>
    <w:rsid w:val="2EB84F76"/>
    <w:rsid w:val="2EB95ED6"/>
    <w:rsid w:val="2EBA6F40"/>
    <w:rsid w:val="2EBF4557"/>
    <w:rsid w:val="2EC102CF"/>
    <w:rsid w:val="2EC1468C"/>
    <w:rsid w:val="2EC41B6D"/>
    <w:rsid w:val="2EC57342"/>
    <w:rsid w:val="2EC9236B"/>
    <w:rsid w:val="2ECA6155"/>
    <w:rsid w:val="2ED00512"/>
    <w:rsid w:val="2ED26038"/>
    <w:rsid w:val="2ED52C6D"/>
    <w:rsid w:val="2ED718A0"/>
    <w:rsid w:val="2ED80935"/>
    <w:rsid w:val="2EDA6C9B"/>
    <w:rsid w:val="2EDB68BF"/>
    <w:rsid w:val="2EDD531E"/>
    <w:rsid w:val="2EE351E2"/>
    <w:rsid w:val="2EE373C9"/>
    <w:rsid w:val="2EE807A1"/>
    <w:rsid w:val="2EE81411"/>
    <w:rsid w:val="2EEB70FA"/>
    <w:rsid w:val="2EED4C20"/>
    <w:rsid w:val="2EF835C5"/>
    <w:rsid w:val="2EFA558F"/>
    <w:rsid w:val="2EFB6E53"/>
    <w:rsid w:val="2F0401BB"/>
    <w:rsid w:val="2F050B5D"/>
    <w:rsid w:val="2F05640D"/>
    <w:rsid w:val="2F07276A"/>
    <w:rsid w:val="2F146650"/>
    <w:rsid w:val="2F1D4533"/>
    <w:rsid w:val="2F2148C9"/>
    <w:rsid w:val="2F2209FD"/>
    <w:rsid w:val="2F236DF9"/>
    <w:rsid w:val="2F2666CA"/>
    <w:rsid w:val="2F2A5E74"/>
    <w:rsid w:val="2F364819"/>
    <w:rsid w:val="2F370591"/>
    <w:rsid w:val="2F39519C"/>
    <w:rsid w:val="2F3C6DC2"/>
    <w:rsid w:val="2F3E7229"/>
    <w:rsid w:val="2F416D1A"/>
    <w:rsid w:val="2F432A92"/>
    <w:rsid w:val="2F4607D4"/>
    <w:rsid w:val="2F544C9F"/>
    <w:rsid w:val="2F562335"/>
    <w:rsid w:val="2F566C69"/>
    <w:rsid w:val="2F5C6564"/>
    <w:rsid w:val="2F5E3531"/>
    <w:rsid w:val="2F5E78CC"/>
    <w:rsid w:val="2F5F53F2"/>
    <w:rsid w:val="2F61116A"/>
    <w:rsid w:val="2F61560E"/>
    <w:rsid w:val="2F6E407E"/>
    <w:rsid w:val="2F720B3D"/>
    <w:rsid w:val="2F7215C9"/>
    <w:rsid w:val="2F725125"/>
    <w:rsid w:val="2F745341"/>
    <w:rsid w:val="2F8337D6"/>
    <w:rsid w:val="2F866E22"/>
    <w:rsid w:val="2F876B93"/>
    <w:rsid w:val="2F91569A"/>
    <w:rsid w:val="2F923247"/>
    <w:rsid w:val="2F930945"/>
    <w:rsid w:val="2F94153F"/>
    <w:rsid w:val="2FA038EE"/>
    <w:rsid w:val="2FA31782"/>
    <w:rsid w:val="2FAB0637"/>
    <w:rsid w:val="2FB13E9F"/>
    <w:rsid w:val="2FB77A00"/>
    <w:rsid w:val="2FBB2F70"/>
    <w:rsid w:val="2FC33BD3"/>
    <w:rsid w:val="2FC516F9"/>
    <w:rsid w:val="2FC7130B"/>
    <w:rsid w:val="2FC82F97"/>
    <w:rsid w:val="2FE37DD1"/>
    <w:rsid w:val="2FEA5603"/>
    <w:rsid w:val="2FF124EE"/>
    <w:rsid w:val="2FF14047"/>
    <w:rsid w:val="2FF21536"/>
    <w:rsid w:val="2FF975F4"/>
    <w:rsid w:val="3002294D"/>
    <w:rsid w:val="300466C5"/>
    <w:rsid w:val="300512D8"/>
    <w:rsid w:val="30131553"/>
    <w:rsid w:val="30182170"/>
    <w:rsid w:val="3019196D"/>
    <w:rsid w:val="301D4299"/>
    <w:rsid w:val="30224D9D"/>
    <w:rsid w:val="302E5FD6"/>
    <w:rsid w:val="30330D58"/>
    <w:rsid w:val="303B22FD"/>
    <w:rsid w:val="303F76FD"/>
    <w:rsid w:val="30466CDD"/>
    <w:rsid w:val="304E5B92"/>
    <w:rsid w:val="30503131"/>
    <w:rsid w:val="3053665F"/>
    <w:rsid w:val="305667F5"/>
    <w:rsid w:val="3058256D"/>
    <w:rsid w:val="30586A11"/>
    <w:rsid w:val="30590093"/>
    <w:rsid w:val="305A62E5"/>
    <w:rsid w:val="305C19ED"/>
    <w:rsid w:val="306058C5"/>
    <w:rsid w:val="306166C8"/>
    <w:rsid w:val="306221CA"/>
    <w:rsid w:val="3062519A"/>
    <w:rsid w:val="30650FD5"/>
    <w:rsid w:val="306C426A"/>
    <w:rsid w:val="30754BE9"/>
    <w:rsid w:val="30782C0F"/>
    <w:rsid w:val="307D6477"/>
    <w:rsid w:val="307F3392"/>
    <w:rsid w:val="308050E6"/>
    <w:rsid w:val="30811EAD"/>
    <w:rsid w:val="308471EB"/>
    <w:rsid w:val="3085597E"/>
    <w:rsid w:val="30865E1D"/>
    <w:rsid w:val="30893E07"/>
    <w:rsid w:val="308A000C"/>
    <w:rsid w:val="308A51CE"/>
    <w:rsid w:val="309344A6"/>
    <w:rsid w:val="30975DB3"/>
    <w:rsid w:val="309A2B85"/>
    <w:rsid w:val="309E1302"/>
    <w:rsid w:val="309E55BB"/>
    <w:rsid w:val="30AC63F7"/>
    <w:rsid w:val="30B336F9"/>
    <w:rsid w:val="30B50BEA"/>
    <w:rsid w:val="30B8125D"/>
    <w:rsid w:val="30B860DB"/>
    <w:rsid w:val="30BE6E6E"/>
    <w:rsid w:val="30C40619"/>
    <w:rsid w:val="30C8401E"/>
    <w:rsid w:val="30D37E45"/>
    <w:rsid w:val="30D51E0F"/>
    <w:rsid w:val="30D61664"/>
    <w:rsid w:val="30DF2C8E"/>
    <w:rsid w:val="30E42053"/>
    <w:rsid w:val="30EB3EF2"/>
    <w:rsid w:val="30EE230F"/>
    <w:rsid w:val="30EE2ED1"/>
    <w:rsid w:val="30F100C1"/>
    <w:rsid w:val="30F45B4E"/>
    <w:rsid w:val="30F754F2"/>
    <w:rsid w:val="310444A3"/>
    <w:rsid w:val="31085D41"/>
    <w:rsid w:val="31101099"/>
    <w:rsid w:val="311566B0"/>
    <w:rsid w:val="311C2969"/>
    <w:rsid w:val="311C47EA"/>
    <w:rsid w:val="311D02DC"/>
    <w:rsid w:val="31213C0A"/>
    <w:rsid w:val="31224929"/>
    <w:rsid w:val="312406A1"/>
    <w:rsid w:val="312863E3"/>
    <w:rsid w:val="312C6DAE"/>
    <w:rsid w:val="31342FDA"/>
    <w:rsid w:val="313520C0"/>
    <w:rsid w:val="3138019B"/>
    <w:rsid w:val="313A5EF2"/>
    <w:rsid w:val="313B4368"/>
    <w:rsid w:val="313C1E8F"/>
    <w:rsid w:val="313E79B5"/>
    <w:rsid w:val="3140197F"/>
    <w:rsid w:val="31496359"/>
    <w:rsid w:val="314B6E77"/>
    <w:rsid w:val="31501496"/>
    <w:rsid w:val="315A562B"/>
    <w:rsid w:val="315E3BB3"/>
    <w:rsid w:val="316311C9"/>
    <w:rsid w:val="3163373C"/>
    <w:rsid w:val="31692558"/>
    <w:rsid w:val="31741628"/>
    <w:rsid w:val="31750FF9"/>
    <w:rsid w:val="31774C75"/>
    <w:rsid w:val="317E6003"/>
    <w:rsid w:val="31857392"/>
    <w:rsid w:val="318E7F7B"/>
    <w:rsid w:val="3199108F"/>
    <w:rsid w:val="319C0A92"/>
    <w:rsid w:val="31AD68E8"/>
    <w:rsid w:val="31AF440F"/>
    <w:rsid w:val="31B82C24"/>
    <w:rsid w:val="31C83722"/>
    <w:rsid w:val="31CA749A"/>
    <w:rsid w:val="31CC4FC0"/>
    <w:rsid w:val="31DA034E"/>
    <w:rsid w:val="31E71DFA"/>
    <w:rsid w:val="31E77BD1"/>
    <w:rsid w:val="31EC7411"/>
    <w:rsid w:val="31ED1D5A"/>
    <w:rsid w:val="31F67EDC"/>
    <w:rsid w:val="31F97D80"/>
    <w:rsid w:val="31FC56E9"/>
    <w:rsid w:val="32044D41"/>
    <w:rsid w:val="32052280"/>
    <w:rsid w:val="3209173E"/>
    <w:rsid w:val="32190E38"/>
    <w:rsid w:val="321D2371"/>
    <w:rsid w:val="321D7001"/>
    <w:rsid w:val="321F50CD"/>
    <w:rsid w:val="32252923"/>
    <w:rsid w:val="322850C0"/>
    <w:rsid w:val="322A7F39"/>
    <w:rsid w:val="32355B8A"/>
    <w:rsid w:val="323A4620"/>
    <w:rsid w:val="323D7C6C"/>
    <w:rsid w:val="3244724D"/>
    <w:rsid w:val="3251196A"/>
    <w:rsid w:val="32537490"/>
    <w:rsid w:val="325F4087"/>
    <w:rsid w:val="326276D3"/>
    <w:rsid w:val="32660A15"/>
    <w:rsid w:val="326C0551"/>
    <w:rsid w:val="3271566B"/>
    <w:rsid w:val="327A0EC0"/>
    <w:rsid w:val="327B07A0"/>
    <w:rsid w:val="327C2D3F"/>
    <w:rsid w:val="3282783E"/>
    <w:rsid w:val="32894C60"/>
    <w:rsid w:val="329B0E37"/>
    <w:rsid w:val="32A2618D"/>
    <w:rsid w:val="32A31CA7"/>
    <w:rsid w:val="32A4229E"/>
    <w:rsid w:val="32AB5C4B"/>
    <w:rsid w:val="32B12408"/>
    <w:rsid w:val="32BA306B"/>
    <w:rsid w:val="32BC3287"/>
    <w:rsid w:val="32BE4778"/>
    <w:rsid w:val="32BE5A88"/>
    <w:rsid w:val="32C60DF9"/>
    <w:rsid w:val="32C821EA"/>
    <w:rsid w:val="32C97DB6"/>
    <w:rsid w:val="32CE4D68"/>
    <w:rsid w:val="32D3412D"/>
    <w:rsid w:val="32D81743"/>
    <w:rsid w:val="32DD0626"/>
    <w:rsid w:val="32E36C47"/>
    <w:rsid w:val="32EB76C8"/>
    <w:rsid w:val="32ED664A"/>
    <w:rsid w:val="32F01183"/>
    <w:rsid w:val="32F3060F"/>
    <w:rsid w:val="32F50547"/>
    <w:rsid w:val="32FC7B27"/>
    <w:rsid w:val="33004414"/>
    <w:rsid w:val="330C5891"/>
    <w:rsid w:val="33107F03"/>
    <w:rsid w:val="33182487"/>
    <w:rsid w:val="331A6169"/>
    <w:rsid w:val="332364DB"/>
    <w:rsid w:val="33240007"/>
    <w:rsid w:val="33264BA4"/>
    <w:rsid w:val="33294694"/>
    <w:rsid w:val="33346D74"/>
    <w:rsid w:val="33423060"/>
    <w:rsid w:val="33434DAF"/>
    <w:rsid w:val="33484B1B"/>
    <w:rsid w:val="33560D41"/>
    <w:rsid w:val="33573EDC"/>
    <w:rsid w:val="33707BCD"/>
    <w:rsid w:val="33770F47"/>
    <w:rsid w:val="337A6C9E"/>
    <w:rsid w:val="337E0C62"/>
    <w:rsid w:val="33810DDC"/>
    <w:rsid w:val="33890C8F"/>
    <w:rsid w:val="338B4A07"/>
    <w:rsid w:val="3390201E"/>
    <w:rsid w:val="339715FE"/>
    <w:rsid w:val="33A1247D"/>
    <w:rsid w:val="33A53D1B"/>
    <w:rsid w:val="33B0446E"/>
    <w:rsid w:val="33B418B0"/>
    <w:rsid w:val="33C00CE4"/>
    <w:rsid w:val="33C817B8"/>
    <w:rsid w:val="33D2267E"/>
    <w:rsid w:val="33DC6096"/>
    <w:rsid w:val="33E22740"/>
    <w:rsid w:val="33E5680D"/>
    <w:rsid w:val="33E70E9C"/>
    <w:rsid w:val="33EB658A"/>
    <w:rsid w:val="33ED56C2"/>
    <w:rsid w:val="33EE0608"/>
    <w:rsid w:val="33F4583C"/>
    <w:rsid w:val="33F508A6"/>
    <w:rsid w:val="33FB1B8D"/>
    <w:rsid w:val="33FF59DC"/>
    <w:rsid w:val="34140EA1"/>
    <w:rsid w:val="3416085D"/>
    <w:rsid w:val="34192013"/>
    <w:rsid w:val="341B4A8C"/>
    <w:rsid w:val="341B5D8B"/>
    <w:rsid w:val="342407F3"/>
    <w:rsid w:val="34270BD4"/>
    <w:rsid w:val="342A06C4"/>
    <w:rsid w:val="342B1D46"/>
    <w:rsid w:val="342E0004"/>
    <w:rsid w:val="342F15DE"/>
    <w:rsid w:val="3437693D"/>
    <w:rsid w:val="34384B8F"/>
    <w:rsid w:val="34427191"/>
    <w:rsid w:val="344352E2"/>
    <w:rsid w:val="34477053"/>
    <w:rsid w:val="344E0AA2"/>
    <w:rsid w:val="34545741"/>
    <w:rsid w:val="34557417"/>
    <w:rsid w:val="345614B9"/>
    <w:rsid w:val="34657CEE"/>
    <w:rsid w:val="346A0AC1"/>
    <w:rsid w:val="346D06AE"/>
    <w:rsid w:val="346D235F"/>
    <w:rsid w:val="346F257B"/>
    <w:rsid w:val="34761214"/>
    <w:rsid w:val="34806536"/>
    <w:rsid w:val="348222AE"/>
    <w:rsid w:val="34875EF1"/>
    <w:rsid w:val="34934894"/>
    <w:rsid w:val="34975F75"/>
    <w:rsid w:val="349D3D0C"/>
    <w:rsid w:val="34A35D81"/>
    <w:rsid w:val="34A63235"/>
    <w:rsid w:val="34AC10D9"/>
    <w:rsid w:val="34AF205A"/>
    <w:rsid w:val="34B128F9"/>
    <w:rsid w:val="34B63B69"/>
    <w:rsid w:val="34BB30CA"/>
    <w:rsid w:val="34C401D1"/>
    <w:rsid w:val="34CC3AA0"/>
    <w:rsid w:val="34D83C7C"/>
    <w:rsid w:val="34DA5C46"/>
    <w:rsid w:val="34E40873"/>
    <w:rsid w:val="34E97C37"/>
    <w:rsid w:val="34EE16F2"/>
    <w:rsid w:val="34EE6562"/>
    <w:rsid w:val="3502519D"/>
    <w:rsid w:val="35044A71"/>
    <w:rsid w:val="3509652C"/>
    <w:rsid w:val="350A21BF"/>
    <w:rsid w:val="350D7760"/>
    <w:rsid w:val="350E58F0"/>
    <w:rsid w:val="35100B7F"/>
    <w:rsid w:val="351D3D85"/>
    <w:rsid w:val="351F3659"/>
    <w:rsid w:val="35241716"/>
    <w:rsid w:val="352549E8"/>
    <w:rsid w:val="35326A11"/>
    <w:rsid w:val="35330690"/>
    <w:rsid w:val="35335357"/>
    <w:rsid w:val="353510CF"/>
    <w:rsid w:val="35386E11"/>
    <w:rsid w:val="353C06AF"/>
    <w:rsid w:val="353C245D"/>
    <w:rsid w:val="35415CC5"/>
    <w:rsid w:val="354237EC"/>
    <w:rsid w:val="354B6B44"/>
    <w:rsid w:val="354D0723"/>
    <w:rsid w:val="354E2190"/>
    <w:rsid w:val="354E3F3E"/>
    <w:rsid w:val="356329FE"/>
    <w:rsid w:val="3566572C"/>
    <w:rsid w:val="356A7BE4"/>
    <w:rsid w:val="356B1732"/>
    <w:rsid w:val="35706F8D"/>
    <w:rsid w:val="357A11D7"/>
    <w:rsid w:val="357B28D6"/>
    <w:rsid w:val="357F234A"/>
    <w:rsid w:val="357F5555"/>
    <w:rsid w:val="35812566"/>
    <w:rsid w:val="35864161"/>
    <w:rsid w:val="358F4C83"/>
    <w:rsid w:val="35906305"/>
    <w:rsid w:val="3591400F"/>
    <w:rsid w:val="359364EB"/>
    <w:rsid w:val="359466B9"/>
    <w:rsid w:val="359C114E"/>
    <w:rsid w:val="35A45653"/>
    <w:rsid w:val="35A45811"/>
    <w:rsid w:val="35A712C1"/>
    <w:rsid w:val="35A9270C"/>
    <w:rsid w:val="35AA6C03"/>
    <w:rsid w:val="35AB313F"/>
    <w:rsid w:val="35AE2C2F"/>
    <w:rsid w:val="35B17B3F"/>
    <w:rsid w:val="35B52116"/>
    <w:rsid w:val="35C10509"/>
    <w:rsid w:val="35C75AAD"/>
    <w:rsid w:val="35C97A69"/>
    <w:rsid w:val="35D271A0"/>
    <w:rsid w:val="35D46B3A"/>
    <w:rsid w:val="35D5691F"/>
    <w:rsid w:val="35DC59EE"/>
    <w:rsid w:val="35E120F0"/>
    <w:rsid w:val="35EB36EB"/>
    <w:rsid w:val="35ED3FA7"/>
    <w:rsid w:val="35EE3AC7"/>
    <w:rsid w:val="35EE5151"/>
    <w:rsid w:val="35F00679"/>
    <w:rsid w:val="35F20D6E"/>
    <w:rsid w:val="35F23C4F"/>
    <w:rsid w:val="36003296"/>
    <w:rsid w:val="360137B6"/>
    <w:rsid w:val="360142B5"/>
    <w:rsid w:val="360311CD"/>
    <w:rsid w:val="36062C73"/>
    <w:rsid w:val="36097A13"/>
    <w:rsid w:val="360A3C9A"/>
    <w:rsid w:val="360B0081"/>
    <w:rsid w:val="360B1E2F"/>
    <w:rsid w:val="36154A5C"/>
    <w:rsid w:val="36180457"/>
    <w:rsid w:val="361C228F"/>
    <w:rsid w:val="362353CB"/>
    <w:rsid w:val="36237179"/>
    <w:rsid w:val="36260A17"/>
    <w:rsid w:val="3628478F"/>
    <w:rsid w:val="3633238A"/>
    <w:rsid w:val="3639699D"/>
    <w:rsid w:val="36446750"/>
    <w:rsid w:val="36453593"/>
    <w:rsid w:val="364610BA"/>
    <w:rsid w:val="3647730B"/>
    <w:rsid w:val="36496327"/>
    <w:rsid w:val="36527627"/>
    <w:rsid w:val="3655404E"/>
    <w:rsid w:val="365E6403"/>
    <w:rsid w:val="36616A90"/>
    <w:rsid w:val="36617CA1"/>
    <w:rsid w:val="366652B8"/>
    <w:rsid w:val="36697E5E"/>
    <w:rsid w:val="366F0610"/>
    <w:rsid w:val="366F6862"/>
    <w:rsid w:val="367B6FB5"/>
    <w:rsid w:val="36820BD0"/>
    <w:rsid w:val="36835E6A"/>
    <w:rsid w:val="36851BE2"/>
    <w:rsid w:val="36864425"/>
    <w:rsid w:val="36874505"/>
    <w:rsid w:val="36877708"/>
    <w:rsid w:val="368A369C"/>
    <w:rsid w:val="368F480F"/>
    <w:rsid w:val="369260AD"/>
    <w:rsid w:val="36941E25"/>
    <w:rsid w:val="36965B9D"/>
    <w:rsid w:val="3699568D"/>
    <w:rsid w:val="369E0EF6"/>
    <w:rsid w:val="36A06C35"/>
    <w:rsid w:val="36A22794"/>
    <w:rsid w:val="36B14785"/>
    <w:rsid w:val="36B55058"/>
    <w:rsid w:val="36B96E85"/>
    <w:rsid w:val="36C35E04"/>
    <w:rsid w:val="36C418A2"/>
    <w:rsid w:val="36C46BAE"/>
    <w:rsid w:val="36CA4B2C"/>
    <w:rsid w:val="36CA64AC"/>
    <w:rsid w:val="36D27FF3"/>
    <w:rsid w:val="36D93CDC"/>
    <w:rsid w:val="36DB7A54"/>
    <w:rsid w:val="36DC3513"/>
    <w:rsid w:val="36DD3259"/>
    <w:rsid w:val="36E04176"/>
    <w:rsid w:val="36E763F9"/>
    <w:rsid w:val="36EC3A0F"/>
    <w:rsid w:val="36ED2DF8"/>
    <w:rsid w:val="36EF46EB"/>
    <w:rsid w:val="36EF52AD"/>
    <w:rsid w:val="36F020EC"/>
    <w:rsid w:val="36F31241"/>
    <w:rsid w:val="36F34D9D"/>
    <w:rsid w:val="36F650CC"/>
    <w:rsid w:val="36FD3E6E"/>
    <w:rsid w:val="370276D6"/>
    <w:rsid w:val="37040D59"/>
    <w:rsid w:val="370A20E7"/>
    <w:rsid w:val="370C5FA1"/>
    <w:rsid w:val="370E7E29"/>
    <w:rsid w:val="3710594F"/>
    <w:rsid w:val="37127519"/>
    <w:rsid w:val="37135440"/>
    <w:rsid w:val="371D3482"/>
    <w:rsid w:val="371F3DE4"/>
    <w:rsid w:val="37256F21"/>
    <w:rsid w:val="37335046"/>
    <w:rsid w:val="373B04F2"/>
    <w:rsid w:val="373D1110"/>
    <w:rsid w:val="373E3439"/>
    <w:rsid w:val="373F0131"/>
    <w:rsid w:val="37425D25"/>
    <w:rsid w:val="3748158D"/>
    <w:rsid w:val="374A7542"/>
    <w:rsid w:val="37561DAD"/>
    <w:rsid w:val="37575EA3"/>
    <w:rsid w:val="375C6DE7"/>
    <w:rsid w:val="37611953"/>
    <w:rsid w:val="376344FA"/>
    <w:rsid w:val="37667339"/>
    <w:rsid w:val="376721C7"/>
    <w:rsid w:val="376D5D49"/>
    <w:rsid w:val="37706C04"/>
    <w:rsid w:val="37715970"/>
    <w:rsid w:val="37773C20"/>
    <w:rsid w:val="377A101B"/>
    <w:rsid w:val="377B4C90"/>
    <w:rsid w:val="378123A9"/>
    <w:rsid w:val="37863E63"/>
    <w:rsid w:val="37865C12"/>
    <w:rsid w:val="37866B0A"/>
    <w:rsid w:val="378E4AC6"/>
    <w:rsid w:val="37960545"/>
    <w:rsid w:val="37976071"/>
    <w:rsid w:val="37A04D9E"/>
    <w:rsid w:val="37A140C3"/>
    <w:rsid w:val="37A33238"/>
    <w:rsid w:val="37A33A67"/>
    <w:rsid w:val="37A367C3"/>
    <w:rsid w:val="37A85305"/>
    <w:rsid w:val="37AD7162"/>
    <w:rsid w:val="37B07132"/>
    <w:rsid w:val="37B3277F"/>
    <w:rsid w:val="37B3452D"/>
    <w:rsid w:val="37B502A5"/>
    <w:rsid w:val="37B747BB"/>
    <w:rsid w:val="37BF08C9"/>
    <w:rsid w:val="37D07D4D"/>
    <w:rsid w:val="37D13DEF"/>
    <w:rsid w:val="37D50947"/>
    <w:rsid w:val="37D67D60"/>
    <w:rsid w:val="37D75AE6"/>
    <w:rsid w:val="37DA7D0B"/>
    <w:rsid w:val="37DC3A83"/>
    <w:rsid w:val="37DF4D0F"/>
    <w:rsid w:val="37E868CC"/>
    <w:rsid w:val="37EA1AFB"/>
    <w:rsid w:val="37F02FD0"/>
    <w:rsid w:val="37F1371E"/>
    <w:rsid w:val="37FA5E67"/>
    <w:rsid w:val="37FC20C3"/>
    <w:rsid w:val="37FC2378"/>
    <w:rsid w:val="37FF59C4"/>
    <w:rsid w:val="38044D88"/>
    <w:rsid w:val="380A4AD0"/>
    <w:rsid w:val="380B3F3F"/>
    <w:rsid w:val="381750B3"/>
    <w:rsid w:val="38175C7C"/>
    <w:rsid w:val="381A1D26"/>
    <w:rsid w:val="3825367C"/>
    <w:rsid w:val="382947EF"/>
    <w:rsid w:val="38295FF1"/>
    <w:rsid w:val="382A0958"/>
    <w:rsid w:val="383E029A"/>
    <w:rsid w:val="38481F45"/>
    <w:rsid w:val="384D1667"/>
    <w:rsid w:val="384F60E1"/>
    <w:rsid w:val="38547ABE"/>
    <w:rsid w:val="38561A88"/>
    <w:rsid w:val="385B53B3"/>
    <w:rsid w:val="385F50AD"/>
    <w:rsid w:val="386046B4"/>
    <w:rsid w:val="38675D29"/>
    <w:rsid w:val="38726196"/>
    <w:rsid w:val="38741F0E"/>
    <w:rsid w:val="387C3645"/>
    <w:rsid w:val="3885732E"/>
    <w:rsid w:val="388D6EB1"/>
    <w:rsid w:val="38987C13"/>
    <w:rsid w:val="38995E18"/>
    <w:rsid w:val="389C3903"/>
    <w:rsid w:val="389D1465"/>
    <w:rsid w:val="389D7539"/>
    <w:rsid w:val="389E51DD"/>
    <w:rsid w:val="389F7D6B"/>
    <w:rsid w:val="38A4740C"/>
    <w:rsid w:val="38A61819"/>
    <w:rsid w:val="38AF4455"/>
    <w:rsid w:val="38B36EDA"/>
    <w:rsid w:val="38B62526"/>
    <w:rsid w:val="38B92017"/>
    <w:rsid w:val="38BF587F"/>
    <w:rsid w:val="38C27DC4"/>
    <w:rsid w:val="38C34C43"/>
    <w:rsid w:val="38C421B3"/>
    <w:rsid w:val="38C509BB"/>
    <w:rsid w:val="38C904AC"/>
    <w:rsid w:val="38DA7A62"/>
    <w:rsid w:val="38E4205E"/>
    <w:rsid w:val="38F44DFD"/>
    <w:rsid w:val="38FB43DD"/>
    <w:rsid w:val="38FC23A0"/>
    <w:rsid w:val="39017524"/>
    <w:rsid w:val="390239BE"/>
    <w:rsid w:val="390E4110"/>
    <w:rsid w:val="391664DF"/>
    <w:rsid w:val="39186D3D"/>
    <w:rsid w:val="391B345F"/>
    <w:rsid w:val="391E1E7A"/>
    <w:rsid w:val="391F734F"/>
    <w:rsid w:val="39237490"/>
    <w:rsid w:val="392515F3"/>
    <w:rsid w:val="39286885"/>
    <w:rsid w:val="392E04D8"/>
    <w:rsid w:val="393F076E"/>
    <w:rsid w:val="39400042"/>
    <w:rsid w:val="394702FC"/>
    <w:rsid w:val="394915ED"/>
    <w:rsid w:val="394D6D52"/>
    <w:rsid w:val="395172BF"/>
    <w:rsid w:val="395A08EE"/>
    <w:rsid w:val="395A1104"/>
    <w:rsid w:val="395C61FB"/>
    <w:rsid w:val="39602492"/>
    <w:rsid w:val="396D541B"/>
    <w:rsid w:val="397A13EA"/>
    <w:rsid w:val="397B287A"/>
    <w:rsid w:val="397E60B8"/>
    <w:rsid w:val="397F3F36"/>
    <w:rsid w:val="397F500E"/>
    <w:rsid w:val="39873EC3"/>
    <w:rsid w:val="39875C71"/>
    <w:rsid w:val="39916AF0"/>
    <w:rsid w:val="39932095"/>
    <w:rsid w:val="39972358"/>
    <w:rsid w:val="399B7293"/>
    <w:rsid w:val="399C796E"/>
    <w:rsid w:val="39A01C75"/>
    <w:rsid w:val="39A22E12"/>
    <w:rsid w:val="39A71E6F"/>
    <w:rsid w:val="39A86313"/>
    <w:rsid w:val="39B051C8"/>
    <w:rsid w:val="39B34B58"/>
    <w:rsid w:val="39B60304"/>
    <w:rsid w:val="39BE047A"/>
    <w:rsid w:val="39C42A21"/>
    <w:rsid w:val="39C86C21"/>
    <w:rsid w:val="39CB3B98"/>
    <w:rsid w:val="39CB3DB0"/>
    <w:rsid w:val="39CD3FCC"/>
    <w:rsid w:val="39CD7B28"/>
    <w:rsid w:val="39CE564E"/>
    <w:rsid w:val="39D23390"/>
    <w:rsid w:val="39D906C5"/>
    <w:rsid w:val="39D92270"/>
    <w:rsid w:val="39DB72F7"/>
    <w:rsid w:val="39E26862"/>
    <w:rsid w:val="39E8122B"/>
    <w:rsid w:val="39EC3D26"/>
    <w:rsid w:val="39EF2DC2"/>
    <w:rsid w:val="39F01A68"/>
    <w:rsid w:val="39F23A32"/>
    <w:rsid w:val="39F50E2C"/>
    <w:rsid w:val="39F7538F"/>
    <w:rsid w:val="39FA4CD4"/>
    <w:rsid w:val="39FD5F33"/>
    <w:rsid w:val="39FE3916"/>
    <w:rsid w:val="3A0D2261"/>
    <w:rsid w:val="3A155D47"/>
    <w:rsid w:val="3A1A4D37"/>
    <w:rsid w:val="3A1E12D9"/>
    <w:rsid w:val="3A222913"/>
    <w:rsid w:val="3A295D61"/>
    <w:rsid w:val="3A2D4A6A"/>
    <w:rsid w:val="3A2E433E"/>
    <w:rsid w:val="3A2F07E2"/>
    <w:rsid w:val="3A312F8B"/>
    <w:rsid w:val="3A35391F"/>
    <w:rsid w:val="3A355331"/>
    <w:rsid w:val="3A441C7A"/>
    <w:rsid w:val="3A4B2127"/>
    <w:rsid w:val="3A4F49E1"/>
    <w:rsid w:val="3A4F678F"/>
    <w:rsid w:val="3A555D6F"/>
    <w:rsid w:val="3A59585F"/>
    <w:rsid w:val="3A663AD8"/>
    <w:rsid w:val="3A667F7C"/>
    <w:rsid w:val="3A683CF4"/>
    <w:rsid w:val="3A685AA2"/>
    <w:rsid w:val="3A6C2245"/>
    <w:rsid w:val="3A7379ED"/>
    <w:rsid w:val="3A7461F5"/>
    <w:rsid w:val="3A777A93"/>
    <w:rsid w:val="3A7B57D6"/>
    <w:rsid w:val="3A830B2E"/>
    <w:rsid w:val="3A8F1281"/>
    <w:rsid w:val="3A970136"/>
    <w:rsid w:val="3A9839D5"/>
    <w:rsid w:val="3A9E400B"/>
    <w:rsid w:val="3AA0348E"/>
    <w:rsid w:val="3AA86AE2"/>
    <w:rsid w:val="3AAC3929"/>
    <w:rsid w:val="3AAD5BAB"/>
    <w:rsid w:val="3AB26D1E"/>
    <w:rsid w:val="3AB40CE8"/>
    <w:rsid w:val="3AB85FC8"/>
    <w:rsid w:val="3ABE1B66"/>
    <w:rsid w:val="3ABE56C2"/>
    <w:rsid w:val="3AC07851"/>
    <w:rsid w:val="3AC07DBA"/>
    <w:rsid w:val="3AC20E4B"/>
    <w:rsid w:val="3AC24284"/>
    <w:rsid w:val="3ACB5E8E"/>
    <w:rsid w:val="3ACF5B21"/>
    <w:rsid w:val="3AD1189A"/>
    <w:rsid w:val="3AD403BB"/>
    <w:rsid w:val="3AD43138"/>
    <w:rsid w:val="3AD72725"/>
    <w:rsid w:val="3AD9074E"/>
    <w:rsid w:val="3AD924FC"/>
    <w:rsid w:val="3AD969A0"/>
    <w:rsid w:val="3ADB0022"/>
    <w:rsid w:val="3ADE0A7C"/>
    <w:rsid w:val="3AE26C73"/>
    <w:rsid w:val="3AE74292"/>
    <w:rsid w:val="3AEB1466"/>
    <w:rsid w:val="3AED190D"/>
    <w:rsid w:val="3AF15A98"/>
    <w:rsid w:val="3AF47336"/>
    <w:rsid w:val="3AF70BD4"/>
    <w:rsid w:val="3AF9494C"/>
    <w:rsid w:val="3AFB06C4"/>
    <w:rsid w:val="3B074AF8"/>
    <w:rsid w:val="3B0D6C0B"/>
    <w:rsid w:val="3B133C60"/>
    <w:rsid w:val="3B181276"/>
    <w:rsid w:val="3B1D688D"/>
    <w:rsid w:val="3B20637D"/>
    <w:rsid w:val="3B2A2D58"/>
    <w:rsid w:val="3B2A71FC"/>
    <w:rsid w:val="3B2C6AD0"/>
    <w:rsid w:val="3B2D53D0"/>
    <w:rsid w:val="3B3D2A8B"/>
    <w:rsid w:val="3B3F5E7C"/>
    <w:rsid w:val="3B457B92"/>
    <w:rsid w:val="3B464036"/>
    <w:rsid w:val="3B4756B8"/>
    <w:rsid w:val="3B477494"/>
    <w:rsid w:val="3B516ED3"/>
    <w:rsid w:val="3B554279"/>
    <w:rsid w:val="3B587322"/>
    <w:rsid w:val="3B5878C5"/>
    <w:rsid w:val="3B6E533A"/>
    <w:rsid w:val="3B6E70E8"/>
    <w:rsid w:val="3B72766D"/>
    <w:rsid w:val="3B7641EF"/>
    <w:rsid w:val="3B7A5A8D"/>
    <w:rsid w:val="3B7D557D"/>
    <w:rsid w:val="3B806E1C"/>
    <w:rsid w:val="3B810333"/>
    <w:rsid w:val="3B8202E9"/>
    <w:rsid w:val="3B83130C"/>
    <w:rsid w:val="3B8F34C7"/>
    <w:rsid w:val="3B984165"/>
    <w:rsid w:val="3B985F13"/>
    <w:rsid w:val="3BA0301A"/>
    <w:rsid w:val="3BA05290"/>
    <w:rsid w:val="3BAC5E63"/>
    <w:rsid w:val="3BB22C32"/>
    <w:rsid w:val="3BB50897"/>
    <w:rsid w:val="3BB80364"/>
    <w:rsid w:val="3BBA23D3"/>
    <w:rsid w:val="3BC41D5D"/>
    <w:rsid w:val="3BC767F9"/>
    <w:rsid w:val="3BCC40EF"/>
    <w:rsid w:val="3BD333EF"/>
    <w:rsid w:val="3BD72EE0"/>
    <w:rsid w:val="3BE60C08"/>
    <w:rsid w:val="3BEC625F"/>
    <w:rsid w:val="3BF07AFD"/>
    <w:rsid w:val="3BF84C04"/>
    <w:rsid w:val="3BFA6BCE"/>
    <w:rsid w:val="3BFC5EF5"/>
    <w:rsid w:val="3C0435A9"/>
    <w:rsid w:val="3C076C8A"/>
    <w:rsid w:val="3C0D0902"/>
    <w:rsid w:val="3C0D57D9"/>
    <w:rsid w:val="3C0E2EA8"/>
    <w:rsid w:val="3C1001A0"/>
    <w:rsid w:val="3C131A08"/>
    <w:rsid w:val="3C1B08BC"/>
    <w:rsid w:val="3C202B7C"/>
    <w:rsid w:val="3C2F371D"/>
    <w:rsid w:val="3C3025F0"/>
    <w:rsid w:val="3C3245BA"/>
    <w:rsid w:val="3C332D6A"/>
    <w:rsid w:val="3C351FEC"/>
    <w:rsid w:val="3C357C06"/>
    <w:rsid w:val="3C3E629F"/>
    <w:rsid w:val="3C4147FD"/>
    <w:rsid w:val="3C467402"/>
    <w:rsid w:val="3C490231"/>
    <w:rsid w:val="3C4D41CF"/>
    <w:rsid w:val="3C4D430D"/>
    <w:rsid w:val="3C500585"/>
    <w:rsid w:val="3C506122"/>
    <w:rsid w:val="3C544530"/>
    <w:rsid w:val="3C575DCE"/>
    <w:rsid w:val="3C587F8B"/>
    <w:rsid w:val="3C5A141B"/>
    <w:rsid w:val="3C5A58BF"/>
    <w:rsid w:val="3C5C33E5"/>
    <w:rsid w:val="3C611042"/>
    <w:rsid w:val="3C6436E5"/>
    <w:rsid w:val="3C67733A"/>
    <w:rsid w:val="3C6779A4"/>
    <w:rsid w:val="3C687FDC"/>
    <w:rsid w:val="3C6A3D54"/>
    <w:rsid w:val="3C706E90"/>
    <w:rsid w:val="3C723457"/>
    <w:rsid w:val="3C792C55"/>
    <w:rsid w:val="3C7E335B"/>
    <w:rsid w:val="3C7F0E81"/>
    <w:rsid w:val="3C8666B4"/>
    <w:rsid w:val="3C8B5A78"/>
    <w:rsid w:val="3C8D2F8F"/>
    <w:rsid w:val="3C94492D"/>
    <w:rsid w:val="3C9708C1"/>
    <w:rsid w:val="3C97584D"/>
    <w:rsid w:val="3C9A402F"/>
    <w:rsid w:val="3C9C5ED7"/>
    <w:rsid w:val="3CA1529C"/>
    <w:rsid w:val="3CA54D8C"/>
    <w:rsid w:val="3CA64660"/>
    <w:rsid w:val="3CAA0C2A"/>
    <w:rsid w:val="3CB9732D"/>
    <w:rsid w:val="3CBC5CEC"/>
    <w:rsid w:val="3CC2593E"/>
    <w:rsid w:val="3CCB2319"/>
    <w:rsid w:val="3CCF005B"/>
    <w:rsid w:val="3CD016DD"/>
    <w:rsid w:val="3CD47902"/>
    <w:rsid w:val="3CE66669"/>
    <w:rsid w:val="3CEE3D26"/>
    <w:rsid w:val="3CF47AC1"/>
    <w:rsid w:val="3CFD4617"/>
    <w:rsid w:val="3CFD6976"/>
    <w:rsid w:val="3D0D16EF"/>
    <w:rsid w:val="3D0F2AA3"/>
    <w:rsid w:val="3D127F47"/>
    <w:rsid w:val="3D1E5BB7"/>
    <w:rsid w:val="3D2C2DB7"/>
    <w:rsid w:val="3D2E14E1"/>
    <w:rsid w:val="3D320DE7"/>
    <w:rsid w:val="3D347EBE"/>
    <w:rsid w:val="3D3748E1"/>
    <w:rsid w:val="3D3B60B6"/>
    <w:rsid w:val="3D3C45F6"/>
    <w:rsid w:val="3D3D1714"/>
    <w:rsid w:val="3D430101"/>
    <w:rsid w:val="3D436353"/>
    <w:rsid w:val="3D465137"/>
    <w:rsid w:val="3D583BAC"/>
    <w:rsid w:val="3D5A2496"/>
    <w:rsid w:val="3D5F13DF"/>
    <w:rsid w:val="3D5F637E"/>
    <w:rsid w:val="3D614D46"/>
    <w:rsid w:val="3D6662DB"/>
    <w:rsid w:val="3D687B67"/>
    <w:rsid w:val="3D6F7A43"/>
    <w:rsid w:val="3D736C38"/>
    <w:rsid w:val="3D77544A"/>
    <w:rsid w:val="3D7B244D"/>
    <w:rsid w:val="3D7C3A0F"/>
    <w:rsid w:val="3D827BF5"/>
    <w:rsid w:val="3D840E45"/>
    <w:rsid w:val="3D8B4B2B"/>
    <w:rsid w:val="3D8D5233"/>
    <w:rsid w:val="3D9C7FA8"/>
    <w:rsid w:val="3DA61E89"/>
    <w:rsid w:val="3DA74B34"/>
    <w:rsid w:val="3DA9265A"/>
    <w:rsid w:val="3DB1668F"/>
    <w:rsid w:val="3DB57251"/>
    <w:rsid w:val="3DBB4F53"/>
    <w:rsid w:val="3DC71657"/>
    <w:rsid w:val="3DCC459A"/>
    <w:rsid w:val="3DCC6348"/>
    <w:rsid w:val="3DD3413D"/>
    <w:rsid w:val="3DD441E1"/>
    <w:rsid w:val="3DDA6CB7"/>
    <w:rsid w:val="3DDC47DD"/>
    <w:rsid w:val="3DDD2303"/>
    <w:rsid w:val="3DE32640"/>
    <w:rsid w:val="3DF07707"/>
    <w:rsid w:val="3DF541A9"/>
    <w:rsid w:val="3DF80EEB"/>
    <w:rsid w:val="3DF8713D"/>
    <w:rsid w:val="3E045AE2"/>
    <w:rsid w:val="3E076897"/>
    <w:rsid w:val="3E0B4A65"/>
    <w:rsid w:val="3E0C4997"/>
    <w:rsid w:val="3E0D732A"/>
    <w:rsid w:val="3E12290A"/>
    <w:rsid w:val="3E1321C9"/>
    <w:rsid w:val="3E173A3F"/>
    <w:rsid w:val="3E1D461D"/>
    <w:rsid w:val="3E261EFC"/>
    <w:rsid w:val="3E29379B"/>
    <w:rsid w:val="3E2B306F"/>
    <w:rsid w:val="3E2E7003"/>
    <w:rsid w:val="3E32264F"/>
    <w:rsid w:val="3E3C1720"/>
    <w:rsid w:val="3E3D4C7C"/>
    <w:rsid w:val="3E413B9C"/>
    <w:rsid w:val="3E4260D9"/>
    <w:rsid w:val="3E490F6A"/>
    <w:rsid w:val="3E4A5C95"/>
    <w:rsid w:val="3E4B7D2B"/>
    <w:rsid w:val="3E5C76CC"/>
    <w:rsid w:val="3E5F3B03"/>
    <w:rsid w:val="3E66679D"/>
    <w:rsid w:val="3E70582C"/>
    <w:rsid w:val="3E726EF0"/>
    <w:rsid w:val="3E781F98"/>
    <w:rsid w:val="3E7D047A"/>
    <w:rsid w:val="3E80616E"/>
    <w:rsid w:val="3E8310FD"/>
    <w:rsid w:val="3E85758F"/>
    <w:rsid w:val="3E860BED"/>
    <w:rsid w:val="3E9E2257"/>
    <w:rsid w:val="3EA26F9B"/>
    <w:rsid w:val="3EA64DEB"/>
    <w:rsid w:val="3EA8415A"/>
    <w:rsid w:val="3EAD1CD6"/>
    <w:rsid w:val="3EAD6F0F"/>
    <w:rsid w:val="3EB07A18"/>
    <w:rsid w:val="3EB23790"/>
    <w:rsid w:val="3EB516C8"/>
    <w:rsid w:val="3EB56DDC"/>
    <w:rsid w:val="3EB72B91"/>
    <w:rsid w:val="3EB85378"/>
    <w:rsid w:val="3EBC6496"/>
    <w:rsid w:val="3EC03E4A"/>
    <w:rsid w:val="3EC51715"/>
    <w:rsid w:val="3ECA0847"/>
    <w:rsid w:val="3ECA15DC"/>
    <w:rsid w:val="3ECF5173"/>
    <w:rsid w:val="3ED04E79"/>
    <w:rsid w:val="3ED100BA"/>
    <w:rsid w:val="3ED25BE0"/>
    <w:rsid w:val="3ED402CB"/>
    <w:rsid w:val="3ED454B4"/>
    <w:rsid w:val="3EE002FD"/>
    <w:rsid w:val="3EE21CBD"/>
    <w:rsid w:val="3EEA117C"/>
    <w:rsid w:val="3EEB0A50"/>
    <w:rsid w:val="3EEB27FE"/>
    <w:rsid w:val="3EF21DDE"/>
    <w:rsid w:val="3EF67B21"/>
    <w:rsid w:val="3EF73899"/>
    <w:rsid w:val="3F051B12"/>
    <w:rsid w:val="3F075CC4"/>
    <w:rsid w:val="3F081602"/>
    <w:rsid w:val="3F0A09BA"/>
    <w:rsid w:val="3F0B5DBE"/>
    <w:rsid w:val="3F0C197D"/>
    <w:rsid w:val="3F0E5AA7"/>
    <w:rsid w:val="3F11495A"/>
    <w:rsid w:val="3F122481"/>
    <w:rsid w:val="3F1E1E3B"/>
    <w:rsid w:val="3F1F0CBC"/>
    <w:rsid w:val="3F220916"/>
    <w:rsid w:val="3F267DFC"/>
    <w:rsid w:val="3F275F2C"/>
    <w:rsid w:val="3F2D72BA"/>
    <w:rsid w:val="3F2F4DE1"/>
    <w:rsid w:val="3F3E5024"/>
    <w:rsid w:val="3F450160"/>
    <w:rsid w:val="3F47037C"/>
    <w:rsid w:val="3F485EA2"/>
    <w:rsid w:val="3F4E170B"/>
    <w:rsid w:val="3F584974"/>
    <w:rsid w:val="3F5922C0"/>
    <w:rsid w:val="3F5C54AA"/>
    <w:rsid w:val="3F5D36FC"/>
    <w:rsid w:val="3F606EC9"/>
    <w:rsid w:val="3F626F64"/>
    <w:rsid w:val="3F63109E"/>
    <w:rsid w:val="3F6B1D26"/>
    <w:rsid w:val="3F6C7EC6"/>
    <w:rsid w:val="3F830C89"/>
    <w:rsid w:val="3F922A7B"/>
    <w:rsid w:val="3F9B2DCE"/>
    <w:rsid w:val="3FA8130B"/>
    <w:rsid w:val="3FAE21A9"/>
    <w:rsid w:val="3FAF1572"/>
    <w:rsid w:val="3FB13B5B"/>
    <w:rsid w:val="3FB2282A"/>
    <w:rsid w:val="3FB850D9"/>
    <w:rsid w:val="3FBB501D"/>
    <w:rsid w:val="3FBD5D22"/>
    <w:rsid w:val="3FBF17B6"/>
    <w:rsid w:val="3FC01EDD"/>
    <w:rsid w:val="3FC45529"/>
    <w:rsid w:val="3FC47EEF"/>
    <w:rsid w:val="3FC507FC"/>
    <w:rsid w:val="3FCB2D5B"/>
    <w:rsid w:val="3FCE715D"/>
    <w:rsid w:val="3FCF4923"/>
    <w:rsid w:val="3FD87871"/>
    <w:rsid w:val="3FDD2A8F"/>
    <w:rsid w:val="3FE0432D"/>
    <w:rsid w:val="3FE24F15"/>
    <w:rsid w:val="3FED763F"/>
    <w:rsid w:val="3FF51B10"/>
    <w:rsid w:val="3FF9512D"/>
    <w:rsid w:val="40027710"/>
    <w:rsid w:val="401144E6"/>
    <w:rsid w:val="401D10DD"/>
    <w:rsid w:val="401F149E"/>
    <w:rsid w:val="402204A1"/>
    <w:rsid w:val="40335771"/>
    <w:rsid w:val="40353AD0"/>
    <w:rsid w:val="4035593D"/>
    <w:rsid w:val="403928F5"/>
    <w:rsid w:val="403B1563"/>
    <w:rsid w:val="403C5A07"/>
    <w:rsid w:val="403C77B5"/>
    <w:rsid w:val="403E4E33"/>
    <w:rsid w:val="40402324"/>
    <w:rsid w:val="40412A14"/>
    <w:rsid w:val="40452FF6"/>
    <w:rsid w:val="4047615A"/>
    <w:rsid w:val="40493C80"/>
    <w:rsid w:val="40503261"/>
    <w:rsid w:val="40534AFF"/>
    <w:rsid w:val="40555BB9"/>
    <w:rsid w:val="40596D74"/>
    <w:rsid w:val="405A5E8D"/>
    <w:rsid w:val="4061721C"/>
    <w:rsid w:val="40624D42"/>
    <w:rsid w:val="406256D2"/>
    <w:rsid w:val="406867FC"/>
    <w:rsid w:val="4070364E"/>
    <w:rsid w:val="40754A75"/>
    <w:rsid w:val="407E345D"/>
    <w:rsid w:val="407E6EA9"/>
    <w:rsid w:val="408973D9"/>
    <w:rsid w:val="408D1DBF"/>
    <w:rsid w:val="409163A5"/>
    <w:rsid w:val="40953369"/>
    <w:rsid w:val="409D230A"/>
    <w:rsid w:val="40A37834"/>
    <w:rsid w:val="40A4535A"/>
    <w:rsid w:val="40A806BA"/>
    <w:rsid w:val="40A93B94"/>
    <w:rsid w:val="40AB4931"/>
    <w:rsid w:val="40AD06B3"/>
    <w:rsid w:val="40AD5E62"/>
    <w:rsid w:val="40B414F2"/>
    <w:rsid w:val="40B437EF"/>
    <w:rsid w:val="40B732E0"/>
    <w:rsid w:val="40BA6207"/>
    <w:rsid w:val="40BC08F6"/>
    <w:rsid w:val="40BE466E"/>
    <w:rsid w:val="40D73786"/>
    <w:rsid w:val="40D82A90"/>
    <w:rsid w:val="40DC4AF4"/>
    <w:rsid w:val="40EB11DB"/>
    <w:rsid w:val="40EE33B8"/>
    <w:rsid w:val="40F7192E"/>
    <w:rsid w:val="40FF607C"/>
    <w:rsid w:val="410140EC"/>
    <w:rsid w:val="41055114"/>
    <w:rsid w:val="410A340F"/>
    <w:rsid w:val="410D3296"/>
    <w:rsid w:val="411249BA"/>
    <w:rsid w:val="411424E0"/>
    <w:rsid w:val="41167060"/>
    <w:rsid w:val="411B561D"/>
    <w:rsid w:val="411F0144"/>
    <w:rsid w:val="412070D7"/>
    <w:rsid w:val="4121441D"/>
    <w:rsid w:val="41234F05"/>
    <w:rsid w:val="412546ED"/>
    <w:rsid w:val="4125649B"/>
    <w:rsid w:val="412B15D8"/>
    <w:rsid w:val="41306BEE"/>
    <w:rsid w:val="41384420"/>
    <w:rsid w:val="414172BF"/>
    <w:rsid w:val="41432F6C"/>
    <w:rsid w:val="414867C0"/>
    <w:rsid w:val="41514760"/>
    <w:rsid w:val="415428DD"/>
    <w:rsid w:val="415C79E3"/>
    <w:rsid w:val="415D4149"/>
    <w:rsid w:val="415E2146"/>
    <w:rsid w:val="41604BB3"/>
    <w:rsid w:val="41653B58"/>
    <w:rsid w:val="41656898"/>
    <w:rsid w:val="41691C24"/>
    <w:rsid w:val="416D399E"/>
    <w:rsid w:val="416F4571"/>
    <w:rsid w:val="41717932"/>
    <w:rsid w:val="41722DE2"/>
    <w:rsid w:val="41723D8B"/>
    <w:rsid w:val="41764F49"/>
    <w:rsid w:val="41792E05"/>
    <w:rsid w:val="417D6740"/>
    <w:rsid w:val="417E5BAB"/>
    <w:rsid w:val="417E7959"/>
    <w:rsid w:val="418036D2"/>
    <w:rsid w:val="41897B48"/>
    <w:rsid w:val="418A72CE"/>
    <w:rsid w:val="419671AB"/>
    <w:rsid w:val="419D4FA4"/>
    <w:rsid w:val="41A47AEC"/>
    <w:rsid w:val="41A575DC"/>
    <w:rsid w:val="41A61D11"/>
    <w:rsid w:val="41AB2699"/>
    <w:rsid w:val="41AD023F"/>
    <w:rsid w:val="41B26AC3"/>
    <w:rsid w:val="41B34DFF"/>
    <w:rsid w:val="41B370C8"/>
    <w:rsid w:val="41BD31AE"/>
    <w:rsid w:val="41BF35E3"/>
    <w:rsid w:val="41C007E7"/>
    <w:rsid w:val="41CA0DF1"/>
    <w:rsid w:val="41CB63AB"/>
    <w:rsid w:val="41CC210B"/>
    <w:rsid w:val="41D27DC7"/>
    <w:rsid w:val="41D3540E"/>
    <w:rsid w:val="41D7614E"/>
    <w:rsid w:val="41D81760"/>
    <w:rsid w:val="41E77BF5"/>
    <w:rsid w:val="41EE076D"/>
    <w:rsid w:val="41F145CF"/>
    <w:rsid w:val="41FD36BD"/>
    <w:rsid w:val="41FF0A9A"/>
    <w:rsid w:val="42075BA1"/>
    <w:rsid w:val="421107CE"/>
    <w:rsid w:val="42134546"/>
    <w:rsid w:val="421A1D78"/>
    <w:rsid w:val="42213A90"/>
    <w:rsid w:val="422601F6"/>
    <w:rsid w:val="42276243"/>
    <w:rsid w:val="422A4836"/>
    <w:rsid w:val="422C6F42"/>
    <w:rsid w:val="423A2FA5"/>
    <w:rsid w:val="424566C9"/>
    <w:rsid w:val="424741EF"/>
    <w:rsid w:val="424B3CDF"/>
    <w:rsid w:val="424B65A6"/>
    <w:rsid w:val="4250579A"/>
    <w:rsid w:val="42552DB0"/>
    <w:rsid w:val="425608D6"/>
    <w:rsid w:val="426052B1"/>
    <w:rsid w:val="42613503"/>
    <w:rsid w:val="42624C6C"/>
    <w:rsid w:val="42666D6B"/>
    <w:rsid w:val="426B4382"/>
    <w:rsid w:val="426E4C3B"/>
    <w:rsid w:val="42823A7B"/>
    <w:rsid w:val="42836415"/>
    <w:rsid w:val="4284339E"/>
    <w:rsid w:val="429749F6"/>
    <w:rsid w:val="429C453B"/>
    <w:rsid w:val="429F70B1"/>
    <w:rsid w:val="42A12833"/>
    <w:rsid w:val="42A42166"/>
    <w:rsid w:val="42A86388"/>
    <w:rsid w:val="42A94EAA"/>
    <w:rsid w:val="42AC1E04"/>
    <w:rsid w:val="42AD499A"/>
    <w:rsid w:val="42B31885"/>
    <w:rsid w:val="42B533F0"/>
    <w:rsid w:val="42B75819"/>
    <w:rsid w:val="42BC698B"/>
    <w:rsid w:val="42DA32B5"/>
    <w:rsid w:val="42DA6266"/>
    <w:rsid w:val="42E669D9"/>
    <w:rsid w:val="42EE0B0F"/>
    <w:rsid w:val="42F02AD9"/>
    <w:rsid w:val="42F97BDF"/>
    <w:rsid w:val="42FC28A5"/>
    <w:rsid w:val="42FF1DAA"/>
    <w:rsid w:val="43050073"/>
    <w:rsid w:val="43056584"/>
    <w:rsid w:val="430B7913"/>
    <w:rsid w:val="43140575"/>
    <w:rsid w:val="431E13F4"/>
    <w:rsid w:val="432147AF"/>
    <w:rsid w:val="43234C5C"/>
    <w:rsid w:val="433168CD"/>
    <w:rsid w:val="433230F1"/>
    <w:rsid w:val="4350530C"/>
    <w:rsid w:val="435117C9"/>
    <w:rsid w:val="43566DE0"/>
    <w:rsid w:val="435B4BB3"/>
    <w:rsid w:val="435C016E"/>
    <w:rsid w:val="4363278D"/>
    <w:rsid w:val="436A63E7"/>
    <w:rsid w:val="436E01E0"/>
    <w:rsid w:val="437101AA"/>
    <w:rsid w:val="43747FB6"/>
    <w:rsid w:val="437A6D15"/>
    <w:rsid w:val="437E1E93"/>
    <w:rsid w:val="43866F99"/>
    <w:rsid w:val="438D25BA"/>
    <w:rsid w:val="439114E7"/>
    <w:rsid w:val="439671DC"/>
    <w:rsid w:val="439A35C1"/>
    <w:rsid w:val="439C4E1F"/>
    <w:rsid w:val="439E6277"/>
    <w:rsid w:val="43AA0EDA"/>
    <w:rsid w:val="43B04679"/>
    <w:rsid w:val="43B119B5"/>
    <w:rsid w:val="43B342D5"/>
    <w:rsid w:val="43B43B06"/>
    <w:rsid w:val="43B65AD0"/>
    <w:rsid w:val="43B81625"/>
    <w:rsid w:val="43B92ECB"/>
    <w:rsid w:val="43BE2285"/>
    <w:rsid w:val="43BE6733"/>
    <w:rsid w:val="43C130A8"/>
    <w:rsid w:val="43C55D14"/>
    <w:rsid w:val="43C933F7"/>
    <w:rsid w:val="43CD2740"/>
    <w:rsid w:val="43D9356D"/>
    <w:rsid w:val="43DA1313"/>
    <w:rsid w:val="43DA1CD3"/>
    <w:rsid w:val="43DD305D"/>
    <w:rsid w:val="43DE2931"/>
    <w:rsid w:val="43E02B4D"/>
    <w:rsid w:val="43EA7528"/>
    <w:rsid w:val="43EF2D90"/>
    <w:rsid w:val="43F02DE7"/>
    <w:rsid w:val="44032861"/>
    <w:rsid w:val="44074ECA"/>
    <w:rsid w:val="44077671"/>
    <w:rsid w:val="440A5C22"/>
    <w:rsid w:val="441617F1"/>
    <w:rsid w:val="441A1710"/>
    <w:rsid w:val="441A605F"/>
    <w:rsid w:val="441D78FE"/>
    <w:rsid w:val="44201EC6"/>
    <w:rsid w:val="44224F14"/>
    <w:rsid w:val="44241192"/>
    <w:rsid w:val="44262384"/>
    <w:rsid w:val="442A5A15"/>
    <w:rsid w:val="442A7E48"/>
    <w:rsid w:val="442B00EF"/>
    <w:rsid w:val="442E5667"/>
    <w:rsid w:val="443C1D29"/>
    <w:rsid w:val="443F548F"/>
    <w:rsid w:val="44440DC3"/>
    <w:rsid w:val="444663A5"/>
    <w:rsid w:val="444906F3"/>
    <w:rsid w:val="444924A1"/>
    <w:rsid w:val="444C2AFD"/>
    <w:rsid w:val="445350CD"/>
    <w:rsid w:val="44564AB1"/>
    <w:rsid w:val="445A18D8"/>
    <w:rsid w:val="44623562"/>
    <w:rsid w:val="44650F3F"/>
    <w:rsid w:val="44695FB6"/>
    <w:rsid w:val="446B5CB5"/>
    <w:rsid w:val="44703F6B"/>
    <w:rsid w:val="447119F7"/>
    <w:rsid w:val="4475773A"/>
    <w:rsid w:val="44764F0E"/>
    <w:rsid w:val="447A7A51"/>
    <w:rsid w:val="447B0A98"/>
    <w:rsid w:val="447D039C"/>
    <w:rsid w:val="44860EF6"/>
    <w:rsid w:val="44896207"/>
    <w:rsid w:val="448E082A"/>
    <w:rsid w:val="449776B0"/>
    <w:rsid w:val="449C4CC6"/>
    <w:rsid w:val="449D218D"/>
    <w:rsid w:val="44B10046"/>
    <w:rsid w:val="44B17755"/>
    <w:rsid w:val="44B244EA"/>
    <w:rsid w:val="44B6565C"/>
    <w:rsid w:val="44BD10DE"/>
    <w:rsid w:val="44BE2E8F"/>
    <w:rsid w:val="44C22253"/>
    <w:rsid w:val="44C36444"/>
    <w:rsid w:val="44C71617"/>
    <w:rsid w:val="44C935E1"/>
    <w:rsid w:val="44CB735A"/>
    <w:rsid w:val="44CD1324"/>
    <w:rsid w:val="44D05C34"/>
    <w:rsid w:val="44D51F86"/>
    <w:rsid w:val="44DC4F8D"/>
    <w:rsid w:val="44DF07C2"/>
    <w:rsid w:val="44DF4BB3"/>
    <w:rsid w:val="44E1092B"/>
    <w:rsid w:val="44E26451"/>
    <w:rsid w:val="44E279FD"/>
    <w:rsid w:val="44E92D8F"/>
    <w:rsid w:val="44E97623"/>
    <w:rsid w:val="44EE673F"/>
    <w:rsid w:val="44F81395"/>
    <w:rsid w:val="44F93EC7"/>
    <w:rsid w:val="44FB69A3"/>
    <w:rsid w:val="44FF2277"/>
    <w:rsid w:val="4510288D"/>
    <w:rsid w:val="451231DA"/>
    <w:rsid w:val="45141DD1"/>
    <w:rsid w:val="45252F0E"/>
    <w:rsid w:val="452F78E8"/>
    <w:rsid w:val="453158B9"/>
    <w:rsid w:val="453B3D19"/>
    <w:rsid w:val="453C3A68"/>
    <w:rsid w:val="453E7B2C"/>
    <w:rsid w:val="454113CA"/>
    <w:rsid w:val="454315E6"/>
    <w:rsid w:val="454F3AE7"/>
    <w:rsid w:val="45596713"/>
    <w:rsid w:val="455A67AE"/>
    <w:rsid w:val="455A6FF1"/>
    <w:rsid w:val="45603F46"/>
    <w:rsid w:val="456450B8"/>
    <w:rsid w:val="456A6B72"/>
    <w:rsid w:val="456F23DB"/>
    <w:rsid w:val="456F454F"/>
    <w:rsid w:val="45700666"/>
    <w:rsid w:val="45763769"/>
    <w:rsid w:val="457E261E"/>
    <w:rsid w:val="45833DF4"/>
    <w:rsid w:val="458B6AE9"/>
    <w:rsid w:val="458C0F08"/>
    <w:rsid w:val="459B31D0"/>
    <w:rsid w:val="459C4852"/>
    <w:rsid w:val="459E43BC"/>
    <w:rsid w:val="459F53C0"/>
    <w:rsid w:val="45A01123"/>
    <w:rsid w:val="45A07276"/>
    <w:rsid w:val="45AA0617"/>
    <w:rsid w:val="45AC718B"/>
    <w:rsid w:val="45B002FD"/>
    <w:rsid w:val="45BD230A"/>
    <w:rsid w:val="45BF1E04"/>
    <w:rsid w:val="45BF468E"/>
    <w:rsid w:val="45C10D0F"/>
    <w:rsid w:val="45C2075D"/>
    <w:rsid w:val="45CB480C"/>
    <w:rsid w:val="45D1274E"/>
    <w:rsid w:val="45D16FCC"/>
    <w:rsid w:val="45D64208"/>
    <w:rsid w:val="45D805C0"/>
    <w:rsid w:val="45D95AA6"/>
    <w:rsid w:val="45DB07B7"/>
    <w:rsid w:val="45DD7344"/>
    <w:rsid w:val="45E5444B"/>
    <w:rsid w:val="45EC57D9"/>
    <w:rsid w:val="45EE1552"/>
    <w:rsid w:val="45F87C65"/>
    <w:rsid w:val="45FF375F"/>
    <w:rsid w:val="46016CFB"/>
    <w:rsid w:val="46080139"/>
    <w:rsid w:val="460842CE"/>
    <w:rsid w:val="46092F80"/>
    <w:rsid w:val="460F7F83"/>
    <w:rsid w:val="461D429A"/>
    <w:rsid w:val="461E7EC5"/>
    <w:rsid w:val="4623391D"/>
    <w:rsid w:val="46252D4D"/>
    <w:rsid w:val="462A00B0"/>
    <w:rsid w:val="462A4554"/>
    <w:rsid w:val="462A540E"/>
    <w:rsid w:val="462E04FD"/>
    <w:rsid w:val="463F07B3"/>
    <w:rsid w:val="463F0A04"/>
    <w:rsid w:val="464078D3"/>
    <w:rsid w:val="46445615"/>
    <w:rsid w:val="46495640"/>
    <w:rsid w:val="464E3D9E"/>
    <w:rsid w:val="464F5D68"/>
    <w:rsid w:val="465D0485"/>
    <w:rsid w:val="465E4B3A"/>
    <w:rsid w:val="46625A9C"/>
    <w:rsid w:val="466310B6"/>
    <w:rsid w:val="46691EBB"/>
    <w:rsid w:val="4669507C"/>
    <w:rsid w:val="466D5890"/>
    <w:rsid w:val="467001B9"/>
    <w:rsid w:val="46727D2F"/>
    <w:rsid w:val="467557CF"/>
    <w:rsid w:val="46767799"/>
    <w:rsid w:val="467A0C55"/>
    <w:rsid w:val="467B090B"/>
    <w:rsid w:val="467E3F53"/>
    <w:rsid w:val="46873754"/>
    <w:rsid w:val="468A0B4E"/>
    <w:rsid w:val="468C7E24"/>
    <w:rsid w:val="46957C1F"/>
    <w:rsid w:val="4699566E"/>
    <w:rsid w:val="469A5235"/>
    <w:rsid w:val="469D6AD4"/>
    <w:rsid w:val="46A47E62"/>
    <w:rsid w:val="46AB11F1"/>
    <w:rsid w:val="46AB7443"/>
    <w:rsid w:val="46B03787"/>
    <w:rsid w:val="46B207D1"/>
    <w:rsid w:val="46B661B6"/>
    <w:rsid w:val="46BA58D8"/>
    <w:rsid w:val="46BB51AC"/>
    <w:rsid w:val="46BD7176"/>
    <w:rsid w:val="46BF588E"/>
    <w:rsid w:val="46C7182E"/>
    <w:rsid w:val="46CA3B6E"/>
    <w:rsid w:val="46CC73B9"/>
    <w:rsid w:val="46D041DE"/>
    <w:rsid w:val="46DA1AD6"/>
    <w:rsid w:val="46E2098A"/>
    <w:rsid w:val="46E22739"/>
    <w:rsid w:val="46E75FA1"/>
    <w:rsid w:val="46E856AA"/>
    <w:rsid w:val="46E97F6B"/>
    <w:rsid w:val="46F55770"/>
    <w:rsid w:val="46F801AE"/>
    <w:rsid w:val="46FA5CD4"/>
    <w:rsid w:val="46FC1A4C"/>
    <w:rsid w:val="4703102D"/>
    <w:rsid w:val="470D3C59"/>
    <w:rsid w:val="470D5A07"/>
    <w:rsid w:val="470E1780"/>
    <w:rsid w:val="470E352E"/>
    <w:rsid w:val="471054F8"/>
    <w:rsid w:val="471A0124"/>
    <w:rsid w:val="471C5C4A"/>
    <w:rsid w:val="471D11EB"/>
    <w:rsid w:val="4723076A"/>
    <w:rsid w:val="4723347D"/>
    <w:rsid w:val="47242D51"/>
    <w:rsid w:val="472471F5"/>
    <w:rsid w:val="47262F6D"/>
    <w:rsid w:val="47270F9A"/>
    <w:rsid w:val="472F1E22"/>
    <w:rsid w:val="473016F6"/>
    <w:rsid w:val="47394A4E"/>
    <w:rsid w:val="473C009B"/>
    <w:rsid w:val="47414C6F"/>
    <w:rsid w:val="47424128"/>
    <w:rsid w:val="47462CC7"/>
    <w:rsid w:val="474B29D4"/>
    <w:rsid w:val="474D04FA"/>
    <w:rsid w:val="474D343F"/>
    <w:rsid w:val="47524FBD"/>
    <w:rsid w:val="47542A45"/>
    <w:rsid w:val="475C073D"/>
    <w:rsid w:val="475E6263"/>
    <w:rsid w:val="47626EEB"/>
    <w:rsid w:val="47690CE9"/>
    <w:rsid w:val="476A10AC"/>
    <w:rsid w:val="476F0470"/>
    <w:rsid w:val="476F66C2"/>
    <w:rsid w:val="477041E8"/>
    <w:rsid w:val="47855610"/>
    <w:rsid w:val="478C2DB8"/>
    <w:rsid w:val="4799373F"/>
    <w:rsid w:val="47A60664"/>
    <w:rsid w:val="47A81BD4"/>
    <w:rsid w:val="47A85730"/>
    <w:rsid w:val="47AA47C4"/>
    <w:rsid w:val="47AB6FCE"/>
    <w:rsid w:val="47AC1243"/>
    <w:rsid w:val="47AF0D07"/>
    <w:rsid w:val="47B42327"/>
    <w:rsid w:val="47B53C67"/>
    <w:rsid w:val="47BA2ED2"/>
    <w:rsid w:val="47C36A0E"/>
    <w:rsid w:val="47C443E5"/>
    <w:rsid w:val="47D14C87"/>
    <w:rsid w:val="47D26C51"/>
    <w:rsid w:val="47D74267"/>
    <w:rsid w:val="47E32DD0"/>
    <w:rsid w:val="47E50732"/>
    <w:rsid w:val="47F24BFD"/>
    <w:rsid w:val="47F866B8"/>
    <w:rsid w:val="47FC782A"/>
    <w:rsid w:val="47FF0DBD"/>
    <w:rsid w:val="480A1F47"/>
    <w:rsid w:val="480C3F11"/>
    <w:rsid w:val="480E2C76"/>
    <w:rsid w:val="481132D5"/>
    <w:rsid w:val="481954E2"/>
    <w:rsid w:val="48332D81"/>
    <w:rsid w:val="48335942"/>
    <w:rsid w:val="483416BA"/>
    <w:rsid w:val="48345216"/>
    <w:rsid w:val="4838131C"/>
    <w:rsid w:val="4839282C"/>
    <w:rsid w:val="483B2A48"/>
    <w:rsid w:val="483E6094"/>
    <w:rsid w:val="483F6137"/>
    <w:rsid w:val="48427933"/>
    <w:rsid w:val="4843558C"/>
    <w:rsid w:val="48446D0B"/>
    <w:rsid w:val="484A4A39"/>
    <w:rsid w:val="484D62D8"/>
    <w:rsid w:val="485031E7"/>
    <w:rsid w:val="4851401A"/>
    <w:rsid w:val="48580F04"/>
    <w:rsid w:val="48582728"/>
    <w:rsid w:val="485E04E5"/>
    <w:rsid w:val="48644D0C"/>
    <w:rsid w:val="48741AB6"/>
    <w:rsid w:val="488066AD"/>
    <w:rsid w:val="48822425"/>
    <w:rsid w:val="488453B8"/>
    <w:rsid w:val="48897310"/>
    <w:rsid w:val="48900224"/>
    <w:rsid w:val="48911660"/>
    <w:rsid w:val="48A44149"/>
    <w:rsid w:val="48A54FAE"/>
    <w:rsid w:val="48A57EC2"/>
    <w:rsid w:val="48AF2AEE"/>
    <w:rsid w:val="48B00D40"/>
    <w:rsid w:val="48B15D8C"/>
    <w:rsid w:val="48B56357"/>
    <w:rsid w:val="48BD16AF"/>
    <w:rsid w:val="48BF0F83"/>
    <w:rsid w:val="48C0704F"/>
    <w:rsid w:val="48C269A2"/>
    <w:rsid w:val="48C441D5"/>
    <w:rsid w:val="48C7608A"/>
    <w:rsid w:val="48C978A6"/>
    <w:rsid w:val="48CA7928"/>
    <w:rsid w:val="48CB3DCC"/>
    <w:rsid w:val="48CE11C6"/>
    <w:rsid w:val="48DF3E68"/>
    <w:rsid w:val="48E7759C"/>
    <w:rsid w:val="48EE3617"/>
    <w:rsid w:val="48EE7ABB"/>
    <w:rsid w:val="48F35097"/>
    <w:rsid w:val="48F54560"/>
    <w:rsid w:val="48F771DF"/>
    <w:rsid w:val="48FB6EA2"/>
    <w:rsid w:val="48FF5824"/>
    <w:rsid w:val="490C57F6"/>
    <w:rsid w:val="490E5A67"/>
    <w:rsid w:val="4913307D"/>
    <w:rsid w:val="491A3922"/>
    <w:rsid w:val="491C63D6"/>
    <w:rsid w:val="492D2391"/>
    <w:rsid w:val="49310DE8"/>
    <w:rsid w:val="49366D6C"/>
    <w:rsid w:val="493A2D00"/>
    <w:rsid w:val="493A4AAE"/>
    <w:rsid w:val="49470F79"/>
    <w:rsid w:val="494B0A69"/>
    <w:rsid w:val="494D3B95"/>
    <w:rsid w:val="494D67E4"/>
    <w:rsid w:val="494F07EC"/>
    <w:rsid w:val="49507A41"/>
    <w:rsid w:val="49514813"/>
    <w:rsid w:val="49555444"/>
    <w:rsid w:val="49584F34"/>
    <w:rsid w:val="49587485"/>
    <w:rsid w:val="495969F9"/>
    <w:rsid w:val="49647D7D"/>
    <w:rsid w:val="496D4D42"/>
    <w:rsid w:val="496F0BFB"/>
    <w:rsid w:val="4970227E"/>
    <w:rsid w:val="497556A7"/>
    <w:rsid w:val="497955D6"/>
    <w:rsid w:val="497B1F6A"/>
    <w:rsid w:val="498015D8"/>
    <w:rsid w:val="498126DD"/>
    <w:rsid w:val="4981448B"/>
    <w:rsid w:val="4985306E"/>
    <w:rsid w:val="49902920"/>
    <w:rsid w:val="49942410"/>
    <w:rsid w:val="49995BE7"/>
    <w:rsid w:val="499C7517"/>
    <w:rsid w:val="499F5FF1"/>
    <w:rsid w:val="49A10689"/>
    <w:rsid w:val="49A346C1"/>
    <w:rsid w:val="49A50534"/>
    <w:rsid w:val="49AB59AC"/>
    <w:rsid w:val="49B91E77"/>
    <w:rsid w:val="49BA14B8"/>
    <w:rsid w:val="49C1176A"/>
    <w:rsid w:val="49C15F04"/>
    <w:rsid w:val="49C8030C"/>
    <w:rsid w:val="49CF51F6"/>
    <w:rsid w:val="49D11C8D"/>
    <w:rsid w:val="49D74165"/>
    <w:rsid w:val="49D95B7D"/>
    <w:rsid w:val="49DC3DB7"/>
    <w:rsid w:val="49E14F29"/>
    <w:rsid w:val="49E50EBD"/>
    <w:rsid w:val="49E97107"/>
    <w:rsid w:val="49EF1838"/>
    <w:rsid w:val="49F03898"/>
    <w:rsid w:val="49F0530F"/>
    <w:rsid w:val="49F92273"/>
    <w:rsid w:val="49FC5FD5"/>
    <w:rsid w:val="4A113A61"/>
    <w:rsid w:val="4A154C8D"/>
    <w:rsid w:val="4A1E1CDA"/>
    <w:rsid w:val="4A1F7CEC"/>
    <w:rsid w:val="4A232912"/>
    <w:rsid w:val="4A253068"/>
    <w:rsid w:val="4A2A2D74"/>
    <w:rsid w:val="4A2D2426"/>
    <w:rsid w:val="4A3630B8"/>
    <w:rsid w:val="4A372D9B"/>
    <w:rsid w:val="4A392FB7"/>
    <w:rsid w:val="4A396B13"/>
    <w:rsid w:val="4A3B0ADD"/>
    <w:rsid w:val="4A435BE4"/>
    <w:rsid w:val="4A49144C"/>
    <w:rsid w:val="4A4D183F"/>
    <w:rsid w:val="4A5120AF"/>
    <w:rsid w:val="4A51657B"/>
    <w:rsid w:val="4A537B51"/>
    <w:rsid w:val="4A576500"/>
    <w:rsid w:val="4A581AD8"/>
    <w:rsid w:val="4A593C31"/>
    <w:rsid w:val="4A5C2802"/>
    <w:rsid w:val="4A5E31D9"/>
    <w:rsid w:val="4A6F69D9"/>
    <w:rsid w:val="4A702D6F"/>
    <w:rsid w:val="4A71390E"/>
    <w:rsid w:val="4A722563"/>
    <w:rsid w:val="4A77763C"/>
    <w:rsid w:val="4A782A86"/>
    <w:rsid w:val="4A834233"/>
    <w:rsid w:val="4A865E56"/>
    <w:rsid w:val="4A883648"/>
    <w:rsid w:val="4A8F0E29"/>
    <w:rsid w:val="4A902D26"/>
    <w:rsid w:val="4A9A1CA8"/>
    <w:rsid w:val="4AA046CC"/>
    <w:rsid w:val="4AA20B5D"/>
    <w:rsid w:val="4AA246B9"/>
    <w:rsid w:val="4AA93C99"/>
    <w:rsid w:val="4AAA17BF"/>
    <w:rsid w:val="4AAB72BB"/>
    <w:rsid w:val="4AB91025"/>
    <w:rsid w:val="4AC24D5B"/>
    <w:rsid w:val="4AC7342A"/>
    <w:rsid w:val="4AC9433B"/>
    <w:rsid w:val="4ACB3CA9"/>
    <w:rsid w:val="4ACF7478"/>
    <w:rsid w:val="4AD11442"/>
    <w:rsid w:val="4AD131F0"/>
    <w:rsid w:val="4AD41D96"/>
    <w:rsid w:val="4AD60806"/>
    <w:rsid w:val="4ADA45AC"/>
    <w:rsid w:val="4ADD414B"/>
    <w:rsid w:val="4AE271AB"/>
    <w:rsid w:val="4AE42F23"/>
    <w:rsid w:val="4AE66C9B"/>
    <w:rsid w:val="4AE9678B"/>
    <w:rsid w:val="4AF018C8"/>
    <w:rsid w:val="4AF313B8"/>
    <w:rsid w:val="4AF33166"/>
    <w:rsid w:val="4AF33CC3"/>
    <w:rsid w:val="4AF34F14"/>
    <w:rsid w:val="4AF56EDE"/>
    <w:rsid w:val="4AF869CF"/>
    <w:rsid w:val="4B005C4C"/>
    <w:rsid w:val="4B035EA1"/>
    <w:rsid w:val="4B0502F8"/>
    <w:rsid w:val="4B093C4E"/>
    <w:rsid w:val="4B0E61F2"/>
    <w:rsid w:val="4B1F21AD"/>
    <w:rsid w:val="4B29302C"/>
    <w:rsid w:val="4B313C8F"/>
    <w:rsid w:val="4B35377F"/>
    <w:rsid w:val="4B3A2B43"/>
    <w:rsid w:val="4B4D6D1A"/>
    <w:rsid w:val="4B4E4840"/>
    <w:rsid w:val="4B5272B0"/>
    <w:rsid w:val="4B533C05"/>
    <w:rsid w:val="4B553E21"/>
    <w:rsid w:val="4B5D6832"/>
    <w:rsid w:val="4B65446D"/>
    <w:rsid w:val="4B6E6C91"/>
    <w:rsid w:val="4B705F07"/>
    <w:rsid w:val="4B771FE9"/>
    <w:rsid w:val="4B7823A7"/>
    <w:rsid w:val="4B7A3887"/>
    <w:rsid w:val="4B7B323B"/>
    <w:rsid w:val="4B7C315C"/>
    <w:rsid w:val="4B8270B7"/>
    <w:rsid w:val="4B8531D2"/>
    <w:rsid w:val="4B85737C"/>
    <w:rsid w:val="4B865D88"/>
    <w:rsid w:val="4B867F1B"/>
    <w:rsid w:val="4B8833B1"/>
    <w:rsid w:val="4B887D52"/>
    <w:rsid w:val="4B8B7843"/>
    <w:rsid w:val="4B8C1435"/>
    <w:rsid w:val="4B906C07"/>
    <w:rsid w:val="4BAE52DF"/>
    <w:rsid w:val="4BB01057"/>
    <w:rsid w:val="4BB24DCF"/>
    <w:rsid w:val="4BB30ECF"/>
    <w:rsid w:val="4BB723E6"/>
    <w:rsid w:val="4BBA5AD8"/>
    <w:rsid w:val="4BBF1EF3"/>
    <w:rsid w:val="4BC15012"/>
    <w:rsid w:val="4BC468B1"/>
    <w:rsid w:val="4BC55300"/>
    <w:rsid w:val="4BC87E8A"/>
    <w:rsid w:val="4BCA7D61"/>
    <w:rsid w:val="4BCB23E6"/>
    <w:rsid w:val="4BD046E5"/>
    <w:rsid w:val="4BD41DF8"/>
    <w:rsid w:val="4BD7664E"/>
    <w:rsid w:val="4BE11A5A"/>
    <w:rsid w:val="4BE156B5"/>
    <w:rsid w:val="4BE807F1"/>
    <w:rsid w:val="4BEA4569"/>
    <w:rsid w:val="4BEB0472"/>
    <w:rsid w:val="4BFE7D23"/>
    <w:rsid w:val="4BFF1046"/>
    <w:rsid w:val="4C0513A3"/>
    <w:rsid w:val="4C0B1536"/>
    <w:rsid w:val="4C123AC0"/>
    <w:rsid w:val="4C13156B"/>
    <w:rsid w:val="4C1415E6"/>
    <w:rsid w:val="4C1C0FFB"/>
    <w:rsid w:val="4C1E06B7"/>
    <w:rsid w:val="4C1E09D8"/>
    <w:rsid w:val="4C2C64CE"/>
    <w:rsid w:val="4C325848"/>
    <w:rsid w:val="4C325F10"/>
    <w:rsid w:val="4C3457E4"/>
    <w:rsid w:val="4C3F73EA"/>
    <w:rsid w:val="4C4A7B25"/>
    <w:rsid w:val="4C4C1669"/>
    <w:rsid w:val="4C514CFA"/>
    <w:rsid w:val="4C5440D8"/>
    <w:rsid w:val="4C545E87"/>
    <w:rsid w:val="4C5502AB"/>
    <w:rsid w:val="4C577725"/>
    <w:rsid w:val="4C5B411D"/>
    <w:rsid w:val="4C5C30AF"/>
    <w:rsid w:val="4C6C1422"/>
    <w:rsid w:val="4C7D66DE"/>
    <w:rsid w:val="4C7F7F52"/>
    <w:rsid w:val="4C800A2A"/>
    <w:rsid w:val="4C8147A2"/>
    <w:rsid w:val="4C864CC2"/>
    <w:rsid w:val="4C8F0766"/>
    <w:rsid w:val="4C923F9B"/>
    <w:rsid w:val="4C9269AF"/>
    <w:rsid w:val="4C9D782D"/>
    <w:rsid w:val="4CA010CC"/>
    <w:rsid w:val="4CA87F80"/>
    <w:rsid w:val="4CAA3CF8"/>
    <w:rsid w:val="4CAE0519"/>
    <w:rsid w:val="4CB9218D"/>
    <w:rsid w:val="4CBA02AB"/>
    <w:rsid w:val="4CBB5F06"/>
    <w:rsid w:val="4CBC34BA"/>
    <w:rsid w:val="4CBF09AB"/>
    <w:rsid w:val="4CC052CA"/>
    <w:rsid w:val="4CC15F62"/>
    <w:rsid w:val="4CC56D84"/>
    <w:rsid w:val="4CC6456C"/>
    <w:rsid w:val="4CC96874"/>
    <w:rsid w:val="4CCD571C"/>
    <w:rsid w:val="4CCE2373"/>
    <w:rsid w:val="4CDD6B26"/>
    <w:rsid w:val="4CE27936"/>
    <w:rsid w:val="4CE96015"/>
    <w:rsid w:val="4CFB27A6"/>
    <w:rsid w:val="4CFD207A"/>
    <w:rsid w:val="4D094EC3"/>
    <w:rsid w:val="4D0B0C3B"/>
    <w:rsid w:val="4D0E24D9"/>
    <w:rsid w:val="4D0E3A1F"/>
    <w:rsid w:val="4D13022B"/>
    <w:rsid w:val="4D150064"/>
    <w:rsid w:val="4D151ABA"/>
    <w:rsid w:val="4D1554C9"/>
    <w:rsid w:val="4D18461C"/>
    <w:rsid w:val="4D1A2C2C"/>
    <w:rsid w:val="4D1D44CA"/>
    <w:rsid w:val="4D2168A6"/>
    <w:rsid w:val="4D244677"/>
    <w:rsid w:val="4D245859"/>
    <w:rsid w:val="4D267823"/>
    <w:rsid w:val="4D2910C1"/>
    <w:rsid w:val="4D2C0BB1"/>
    <w:rsid w:val="4D330192"/>
    <w:rsid w:val="4D397978"/>
    <w:rsid w:val="4D467EC5"/>
    <w:rsid w:val="4D4C15C3"/>
    <w:rsid w:val="4D4E7696"/>
    <w:rsid w:val="4D544F79"/>
    <w:rsid w:val="4D5B7C28"/>
    <w:rsid w:val="4D63672B"/>
    <w:rsid w:val="4D6B3488"/>
    <w:rsid w:val="4D6D67A3"/>
    <w:rsid w:val="4D727009"/>
    <w:rsid w:val="4D812CAB"/>
    <w:rsid w:val="4D8409ED"/>
    <w:rsid w:val="4D854BE0"/>
    <w:rsid w:val="4D8D56B2"/>
    <w:rsid w:val="4D924EB8"/>
    <w:rsid w:val="4D956757"/>
    <w:rsid w:val="4D970721"/>
    <w:rsid w:val="4D9C7AE5"/>
    <w:rsid w:val="4D9E1AAF"/>
    <w:rsid w:val="4DA644C0"/>
    <w:rsid w:val="4DAB1AD6"/>
    <w:rsid w:val="4DB766CD"/>
    <w:rsid w:val="4DBA7F6B"/>
    <w:rsid w:val="4DC808DA"/>
    <w:rsid w:val="4DC813F1"/>
    <w:rsid w:val="4DCB03CA"/>
    <w:rsid w:val="4DCD5EF0"/>
    <w:rsid w:val="4DDD0F6C"/>
    <w:rsid w:val="4DE921BD"/>
    <w:rsid w:val="4E004F4F"/>
    <w:rsid w:val="4E127DA7"/>
    <w:rsid w:val="4E1458CD"/>
    <w:rsid w:val="4E163BB7"/>
    <w:rsid w:val="4E231FB4"/>
    <w:rsid w:val="4E2B0E69"/>
    <w:rsid w:val="4E2B207B"/>
    <w:rsid w:val="4E2D2D71"/>
    <w:rsid w:val="4E2E2DF4"/>
    <w:rsid w:val="4E30570B"/>
    <w:rsid w:val="4E3115A2"/>
    <w:rsid w:val="4E312919"/>
    <w:rsid w:val="4E33304B"/>
    <w:rsid w:val="4E3917D8"/>
    <w:rsid w:val="4E3E1D34"/>
    <w:rsid w:val="4E422B8B"/>
    <w:rsid w:val="4E465DE4"/>
    <w:rsid w:val="4E465F97"/>
    <w:rsid w:val="4E4F4B57"/>
    <w:rsid w:val="4E543767"/>
    <w:rsid w:val="4E5550C4"/>
    <w:rsid w:val="4E616639"/>
    <w:rsid w:val="4E6A5267"/>
    <w:rsid w:val="4E7067BB"/>
    <w:rsid w:val="4E764F37"/>
    <w:rsid w:val="4E7939C1"/>
    <w:rsid w:val="4E7C16C5"/>
    <w:rsid w:val="4E807407"/>
    <w:rsid w:val="4E824F2D"/>
    <w:rsid w:val="4E8643DB"/>
    <w:rsid w:val="4E8D38D2"/>
    <w:rsid w:val="4E915170"/>
    <w:rsid w:val="4E916F1E"/>
    <w:rsid w:val="4E9468D6"/>
    <w:rsid w:val="4E9E492E"/>
    <w:rsid w:val="4EA26DE2"/>
    <w:rsid w:val="4EA43238"/>
    <w:rsid w:val="4EAC33D1"/>
    <w:rsid w:val="4EAE5BAB"/>
    <w:rsid w:val="4EAF3848"/>
    <w:rsid w:val="4EB250E6"/>
    <w:rsid w:val="4EB25D56"/>
    <w:rsid w:val="4EC866B8"/>
    <w:rsid w:val="4ED10F45"/>
    <w:rsid w:val="4EDF52B0"/>
    <w:rsid w:val="4EE07EA5"/>
    <w:rsid w:val="4EE17BF7"/>
    <w:rsid w:val="4EE3536F"/>
    <w:rsid w:val="4EF61477"/>
    <w:rsid w:val="4EFD0A57"/>
    <w:rsid w:val="4F1008A7"/>
    <w:rsid w:val="4F101158"/>
    <w:rsid w:val="4F135B85"/>
    <w:rsid w:val="4F192763"/>
    <w:rsid w:val="4F1D4C56"/>
    <w:rsid w:val="4F25590B"/>
    <w:rsid w:val="4F26120E"/>
    <w:rsid w:val="4F282278"/>
    <w:rsid w:val="4F343D4D"/>
    <w:rsid w:val="4F361873"/>
    <w:rsid w:val="4F443F90"/>
    <w:rsid w:val="4F486090"/>
    <w:rsid w:val="4F4C3B6B"/>
    <w:rsid w:val="4F53428E"/>
    <w:rsid w:val="4F6271DE"/>
    <w:rsid w:val="4F6463E1"/>
    <w:rsid w:val="4F6E54B1"/>
    <w:rsid w:val="4F726A59"/>
    <w:rsid w:val="4F781E8C"/>
    <w:rsid w:val="4F7D769B"/>
    <w:rsid w:val="4F820F5D"/>
    <w:rsid w:val="4F876573"/>
    <w:rsid w:val="4F905428"/>
    <w:rsid w:val="4F9F0661"/>
    <w:rsid w:val="4FA17635"/>
    <w:rsid w:val="4FA56423"/>
    <w:rsid w:val="4FBB7FCB"/>
    <w:rsid w:val="4FBD3D43"/>
    <w:rsid w:val="4FBF3F5F"/>
    <w:rsid w:val="4FC74BC1"/>
    <w:rsid w:val="4FC86025"/>
    <w:rsid w:val="4FC9093A"/>
    <w:rsid w:val="4FC92795"/>
    <w:rsid w:val="4FD277EE"/>
    <w:rsid w:val="4FD74E04"/>
    <w:rsid w:val="4FDA5E96"/>
    <w:rsid w:val="4FDA66A3"/>
    <w:rsid w:val="4FDE24B2"/>
    <w:rsid w:val="4FDF1F0B"/>
    <w:rsid w:val="4FE15C83"/>
    <w:rsid w:val="4FE66957"/>
    <w:rsid w:val="4FE85264"/>
    <w:rsid w:val="4FF43C08"/>
    <w:rsid w:val="4FFC0517"/>
    <w:rsid w:val="4FFF6109"/>
    <w:rsid w:val="50027558"/>
    <w:rsid w:val="50047BC4"/>
    <w:rsid w:val="50055E16"/>
    <w:rsid w:val="500D6A78"/>
    <w:rsid w:val="50155D1F"/>
    <w:rsid w:val="5015622E"/>
    <w:rsid w:val="50246DD1"/>
    <w:rsid w:val="502F60D4"/>
    <w:rsid w:val="502F6BAC"/>
    <w:rsid w:val="5032028D"/>
    <w:rsid w:val="50357D7D"/>
    <w:rsid w:val="50373596"/>
    <w:rsid w:val="503B242E"/>
    <w:rsid w:val="50412BC6"/>
    <w:rsid w:val="50416722"/>
    <w:rsid w:val="5042436A"/>
    <w:rsid w:val="504338E1"/>
    <w:rsid w:val="5043693E"/>
    <w:rsid w:val="50493828"/>
    <w:rsid w:val="504D156B"/>
    <w:rsid w:val="50502E09"/>
    <w:rsid w:val="505521CD"/>
    <w:rsid w:val="50575F45"/>
    <w:rsid w:val="50577CF3"/>
    <w:rsid w:val="506019B6"/>
    <w:rsid w:val="50612E3B"/>
    <w:rsid w:val="50666188"/>
    <w:rsid w:val="506D5769"/>
    <w:rsid w:val="50724B2D"/>
    <w:rsid w:val="50764706"/>
    <w:rsid w:val="507765E7"/>
    <w:rsid w:val="507E34D2"/>
    <w:rsid w:val="507F05B9"/>
    <w:rsid w:val="50811214"/>
    <w:rsid w:val="50850D04"/>
    <w:rsid w:val="509176A9"/>
    <w:rsid w:val="50955AC4"/>
    <w:rsid w:val="509F16A2"/>
    <w:rsid w:val="50A078EC"/>
    <w:rsid w:val="50A54F03"/>
    <w:rsid w:val="50B07D6D"/>
    <w:rsid w:val="50B513C9"/>
    <w:rsid w:val="50C14F10"/>
    <w:rsid w:val="50C80BF1"/>
    <w:rsid w:val="50CA2BBB"/>
    <w:rsid w:val="50DB6B76"/>
    <w:rsid w:val="50DE21C3"/>
    <w:rsid w:val="50E06EE6"/>
    <w:rsid w:val="50E53551"/>
    <w:rsid w:val="50E84DEF"/>
    <w:rsid w:val="50EC0779"/>
    <w:rsid w:val="50EF2622"/>
    <w:rsid w:val="50F3081A"/>
    <w:rsid w:val="50FB0FC7"/>
    <w:rsid w:val="50FD3830"/>
    <w:rsid w:val="50FD6AED"/>
    <w:rsid w:val="50FE4613"/>
    <w:rsid w:val="5100038B"/>
    <w:rsid w:val="5100482F"/>
    <w:rsid w:val="51037E7B"/>
    <w:rsid w:val="51085492"/>
    <w:rsid w:val="510A2FB8"/>
    <w:rsid w:val="510C2AA6"/>
    <w:rsid w:val="510C32BB"/>
    <w:rsid w:val="510C6D30"/>
    <w:rsid w:val="510D731C"/>
    <w:rsid w:val="5114771B"/>
    <w:rsid w:val="512E4EF8"/>
    <w:rsid w:val="51303F7A"/>
    <w:rsid w:val="51340C0D"/>
    <w:rsid w:val="51404C2B"/>
    <w:rsid w:val="5144471C"/>
    <w:rsid w:val="5146601D"/>
    <w:rsid w:val="51475FBA"/>
    <w:rsid w:val="51491D32"/>
    <w:rsid w:val="514A408D"/>
    <w:rsid w:val="514C5F8F"/>
    <w:rsid w:val="514E559A"/>
    <w:rsid w:val="5150297B"/>
    <w:rsid w:val="51505381"/>
    <w:rsid w:val="51510260"/>
    <w:rsid w:val="51570B89"/>
    <w:rsid w:val="5160707C"/>
    <w:rsid w:val="516A1CA8"/>
    <w:rsid w:val="51736DAF"/>
    <w:rsid w:val="51743BD7"/>
    <w:rsid w:val="51752B27"/>
    <w:rsid w:val="5176689F"/>
    <w:rsid w:val="517E1B1A"/>
    <w:rsid w:val="51850890"/>
    <w:rsid w:val="5186594A"/>
    <w:rsid w:val="519805C3"/>
    <w:rsid w:val="5198235F"/>
    <w:rsid w:val="51984A67"/>
    <w:rsid w:val="519A07DF"/>
    <w:rsid w:val="51A406B5"/>
    <w:rsid w:val="51A451BA"/>
    <w:rsid w:val="51A45313"/>
    <w:rsid w:val="51A60F32"/>
    <w:rsid w:val="51A927D1"/>
    <w:rsid w:val="51AC558B"/>
    <w:rsid w:val="51B01DB1"/>
    <w:rsid w:val="51B66C9C"/>
    <w:rsid w:val="51B6770D"/>
    <w:rsid w:val="51B86EB8"/>
    <w:rsid w:val="51BB4DAA"/>
    <w:rsid w:val="51BB633A"/>
    <w:rsid w:val="51BD627C"/>
    <w:rsid w:val="51BE637E"/>
    <w:rsid w:val="51CE66DB"/>
    <w:rsid w:val="51DB7F97"/>
    <w:rsid w:val="51DF4444"/>
    <w:rsid w:val="51E1640E"/>
    <w:rsid w:val="51E3392B"/>
    <w:rsid w:val="51E378E0"/>
    <w:rsid w:val="51E43ECB"/>
    <w:rsid w:val="51E467D1"/>
    <w:rsid w:val="51E710E2"/>
    <w:rsid w:val="51E74AAC"/>
    <w:rsid w:val="51EC53F1"/>
    <w:rsid w:val="51EE28D9"/>
    <w:rsid w:val="51FD0674"/>
    <w:rsid w:val="51FF6232"/>
    <w:rsid w:val="52081ACF"/>
    <w:rsid w:val="52081B54"/>
    <w:rsid w:val="520926F2"/>
    <w:rsid w:val="520D5BFF"/>
    <w:rsid w:val="521F0C93"/>
    <w:rsid w:val="52233B78"/>
    <w:rsid w:val="5224647B"/>
    <w:rsid w:val="52263E21"/>
    <w:rsid w:val="52304CA0"/>
    <w:rsid w:val="5233653E"/>
    <w:rsid w:val="52374AE6"/>
    <w:rsid w:val="523F1387"/>
    <w:rsid w:val="52416EAD"/>
    <w:rsid w:val="52481FEA"/>
    <w:rsid w:val="52483D98"/>
    <w:rsid w:val="524E2D63"/>
    <w:rsid w:val="5256349A"/>
    <w:rsid w:val="52592449"/>
    <w:rsid w:val="525C3282"/>
    <w:rsid w:val="526037D7"/>
    <w:rsid w:val="526130AB"/>
    <w:rsid w:val="52734B8D"/>
    <w:rsid w:val="5275209D"/>
    <w:rsid w:val="52754DA9"/>
    <w:rsid w:val="527F6A72"/>
    <w:rsid w:val="52803148"/>
    <w:rsid w:val="528943B0"/>
    <w:rsid w:val="52900EEF"/>
    <w:rsid w:val="5292193B"/>
    <w:rsid w:val="52946FDD"/>
    <w:rsid w:val="529E60AD"/>
    <w:rsid w:val="52A01E26"/>
    <w:rsid w:val="52AB7845"/>
    <w:rsid w:val="52AF02BB"/>
    <w:rsid w:val="52B15DE1"/>
    <w:rsid w:val="52B23907"/>
    <w:rsid w:val="52B50A93"/>
    <w:rsid w:val="52B61649"/>
    <w:rsid w:val="52C06024"/>
    <w:rsid w:val="52C378C2"/>
    <w:rsid w:val="52C8312A"/>
    <w:rsid w:val="52CA6EA2"/>
    <w:rsid w:val="52CD0741"/>
    <w:rsid w:val="52D3381C"/>
    <w:rsid w:val="52DC2732"/>
    <w:rsid w:val="52DE339A"/>
    <w:rsid w:val="52E55A8A"/>
    <w:rsid w:val="52E95362"/>
    <w:rsid w:val="52EC1CE1"/>
    <w:rsid w:val="52ED0DE3"/>
    <w:rsid w:val="52F8748E"/>
    <w:rsid w:val="52FB47CD"/>
    <w:rsid w:val="52FC4B82"/>
    <w:rsid w:val="52FE6B4C"/>
    <w:rsid w:val="52FF78E7"/>
    <w:rsid w:val="530219FE"/>
    <w:rsid w:val="5302488E"/>
    <w:rsid w:val="530879CB"/>
    <w:rsid w:val="530E2C43"/>
    <w:rsid w:val="530F0D59"/>
    <w:rsid w:val="531445C2"/>
    <w:rsid w:val="531E4224"/>
    <w:rsid w:val="532A5B93"/>
    <w:rsid w:val="532E4342"/>
    <w:rsid w:val="5330338D"/>
    <w:rsid w:val="53310CD0"/>
    <w:rsid w:val="5333117E"/>
    <w:rsid w:val="533322BB"/>
    <w:rsid w:val="533455D0"/>
    <w:rsid w:val="53346A1D"/>
    <w:rsid w:val="53395DD6"/>
    <w:rsid w:val="533F74A8"/>
    <w:rsid w:val="534053B7"/>
    <w:rsid w:val="53446C55"/>
    <w:rsid w:val="534530AA"/>
    <w:rsid w:val="5346403C"/>
    <w:rsid w:val="534851C2"/>
    <w:rsid w:val="53536E98"/>
    <w:rsid w:val="53590226"/>
    <w:rsid w:val="535D7D17"/>
    <w:rsid w:val="53605111"/>
    <w:rsid w:val="53620E89"/>
    <w:rsid w:val="5367649F"/>
    <w:rsid w:val="536C1381"/>
    <w:rsid w:val="536E5A80"/>
    <w:rsid w:val="536F35A6"/>
    <w:rsid w:val="53791642"/>
    <w:rsid w:val="537A4340"/>
    <w:rsid w:val="537C2705"/>
    <w:rsid w:val="538708F0"/>
    <w:rsid w:val="538B6CC9"/>
    <w:rsid w:val="538D5CAC"/>
    <w:rsid w:val="539179C0"/>
    <w:rsid w:val="53933738"/>
    <w:rsid w:val="539354E6"/>
    <w:rsid w:val="539620A7"/>
    <w:rsid w:val="539A4E95"/>
    <w:rsid w:val="539D170A"/>
    <w:rsid w:val="53A05007"/>
    <w:rsid w:val="53A41103"/>
    <w:rsid w:val="53A64ACB"/>
    <w:rsid w:val="53A771E4"/>
    <w:rsid w:val="53AC47FA"/>
    <w:rsid w:val="53B06098"/>
    <w:rsid w:val="53B21D92"/>
    <w:rsid w:val="53B67427"/>
    <w:rsid w:val="53B73702"/>
    <w:rsid w:val="53B92A73"/>
    <w:rsid w:val="53BD388D"/>
    <w:rsid w:val="53C27B7A"/>
    <w:rsid w:val="53C90F08"/>
    <w:rsid w:val="53CC09F8"/>
    <w:rsid w:val="53D0673A"/>
    <w:rsid w:val="53DA4EC3"/>
    <w:rsid w:val="53DB4A65"/>
    <w:rsid w:val="53F40419"/>
    <w:rsid w:val="53F9565D"/>
    <w:rsid w:val="53FF492A"/>
    <w:rsid w:val="5401586D"/>
    <w:rsid w:val="541B3E3E"/>
    <w:rsid w:val="54227392"/>
    <w:rsid w:val="542B571F"/>
    <w:rsid w:val="54316BCF"/>
    <w:rsid w:val="54322F51"/>
    <w:rsid w:val="54324CFF"/>
    <w:rsid w:val="54331D94"/>
    <w:rsid w:val="54387AD3"/>
    <w:rsid w:val="543F520E"/>
    <w:rsid w:val="54401D64"/>
    <w:rsid w:val="544463AA"/>
    <w:rsid w:val="54455E66"/>
    <w:rsid w:val="544A056F"/>
    <w:rsid w:val="544B5DC1"/>
    <w:rsid w:val="54596730"/>
    <w:rsid w:val="545C7FCE"/>
    <w:rsid w:val="54680721"/>
    <w:rsid w:val="546D255B"/>
    <w:rsid w:val="546D5D37"/>
    <w:rsid w:val="54717DB0"/>
    <w:rsid w:val="54985392"/>
    <w:rsid w:val="549C486F"/>
    <w:rsid w:val="549E2395"/>
    <w:rsid w:val="54A656ED"/>
    <w:rsid w:val="54AA699E"/>
    <w:rsid w:val="54AD1A2B"/>
    <w:rsid w:val="54AD25D8"/>
    <w:rsid w:val="54AD63C4"/>
    <w:rsid w:val="54AE00FE"/>
    <w:rsid w:val="54B35714"/>
    <w:rsid w:val="54BB5FC1"/>
    <w:rsid w:val="54BC0A6D"/>
    <w:rsid w:val="54BF230B"/>
    <w:rsid w:val="54C12C6E"/>
    <w:rsid w:val="54C36370"/>
    <w:rsid w:val="54C625D1"/>
    <w:rsid w:val="54CE480A"/>
    <w:rsid w:val="54E12281"/>
    <w:rsid w:val="54E577FA"/>
    <w:rsid w:val="54E65AEA"/>
    <w:rsid w:val="54E80B69"/>
    <w:rsid w:val="54E90592"/>
    <w:rsid w:val="54E9520D"/>
    <w:rsid w:val="54F63F7F"/>
    <w:rsid w:val="54F9581D"/>
    <w:rsid w:val="54FB7388"/>
    <w:rsid w:val="54FE72D7"/>
    <w:rsid w:val="55032FC6"/>
    <w:rsid w:val="550B5550"/>
    <w:rsid w:val="550D751A"/>
    <w:rsid w:val="550F7D3E"/>
    <w:rsid w:val="55121D24"/>
    <w:rsid w:val="55144405"/>
    <w:rsid w:val="551509A8"/>
    <w:rsid w:val="551663CF"/>
    <w:rsid w:val="55167559"/>
    <w:rsid w:val="551A7247"/>
    <w:rsid w:val="5521161C"/>
    <w:rsid w:val="55216B22"/>
    <w:rsid w:val="552705DC"/>
    <w:rsid w:val="55410783"/>
    <w:rsid w:val="554D7917"/>
    <w:rsid w:val="5552317F"/>
    <w:rsid w:val="555C4981"/>
    <w:rsid w:val="555E7D76"/>
    <w:rsid w:val="55605ECC"/>
    <w:rsid w:val="55656264"/>
    <w:rsid w:val="556E620B"/>
    <w:rsid w:val="55711223"/>
    <w:rsid w:val="557425B0"/>
    <w:rsid w:val="557430F6"/>
    <w:rsid w:val="55745922"/>
    <w:rsid w:val="55765E1D"/>
    <w:rsid w:val="55775F34"/>
    <w:rsid w:val="557C1FAA"/>
    <w:rsid w:val="557C733A"/>
    <w:rsid w:val="558477DD"/>
    <w:rsid w:val="55850EFA"/>
    <w:rsid w:val="558A46C7"/>
    <w:rsid w:val="558C6691"/>
    <w:rsid w:val="558F7F2F"/>
    <w:rsid w:val="55915A56"/>
    <w:rsid w:val="55937A20"/>
    <w:rsid w:val="55990DAE"/>
    <w:rsid w:val="559A1FC3"/>
    <w:rsid w:val="559F4616"/>
    <w:rsid w:val="559F587C"/>
    <w:rsid w:val="55A35789"/>
    <w:rsid w:val="55A51501"/>
    <w:rsid w:val="55A72102"/>
    <w:rsid w:val="55AC6D33"/>
    <w:rsid w:val="55AE1142"/>
    <w:rsid w:val="55AF1CE0"/>
    <w:rsid w:val="55BB2B19"/>
    <w:rsid w:val="55BD4A9D"/>
    <w:rsid w:val="55C0633B"/>
    <w:rsid w:val="55C53951"/>
    <w:rsid w:val="55C82586"/>
    <w:rsid w:val="55C94D0E"/>
    <w:rsid w:val="55DB13C7"/>
    <w:rsid w:val="55DE1FA2"/>
    <w:rsid w:val="55E66848"/>
    <w:rsid w:val="55E71B19"/>
    <w:rsid w:val="55E84623"/>
    <w:rsid w:val="55EB7CE0"/>
    <w:rsid w:val="55EC35D4"/>
    <w:rsid w:val="55F02A8A"/>
    <w:rsid w:val="55F04E72"/>
    <w:rsid w:val="55F34962"/>
    <w:rsid w:val="55F44741"/>
    <w:rsid w:val="55F56BBD"/>
    <w:rsid w:val="55F634AE"/>
    <w:rsid w:val="55F75928"/>
    <w:rsid w:val="55F873F7"/>
    <w:rsid w:val="55F92B6C"/>
    <w:rsid w:val="560E354A"/>
    <w:rsid w:val="5610105A"/>
    <w:rsid w:val="56121DC3"/>
    <w:rsid w:val="561778BD"/>
    <w:rsid w:val="56206DD9"/>
    <w:rsid w:val="56242D6E"/>
    <w:rsid w:val="5628370D"/>
    <w:rsid w:val="56311020"/>
    <w:rsid w:val="563352B9"/>
    <w:rsid w:val="563F39B0"/>
    <w:rsid w:val="5642624B"/>
    <w:rsid w:val="56476F17"/>
    <w:rsid w:val="56532714"/>
    <w:rsid w:val="565412E1"/>
    <w:rsid w:val="56556957"/>
    <w:rsid w:val="56570A4D"/>
    <w:rsid w:val="565D1435"/>
    <w:rsid w:val="56636253"/>
    <w:rsid w:val="566413BC"/>
    <w:rsid w:val="56690780"/>
    <w:rsid w:val="566C0958"/>
    <w:rsid w:val="566C201F"/>
    <w:rsid w:val="56701B0F"/>
    <w:rsid w:val="56705FB3"/>
    <w:rsid w:val="56707D61"/>
    <w:rsid w:val="56715BA7"/>
    <w:rsid w:val="567747E3"/>
    <w:rsid w:val="567C0587"/>
    <w:rsid w:val="568420E4"/>
    <w:rsid w:val="56881A0F"/>
    <w:rsid w:val="56892496"/>
    <w:rsid w:val="56933C6D"/>
    <w:rsid w:val="5694674A"/>
    <w:rsid w:val="56995D14"/>
    <w:rsid w:val="569A3030"/>
    <w:rsid w:val="569A4DDE"/>
    <w:rsid w:val="569D042A"/>
    <w:rsid w:val="569F23F4"/>
    <w:rsid w:val="56A1421F"/>
    <w:rsid w:val="56A41A0A"/>
    <w:rsid w:val="56AB0D99"/>
    <w:rsid w:val="56AD68BF"/>
    <w:rsid w:val="56B57E6A"/>
    <w:rsid w:val="56BF4844"/>
    <w:rsid w:val="56CA0609"/>
    <w:rsid w:val="56D35BDC"/>
    <w:rsid w:val="56D402F0"/>
    <w:rsid w:val="56DA342C"/>
    <w:rsid w:val="56DA4B2C"/>
    <w:rsid w:val="56DC71A4"/>
    <w:rsid w:val="56DE2F1C"/>
    <w:rsid w:val="56E235EF"/>
    <w:rsid w:val="56E32B00"/>
    <w:rsid w:val="56E36785"/>
    <w:rsid w:val="56ED315F"/>
    <w:rsid w:val="56EE0C86"/>
    <w:rsid w:val="56F00EA2"/>
    <w:rsid w:val="56F7346E"/>
    <w:rsid w:val="56F95FA8"/>
    <w:rsid w:val="570404A9"/>
    <w:rsid w:val="570566FB"/>
    <w:rsid w:val="57064221"/>
    <w:rsid w:val="57087F99"/>
    <w:rsid w:val="570B7E19"/>
    <w:rsid w:val="570F1328"/>
    <w:rsid w:val="57144B90"/>
    <w:rsid w:val="57231423"/>
    <w:rsid w:val="57234B4C"/>
    <w:rsid w:val="57234DD3"/>
    <w:rsid w:val="572900A3"/>
    <w:rsid w:val="572D2E1D"/>
    <w:rsid w:val="5730373C"/>
    <w:rsid w:val="57315742"/>
    <w:rsid w:val="573568B4"/>
    <w:rsid w:val="5738327B"/>
    <w:rsid w:val="573866BC"/>
    <w:rsid w:val="573B5557"/>
    <w:rsid w:val="57482A8C"/>
    <w:rsid w:val="574D00A2"/>
    <w:rsid w:val="57543D6E"/>
    <w:rsid w:val="575643C0"/>
    <w:rsid w:val="575651A9"/>
    <w:rsid w:val="575B631B"/>
    <w:rsid w:val="575D338C"/>
    <w:rsid w:val="57621579"/>
    <w:rsid w:val="57630431"/>
    <w:rsid w:val="576C677A"/>
    <w:rsid w:val="577C59AD"/>
    <w:rsid w:val="577E6A3F"/>
    <w:rsid w:val="57827D4C"/>
    <w:rsid w:val="578A30A4"/>
    <w:rsid w:val="578A6FAF"/>
    <w:rsid w:val="57A71560"/>
    <w:rsid w:val="57AE6D93"/>
    <w:rsid w:val="57B65C47"/>
    <w:rsid w:val="57BA277F"/>
    <w:rsid w:val="57BB325E"/>
    <w:rsid w:val="57BD7E75"/>
    <w:rsid w:val="57C100EB"/>
    <w:rsid w:val="57C27E48"/>
    <w:rsid w:val="57C33EC0"/>
    <w:rsid w:val="57C95893"/>
    <w:rsid w:val="57CB0FBC"/>
    <w:rsid w:val="57D22F31"/>
    <w:rsid w:val="57D52571"/>
    <w:rsid w:val="57D83E10"/>
    <w:rsid w:val="57D94165"/>
    <w:rsid w:val="57DA3E17"/>
    <w:rsid w:val="57E502DB"/>
    <w:rsid w:val="57EF1159"/>
    <w:rsid w:val="57F02454"/>
    <w:rsid w:val="57F14ED1"/>
    <w:rsid w:val="57F549C2"/>
    <w:rsid w:val="57F57B97"/>
    <w:rsid w:val="57F77222"/>
    <w:rsid w:val="57FA3D86"/>
    <w:rsid w:val="58033C6B"/>
    <w:rsid w:val="58062172"/>
    <w:rsid w:val="580B79BC"/>
    <w:rsid w:val="580D3D8A"/>
    <w:rsid w:val="580E59F2"/>
    <w:rsid w:val="580F3445"/>
    <w:rsid w:val="580F5357"/>
    <w:rsid w:val="58131482"/>
    <w:rsid w:val="5814375B"/>
    <w:rsid w:val="5818245E"/>
    <w:rsid w:val="581B5AAA"/>
    <w:rsid w:val="58251F6B"/>
    <w:rsid w:val="582E3A30"/>
    <w:rsid w:val="58382B00"/>
    <w:rsid w:val="583B7EFB"/>
    <w:rsid w:val="583F79EB"/>
    <w:rsid w:val="5840525D"/>
    <w:rsid w:val="58417C07"/>
    <w:rsid w:val="58445001"/>
    <w:rsid w:val="58490869"/>
    <w:rsid w:val="58496ABB"/>
    <w:rsid w:val="584E7C2E"/>
    <w:rsid w:val="58501BF8"/>
    <w:rsid w:val="58507E4A"/>
    <w:rsid w:val="58564D34"/>
    <w:rsid w:val="585711D8"/>
    <w:rsid w:val="585C67EF"/>
    <w:rsid w:val="585D4315"/>
    <w:rsid w:val="585F1E3B"/>
    <w:rsid w:val="58642D3C"/>
    <w:rsid w:val="58644BBE"/>
    <w:rsid w:val="586A683B"/>
    <w:rsid w:val="586B4C84"/>
    <w:rsid w:val="587217B3"/>
    <w:rsid w:val="58790D08"/>
    <w:rsid w:val="587A4EC7"/>
    <w:rsid w:val="587A542D"/>
    <w:rsid w:val="587D6765"/>
    <w:rsid w:val="587F6039"/>
    <w:rsid w:val="58810003"/>
    <w:rsid w:val="5881560A"/>
    <w:rsid w:val="58831FCD"/>
    <w:rsid w:val="58922210"/>
    <w:rsid w:val="58951D01"/>
    <w:rsid w:val="589917F1"/>
    <w:rsid w:val="58A91308"/>
    <w:rsid w:val="58C249DB"/>
    <w:rsid w:val="58E40592"/>
    <w:rsid w:val="58EB36CF"/>
    <w:rsid w:val="58EC267D"/>
    <w:rsid w:val="58EE24A8"/>
    <w:rsid w:val="58F856B0"/>
    <w:rsid w:val="58F9403E"/>
    <w:rsid w:val="58FA7DB6"/>
    <w:rsid w:val="59050C34"/>
    <w:rsid w:val="59060509"/>
    <w:rsid w:val="590B1FC3"/>
    <w:rsid w:val="590D1897"/>
    <w:rsid w:val="59160638"/>
    <w:rsid w:val="591E5852"/>
    <w:rsid w:val="591F793E"/>
    <w:rsid w:val="59205A6E"/>
    <w:rsid w:val="59215342"/>
    <w:rsid w:val="59243563"/>
    <w:rsid w:val="592559D3"/>
    <w:rsid w:val="592B61C1"/>
    <w:rsid w:val="592F3F03"/>
    <w:rsid w:val="592F5CB1"/>
    <w:rsid w:val="59367040"/>
    <w:rsid w:val="593A6404"/>
    <w:rsid w:val="593C03CE"/>
    <w:rsid w:val="593E4146"/>
    <w:rsid w:val="59411541"/>
    <w:rsid w:val="59417793"/>
    <w:rsid w:val="5943574A"/>
    <w:rsid w:val="594360A4"/>
    <w:rsid w:val="59437447"/>
    <w:rsid w:val="5946202D"/>
    <w:rsid w:val="59480B21"/>
    <w:rsid w:val="59484FC5"/>
    <w:rsid w:val="594A2AEB"/>
    <w:rsid w:val="594D25DB"/>
    <w:rsid w:val="59500B7F"/>
    <w:rsid w:val="59505A7A"/>
    <w:rsid w:val="5954396A"/>
    <w:rsid w:val="595440D5"/>
    <w:rsid w:val="59570D64"/>
    <w:rsid w:val="59593BFC"/>
    <w:rsid w:val="596A6CE9"/>
    <w:rsid w:val="596F4065"/>
    <w:rsid w:val="596F4300"/>
    <w:rsid w:val="59723DF0"/>
    <w:rsid w:val="5975743C"/>
    <w:rsid w:val="597C07CB"/>
    <w:rsid w:val="59814033"/>
    <w:rsid w:val="598D656A"/>
    <w:rsid w:val="598D6817"/>
    <w:rsid w:val="599152EF"/>
    <w:rsid w:val="59941FB8"/>
    <w:rsid w:val="599C373B"/>
    <w:rsid w:val="59A0270B"/>
    <w:rsid w:val="59AB2CF6"/>
    <w:rsid w:val="59AC5554"/>
    <w:rsid w:val="59B241EC"/>
    <w:rsid w:val="59B30690"/>
    <w:rsid w:val="59B368E2"/>
    <w:rsid w:val="59B40CC3"/>
    <w:rsid w:val="59B77A55"/>
    <w:rsid w:val="59B9487E"/>
    <w:rsid w:val="59B960C5"/>
    <w:rsid w:val="59C127A3"/>
    <w:rsid w:val="59C3464B"/>
    <w:rsid w:val="59C57C77"/>
    <w:rsid w:val="59C83A10"/>
    <w:rsid w:val="59D6612D"/>
    <w:rsid w:val="59DB3743"/>
    <w:rsid w:val="59DD74BB"/>
    <w:rsid w:val="59DE4FE1"/>
    <w:rsid w:val="59E206B9"/>
    <w:rsid w:val="59E3084A"/>
    <w:rsid w:val="59E44015"/>
    <w:rsid w:val="59E629DE"/>
    <w:rsid w:val="59EC0FAB"/>
    <w:rsid w:val="59EC30C7"/>
    <w:rsid w:val="59EE16C8"/>
    <w:rsid w:val="59F04784"/>
    <w:rsid w:val="59F20521"/>
    <w:rsid w:val="59F20A8D"/>
    <w:rsid w:val="59F51775"/>
    <w:rsid w:val="59F537D5"/>
    <w:rsid w:val="59F80EAD"/>
    <w:rsid w:val="59FB4427"/>
    <w:rsid w:val="5A07715A"/>
    <w:rsid w:val="5A085398"/>
    <w:rsid w:val="5A156465"/>
    <w:rsid w:val="5A1A070F"/>
    <w:rsid w:val="5A1A5B33"/>
    <w:rsid w:val="5A303108"/>
    <w:rsid w:val="5A3A490E"/>
    <w:rsid w:val="5A437DF3"/>
    <w:rsid w:val="5A4A2677"/>
    <w:rsid w:val="5A56101C"/>
    <w:rsid w:val="5A576F72"/>
    <w:rsid w:val="5A582FE6"/>
    <w:rsid w:val="5A59031C"/>
    <w:rsid w:val="5A5A108A"/>
    <w:rsid w:val="5A5F25C6"/>
    <w:rsid w:val="5A673229"/>
    <w:rsid w:val="5A6C4CE3"/>
    <w:rsid w:val="5A6E04DA"/>
    <w:rsid w:val="5A700DA8"/>
    <w:rsid w:val="5A7E0F29"/>
    <w:rsid w:val="5A7F4A16"/>
    <w:rsid w:val="5A8A5E5E"/>
    <w:rsid w:val="5A8D7133"/>
    <w:rsid w:val="5A920839"/>
    <w:rsid w:val="5A99635D"/>
    <w:rsid w:val="5AAC50E0"/>
    <w:rsid w:val="5AB26B9A"/>
    <w:rsid w:val="5AB53F94"/>
    <w:rsid w:val="5ABC142C"/>
    <w:rsid w:val="5AC24DBB"/>
    <w:rsid w:val="5AC474BB"/>
    <w:rsid w:val="5AC92526"/>
    <w:rsid w:val="5AC93EE4"/>
    <w:rsid w:val="5ADC3431"/>
    <w:rsid w:val="5ADE798F"/>
    <w:rsid w:val="5AE20018"/>
    <w:rsid w:val="5AE42ACB"/>
    <w:rsid w:val="5AE71CE6"/>
    <w:rsid w:val="5AE973A2"/>
    <w:rsid w:val="5AEB18AD"/>
    <w:rsid w:val="5AF076C2"/>
    <w:rsid w:val="5AF26F96"/>
    <w:rsid w:val="5AF727FF"/>
    <w:rsid w:val="5AF95341"/>
    <w:rsid w:val="5AF97ECB"/>
    <w:rsid w:val="5AFF2821"/>
    <w:rsid w:val="5AFF2AAF"/>
    <w:rsid w:val="5B01473C"/>
    <w:rsid w:val="5B022F52"/>
    <w:rsid w:val="5B0311A3"/>
    <w:rsid w:val="5B0B1E06"/>
    <w:rsid w:val="5B0F5D9A"/>
    <w:rsid w:val="5B1135DA"/>
    <w:rsid w:val="5B195BCF"/>
    <w:rsid w:val="5B1D0885"/>
    <w:rsid w:val="5B1D1854"/>
    <w:rsid w:val="5B1F1D55"/>
    <w:rsid w:val="5B224AB4"/>
    <w:rsid w:val="5B2452CA"/>
    <w:rsid w:val="5B280C0A"/>
    <w:rsid w:val="5B28522E"/>
    <w:rsid w:val="5B2C0601"/>
    <w:rsid w:val="5B323837"/>
    <w:rsid w:val="5B351579"/>
    <w:rsid w:val="5B417F1E"/>
    <w:rsid w:val="5B4B61BB"/>
    <w:rsid w:val="5B524ABC"/>
    <w:rsid w:val="5B61236E"/>
    <w:rsid w:val="5B6410C3"/>
    <w:rsid w:val="5B652F32"/>
    <w:rsid w:val="5B661732"/>
    <w:rsid w:val="5B6854AA"/>
    <w:rsid w:val="5B6A2FD1"/>
    <w:rsid w:val="5B6A7475"/>
    <w:rsid w:val="5B6D2930"/>
    <w:rsid w:val="5B6E1818"/>
    <w:rsid w:val="5B6E70F9"/>
    <w:rsid w:val="5B70610D"/>
    <w:rsid w:val="5B726F99"/>
    <w:rsid w:val="5B751975"/>
    <w:rsid w:val="5B8322E4"/>
    <w:rsid w:val="5B8A5E16"/>
    <w:rsid w:val="5B8E653B"/>
    <w:rsid w:val="5B9B5880"/>
    <w:rsid w:val="5B9C5154"/>
    <w:rsid w:val="5BA30291"/>
    <w:rsid w:val="5BA77D72"/>
    <w:rsid w:val="5BAF30D9"/>
    <w:rsid w:val="5BB1199B"/>
    <w:rsid w:val="5BB95D06"/>
    <w:rsid w:val="5BC22E0D"/>
    <w:rsid w:val="5BC316CD"/>
    <w:rsid w:val="5BC47671"/>
    <w:rsid w:val="5BC8419B"/>
    <w:rsid w:val="5BCD7046"/>
    <w:rsid w:val="5BD14DA8"/>
    <w:rsid w:val="5BDE39BF"/>
    <w:rsid w:val="5BE30FD5"/>
    <w:rsid w:val="5BE50B29"/>
    <w:rsid w:val="5BE54D4D"/>
    <w:rsid w:val="5BEA42C5"/>
    <w:rsid w:val="5BEC7E8A"/>
    <w:rsid w:val="5BEE6D28"/>
    <w:rsid w:val="5BEF1799"/>
    <w:rsid w:val="5BF10FE5"/>
    <w:rsid w:val="5BF705DC"/>
    <w:rsid w:val="5BF831AF"/>
    <w:rsid w:val="5C007110"/>
    <w:rsid w:val="5C007491"/>
    <w:rsid w:val="5C0A6562"/>
    <w:rsid w:val="5C0C4088"/>
    <w:rsid w:val="5C0F3B78"/>
    <w:rsid w:val="5C115B42"/>
    <w:rsid w:val="5C1178F0"/>
    <w:rsid w:val="5C1C63A8"/>
    <w:rsid w:val="5C1C6445"/>
    <w:rsid w:val="5C334CCE"/>
    <w:rsid w:val="5C367357"/>
    <w:rsid w:val="5C3D6937"/>
    <w:rsid w:val="5C3E7830"/>
    <w:rsid w:val="5C427AAA"/>
    <w:rsid w:val="5C4307BC"/>
    <w:rsid w:val="5C433822"/>
    <w:rsid w:val="5C5A1297"/>
    <w:rsid w:val="5C5B6DBD"/>
    <w:rsid w:val="5C5E0257"/>
    <w:rsid w:val="5C641313"/>
    <w:rsid w:val="5C6739B4"/>
    <w:rsid w:val="5C6A5252"/>
    <w:rsid w:val="5C6E6AF1"/>
    <w:rsid w:val="5C7165E1"/>
    <w:rsid w:val="5C846314"/>
    <w:rsid w:val="5C853E3A"/>
    <w:rsid w:val="5C8A6E3D"/>
    <w:rsid w:val="5C8C341B"/>
    <w:rsid w:val="5C8E7193"/>
    <w:rsid w:val="5C936557"/>
    <w:rsid w:val="5C950521"/>
    <w:rsid w:val="5C9C3DA9"/>
    <w:rsid w:val="5C9E402C"/>
    <w:rsid w:val="5CA02A22"/>
    <w:rsid w:val="5CB62246"/>
    <w:rsid w:val="5CB63FF4"/>
    <w:rsid w:val="5CB84210"/>
    <w:rsid w:val="5CBA1D36"/>
    <w:rsid w:val="5CBC3D00"/>
    <w:rsid w:val="5CBF734C"/>
    <w:rsid w:val="5CC04E72"/>
    <w:rsid w:val="5CC26E3C"/>
    <w:rsid w:val="5CD54DC2"/>
    <w:rsid w:val="5CD97003"/>
    <w:rsid w:val="5CDA307C"/>
    <w:rsid w:val="5CDF043C"/>
    <w:rsid w:val="5CE82302"/>
    <w:rsid w:val="5CEA65A2"/>
    <w:rsid w:val="5CED3864"/>
    <w:rsid w:val="5CF3349A"/>
    <w:rsid w:val="5CFA65D6"/>
    <w:rsid w:val="5CFE757D"/>
    <w:rsid w:val="5D0928E5"/>
    <w:rsid w:val="5D0A1FB7"/>
    <w:rsid w:val="5D0A3484"/>
    <w:rsid w:val="5D1551BE"/>
    <w:rsid w:val="5D1C654D"/>
    <w:rsid w:val="5D1D4073"/>
    <w:rsid w:val="5D211424"/>
    <w:rsid w:val="5D211DB5"/>
    <w:rsid w:val="5D24567A"/>
    <w:rsid w:val="5D2B49E2"/>
    <w:rsid w:val="5D3521BC"/>
    <w:rsid w:val="5D355860"/>
    <w:rsid w:val="5D373386"/>
    <w:rsid w:val="5D407AD5"/>
    <w:rsid w:val="5D49149F"/>
    <w:rsid w:val="5D4E6EAC"/>
    <w:rsid w:val="5D4F6922"/>
    <w:rsid w:val="5D582BC2"/>
    <w:rsid w:val="5D5F28DD"/>
    <w:rsid w:val="5D635777"/>
    <w:rsid w:val="5D6879E4"/>
    <w:rsid w:val="5D69550A"/>
    <w:rsid w:val="5D6E1669"/>
    <w:rsid w:val="5D7345C9"/>
    <w:rsid w:val="5D740137"/>
    <w:rsid w:val="5D775E79"/>
    <w:rsid w:val="5D79399F"/>
    <w:rsid w:val="5D7B64BE"/>
    <w:rsid w:val="5D7C348F"/>
    <w:rsid w:val="5D8665D0"/>
    <w:rsid w:val="5D8B722E"/>
    <w:rsid w:val="5D932B97"/>
    <w:rsid w:val="5D961E66"/>
    <w:rsid w:val="5D9A7FA7"/>
    <w:rsid w:val="5D9B340E"/>
    <w:rsid w:val="5DA0717E"/>
    <w:rsid w:val="5DA551E3"/>
    <w:rsid w:val="5DA56542"/>
    <w:rsid w:val="5DA927BE"/>
    <w:rsid w:val="5DAD53F7"/>
    <w:rsid w:val="5DB83D3A"/>
    <w:rsid w:val="5DB91FED"/>
    <w:rsid w:val="5DC664B8"/>
    <w:rsid w:val="5DCF53BC"/>
    <w:rsid w:val="5DD140D6"/>
    <w:rsid w:val="5DD24E5D"/>
    <w:rsid w:val="5DD6549B"/>
    <w:rsid w:val="5DD92690"/>
    <w:rsid w:val="5DDC79F3"/>
    <w:rsid w:val="5DE51034"/>
    <w:rsid w:val="5DEA664B"/>
    <w:rsid w:val="5DED216E"/>
    <w:rsid w:val="5DED2C36"/>
    <w:rsid w:val="5DEE4B0E"/>
    <w:rsid w:val="5DF50B4C"/>
    <w:rsid w:val="5DF71793"/>
    <w:rsid w:val="5DFA47E8"/>
    <w:rsid w:val="5E021A74"/>
    <w:rsid w:val="5E084D23"/>
    <w:rsid w:val="5E0C65C1"/>
    <w:rsid w:val="5E130070"/>
    <w:rsid w:val="5E174F66"/>
    <w:rsid w:val="5E2356B9"/>
    <w:rsid w:val="5E2531C8"/>
    <w:rsid w:val="5E27164D"/>
    <w:rsid w:val="5E2A2EEB"/>
    <w:rsid w:val="5E2A50FE"/>
    <w:rsid w:val="5E2F29E1"/>
    <w:rsid w:val="5E442F41"/>
    <w:rsid w:val="5E453AFA"/>
    <w:rsid w:val="5E474E1E"/>
    <w:rsid w:val="5E47584B"/>
    <w:rsid w:val="5E4C10B3"/>
    <w:rsid w:val="5E5540AA"/>
    <w:rsid w:val="5E571D72"/>
    <w:rsid w:val="5E5A354E"/>
    <w:rsid w:val="5E5D0BCB"/>
    <w:rsid w:val="5E5D50D2"/>
    <w:rsid w:val="5E6463FD"/>
    <w:rsid w:val="5E652175"/>
    <w:rsid w:val="5E6A4F50"/>
    <w:rsid w:val="5E6C7060"/>
    <w:rsid w:val="5E6E2DD8"/>
    <w:rsid w:val="5E714676"/>
    <w:rsid w:val="5E72408D"/>
    <w:rsid w:val="5E7E13F0"/>
    <w:rsid w:val="5E7F3237"/>
    <w:rsid w:val="5E800D5D"/>
    <w:rsid w:val="5E802B0B"/>
    <w:rsid w:val="5E816807"/>
    <w:rsid w:val="5E924B5E"/>
    <w:rsid w:val="5E960581"/>
    <w:rsid w:val="5E9A6A47"/>
    <w:rsid w:val="5EA33C5C"/>
    <w:rsid w:val="5EA92D98"/>
    <w:rsid w:val="5EA95F33"/>
    <w:rsid w:val="5EB36C6F"/>
    <w:rsid w:val="5EB629D1"/>
    <w:rsid w:val="5EB6477A"/>
    <w:rsid w:val="5EBF3D90"/>
    <w:rsid w:val="5EC57A84"/>
    <w:rsid w:val="5EC83355"/>
    <w:rsid w:val="5ED8696C"/>
    <w:rsid w:val="5ED86C69"/>
    <w:rsid w:val="5EDA0F44"/>
    <w:rsid w:val="5EDA66BF"/>
    <w:rsid w:val="5EDD7F5D"/>
    <w:rsid w:val="5EEA4A34"/>
    <w:rsid w:val="5EEB4428"/>
    <w:rsid w:val="5EEC1F4F"/>
    <w:rsid w:val="5EEF3481"/>
    <w:rsid w:val="5EF3152F"/>
    <w:rsid w:val="5EF36EFA"/>
    <w:rsid w:val="5EF64B7B"/>
    <w:rsid w:val="5EF67D82"/>
    <w:rsid w:val="5EFA466C"/>
    <w:rsid w:val="5F031561"/>
    <w:rsid w:val="5F0F1997"/>
    <w:rsid w:val="5F1514A5"/>
    <w:rsid w:val="5F1F2324"/>
    <w:rsid w:val="5F217E4A"/>
    <w:rsid w:val="5F2636B2"/>
    <w:rsid w:val="5F2913F5"/>
    <w:rsid w:val="5F2D3AFE"/>
    <w:rsid w:val="5F2D4A41"/>
    <w:rsid w:val="5F2D60DB"/>
    <w:rsid w:val="5F2F70BE"/>
    <w:rsid w:val="5F3062DF"/>
    <w:rsid w:val="5F33214B"/>
    <w:rsid w:val="5F3439F6"/>
    <w:rsid w:val="5F394535"/>
    <w:rsid w:val="5F3F4774"/>
    <w:rsid w:val="5F443B39"/>
    <w:rsid w:val="5F4B0517"/>
    <w:rsid w:val="5F4D55A4"/>
    <w:rsid w:val="5F531FCE"/>
    <w:rsid w:val="5F553073"/>
    <w:rsid w:val="5F5B4CF9"/>
    <w:rsid w:val="5F6110F5"/>
    <w:rsid w:val="5F683CCB"/>
    <w:rsid w:val="5F6E0BB6"/>
    <w:rsid w:val="5F70492E"/>
    <w:rsid w:val="5F711D11"/>
    <w:rsid w:val="5F7170F2"/>
    <w:rsid w:val="5F720B41"/>
    <w:rsid w:val="5F73151B"/>
    <w:rsid w:val="5F7A57AC"/>
    <w:rsid w:val="5F7D704B"/>
    <w:rsid w:val="5F8030B6"/>
    <w:rsid w:val="5F8561DD"/>
    <w:rsid w:val="5F8672E6"/>
    <w:rsid w:val="5F8959EF"/>
    <w:rsid w:val="5F920D48"/>
    <w:rsid w:val="5F93686E"/>
    <w:rsid w:val="5F944E8A"/>
    <w:rsid w:val="5F970192"/>
    <w:rsid w:val="5F974F29"/>
    <w:rsid w:val="5F9B4D36"/>
    <w:rsid w:val="5F9C3975"/>
    <w:rsid w:val="5F9E593F"/>
    <w:rsid w:val="5FA10F8B"/>
    <w:rsid w:val="5FA34D03"/>
    <w:rsid w:val="5FA55B60"/>
    <w:rsid w:val="5FB109C6"/>
    <w:rsid w:val="5FB276FB"/>
    <w:rsid w:val="5FBA29C5"/>
    <w:rsid w:val="5FC40933"/>
    <w:rsid w:val="5FC52ECB"/>
    <w:rsid w:val="5FC914BD"/>
    <w:rsid w:val="5FCB6008"/>
    <w:rsid w:val="5FCD1D80"/>
    <w:rsid w:val="5FCD5059"/>
    <w:rsid w:val="5FD21144"/>
    <w:rsid w:val="5FD24E2C"/>
    <w:rsid w:val="5FD27396"/>
    <w:rsid w:val="5FD50BDC"/>
    <w:rsid w:val="5FD72BFF"/>
    <w:rsid w:val="5FDF6749"/>
    <w:rsid w:val="5FE42D08"/>
    <w:rsid w:val="5FE65A99"/>
    <w:rsid w:val="5FF05552"/>
    <w:rsid w:val="5FF11F12"/>
    <w:rsid w:val="5FF30027"/>
    <w:rsid w:val="5FF53C79"/>
    <w:rsid w:val="5FF812FF"/>
    <w:rsid w:val="5FF94923"/>
    <w:rsid w:val="5FFB4038"/>
    <w:rsid w:val="5FFB68ED"/>
    <w:rsid w:val="5FFD6D65"/>
    <w:rsid w:val="600A0F5C"/>
    <w:rsid w:val="600A4D82"/>
    <w:rsid w:val="600E24BB"/>
    <w:rsid w:val="60114363"/>
    <w:rsid w:val="60121E89"/>
    <w:rsid w:val="601259E5"/>
    <w:rsid w:val="60131535"/>
    <w:rsid w:val="601B2AEB"/>
    <w:rsid w:val="601E25DC"/>
    <w:rsid w:val="60261490"/>
    <w:rsid w:val="60275934"/>
    <w:rsid w:val="60285208"/>
    <w:rsid w:val="602B45A7"/>
    <w:rsid w:val="60335DCE"/>
    <w:rsid w:val="60341DFF"/>
    <w:rsid w:val="604069F6"/>
    <w:rsid w:val="60433D04"/>
    <w:rsid w:val="605211F5"/>
    <w:rsid w:val="605279EE"/>
    <w:rsid w:val="605B3830"/>
    <w:rsid w:val="60651FB9"/>
    <w:rsid w:val="606721D5"/>
    <w:rsid w:val="607A54CE"/>
    <w:rsid w:val="607E72AC"/>
    <w:rsid w:val="60805044"/>
    <w:rsid w:val="608A2B2C"/>
    <w:rsid w:val="608E7761"/>
    <w:rsid w:val="609D1752"/>
    <w:rsid w:val="60A50489"/>
    <w:rsid w:val="60A9459B"/>
    <w:rsid w:val="60AB42FB"/>
    <w:rsid w:val="60AC7DBB"/>
    <w:rsid w:val="60B127C2"/>
    <w:rsid w:val="60B13450"/>
    <w:rsid w:val="60B46BCD"/>
    <w:rsid w:val="60B60A66"/>
    <w:rsid w:val="60B66CB8"/>
    <w:rsid w:val="60BA6B9C"/>
    <w:rsid w:val="60C174AC"/>
    <w:rsid w:val="60CA62C0"/>
    <w:rsid w:val="60CC028A"/>
    <w:rsid w:val="60D056C5"/>
    <w:rsid w:val="60D33E59"/>
    <w:rsid w:val="60D3786A"/>
    <w:rsid w:val="60D40EEC"/>
    <w:rsid w:val="60DF1EC0"/>
    <w:rsid w:val="60E14A9E"/>
    <w:rsid w:val="60E3062F"/>
    <w:rsid w:val="60E90E3C"/>
    <w:rsid w:val="60E92BEA"/>
    <w:rsid w:val="60EE0200"/>
    <w:rsid w:val="60F07E4B"/>
    <w:rsid w:val="60F11A9E"/>
    <w:rsid w:val="60F8107F"/>
    <w:rsid w:val="61045C75"/>
    <w:rsid w:val="610B7004"/>
    <w:rsid w:val="61137C66"/>
    <w:rsid w:val="61161505"/>
    <w:rsid w:val="6118702B"/>
    <w:rsid w:val="611D0AE5"/>
    <w:rsid w:val="611D311E"/>
    <w:rsid w:val="61243C22"/>
    <w:rsid w:val="613A51F3"/>
    <w:rsid w:val="61490A69"/>
    <w:rsid w:val="614C627C"/>
    <w:rsid w:val="6151253D"/>
    <w:rsid w:val="615434A5"/>
    <w:rsid w:val="6155027F"/>
    <w:rsid w:val="61563D8A"/>
    <w:rsid w:val="61572249"/>
    <w:rsid w:val="615960D8"/>
    <w:rsid w:val="615A3AE7"/>
    <w:rsid w:val="6166423A"/>
    <w:rsid w:val="61677179"/>
    <w:rsid w:val="61677FB2"/>
    <w:rsid w:val="61692624"/>
    <w:rsid w:val="616B7AA3"/>
    <w:rsid w:val="6171096B"/>
    <w:rsid w:val="61785D1C"/>
    <w:rsid w:val="617A01F6"/>
    <w:rsid w:val="617A2CD8"/>
    <w:rsid w:val="617D1584"/>
    <w:rsid w:val="617E77D6"/>
    <w:rsid w:val="617F4748"/>
    <w:rsid w:val="61822775"/>
    <w:rsid w:val="61874C61"/>
    <w:rsid w:val="618E5E31"/>
    <w:rsid w:val="618F606A"/>
    <w:rsid w:val="619743F4"/>
    <w:rsid w:val="61994610"/>
    <w:rsid w:val="619E03D3"/>
    <w:rsid w:val="61A62889"/>
    <w:rsid w:val="61A82AA5"/>
    <w:rsid w:val="61AD3C17"/>
    <w:rsid w:val="61AF2FBB"/>
    <w:rsid w:val="61B92F4D"/>
    <w:rsid w:val="61BC489F"/>
    <w:rsid w:val="61BE4076"/>
    <w:rsid w:val="61BF322D"/>
    <w:rsid w:val="61C50446"/>
    <w:rsid w:val="61C528BF"/>
    <w:rsid w:val="61CA443A"/>
    <w:rsid w:val="61CD318A"/>
    <w:rsid w:val="61D70C94"/>
    <w:rsid w:val="61DC44FC"/>
    <w:rsid w:val="61E11B13"/>
    <w:rsid w:val="61E34380"/>
    <w:rsid w:val="61EF3628"/>
    <w:rsid w:val="61F168F6"/>
    <w:rsid w:val="61F40BD2"/>
    <w:rsid w:val="61F62B25"/>
    <w:rsid w:val="61FA1ED2"/>
    <w:rsid w:val="62013F63"/>
    <w:rsid w:val="6208709F"/>
    <w:rsid w:val="620A72BB"/>
    <w:rsid w:val="620B2756"/>
    <w:rsid w:val="620C2843"/>
    <w:rsid w:val="620D0B5A"/>
    <w:rsid w:val="620D6DAC"/>
    <w:rsid w:val="62175534"/>
    <w:rsid w:val="62270FEB"/>
    <w:rsid w:val="62276F7E"/>
    <w:rsid w:val="622C5484"/>
    <w:rsid w:val="622D2E67"/>
    <w:rsid w:val="622E7C1C"/>
    <w:rsid w:val="623B0A2F"/>
    <w:rsid w:val="623B61A3"/>
    <w:rsid w:val="623E5FD0"/>
    <w:rsid w:val="623F023C"/>
    <w:rsid w:val="62426A55"/>
    <w:rsid w:val="62465009"/>
    <w:rsid w:val="62471346"/>
    <w:rsid w:val="62481B92"/>
    <w:rsid w:val="625044AF"/>
    <w:rsid w:val="62593D9F"/>
    <w:rsid w:val="625978FB"/>
    <w:rsid w:val="625B2554"/>
    <w:rsid w:val="625B3673"/>
    <w:rsid w:val="625C5463"/>
    <w:rsid w:val="625F284D"/>
    <w:rsid w:val="62606EDB"/>
    <w:rsid w:val="62650E22"/>
    <w:rsid w:val="62690112"/>
    <w:rsid w:val="62712E97"/>
    <w:rsid w:val="6271733B"/>
    <w:rsid w:val="62722E3F"/>
    <w:rsid w:val="62740F21"/>
    <w:rsid w:val="62760774"/>
    <w:rsid w:val="627806C9"/>
    <w:rsid w:val="627E7362"/>
    <w:rsid w:val="62853E70"/>
    <w:rsid w:val="62854331"/>
    <w:rsid w:val="62886432"/>
    <w:rsid w:val="62913539"/>
    <w:rsid w:val="62924E4C"/>
    <w:rsid w:val="62966DA1"/>
    <w:rsid w:val="629917AC"/>
    <w:rsid w:val="629D5670"/>
    <w:rsid w:val="629E17B2"/>
    <w:rsid w:val="629E7A04"/>
    <w:rsid w:val="629F5931"/>
    <w:rsid w:val="62A05DDD"/>
    <w:rsid w:val="62A3326C"/>
    <w:rsid w:val="62A74555"/>
    <w:rsid w:val="62A80882"/>
    <w:rsid w:val="62A866EA"/>
    <w:rsid w:val="62AD2A94"/>
    <w:rsid w:val="62AE40EB"/>
    <w:rsid w:val="62B40FD5"/>
    <w:rsid w:val="62B47227"/>
    <w:rsid w:val="62B965EC"/>
    <w:rsid w:val="62BB05B6"/>
    <w:rsid w:val="62BB4CEC"/>
    <w:rsid w:val="62C162E2"/>
    <w:rsid w:val="62C258A1"/>
    <w:rsid w:val="62C4299B"/>
    <w:rsid w:val="62C57C30"/>
    <w:rsid w:val="62C63B33"/>
    <w:rsid w:val="62C6478A"/>
    <w:rsid w:val="62C9714A"/>
    <w:rsid w:val="62CB463B"/>
    <w:rsid w:val="62CF7BBD"/>
    <w:rsid w:val="62D43425"/>
    <w:rsid w:val="62D66B7D"/>
    <w:rsid w:val="62D8728A"/>
    <w:rsid w:val="62DC7DAC"/>
    <w:rsid w:val="62DE7670"/>
    <w:rsid w:val="62E073CC"/>
    <w:rsid w:val="62E475E0"/>
    <w:rsid w:val="62E47B0C"/>
    <w:rsid w:val="62E567C3"/>
    <w:rsid w:val="62EA2C49"/>
    <w:rsid w:val="62EF025F"/>
    <w:rsid w:val="62F029CF"/>
    <w:rsid w:val="62F15D85"/>
    <w:rsid w:val="62F92E8C"/>
    <w:rsid w:val="62FC72F8"/>
    <w:rsid w:val="63006EF1"/>
    <w:rsid w:val="63043D0B"/>
    <w:rsid w:val="63076790"/>
    <w:rsid w:val="630B7B87"/>
    <w:rsid w:val="630C7320"/>
    <w:rsid w:val="630F420A"/>
    <w:rsid w:val="63123361"/>
    <w:rsid w:val="631B72A6"/>
    <w:rsid w:val="63202793"/>
    <w:rsid w:val="63216475"/>
    <w:rsid w:val="63220635"/>
    <w:rsid w:val="632A2222"/>
    <w:rsid w:val="632B5D35"/>
    <w:rsid w:val="63301201"/>
    <w:rsid w:val="63381C06"/>
    <w:rsid w:val="633A3BD0"/>
    <w:rsid w:val="63442359"/>
    <w:rsid w:val="63443BFB"/>
    <w:rsid w:val="634440F0"/>
    <w:rsid w:val="634560D1"/>
    <w:rsid w:val="63495BC1"/>
    <w:rsid w:val="634D590E"/>
    <w:rsid w:val="63511D57"/>
    <w:rsid w:val="63534F55"/>
    <w:rsid w:val="63536A40"/>
    <w:rsid w:val="63584057"/>
    <w:rsid w:val="635F3637"/>
    <w:rsid w:val="635F53E5"/>
    <w:rsid w:val="63600BB5"/>
    <w:rsid w:val="636649C5"/>
    <w:rsid w:val="636A79A0"/>
    <w:rsid w:val="636C5ADF"/>
    <w:rsid w:val="63711F46"/>
    <w:rsid w:val="63860BC4"/>
    <w:rsid w:val="638B442C"/>
    <w:rsid w:val="638B4C60"/>
    <w:rsid w:val="638E1826"/>
    <w:rsid w:val="63927FB4"/>
    <w:rsid w:val="639A01CB"/>
    <w:rsid w:val="639B1BC7"/>
    <w:rsid w:val="639F1C85"/>
    <w:rsid w:val="63A23524"/>
    <w:rsid w:val="63A31776"/>
    <w:rsid w:val="63A36353"/>
    <w:rsid w:val="63A64CE9"/>
    <w:rsid w:val="63AD6150"/>
    <w:rsid w:val="63B219B9"/>
    <w:rsid w:val="63B514A9"/>
    <w:rsid w:val="63BF7C32"/>
    <w:rsid w:val="63C51281"/>
    <w:rsid w:val="63C96D02"/>
    <w:rsid w:val="63CB6680"/>
    <w:rsid w:val="63D91B8F"/>
    <w:rsid w:val="63E004CB"/>
    <w:rsid w:val="63E241AA"/>
    <w:rsid w:val="63FA510E"/>
    <w:rsid w:val="64013788"/>
    <w:rsid w:val="64025D70"/>
    <w:rsid w:val="640D24E1"/>
    <w:rsid w:val="640D3093"/>
    <w:rsid w:val="640E2A6C"/>
    <w:rsid w:val="641066DF"/>
    <w:rsid w:val="64151F48"/>
    <w:rsid w:val="64175CC0"/>
    <w:rsid w:val="641A3F4D"/>
    <w:rsid w:val="641A755E"/>
    <w:rsid w:val="642C0046"/>
    <w:rsid w:val="64334BF8"/>
    <w:rsid w:val="64373BB8"/>
    <w:rsid w:val="643F0D73"/>
    <w:rsid w:val="64432611"/>
    <w:rsid w:val="64485E79"/>
    <w:rsid w:val="645A6478"/>
    <w:rsid w:val="645A795A"/>
    <w:rsid w:val="645B3DFE"/>
    <w:rsid w:val="645C36D2"/>
    <w:rsid w:val="645C7B76"/>
    <w:rsid w:val="645D36BC"/>
    <w:rsid w:val="645D39F0"/>
    <w:rsid w:val="64630F05"/>
    <w:rsid w:val="64680B03"/>
    <w:rsid w:val="64691F93"/>
    <w:rsid w:val="646A48CB"/>
    <w:rsid w:val="6472739A"/>
    <w:rsid w:val="647742A4"/>
    <w:rsid w:val="647924D6"/>
    <w:rsid w:val="647E189B"/>
    <w:rsid w:val="64864E63"/>
    <w:rsid w:val="64872EA9"/>
    <w:rsid w:val="648F1CFA"/>
    <w:rsid w:val="64917197"/>
    <w:rsid w:val="649563FC"/>
    <w:rsid w:val="649A0DC1"/>
    <w:rsid w:val="649D0FED"/>
    <w:rsid w:val="64A10158"/>
    <w:rsid w:val="64A615E1"/>
    <w:rsid w:val="64AE06C7"/>
    <w:rsid w:val="64B36731"/>
    <w:rsid w:val="64B452BD"/>
    <w:rsid w:val="64B702F7"/>
    <w:rsid w:val="64B96D77"/>
    <w:rsid w:val="64BB0F97"/>
    <w:rsid w:val="64C30C07"/>
    <w:rsid w:val="64C319A4"/>
    <w:rsid w:val="64C544E1"/>
    <w:rsid w:val="64CA08E4"/>
    <w:rsid w:val="64CD512C"/>
    <w:rsid w:val="64D21BE7"/>
    <w:rsid w:val="64D4595F"/>
    <w:rsid w:val="64D8544F"/>
    <w:rsid w:val="64D91BF4"/>
    <w:rsid w:val="64DC36BB"/>
    <w:rsid w:val="64DE67DD"/>
    <w:rsid w:val="64E262CE"/>
    <w:rsid w:val="64E91A09"/>
    <w:rsid w:val="64EA33D4"/>
    <w:rsid w:val="64ED1BD9"/>
    <w:rsid w:val="64F34037"/>
    <w:rsid w:val="64F46001"/>
    <w:rsid w:val="64F7034C"/>
    <w:rsid w:val="64FC2FFA"/>
    <w:rsid w:val="64FD5243"/>
    <w:rsid w:val="65071890"/>
    <w:rsid w:val="65092761"/>
    <w:rsid w:val="650D2572"/>
    <w:rsid w:val="65143FAD"/>
    <w:rsid w:val="65181CEF"/>
    <w:rsid w:val="651C28C1"/>
    <w:rsid w:val="651D10B4"/>
    <w:rsid w:val="651D2E62"/>
    <w:rsid w:val="651F307E"/>
    <w:rsid w:val="65273F84"/>
    <w:rsid w:val="652A1650"/>
    <w:rsid w:val="652D6F8B"/>
    <w:rsid w:val="652E22C5"/>
    <w:rsid w:val="65321B9C"/>
    <w:rsid w:val="65366619"/>
    <w:rsid w:val="65510D5D"/>
    <w:rsid w:val="65534AD5"/>
    <w:rsid w:val="655645C6"/>
    <w:rsid w:val="655B1BDC"/>
    <w:rsid w:val="65634102"/>
    <w:rsid w:val="656C3DE9"/>
    <w:rsid w:val="656E190F"/>
    <w:rsid w:val="657038D9"/>
    <w:rsid w:val="65720290"/>
    <w:rsid w:val="65735178"/>
    <w:rsid w:val="657607C4"/>
    <w:rsid w:val="657B5DD8"/>
    <w:rsid w:val="657D5FF6"/>
    <w:rsid w:val="658175C2"/>
    <w:rsid w:val="65820EBC"/>
    <w:rsid w:val="65842EE1"/>
    <w:rsid w:val="658A426F"/>
    <w:rsid w:val="658E1206"/>
    <w:rsid w:val="658E1FB1"/>
    <w:rsid w:val="659A7FFB"/>
    <w:rsid w:val="659E7288"/>
    <w:rsid w:val="65A131B1"/>
    <w:rsid w:val="65A672FB"/>
    <w:rsid w:val="65A7180E"/>
    <w:rsid w:val="65A74E21"/>
    <w:rsid w:val="65A76BCF"/>
    <w:rsid w:val="65A82571"/>
    <w:rsid w:val="65A93AEA"/>
    <w:rsid w:val="65AA44C4"/>
    <w:rsid w:val="65AE7F5E"/>
    <w:rsid w:val="65B40043"/>
    <w:rsid w:val="65BB6E26"/>
    <w:rsid w:val="65BF41FF"/>
    <w:rsid w:val="65C23A09"/>
    <w:rsid w:val="65C31720"/>
    <w:rsid w:val="65C945E0"/>
    <w:rsid w:val="65CA32A0"/>
    <w:rsid w:val="65D025CA"/>
    <w:rsid w:val="65D04378"/>
    <w:rsid w:val="65D06126"/>
    <w:rsid w:val="65D27C82"/>
    <w:rsid w:val="65D63E44"/>
    <w:rsid w:val="65D73958"/>
    <w:rsid w:val="65D73C4D"/>
    <w:rsid w:val="65DB3A39"/>
    <w:rsid w:val="65DC4ACB"/>
    <w:rsid w:val="65E240AB"/>
    <w:rsid w:val="65E24F49"/>
    <w:rsid w:val="65E362B1"/>
    <w:rsid w:val="65E4207E"/>
    <w:rsid w:val="65E9095E"/>
    <w:rsid w:val="65EC1E02"/>
    <w:rsid w:val="65EE0CA2"/>
    <w:rsid w:val="65FA13F5"/>
    <w:rsid w:val="65FB7383"/>
    <w:rsid w:val="65FE21FE"/>
    <w:rsid w:val="66012783"/>
    <w:rsid w:val="660202AA"/>
    <w:rsid w:val="6608196B"/>
    <w:rsid w:val="66083B12"/>
    <w:rsid w:val="6608651D"/>
    <w:rsid w:val="660C4294"/>
    <w:rsid w:val="66173E6E"/>
    <w:rsid w:val="66195D1F"/>
    <w:rsid w:val="66240220"/>
    <w:rsid w:val="662621EA"/>
    <w:rsid w:val="66263F98"/>
    <w:rsid w:val="66285F62"/>
    <w:rsid w:val="66293A88"/>
    <w:rsid w:val="6635242D"/>
    <w:rsid w:val="66372649"/>
    <w:rsid w:val="66377F53"/>
    <w:rsid w:val="663D7E90"/>
    <w:rsid w:val="6640264D"/>
    <w:rsid w:val="66480DDF"/>
    <w:rsid w:val="66495ED8"/>
    <w:rsid w:val="664C6A07"/>
    <w:rsid w:val="66560F3A"/>
    <w:rsid w:val="665A00E6"/>
    <w:rsid w:val="665E3732"/>
    <w:rsid w:val="665F56FC"/>
    <w:rsid w:val="6663343E"/>
    <w:rsid w:val="66633E9A"/>
    <w:rsid w:val="666A0329"/>
    <w:rsid w:val="66723681"/>
    <w:rsid w:val="6673555F"/>
    <w:rsid w:val="668120DB"/>
    <w:rsid w:val="668533B4"/>
    <w:rsid w:val="668B029F"/>
    <w:rsid w:val="668B64F1"/>
    <w:rsid w:val="668F4651"/>
    <w:rsid w:val="66952ECC"/>
    <w:rsid w:val="669E7FD2"/>
    <w:rsid w:val="66A316A7"/>
    <w:rsid w:val="66A546E1"/>
    <w:rsid w:val="66A658E8"/>
    <w:rsid w:val="66A852F5"/>
    <w:rsid w:val="66AB26EF"/>
    <w:rsid w:val="66AF21DF"/>
    <w:rsid w:val="66B141AA"/>
    <w:rsid w:val="66B21CD0"/>
    <w:rsid w:val="66B3122D"/>
    <w:rsid w:val="66B617C0"/>
    <w:rsid w:val="66B650CD"/>
    <w:rsid w:val="66B91677"/>
    <w:rsid w:val="66CA0DC7"/>
    <w:rsid w:val="66CC0FE3"/>
    <w:rsid w:val="66CD24A8"/>
    <w:rsid w:val="66CD2666"/>
    <w:rsid w:val="66CF2882"/>
    <w:rsid w:val="66CF4630"/>
    <w:rsid w:val="66D25ECE"/>
    <w:rsid w:val="66D44284"/>
    <w:rsid w:val="66D460EA"/>
    <w:rsid w:val="66D57819"/>
    <w:rsid w:val="66DA7F60"/>
    <w:rsid w:val="66DE0D17"/>
    <w:rsid w:val="66DF198B"/>
    <w:rsid w:val="66E27B57"/>
    <w:rsid w:val="66E42582"/>
    <w:rsid w:val="66E7523A"/>
    <w:rsid w:val="66ED0F5A"/>
    <w:rsid w:val="66F2031E"/>
    <w:rsid w:val="66F27332"/>
    <w:rsid w:val="66F40E32"/>
    <w:rsid w:val="67002A3B"/>
    <w:rsid w:val="67010561"/>
    <w:rsid w:val="67015A66"/>
    <w:rsid w:val="67087B42"/>
    <w:rsid w:val="670A1B0C"/>
    <w:rsid w:val="67111C49"/>
    <w:rsid w:val="67112E9A"/>
    <w:rsid w:val="67136C12"/>
    <w:rsid w:val="671604B0"/>
    <w:rsid w:val="67193AFD"/>
    <w:rsid w:val="6719473D"/>
    <w:rsid w:val="67286BF9"/>
    <w:rsid w:val="672A5CB4"/>
    <w:rsid w:val="673367B6"/>
    <w:rsid w:val="6735231C"/>
    <w:rsid w:val="673B7F17"/>
    <w:rsid w:val="674C3ED2"/>
    <w:rsid w:val="674D0F0F"/>
    <w:rsid w:val="674F64FA"/>
    <w:rsid w:val="674F751F"/>
    <w:rsid w:val="6755062E"/>
    <w:rsid w:val="67576539"/>
    <w:rsid w:val="67630B2B"/>
    <w:rsid w:val="67644D61"/>
    <w:rsid w:val="676A6106"/>
    <w:rsid w:val="67794F9C"/>
    <w:rsid w:val="677D0530"/>
    <w:rsid w:val="677D5CC2"/>
    <w:rsid w:val="678C0838"/>
    <w:rsid w:val="678E4891"/>
    <w:rsid w:val="67915CB0"/>
    <w:rsid w:val="679715F1"/>
    <w:rsid w:val="679B2764"/>
    <w:rsid w:val="67A23AF2"/>
    <w:rsid w:val="67A55390"/>
    <w:rsid w:val="67A61834"/>
    <w:rsid w:val="67A7735B"/>
    <w:rsid w:val="67B83316"/>
    <w:rsid w:val="67BA708E"/>
    <w:rsid w:val="67BC0DA3"/>
    <w:rsid w:val="67BC2E06"/>
    <w:rsid w:val="67BF1DE9"/>
    <w:rsid w:val="67BF28F6"/>
    <w:rsid w:val="67C223E6"/>
    <w:rsid w:val="67D245D3"/>
    <w:rsid w:val="67D43893"/>
    <w:rsid w:val="67DC0BE3"/>
    <w:rsid w:val="67DD018E"/>
    <w:rsid w:val="67DF4D46"/>
    <w:rsid w:val="67E5002E"/>
    <w:rsid w:val="67EB181E"/>
    <w:rsid w:val="67EB25A8"/>
    <w:rsid w:val="67EB7247"/>
    <w:rsid w:val="67EE31DB"/>
    <w:rsid w:val="67F02AB0"/>
    <w:rsid w:val="67F325A4"/>
    <w:rsid w:val="67F72090"/>
    <w:rsid w:val="67F81964"/>
    <w:rsid w:val="67FF7197"/>
    <w:rsid w:val="68037C35"/>
    <w:rsid w:val="680402E9"/>
    <w:rsid w:val="68046C31"/>
    <w:rsid w:val="680622D3"/>
    <w:rsid w:val="680B6825"/>
    <w:rsid w:val="680E73DA"/>
    <w:rsid w:val="68183DB4"/>
    <w:rsid w:val="681A7B2C"/>
    <w:rsid w:val="681D13CB"/>
    <w:rsid w:val="68274789"/>
    <w:rsid w:val="682E35D8"/>
    <w:rsid w:val="68354966"/>
    <w:rsid w:val="68386205"/>
    <w:rsid w:val="683A01CF"/>
    <w:rsid w:val="683A7D85"/>
    <w:rsid w:val="683D381B"/>
    <w:rsid w:val="683F7593"/>
    <w:rsid w:val="684626D0"/>
    <w:rsid w:val="684C450D"/>
    <w:rsid w:val="684F09F9"/>
    <w:rsid w:val="684F4328"/>
    <w:rsid w:val="68541CB5"/>
    <w:rsid w:val="68550B65"/>
    <w:rsid w:val="68564114"/>
    <w:rsid w:val="68573C08"/>
    <w:rsid w:val="68594AF9"/>
    <w:rsid w:val="686139AD"/>
    <w:rsid w:val="686A0AB4"/>
    <w:rsid w:val="686D5EAE"/>
    <w:rsid w:val="687070D6"/>
    <w:rsid w:val="68727968"/>
    <w:rsid w:val="68752FB5"/>
    <w:rsid w:val="687710A0"/>
    <w:rsid w:val="687C554B"/>
    <w:rsid w:val="688D47A2"/>
    <w:rsid w:val="688E25CD"/>
    <w:rsid w:val="689773CF"/>
    <w:rsid w:val="68A662B1"/>
    <w:rsid w:val="68A85138"/>
    <w:rsid w:val="68B41D2F"/>
    <w:rsid w:val="68B72045"/>
    <w:rsid w:val="68B7537B"/>
    <w:rsid w:val="68BB130F"/>
    <w:rsid w:val="68BE2BAE"/>
    <w:rsid w:val="68BE670A"/>
    <w:rsid w:val="68C80219"/>
    <w:rsid w:val="68CD6A7F"/>
    <w:rsid w:val="68D20407"/>
    <w:rsid w:val="68DA4848"/>
    <w:rsid w:val="68DB3760"/>
    <w:rsid w:val="68DC3034"/>
    <w:rsid w:val="68E1064A"/>
    <w:rsid w:val="68E329CB"/>
    <w:rsid w:val="68E343C2"/>
    <w:rsid w:val="68EC523E"/>
    <w:rsid w:val="68ED228A"/>
    <w:rsid w:val="68ED3493"/>
    <w:rsid w:val="68EF720B"/>
    <w:rsid w:val="68F0088D"/>
    <w:rsid w:val="68F465CF"/>
    <w:rsid w:val="68F6059A"/>
    <w:rsid w:val="68F62242"/>
    <w:rsid w:val="68F7513B"/>
    <w:rsid w:val="68FC0EA3"/>
    <w:rsid w:val="69012A9A"/>
    <w:rsid w:val="69044CCB"/>
    <w:rsid w:val="69192A8B"/>
    <w:rsid w:val="691D5B26"/>
    <w:rsid w:val="692D7FD0"/>
    <w:rsid w:val="69313380"/>
    <w:rsid w:val="694035C3"/>
    <w:rsid w:val="69474951"/>
    <w:rsid w:val="694766FF"/>
    <w:rsid w:val="69482477"/>
    <w:rsid w:val="6952774D"/>
    <w:rsid w:val="695C2BBB"/>
    <w:rsid w:val="695D48EB"/>
    <w:rsid w:val="6962178B"/>
    <w:rsid w:val="69653029"/>
    <w:rsid w:val="696B6C9C"/>
    <w:rsid w:val="696C43B8"/>
    <w:rsid w:val="696F0EDC"/>
    <w:rsid w:val="697119CE"/>
    <w:rsid w:val="697274F4"/>
    <w:rsid w:val="697D1115"/>
    <w:rsid w:val="698931BC"/>
    <w:rsid w:val="699A1CA8"/>
    <w:rsid w:val="69A578CA"/>
    <w:rsid w:val="69AA4EE0"/>
    <w:rsid w:val="69B31FE7"/>
    <w:rsid w:val="69B33D95"/>
    <w:rsid w:val="69B67D29"/>
    <w:rsid w:val="69B74C52"/>
    <w:rsid w:val="69BA3375"/>
    <w:rsid w:val="69BE3E37"/>
    <w:rsid w:val="69C40C04"/>
    <w:rsid w:val="69C836F6"/>
    <w:rsid w:val="69D057DD"/>
    <w:rsid w:val="69D63F27"/>
    <w:rsid w:val="69DF6462"/>
    <w:rsid w:val="69E135EF"/>
    <w:rsid w:val="69E14DA6"/>
    <w:rsid w:val="69E55F18"/>
    <w:rsid w:val="69EC374B"/>
    <w:rsid w:val="69F63CF7"/>
    <w:rsid w:val="69FA19C4"/>
    <w:rsid w:val="69FF6FDA"/>
    <w:rsid w:val="6A06480C"/>
    <w:rsid w:val="6A072332"/>
    <w:rsid w:val="6A1B7B8C"/>
    <w:rsid w:val="6A1F58CE"/>
    <w:rsid w:val="6A234CFD"/>
    <w:rsid w:val="6A237CAB"/>
    <w:rsid w:val="6A2E3D63"/>
    <w:rsid w:val="6A350C4E"/>
    <w:rsid w:val="6A3602D2"/>
    <w:rsid w:val="6A373F31"/>
    <w:rsid w:val="6A39509C"/>
    <w:rsid w:val="6A3A44B6"/>
    <w:rsid w:val="6A42067F"/>
    <w:rsid w:val="6A475399"/>
    <w:rsid w:val="6A4D41E9"/>
    <w:rsid w:val="6A5079C7"/>
    <w:rsid w:val="6A6020A4"/>
    <w:rsid w:val="6A644E18"/>
    <w:rsid w:val="6A647785"/>
    <w:rsid w:val="6A707ED8"/>
    <w:rsid w:val="6A752115"/>
    <w:rsid w:val="6A75729C"/>
    <w:rsid w:val="6A7618A7"/>
    <w:rsid w:val="6A7C1170"/>
    <w:rsid w:val="6A7D43A3"/>
    <w:rsid w:val="6A9040D6"/>
    <w:rsid w:val="6A962ABA"/>
    <w:rsid w:val="6A9736B6"/>
    <w:rsid w:val="6A9950DE"/>
    <w:rsid w:val="6A9E0243"/>
    <w:rsid w:val="6A9F256B"/>
    <w:rsid w:val="6AA07B9D"/>
    <w:rsid w:val="6AA302AD"/>
    <w:rsid w:val="6AA33E09"/>
    <w:rsid w:val="6AA45378"/>
    <w:rsid w:val="6AA560DB"/>
    <w:rsid w:val="6AB2229E"/>
    <w:rsid w:val="6AB543B2"/>
    <w:rsid w:val="6AB919E4"/>
    <w:rsid w:val="6ABB06D5"/>
    <w:rsid w:val="6AC23C0C"/>
    <w:rsid w:val="6AC51241"/>
    <w:rsid w:val="6AC7148A"/>
    <w:rsid w:val="6AC87D14"/>
    <w:rsid w:val="6AE13436"/>
    <w:rsid w:val="6AE15E05"/>
    <w:rsid w:val="6AEB755E"/>
    <w:rsid w:val="6AED6120"/>
    <w:rsid w:val="6AEF29EE"/>
    <w:rsid w:val="6AF64881"/>
    <w:rsid w:val="6AF705F9"/>
    <w:rsid w:val="6AFB5005"/>
    <w:rsid w:val="6B0013F8"/>
    <w:rsid w:val="6B076BC2"/>
    <w:rsid w:val="6B080110"/>
    <w:rsid w:val="6B092642"/>
    <w:rsid w:val="6B105217"/>
    <w:rsid w:val="6B182A49"/>
    <w:rsid w:val="6B256F14"/>
    <w:rsid w:val="6B2D7B77"/>
    <w:rsid w:val="6B3074B7"/>
    <w:rsid w:val="6B340F05"/>
    <w:rsid w:val="6B3709F5"/>
    <w:rsid w:val="6B3B2900"/>
    <w:rsid w:val="6B3E1D84"/>
    <w:rsid w:val="6B533A81"/>
    <w:rsid w:val="6B5B2936"/>
    <w:rsid w:val="6B5C220A"/>
    <w:rsid w:val="6B5F78E1"/>
    <w:rsid w:val="6B601CFA"/>
    <w:rsid w:val="6B655F65"/>
    <w:rsid w:val="6B6C4B43"/>
    <w:rsid w:val="6B715CB5"/>
    <w:rsid w:val="6B721A2E"/>
    <w:rsid w:val="6B7B2FD8"/>
    <w:rsid w:val="6B7C2964"/>
    <w:rsid w:val="6B7D28AC"/>
    <w:rsid w:val="6B7E4876"/>
    <w:rsid w:val="6B8175B6"/>
    <w:rsid w:val="6B8C2AEF"/>
    <w:rsid w:val="6BA047ED"/>
    <w:rsid w:val="6BA0659B"/>
    <w:rsid w:val="6BA208B3"/>
    <w:rsid w:val="6BA51E03"/>
    <w:rsid w:val="6BAC4F3F"/>
    <w:rsid w:val="6BB107A8"/>
    <w:rsid w:val="6BB32772"/>
    <w:rsid w:val="6BB42046"/>
    <w:rsid w:val="6BB67B6C"/>
    <w:rsid w:val="6BBA1B4A"/>
    <w:rsid w:val="6BBA6CD6"/>
    <w:rsid w:val="6BC06917"/>
    <w:rsid w:val="6BC26511"/>
    <w:rsid w:val="6BC404DB"/>
    <w:rsid w:val="6BD4750E"/>
    <w:rsid w:val="6BD86584"/>
    <w:rsid w:val="6BD93ECE"/>
    <w:rsid w:val="6BDA1B01"/>
    <w:rsid w:val="6BDA1C3F"/>
    <w:rsid w:val="6BDA6879"/>
    <w:rsid w:val="6BE446D9"/>
    <w:rsid w:val="6BE566A3"/>
    <w:rsid w:val="6BEA5A68"/>
    <w:rsid w:val="6BED1D9C"/>
    <w:rsid w:val="6BEE7306"/>
    <w:rsid w:val="6BF32B6E"/>
    <w:rsid w:val="6BF54B38"/>
    <w:rsid w:val="6BF863D7"/>
    <w:rsid w:val="6BFF7765"/>
    <w:rsid w:val="6C0905E4"/>
    <w:rsid w:val="6C0F54CE"/>
    <w:rsid w:val="6C101972"/>
    <w:rsid w:val="6C144961"/>
    <w:rsid w:val="6C16685D"/>
    <w:rsid w:val="6C1D7BEB"/>
    <w:rsid w:val="6C2159A8"/>
    <w:rsid w:val="6C254654"/>
    <w:rsid w:val="6C2E004A"/>
    <w:rsid w:val="6C2E10E7"/>
    <w:rsid w:val="6C305B70"/>
    <w:rsid w:val="6C30791F"/>
    <w:rsid w:val="6C3438A5"/>
    <w:rsid w:val="6C384A25"/>
    <w:rsid w:val="6C3A079D"/>
    <w:rsid w:val="6C431D41"/>
    <w:rsid w:val="6C450EF0"/>
    <w:rsid w:val="6C5038A5"/>
    <w:rsid w:val="6C5775A1"/>
    <w:rsid w:val="6C5A20E2"/>
    <w:rsid w:val="6C5C0714"/>
    <w:rsid w:val="6C5D26DE"/>
    <w:rsid w:val="6C5F6456"/>
    <w:rsid w:val="6C677D87"/>
    <w:rsid w:val="6C6B0957"/>
    <w:rsid w:val="6C6B6BA9"/>
    <w:rsid w:val="6C6D2921"/>
    <w:rsid w:val="6C757CDC"/>
    <w:rsid w:val="6C784200"/>
    <w:rsid w:val="6C7863E6"/>
    <w:rsid w:val="6C7B7A43"/>
    <w:rsid w:val="6C907761"/>
    <w:rsid w:val="6C9102FF"/>
    <w:rsid w:val="6C920037"/>
    <w:rsid w:val="6C937EAD"/>
    <w:rsid w:val="6C95092E"/>
    <w:rsid w:val="6CA64085"/>
    <w:rsid w:val="6CA87DFD"/>
    <w:rsid w:val="6CB247D7"/>
    <w:rsid w:val="6CBF282C"/>
    <w:rsid w:val="6CBF6EF4"/>
    <w:rsid w:val="6CC10EBE"/>
    <w:rsid w:val="6CC2604B"/>
    <w:rsid w:val="6CC26721"/>
    <w:rsid w:val="6CC62031"/>
    <w:rsid w:val="6CC87B57"/>
    <w:rsid w:val="6CCB1F66"/>
    <w:rsid w:val="6CD209D6"/>
    <w:rsid w:val="6CD97FB6"/>
    <w:rsid w:val="6CDC7B2E"/>
    <w:rsid w:val="6CDE3891"/>
    <w:rsid w:val="6CE07597"/>
    <w:rsid w:val="6CE55CB0"/>
    <w:rsid w:val="6CEF1588"/>
    <w:rsid w:val="6CF05300"/>
    <w:rsid w:val="6CF30226"/>
    <w:rsid w:val="6CF41317"/>
    <w:rsid w:val="6CFA5B92"/>
    <w:rsid w:val="6CFA7F2C"/>
    <w:rsid w:val="6CFD43B2"/>
    <w:rsid w:val="6D013069"/>
    <w:rsid w:val="6D0446EE"/>
    <w:rsid w:val="6D06067F"/>
    <w:rsid w:val="6D065FB4"/>
    <w:rsid w:val="6D0B4828"/>
    <w:rsid w:val="6D116E29"/>
    <w:rsid w:val="6D1E00BF"/>
    <w:rsid w:val="6D201D79"/>
    <w:rsid w:val="6D255245"/>
    <w:rsid w:val="6D284A9A"/>
    <w:rsid w:val="6D2A0A99"/>
    <w:rsid w:val="6D2F5E28"/>
    <w:rsid w:val="6D323B6A"/>
    <w:rsid w:val="6D341C97"/>
    <w:rsid w:val="6D392803"/>
    <w:rsid w:val="6D45564C"/>
    <w:rsid w:val="6D521646"/>
    <w:rsid w:val="6D5533B5"/>
    <w:rsid w:val="6D567859"/>
    <w:rsid w:val="6D592EA5"/>
    <w:rsid w:val="6D5C77C5"/>
    <w:rsid w:val="6D5E428B"/>
    <w:rsid w:val="6D5E495F"/>
    <w:rsid w:val="6D610C89"/>
    <w:rsid w:val="6D6A6E60"/>
    <w:rsid w:val="6D7719B7"/>
    <w:rsid w:val="6D7777CF"/>
    <w:rsid w:val="6D81609C"/>
    <w:rsid w:val="6D834669"/>
    <w:rsid w:val="6D851EEC"/>
    <w:rsid w:val="6D860ECF"/>
    <w:rsid w:val="6D86476C"/>
    <w:rsid w:val="6D8D02B7"/>
    <w:rsid w:val="6D934609"/>
    <w:rsid w:val="6D96122A"/>
    <w:rsid w:val="6D967C55"/>
    <w:rsid w:val="6D9C0FE4"/>
    <w:rsid w:val="6DA17DA4"/>
    <w:rsid w:val="6DA560EA"/>
    <w:rsid w:val="6DA9433F"/>
    <w:rsid w:val="6DAE1443"/>
    <w:rsid w:val="6DB77BCC"/>
    <w:rsid w:val="6DC742B3"/>
    <w:rsid w:val="6DD15131"/>
    <w:rsid w:val="6DD30EA9"/>
    <w:rsid w:val="6DD53DC5"/>
    <w:rsid w:val="6DDB53FC"/>
    <w:rsid w:val="6DDB7D5E"/>
    <w:rsid w:val="6DDE6233"/>
    <w:rsid w:val="6DE07122"/>
    <w:rsid w:val="6DE74955"/>
    <w:rsid w:val="6DEA61F3"/>
    <w:rsid w:val="6DF130DE"/>
    <w:rsid w:val="6DFB5D0A"/>
    <w:rsid w:val="6DFE5138"/>
    <w:rsid w:val="6E0077C5"/>
    <w:rsid w:val="6E070B53"/>
    <w:rsid w:val="6E0A419F"/>
    <w:rsid w:val="6E0E5D4D"/>
    <w:rsid w:val="6E0F7A08"/>
    <w:rsid w:val="6E1814A6"/>
    <w:rsid w:val="6E1D2124"/>
    <w:rsid w:val="6E201C15"/>
    <w:rsid w:val="6E227207"/>
    <w:rsid w:val="6E272FA3"/>
    <w:rsid w:val="6E337B9A"/>
    <w:rsid w:val="6E3B6A4F"/>
    <w:rsid w:val="6E4050A7"/>
    <w:rsid w:val="6E453094"/>
    <w:rsid w:val="6E4C47B8"/>
    <w:rsid w:val="6E4C5AC5"/>
    <w:rsid w:val="6E4E0530"/>
    <w:rsid w:val="6E533D98"/>
    <w:rsid w:val="6E5A37B3"/>
    <w:rsid w:val="6E5A5127"/>
    <w:rsid w:val="6E5F273D"/>
    <w:rsid w:val="6E632386"/>
    <w:rsid w:val="6E6C47A7"/>
    <w:rsid w:val="6E6C4E5A"/>
    <w:rsid w:val="6E6E472E"/>
    <w:rsid w:val="6E7B6FCC"/>
    <w:rsid w:val="6E7D457F"/>
    <w:rsid w:val="6E7F06E9"/>
    <w:rsid w:val="6E7F2DDF"/>
    <w:rsid w:val="6E8126B3"/>
    <w:rsid w:val="6E8757F0"/>
    <w:rsid w:val="6E920836"/>
    <w:rsid w:val="6E9248C1"/>
    <w:rsid w:val="6E971ED7"/>
    <w:rsid w:val="6E97450D"/>
    <w:rsid w:val="6E9C129B"/>
    <w:rsid w:val="6E9E14B7"/>
    <w:rsid w:val="6EA2087C"/>
    <w:rsid w:val="6EA32620"/>
    <w:rsid w:val="6EAD34A8"/>
    <w:rsid w:val="6EAF3CA9"/>
    <w:rsid w:val="6EB760D5"/>
    <w:rsid w:val="6EB8009F"/>
    <w:rsid w:val="6EC05BC6"/>
    <w:rsid w:val="6EC83AD9"/>
    <w:rsid w:val="6EC87CF1"/>
    <w:rsid w:val="6ECC3702"/>
    <w:rsid w:val="6ECE1688"/>
    <w:rsid w:val="6ED03E33"/>
    <w:rsid w:val="6ED21161"/>
    <w:rsid w:val="6ED6693F"/>
    <w:rsid w:val="6ED93E30"/>
    <w:rsid w:val="6EDB4747"/>
    <w:rsid w:val="6EDD18B4"/>
    <w:rsid w:val="6EE07791"/>
    <w:rsid w:val="6EEA2FD9"/>
    <w:rsid w:val="6EEF1D13"/>
    <w:rsid w:val="6EF015E7"/>
    <w:rsid w:val="6EF020B7"/>
    <w:rsid w:val="6EF07839"/>
    <w:rsid w:val="6EF13547"/>
    <w:rsid w:val="6EF21761"/>
    <w:rsid w:val="6EF530A1"/>
    <w:rsid w:val="6EF60FE1"/>
    <w:rsid w:val="6EFE4A7F"/>
    <w:rsid w:val="6EFF5CCE"/>
    <w:rsid w:val="6F086931"/>
    <w:rsid w:val="6F0F4163"/>
    <w:rsid w:val="6F130D6B"/>
    <w:rsid w:val="6F1622E9"/>
    <w:rsid w:val="6F1C7A8B"/>
    <w:rsid w:val="6F1E0EB4"/>
    <w:rsid w:val="6F2221EC"/>
    <w:rsid w:val="6F2252F6"/>
    <w:rsid w:val="6F282B2F"/>
    <w:rsid w:val="6F2A2D4B"/>
    <w:rsid w:val="6F2D3F54"/>
    <w:rsid w:val="6F2F210F"/>
    <w:rsid w:val="6F327E52"/>
    <w:rsid w:val="6F3620D6"/>
    <w:rsid w:val="6F3649DD"/>
    <w:rsid w:val="6F3A775C"/>
    <w:rsid w:val="6F3C65DA"/>
    <w:rsid w:val="6F3D1B79"/>
    <w:rsid w:val="6F3D46B1"/>
    <w:rsid w:val="6F4F2CEC"/>
    <w:rsid w:val="6F5161F4"/>
    <w:rsid w:val="6F546810"/>
    <w:rsid w:val="6F547DC8"/>
    <w:rsid w:val="6F5E29F5"/>
    <w:rsid w:val="6F607B94"/>
    <w:rsid w:val="6F613C0F"/>
    <w:rsid w:val="6F622FE0"/>
    <w:rsid w:val="6F6873CF"/>
    <w:rsid w:val="6F6B5112"/>
    <w:rsid w:val="6F6D70DC"/>
    <w:rsid w:val="6F6E4088"/>
    <w:rsid w:val="6F6F69B0"/>
    <w:rsid w:val="6F7C2E7B"/>
    <w:rsid w:val="6F7F4719"/>
    <w:rsid w:val="6F83245B"/>
    <w:rsid w:val="6F8A5598"/>
    <w:rsid w:val="6F8F2BAE"/>
    <w:rsid w:val="6F99231F"/>
    <w:rsid w:val="6FA85431"/>
    <w:rsid w:val="6FAF3250"/>
    <w:rsid w:val="6FB344DE"/>
    <w:rsid w:val="6FB35C1F"/>
    <w:rsid w:val="6FB40867"/>
    <w:rsid w:val="6FB95E7D"/>
    <w:rsid w:val="6FC10684"/>
    <w:rsid w:val="6FC82564"/>
    <w:rsid w:val="6FCE1E96"/>
    <w:rsid w:val="6FD26F3F"/>
    <w:rsid w:val="6FD575E5"/>
    <w:rsid w:val="6FD76303"/>
    <w:rsid w:val="6FD922F4"/>
    <w:rsid w:val="6FDC1B6B"/>
    <w:rsid w:val="6FE25C14"/>
    <w:rsid w:val="6FE32EFA"/>
    <w:rsid w:val="6FE34924"/>
    <w:rsid w:val="6FF00911"/>
    <w:rsid w:val="6FF15617"/>
    <w:rsid w:val="6FF45107"/>
    <w:rsid w:val="6FF60E7F"/>
    <w:rsid w:val="70003AAC"/>
    <w:rsid w:val="70063C83"/>
    <w:rsid w:val="700A179B"/>
    <w:rsid w:val="700E515A"/>
    <w:rsid w:val="700F0193"/>
    <w:rsid w:val="70105909"/>
    <w:rsid w:val="7012558D"/>
    <w:rsid w:val="70194B6E"/>
    <w:rsid w:val="701B3833"/>
    <w:rsid w:val="701E2184"/>
    <w:rsid w:val="70223A22"/>
    <w:rsid w:val="702754DC"/>
    <w:rsid w:val="70292F11"/>
    <w:rsid w:val="702E686B"/>
    <w:rsid w:val="70335C2F"/>
    <w:rsid w:val="70390D6C"/>
    <w:rsid w:val="703D5733"/>
    <w:rsid w:val="703F45D4"/>
    <w:rsid w:val="704C7C5C"/>
    <w:rsid w:val="704E2A69"/>
    <w:rsid w:val="70505DA3"/>
    <w:rsid w:val="70512559"/>
    <w:rsid w:val="705160B5"/>
    <w:rsid w:val="705D4A5A"/>
    <w:rsid w:val="705E42EA"/>
    <w:rsid w:val="70671D7D"/>
    <w:rsid w:val="706C4498"/>
    <w:rsid w:val="706E310B"/>
    <w:rsid w:val="70722A8E"/>
    <w:rsid w:val="70757FF6"/>
    <w:rsid w:val="707A385E"/>
    <w:rsid w:val="707F2C23"/>
    <w:rsid w:val="7080699B"/>
    <w:rsid w:val="70887F27"/>
    <w:rsid w:val="70893AA1"/>
    <w:rsid w:val="709B5583"/>
    <w:rsid w:val="709D7BC6"/>
    <w:rsid w:val="70A02B99"/>
    <w:rsid w:val="70A6170B"/>
    <w:rsid w:val="70A66401"/>
    <w:rsid w:val="70A7523C"/>
    <w:rsid w:val="70AA3CDC"/>
    <w:rsid w:val="70AC7790"/>
    <w:rsid w:val="70B07AD0"/>
    <w:rsid w:val="70B30B1E"/>
    <w:rsid w:val="70B825D8"/>
    <w:rsid w:val="70BF22E0"/>
    <w:rsid w:val="70C25205"/>
    <w:rsid w:val="70C64CF5"/>
    <w:rsid w:val="70CC0E40"/>
    <w:rsid w:val="70CD1AF2"/>
    <w:rsid w:val="70CD6084"/>
    <w:rsid w:val="70D07EC3"/>
    <w:rsid w:val="70D529D0"/>
    <w:rsid w:val="70D63EAE"/>
    <w:rsid w:val="70DC1E23"/>
    <w:rsid w:val="70E07B0A"/>
    <w:rsid w:val="70E11BA5"/>
    <w:rsid w:val="70ED2282"/>
    <w:rsid w:val="70EE7DA8"/>
    <w:rsid w:val="70EF6AC6"/>
    <w:rsid w:val="70F85A4F"/>
    <w:rsid w:val="70FB78FE"/>
    <w:rsid w:val="7104137A"/>
    <w:rsid w:val="710D6480"/>
    <w:rsid w:val="711041C2"/>
    <w:rsid w:val="71123A97"/>
    <w:rsid w:val="71125845"/>
    <w:rsid w:val="71152879"/>
    <w:rsid w:val="711C0290"/>
    <w:rsid w:val="711C290B"/>
    <w:rsid w:val="71214C14"/>
    <w:rsid w:val="71290FAE"/>
    <w:rsid w:val="712A5284"/>
    <w:rsid w:val="712D267F"/>
    <w:rsid w:val="71327C95"/>
    <w:rsid w:val="71353C29"/>
    <w:rsid w:val="71367DFF"/>
    <w:rsid w:val="713C0B14"/>
    <w:rsid w:val="713C7877"/>
    <w:rsid w:val="7143626B"/>
    <w:rsid w:val="71461035"/>
    <w:rsid w:val="71492D20"/>
    <w:rsid w:val="71493301"/>
    <w:rsid w:val="714D0F73"/>
    <w:rsid w:val="71502811"/>
    <w:rsid w:val="71535E5D"/>
    <w:rsid w:val="715416A2"/>
    <w:rsid w:val="71555D96"/>
    <w:rsid w:val="71577FCB"/>
    <w:rsid w:val="715916C6"/>
    <w:rsid w:val="715B1DCB"/>
    <w:rsid w:val="71616DEA"/>
    <w:rsid w:val="716630C1"/>
    <w:rsid w:val="716D6F1F"/>
    <w:rsid w:val="716E3276"/>
    <w:rsid w:val="716F0EE9"/>
    <w:rsid w:val="716F713B"/>
    <w:rsid w:val="717165A8"/>
    <w:rsid w:val="717D2EEE"/>
    <w:rsid w:val="717E112C"/>
    <w:rsid w:val="71813AE6"/>
    <w:rsid w:val="71836742"/>
    <w:rsid w:val="718A5D23"/>
    <w:rsid w:val="71940950"/>
    <w:rsid w:val="71950224"/>
    <w:rsid w:val="719D1882"/>
    <w:rsid w:val="719D6DB9"/>
    <w:rsid w:val="719F59D6"/>
    <w:rsid w:val="71A1306D"/>
    <w:rsid w:val="71A16BC9"/>
    <w:rsid w:val="71AB6039"/>
    <w:rsid w:val="71AF7537"/>
    <w:rsid w:val="71B20DD6"/>
    <w:rsid w:val="71BC7EA6"/>
    <w:rsid w:val="71C15F2D"/>
    <w:rsid w:val="71C66A32"/>
    <w:rsid w:val="71CA611F"/>
    <w:rsid w:val="71D15516"/>
    <w:rsid w:val="71D21478"/>
    <w:rsid w:val="71DB032D"/>
    <w:rsid w:val="71DB20DB"/>
    <w:rsid w:val="71ED0060"/>
    <w:rsid w:val="71EE29DB"/>
    <w:rsid w:val="71F47640"/>
    <w:rsid w:val="71FA2EA7"/>
    <w:rsid w:val="71FB09CF"/>
    <w:rsid w:val="71FD533F"/>
    <w:rsid w:val="720619B8"/>
    <w:rsid w:val="720C2BD8"/>
    <w:rsid w:val="72124F97"/>
    <w:rsid w:val="721970A7"/>
    <w:rsid w:val="721D26F3"/>
    <w:rsid w:val="721E646B"/>
    <w:rsid w:val="721F351E"/>
    <w:rsid w:val="72216DA9"/>
    <w:rsid w:val="72263C29"/>
    <w:rsid w:val="722717C4"/>
    <w:rsid w:val="72276DFC"/>
    <w:rsid w:val="722872EA"/>
    <w:rsid w:val="722D66AE"/>
    <w:rsid w:val="722F0678"/>
    <w:rsid w:val="7238752D"/>
    <w:rsid w:val="723B5757"/>
    <w:rsid w:val="72421670"/>
    <w:rsid w:val="72424D2E"/>
    <w:rsid w:val="72444124"/>
    <w:rsid w:val="724A7260"/>
    <w:rsid w:val="724C4D86"/>
    <w:rsid w:val="726845A0"/>
    <w:rsid w:val="72691DDC"/>
    <w:rsid w:val="72715DBD"/>
    <w:rsid w:val="727267DD"/>
    <w:rsid w:val="7273794E"/>
    <w:rsid w:val="72760055"/>
    <w:rsid w:val="727A02F8"/>
    <w:rsid w:val="727E0840"/>
    <w:rsid w:val="727F33AE"/>
    <w:rsid w:val="72807126"/>
    <w:rsid w:val="728346D7"/>
    <w:rsid w:val="728C4DF1"/>
    <w:rsid w:val="728E35F1"/>
    <w:rsid w:val="7298446F"/>
    <w:rsid w:val="729E4247"/>
    <w:rsid w:val="72A16523"/>
    <w:rsid w:val="72A52F2B"/>
    <w:rsid w:val="72A615BC"/>
    <w:rsid w:val="72AE5A41"/>
    <w:rsid w:val="72B312A9"/>
    <w:rsid w:val="72B4556C"/>
    <w:rsid w:val="72B56DCF"/>
    <w:rsid w:val="72B71B6E"/>
    <w:rsid w:val="72BF19FC"/>
    <w:rsid w:val="72C24A83"/>
    <w:rsid w:val="72C54B39"/>
    <w:rsid w:val="72C65E03"/>
    <w:rsid w:val="72C9287B"/>
    <w:rsid w:val="72CB03A1"/>
    <w:rsid w:val="72D13FE9"/>
    <w:rsid w:val="72D354A8"/>
    <w:rsid w:val="72D37256"/>
    <w:rsid w:val="72D655BC"/>
    <w:rsid w:val="72DD1E82"/>
    <w:rsid w:val="72DF6B7C"/>
    <w:rsid w:val="72E2393D"/>
    <w:rsid w:val="72FB055A"/>
    <w:rsid w:val="72FD3C68"/>
    <w:rsid w:val="72FD7770"/>
    <w:rsid w:val="730438B3"/>
    <w:rsid w:val="73045661"/>
    <w:rsid w:val="73085AC2"/>
    <w:rsid w:val="730B4C41"/>
    <w:rsid w:val="73102514"/>
    <w:rsid w:val="7311057B"/>
    <w:rsid w:val="73125FD0"/>
    <w:rsid w:val="73154050"/>
    <w:rsid w:val="731755C9"/>
    <w:rsid w:val="731955B0"/>
    <w:rsid w:val="73297441"/>
    <w:rsid w:val="73317FF3"/>
    <w:rsid w:val="733A25D9"/>
    <w:rsid w:val="73470549"/>
    <w:rsid w:val="734C0DB6"/>
    <w:rsid w:val="73522870"/>
    <w:rsid w:val="73555DBE"/>
    <w:rsid w:val="73614861"/>
    <w:rsid w:val="736765F0"/>
    <w:rsid w:val="73683E42"/>
    <w:rsid w:val="736B748E"/>
    <w:rsid w:val="736D76AA"/>
    <w:rsid w:val="73700F48"/>
    <w:rsid w:val="737427E7"/>
    <w:rsid w:val="737E18B7"/>
    <w:rsid w:val="73807ED8"/>
    <w:rsid w:val="73814F04"/>
    <w:rsid w:val="738507A7"/>
    <w:rsid w:val="738B18DE"/>
    <w:rsid w:val="738E13CF"/>
    <w:rsid w:val="7395275D"/>
    <w:rsid w:val="73973AB6"/>
    <w:rsid w:val="73A3131E"/>
    <w:rsid w:val="73AD30AD"/>
    <w:rsid w:val="73B1673D"/>
    <w:rsid w:val="73C05A2C"/>
    <w:rsid w:val="73C31854"/>
    <w:rsid w:val="73C44DF0"/>
    <w:rsid w:val="73C82B32"/>
    <w:rsid w:val="73C84A37"/>
    <w:rsid w:val="73C8553F"/>
    <w:rsid w:val="73C85C05"/>
    <w:rsid w:val="73CD0E46"/>
    <w:rsid w:val="73D529F8"/>
    <w:rsid w:val="73EA2AA9"/>
    <w:rsid w:val="73EA3C0A"/>
    <w:rsid w:val="73EC4A73"/>
    <w:rsid w:val="73EE31E0"/>
    <w:rsid w:val="73EF0F6F"/>
    <w:rsid w:val="73F12089"/>
    <w:rsid w:val="73F27BAF"/>
    <w:rsid w:val="73F71F01"/>
    <w:rsid w:val="73FC5756"/>
    <w:rsid w:val="73FD3F2B"/>
    <w:rsid w:val="74055B35"/>
    <w:rsid w:val="74100036"/>
    <w:rsid w:val="74102486"/>
    <w:rsid w:val="741369EC"/>
    <w:rsid w:val="74143FCA"/>
    <w:rsid w:val="74251D33"/>
    <w:rsid w:val="742835D1"/>
    <w:rsid w:val="74285D81"/>
    <w:rsid w:val="7429230C"/>
    <w:rsid w:val="743B50B2"/>
    <w:rsid w:val="74416441"/>
    <w:rsid w:val="74485A21"/>
    <w:rsid w:val="744877CF"/>
    <w:rsid w:val="744D4CD1"/>
    <w:rsid w:val="74534AF2"/>
    <w:rsid w:val="745C0078"/>
    <w:rsid w:val="74604B19"/>
    <w:rsid w:val="7460720F"/>
    <w:rsid w:val="74624D35"/>
    <w:rsid w:val="74640AAD"/>
    <w:rsid w:val="746639EF"/>
    <w:rsid w:val="746C1710"/>
    <w:rsid w:val="746F2FAE"/>
    <w:rsid w:val="7472484C"/>
    <w:rsid w:val="74784559"/>
    <w:rsid w:val="747A4151"/>
    <w:rsid w:val="747E1443"/>
    <w:rsid w:val="747F19C5"/>
    <w:rsid w:val="74820F33"/>
    <w:rsid w:val="74872DFD"/>
    <w:rsid w:val="748801A2"/>
    <w:rsid w:val="748A428C"/>
    <w:rsid w:val="748A4B39"/>
    <w:rsid w:val="748A7DE8"/>
    <w:rsid w:val="7492080D"/>
    <w:rsid w:val="74987F0D"/>
    <w:rsid w:val="7499627D"/>
    <w:rsid w:val="74996569"/>
    <w:rsid w:val="749D5276"/>
    <w:rsid w:val="74A138CF"/>
    <w:rsid w:val="74A54C22"/>
    <w:rsid w:val="74A569D0"/>
    <w:rsid w:val="74AA5A49"/>
    <w:rsid w:val="74AC6FC2"/>
    <w:rsid w:val="74AD50E1"/>
    <w:rsid w:val="74B01C78"/>
    <w:rsid w:val="74B66E2F"/>
    <w:rsid w:val="74BA06CD"/>
    <w:rsid w:val="74C374EF"/>
    <w:rsid w:val="74C72DEA"/>
    <w:rsid w:val="74CA774B"/>
    <w:rsid w:val="74D06143"/>
    <w:rsid w:val="74D13C69"/>
    <w:rsid w:val="74D166EC"/>
    <w:rsid w:val="74DE41A5"/>
    <w:rsid w:val="74E21D58"/>
    <w:rsid w:val="74E36C10"/>
    <w:rsid w:val="74E7523A"/>
    <w:rsid w:val="74E92D60"/>
    <w:rsid w:val="74F6145F"/>
    <w:rsid w:val="74FA6D1C"/>
    <w:rsid w:val="7508356C"/>
    <w:rsid w:val="75091655"/>
    <w:rsid w:val="750D2EF3"/>
    <w:rsid w:val="750E6C6B"/>
    <w:rsid w:val="75181898"/>
    <w:rsid w:val="7518696C"/>
    <w:rsid w:val="751A5610"/>
    <w:rsid w:val="75263FB5"/>
    <w:rsid w:val="7530098F"/>
    <w:rsid w:val="7537110F"/>
    <w:rsid w:val="75397C98"/>
    <w:rsid w:val="753F233A"/>
    <w:rsid w:val="75461650"/>
    <w:rsid w:val="75466405"/>
    <w:rsid w:val="75483F2B"/>
    <w:rsid w:val="75501031"/>
    <w:rsid w:val="75524DAA"/>
    <w:rsid w:val="75530B22"/>
    <w:rsid w:val="7557416E"/>
    <w:rsid w:val="755D1591"/>
    <w:rsid w:val="75654BD9"/>
    <w:rsid w:val="75664F33"/>
    <w:rsid w:val="756B1E19"/>
    <w:rsid w:val="757271FA"/>
    <w:rsid w:val="757406F8"/>
    <w:rsid w:val="75750A98"/>
    <w:rsid w:val="757A60AE"/>
    <w:rsid w:val="757C5983"/>
    <w:rsid w:val="758111EB"/>
    <w:rsid w:val="75882579"/>
    <w:rsid w:val="759251A6"/>
    <w:rsid w:val="75970A0E"/>
    <w:rsid w:val="759929D8"/>
    <w:rsid w:val="759B5A39"/>
    <w:rsid w:val="759D2199"/>
    <w:rsid w:val="759E7FEF"/>
    <w:rsid w:val="75A1363B"/>
    <w:rsid w:val="75B55338"/>
    <w:rsid w:val="75BA4681"/>
    <w:rsid w:val="75BF167C"/>
    <w:rsid w:val="75C34064"/>
    <w:rsid w:val="75C43561"/>
    <w:rsid w:val="75C5557C"/>
    <w:rsid w:val="75C57F15"/>
    <w:rsid w:val="75D91027"/>
    <w:rsid w:val="75E34125"/>
    <w:rsid w:val="75E579CC"/>
    <w:rsid w:val="75E81A45"/>
    <w:rsid w:val="75EF25F8"/>
    <w:rsid w:val="75F61BD9"/>
    <w:rsid w:val="75FD3F7C"/>
    <w:rsid w:val="75FE0072"/>
    <w:rsid w:val="76037E52"/>
    <w:rsid w:val="76040032"/>
    <w:rsid w:val="760A11E0"/>
    <w:rsid w:val="760A7432"/>
    <w:rsid w:val="7614205F"/>
    <w:rsid w:val="76193200"/>
    <w:rsid w:val="76197675"/>
    <w:rsid w:val="76213440"/>
    <w:rsid w:val="76271965"/>
    <w:rsid w:val="7629154C"/>
    <w:rsid w:val="762A0487"/>
    <w:rsid w:val="762D32C2"/>
    <w:rsid w:val="762E15AE"/>
    <w:rsid w:val="76360227"/>
    <w:rsid w:val="763812D5"/>
    <w:rsid w:val="763B2045"/>
    <w:rsid w:val="764566BC"/>
    <w:rsid w:val="76497A7B"/>
    <w:rsid w:val="76524935"/>
    <w:rsid w:val="765F1905"/>
    <w:rsid w:val="76654669"/>
    <w:rsid w:val="766D176F"/>
    <w:rsid w:val="76793371"/>
    <w:rsid w:val="768076F4"/>
    <w:rsid w:val="76810A30"/>
    <w:rsid w:val="768658F2"/>
    <w:rsid w:val="76870A83"/>
    <w:rsid w:val="768B4521"/>
    <w:rsid w:val="76911902"/>
    <w:rsid w:val="76935BC5"/>
    <w:rsid w:val="76962A74"/>
    <w:rsid w:val="769A0A64"/>
    <w:rsid w:val="769C4FF4"/>
    <w:rsid w:val="76A5715B"/>
    <w:rsid w:val="76A96C4B"/>
    <w:rsid w:val="76AC04E9"/>
    <w:rsid w:val="76AC2297"/>
    <w:rsid w:val="76AE6010"/>
    <w:rsid w:val="76B2549B"/>
    <w:rsid w:val="76B92C06"/>
    <w:rsid w:val="76BF021D"/>
    <w:rsid w:val="76BF5F6B"/>
    <w:rsid w:val="76C23869"/>
    <w:rsid w:val="76C9109B"/>
    <w:rsid w:val="76CA6BC2"/>
    <w:rsid w:val="76CE66B2"/>
    <w:rsid w:val="76D11CFE"/>
    <w:rsid w:val="76D23D36"/>
    <w:rsid w:val="76D53B6A"/>
    <w:rsid w:val="76DC106D"/>
    <w:rsid w:val="76DD59DF"/>
    <w:rsid w:val="76E124DD"/>
    <w:rsid w:val="76E52316"/>
    <w:rsid w:val="76E557A9"/>
    <w:rsid w:val="76E71522"/>
    <w:rsid w:val="76EE0B02"/>
    <w:rsid w:val="76F81981"/>
    <w:rsid w:val="76FB321F"/>
    <w:rsid w:val="76FB76A4"/>
    <w:rsid w:val="76FD6F97"/>
    <w:rsid w:val="77007696"/>
    <w:rsid w:val="770C71DA"/>
    <w:rsid w:val="77163BB5"/>
    <w:rsid w:val="771B2183"/>
    <w:rsid w:val="772267CF"/>
    <w:rsid w:val="77272A31"/>
    <w:rsid w:val="77275DC2"/>
    <w:rsid w:val="77277F01"/>
    <w:rsid w:val="77315935"/>
    <w:rsid w:val="7734305A"/>
    <w:rsid w:val="7735228D"/>
    <w:rsid w:val="77366005"/>
    <w:rsid w:val="77371170"/>
    <w:rsid w:val="773A3D47"/>
    <w:rsid w:val="773B361B"/>
    <w:rsid w:val="77401327"/>
    <w:rsid w:val="77422BFC"/>
    <w:rsid w:val="774677D5"/>
    <w:rsid w:val="774C5621"/>
    <w:rsid w:val="774D54F1"/>
    <w:rsid w:val="774F41E6"/>
    <w:rsid w:val="77530965"/>
    <w:rsid w:val="775C1580"/>
    <w:rsid w:val="775C5C89"/>
    <w:rsid w:val="775D3592"/>
    <w:rsid w:val="775E505C"/>
    <w:rsid w:val="77690189"/>
    <w:rsid w:val="776C7C79"/>
    <w:rsid w:val="776E39F1"/>
    <w:rsid w:val="77732DB5"/>
    <w:rsid w:val="77754D7F"/>
    <w:rsid w:val="77770AF7"/>
    <w:rsid w:val="77775308"/>
    <w:rsid w:val="777C610E"/>
    <w:rsid w:val="777D1E86"/>
    <w:rsid w:val="7785787E"/>
    <w:rsid w:val="77933897"/>
    <w:rsid w:val="77935205"/>
    <w:rsid w:val="779D3EE1"/>
    <w:rsid w:val="77A03442"/>
    <w:rsid w:val="77A25449"/>
    <w:rsid w:val="77A81788"/>
    <w:rsid w:val="77BE436E"/>
    <w:rsid w:val="77C0324D"/>
    <w:rsid w:val="77C16217"/>
    <w:rsid w:val="77C17FC5"/>
    <w:rsid w:val="77C47AB5"/>
    <w:rsid w:val="77C57280"/>
    <w:rsid w:val="77C67389"/>
    <w:rsid w:val="77D00208"/>
    <w:rsid w:val="77D07A2E"/>
    <w:rsid w:val="77D53A70"/>
    <w:rsid w:val="77D60760"/>
    <w:rsid w:val="77D71596"/>
    <w:rsid w:val="77DE0B76"/>
    <w:rsid w:val="77E85551"/>
    <w:rsid w:val="77F42148"/>
    <w:rsid w:val="77F43EF6"/>
    <w:rsid w:val="77F63E34"/>
    <w:rsid w:val="77FE4D75"/>
    <w:rsid w:val="77FE622B"/>
    <w:rsid w:val="7803238B"/>
    <w:rsid w:val="780725D0"/>
    <w:rsid w:val="78085BF3"/>
    <w:rsid w:val="780D2E6F"/>
    <w:rsid w:val="78126A72"/>
    <w:rsid w:val="78130758"/>
    <w:rsid w:val="78141133"/>
    <w:rsid w:val="78147104"/>
    <w:rsid w:val="781C4C68"/>
    <w:rsid w:val="782617EC"/>
    <w:rsid w:val="782D11B6"/>
    <w:rsid w:val="782F3180"/>
    <w:rsid w:val="78326DA8"/>
    <w:rsid w:val="78327197"/>
    <w:rsid w:val="78362761"/>
    <w:rsid w:val="7836450F"/>
    <w:rsid w:val="783B7D77"/>
    <w:rsid w:val="783C623F"/>
    <w:rsid w:val="78407425"/>
    <w:rsid w:val="78412EB3"/>
    <w:rsid w:val="78434E7D"/>
    <w:rsid w:val="7847671C"/>
    <w:rsid w:val="78485FF0"/>
    <w:rsid w:val="784D7AAA"/>
    <w:rsid w:val="78511348"/>
    <w:rsid w:val="785D1817"/>
    <w:rsid w:val="78670B6C"/>
    <w:rsid w:val="7872306D"/>
    <w:rsid w:val="78743346"/>
    <w:rsid w:val="78784170"/>
    <w:rsid w:val="787E1A12"/>
    <w:rsid w:val="788039DC"/>
    <w:rsid w:val="78857244"/>
    <w:rsid w:val="78871EB3"/>
    <w:rsid w:val="788F2E8E"/>
    <w:rsid w:val="789143F5"/>
    <w:rsid w:val="78A1455F"/>
    <w:rsid w:val="78A65502"/>
    <w:rsid w:val="78A80B75"/>
    <w:rsid w:val="78AD0549"/>
    <w:rsid w:val="78AE44D4"/>
    <w:rsid w:val="78B10039"/>
    <w:rsid w:val="78B35B5F"/>
    <w:rsid w:val="78B418D7"/>
    <w:rsid w:val="78B476B2"/>
    <w:rsid w:val="78B537F0"/>
    <w:rsid w:val="78B74F24"/>
    <w:rsid w:val="78B97DC3"/>
    <w:rsid w:val="78BB2C66"/>
    <w:rsid w:val="78C75C05"/>
    <w:rsid w:val="78C961F4"/>
    <w:rsid w:val="78CC4E73"/>
    <w:rsid w:val="78CC5F0B"/>
    <w:rsid w:val="78D43D28"/>
    <w:rsid w:val="78DE0702"/>
    <w:rsid w:val="78E026CC"/>
    <w:rsid w:val="78E35D19"/>
    <w:rsid w:val="78E8332F"/>
    <w:rsid w:val="78EE4DE9"/>
    <w:rsid w:val="78F63C9E"/>
    <w:rsid w:val="78F87A16"/>
    <w:rsid w:val="78FA0D3D"/>
    <w:rsid w:val="79027FE0"/>
    <w:rsid w:val="79052133"/>
    <w:rsid w:val="79073F5C"/>
    <w:rsid w:val="790A7749"/>
    <w:rsid w:val="790B5DF8"/>
    <w:rsid w:val="790F6B0E"/>
    <w:rsid w:val="791C6187"/>
    <w:rsid w:val="791E4FA3"/>
    <w:rsid w:val="7924080B"/>
    <w:rsid w:val="792425B9"/>
    <w:rsid w:val="793A002E"/>
    <w:rsid w:val="793B3DA7"/>
    <w:rsid w:val="79432277"/>
    <w:rsid w:val="79450781"/>
    <w:rsid w:val="794C38BE"/>
    <w:rsid w:val="795409C4"/>
    <w:rsid w:val="795A422D"/>
    <w:rsid w:val="795A69A1"/>
    <w:rsid w:val="796450AB"/>
    <w:rsid w:val="79652BD2"/>
    <w:rsid w:val="79701CA2"/>
    <w:rsid w:val="797323C9"/>
    <w:rsid w:val="79733540"/>
    <w:rsid w:val="797572B9"/>
    <w:rsid w:val="79773031"/>
    <w:rsid w:val="797A042B"/>
    <w:rsid w:val="797C69C1"/>
    <w:rsid w:val="797E43FB"/>
    <w:rsid w:val="798017B9"/>
    <w:rsid w:val="79870BE5"/>
    <w:rsid w:val="799040F2"/>
    <w:rsid w:val="79946B31"/>
    <w:rsid w:val="79951709"/>
    <w:rsid w:val="799F7F8D"/>
    <w:rsid w:val="79A27982"/>
    <w:rsid w:val="79A66D50"/>
    <w:rsid w:val="79AD5238"/>
    <w:rsid w:val="79AF59FC"/>
    <w:rsid w:val="79B31B8F"/>
    <w:rsid w:val="79B67668"/>
    <w:rsid w:val="79B871A5"/>
    <w:rsid w:val="79BA41E2"/>
    <w:rsid w:val="79BC6C95"/>
    <w:rsid w:val="79C36276"/>
    <w:rsid w:val="79C478F8"/>
    <w:rsid w:val="79C70B90"/>
    <w:rsid w:val="79C842E0"/>
    <w:rsid w:val="79C97604"/>
    <w:rsid w:val="79D02741"/>
    <w:rsid w:val="79D0629D"/>
    <w:rsid w:val="79D7587D"/>
    <w:rsid w:val="79D917F7"/>
    <w:rsid w:val="79E166FC"/>
    <w:rsid w:val="79E81839"/>
    <w:rsid w:val="79FC3536"/>
    <w:rsid w:val="79FC7092"/>
    <w:rsid w:val="79FF3026"/>
    <w:rsid w:val="79FF6B82"/>
    <w:rsid w:val="7A000594"/>
    <w:rsid w:val="7A0423EA"/>
    <w:rsid w:val="7A066163"/>
    <w:rsid w:val="7A0903A2"/>
    <w:rsid w:val="7A0B5527"/>
    <w:rsid w:val="7A0E5017"/>
    <w:rsid w:val="7A15614A"/>
    <w:rsid w:val="7A212F9C"/>
    <w:rsid w:val="7A226742"/>
    <w:rsid w:val="7A2544C3"/>
    <w:rsid w:val="7A28497B"/>
    <w:rsid w:val="7A293A71"/>
    <w:rsid w:val="7A2A2B0F"/>
    <w:rsid w:val="7A300704"/>
    <w:rsid w:val="7A3731F1"/>
    <w:rsid w:val="7A38496C"/>
    <w:rsid w:val="7A3A5E0C"/>
    <w:rsid w:val="7A3B6745"/>
    <w:rsid w:val="7A3C3932"/>
    <w:rsid w:val="7A47496C"/>
    <w:rsid w:val="7A480529"/>
    <w:rsid w:val="7A4B1DC7"/>
    <w:rsid w:val="7A4D5B40"/>
    <w:rsid w:val="7A540C7C"/>
    <w:rsid w:val="7A57575A"/>
    <w:rsid w:val="7A6757B5"/>
    <w:rsid w:val="7A6D61E2"/>
    <w:rsid w:val="7A7A445B"/>
    <w:rsid w:val="7A7D5EE5"/>
    <w:rsid w:val="7A82285A"/>
    <w:rsid w:val="7A8552D9"/>
    <w:rsid w:val="7A9132B9"/>
    <w:rsid w:val="7A97500D"/>
    <w:rsid w:val="7A9776A1"/>
    <w:rsid w:val="7A9D6321"/>
    <w:rsid w:val="7AA6268F"/>
    <w:rsid w:val="7AA84319"/>
    <w:rsid w:val="7AAA4D40"/>
    <w:rsid w:val="7AAD2A82"/>
    <w:rsid w:val="7AB23BF5"/>
    <w:rsid w:val="7AB51C74"/>
    <w:rsid w:val="7AB71B55"/>
    <w:rsid w:val="7AB76CBC"/>
    <w:rsid w:val="7AC31DEF"/>
    <w:rsid w:val="7AC57DCC"/>
    <w:rsid w:val="7ACB4CB6"/>
    <w:rsid w:val="7ACD133D"/>
    <w:rsid w:val="7AD24297"/>
    <w:rsid w:val="7ADB139D"/>
    <w:rsid w:val="7ADE7065"/>
    <w:rsid w:val="7AE734B5"/>
    <w:rsid w:val="7AE91D0C"/>
    <w:rsid w:val="7AEA338E"/>
    <w:rsid w:val="7AEA7832"/>
    <w:rsid w:val="7AEC0C8C"/>
    <w:rsid w:val="7AEC35AA"/>
    <w:rsid w:val="7AEC4F8C"/>
    <w:rsid w:val="7AED10D1"/>
    <w:rsid w:val="7AEE0D27"/>
    <w:rsid w:val="7AEE45AD"/>
    <w:rsid w:val="7AEF4E49"/>
    <w:rsid w:val="7AF62AFF"/>
    <w:rsid w:val="7AF92E52"/>
    <w:rsid w:val="7AFB1A3F"/>
    <w:rsid w:val="7B0E7C5F"/>
    <w:rsid w:val="7B0F54EB"/>
    <w:rsid w:val="7B106432"/>
    <w:rsid w:val="7B113011"/>
    <w:rsid w:val="7B1228E5"/>
    <w:rsid w:val="7B1238FE"/>
    <w:rsid w:val="7B1448AF"/>
    <w:rsid w:val="7B14665D"/>
    <w:rsid w:val="7B187EFC"/>
    <w:rsid w:val="7B273FF1"/>
    <w:rsid w:val="7B2A5E81"/>
    <w:rsid w:val="7B2C69E0"/>
    <w:rsid w:val="7B31720F"/>
    <w:rsid w:val="7B34197A"/>
    <w:rsid w:val="7B3665D4"/>
    <w:rsid w:val="7B3D10BE"/>
    <w:rsid w:val="7B3E48AE"/>
    <w:rsid w:val="7B4C1BE3"/>
    <w:rsid w:val="7B590088"/>
    <w:rsid w:val="7B5F1FCE"/>
    <w:rsid w:val="7B6234C6"/>
    <w:rsid w:val="7B690757"/>
    <w:rsid w:val="7B6C6499"/>
    <w:rsid w:val="7B722E45"/>
    <w:rsid w:val="7B777075"/>
    <w:rsid w:val="7B7F7F7B"/>
    <w:rsid w:val="7B9003DA"/>
    <w:rsid w:val="7B9559F0"/>
    <w:rsid w:val="7B9F499A"/>
    <w:rsid w:val="7BA14395"/>
    <w:rsid w:val="7BA2453E"/>
    <w:rsid w:val="7BB120FE"/>
    <w:rsid w:val="7BB73BB8"/>
    <w:rsid w:val="7BB87930"/>
    <w:rsid w:val="7BBB4173"/>
    <w:rsid w:val="7BC71922"/>
    <w:rsid w:val="7BC740D0"/>
    <w:rsid w:val="7BD017E9"/>
    <w:rsid w:val="7BD644A9"/>
    <w:rsid w:val="7BD66B94"/>
    <w:rsid w:val="7BD702F2"/>
    <w:rsid w:val="7BD81D81"/>
    <w:rsid w:val="7BDF0A6A"/>
    <w:rsid w:val="7BDF65A1"/>
    <w:rsid w:val="7BEB5610"/>
    <w:rsid w:val="7BEC5CCB"/>
    <w:rsid w:val="7BED75DA"/>
    <w:rsid w:val="7BF95585"/>
    <w:rsid w:val="7BFC5A6F"/>
    <w:rsid w:val="7C02295A"/>
    <w:rsid w:val="7C064FD8"/>
    <w:rsid w:val="7C077950"/>
    <w:rsid w:val="7C0B6F82"/>
    <w:rsid w:val="7C102E50"/>
    <w:rsid w:val="7C114ABE"/>
    <w:rsid w:val="7C173577"/>
    <w:rsid w:val="7C1F175E"/>
    <w:rsid w:val="7C262AEC"/>
    <w:rsid w:val="7C26489A"/>
    <w:rsid w:val="7C29201E"/>
    <w:rsid w:val="7C2B7A97"/>
    <w:rsid w:val="7C330D65"/>
    <w:rsid w:val="7C350056"/>
    <w:rsid w:val="7C370855"/>
    <w:rsid w:val="7C39281F"/>
    <w:rsid w:val="7C3B5358"/>
    <w:rsid w:val="7C3D07C3"/>
    <w:rsid w:val="7C3D7C78"/>
    <w:rsid w:val="7C4028DA"/>
    <w:rsid w:val="7C466CEA"/>
    <w:rsid w:val="7C480CB4"/>
    <w:rsid w:val="7C492337"/>
    <w:rsid w:val="7C5A2796"/>
    <w:rsid w:val="7C5A4544"/>
    <w:rsid w:val="7C5B389B"/>
    <w:rsid w:val="7C6158D2"/>
    <w:rsid w:val="7C635AEE"/>
    <w:rsid w:val="7C640485"/>
    <w:rsid w:val="7C66113B"/>
    <w:rsid w:val="7C772F8A"/>
    <w:rsid w:val="7C782553"/>
    <w:rsid w:val="7C8021FC"/>
    <w:rsid w:val="7C8141C6"/>
    <w:rsid w:val="7C855A65"/>
    <w:rsid w:val="7C870175"/>
    <w:rsid w:val="7C885555"/>
    <w:rsid w:val="7C9712F4"/>
    <w:rsid w:val="7C977546"/>
    <w:rsid w:val="7C9B5288"/>
    <w:rsid w:val="7CA103C5"/>
    <w:rsid w:val="7CA52E86"/>
    <w:rsid w:val="7CA90868"/>
    <w:rsid w:val="7CAB16E6"/>
    <w:rsid w:val="7CAB2FF1"/>
    <w:rsid w:val="7CB2612E"/>
    <w:rsid w:val="7CB32E44"/>
    <w:rsid w:val="7CB400F8"/>
    <w:rsid w:val="7CB65C1E"/>
    <w:rsid w:val="7CBC51FE"/>
    <w:rsid w:val="7CBD6F32"/>
    <w:rsid w:val="7CC06A9D"/>
    <w:rsid w:val="7CD04806"/>
    <w:rsid w:val="7CD12A58"/>
    <w:rsid w:val="7CDE2422"/>
    <w:rsid w:val="7CE34539"/>
    <w:rsid w:val="7CE7291B"/>
    <w:rsid w:val="7CEA58C8"/>
    <w:rsid w:val="7CED5D83"/>
    <w:rsid w:val="7CF46C0F"/>
    <w:rsid w:val="7CFC4F7F"/>
    <w:rsid w:val="7D0338A2"/>
    <w:rsid w:val="7D052701"/>
    <w:rsid w:val="7D056BA5"/>
    <w:rsid w:val="7D0F532E"/>
    <w:rsid w:val="7D17799B"/>
    <w:rsid w:val="7D192609"/>
    <w:rsid w:val="7D20578D"/>
    <w:rsid w:val="7D20753B"/>
    <w:rsid w:val="7D2863F0"/>
    <w:rsid w:val="7D2F3C22"/>
    <w:rsid w:val="7D330406"/>
    <w:rsid w:val="7D39684F"/>
    <w:rsid w:val="7D3A5E62"/>
    <w:rsid w:val="7D4476CE"/>
    <w:rsid w:val="7D453655"/>
    <w:rsid w:val="7D4A122F"/>
    <w:rsid w:val="7D4C6582"/>
    <w:rsid w:val="7D4D5E56"/>
    <w:rsid w:val="7D52739A"/>
    <w:rsid w:val="7D55314A"/>
    <w:rsid w:val="7D553C43"/>
    <w:rsid w:val="7D625DA6"/>
    <w:rsid w:val="7D637428"/>
    <w:rsid w:val="7D6F52AD"/>
    <w:rsid w:val="7D702BBE"/>
    <w:rsid w:val="7D723828"/>
    <w:rsid w:val="7D734D87"/>
    <w:rsid w:val="7D745926"/>
    <w:rsid w:val="7D7635FF"/>
    <w:rsid w:val="7D795E8A"/>
    <w:rsid w:val="7D7F24B4"/>
    <w:rsid w:val="7D806106"/>
    <w:rsid w:val="7D821FA4"/>
    <w:rsid w:val="7D8860CE"/>
    <w:rsid w:val="7D8F021D"/>
    <w:rsid w:val="7D8F0E4A"/>
    <w:rsid w:val="7D902913"/>
    <w:rsid w:val="7D951CD7"/>
    <w:rsid w:val="7D9E45FE"/>
    <w:rsid w:val="7DA37C8F"/>
    <w:rsid w:val="7DA71A0B"/>
    <w:rsid w:val="7DAB14FB"/>
    <w:rsid w:val="7DB12889"/>
    <w:rsid w:val="7DB67EA0"/>
    <w:rsid w:val="7DB95F31"/>
    <w:rsid w:val="7DBA0E68"/>
    <w:rsid w:val="7DC236B5"/>
    <w:rsid w:val="7DC425BD"/>
    <w:rsid w:val="7DC63D42"/>
    <w:rsid w:val="7DD0308E"/>
    <w:rsid w:val="7DD26996"/>
    <w:rsid w:val="7DD345AE"/>
    <w:rsid w:val="7DD554E6"/>
    <w:rsid w:val="7DD56578"/>
    <w:rsid w:val="7DD6409E"/>
    <w:rsid w:val="7DDB10A1"/>
    <w:rsid w:val="7DDC2D72"/>
    <w:rsid w:val="7DDC7906"/>
    <w:rsid w:val="7DDD71DA"/>
    <w:rsid w:val="7DDF11A4"/>
    <w:rsid w:val="7DDF2F52"/>
    <w:rsid w:val="7DE052D0"/>
    <w:rsid w:val="7DE467BB"/>
    <w:rsid w:val="7DE5079C"/>
    <w:rsid w:val="7DE71E07"/>
    <w:rsid w:val="7DE93DD1"/>
    <w:rsid w:val="7DFA05A1"/>
    <w:rsid w:val="7DFD5ACF"/>
    <w:rsid w:val="7E12157A"/>
    <w:rsid w:val="7E161FF2"/>
    <w:rsid w:val="7E17093E"/>
    <w:rsid w:val="7E192908"/>
    <w:rsid w:val="7E196EF9"/>
    <w:rsid w:val="7E1B5644"/>
    <w:rsid w:val="7E1F6E6C"/>
    <w:rsid w:val="7E27146E"/>
    <w:rsid w:val="7E292420"/>
    <w:rsid w:val="7E2C0FFD"/>
    <w:rsid w:val="7E3D4054"/>
    <w:rsid w:val="7E3E236F"/>
    <w:rsid w:val="7E4D69E8"/>
    <w:rsid w:val="7E5955D5"/>
    <w:rsid w:val="7E5A1B3F"/>
    <w:rsid w:val="7E5F3E64"/>
    <w:rsid w:val="7E60325B"/>
    <w:rsid w:val="7E6478FC"/>
    <w:rsid w:val="7E6C1B17"/>
    <w:rsid w:val="7E6D055E"/>
    <w:rsid w:val="7E6D4A02"/>
    <w:rsid w:val="7E725B75"/>
    <w:rsid w:val="7E8458A8"/>
    <w:rsid w:val="7E86727D"/>
    <w:rsid w:val="7E9006F1"/>
    <w:rsid w:val="7E9567B2"/>
    <w:rsid w:val="7E971A7F"/>
    <w:rsid w:val="7E9E2E0E"/>
    <w:rsid w:val="7EAB7D84"/>
    <w:rsid w:val="7EAD3628"/>
    <w:rsid w:val="7EAF0B77"/>
    <w:rsid w:val="7EAF501B"/>
    <w:rsid w:val="7EAF6FB3"/>
    <w:rsid w:val="7EBA751C"/>
    <w:rsid w:val="7EBF75C0"/>
    <w:rsid w:val="7EC23104"/>
    <w:rsid w:val="7EC30AC6"/>
    <w:rsid w:val="7EC363D0"/>
    <w:rsid w:val="7EC87E8B"/>
    <w:rsid w:val="7ECD49A6"/>
    <w:rsid w:val="7ECF2AA6"/>
    <w:rsid w:val="7ED401E9"/>
    <w:rsid w:val="7ED50BC3"/>
    <w:rsid w:val="7ED52CBB"/>
    <w:rsid w:val="7ED66114"/>
    <w:rsid w:val="7EE051FD"/>
    <w:rsid w:val="7EE6106F"/>
    <w:rsid w:val="7EE71BED"/>
    <w:rsid w:val="7EE822DB"/>
    <w:rsid w:val="7EEB5927"/>
    <w:rsid w:val="7EF40C80"/>
    <w:rsid w:val="7EF42A2E"/>
    <w:rsid w:val="7EF46ED2"/>
    <w:rsid w:val="7EF702C0"/>
    <w:rsid w:val="7EF70770"/>
    <w:rsid w:val="7EFB200E"/>
    <w:rsid w:val="7F01339C"/>
    <w:rsid w:val="7F0B728E"/>
    <w:rsid w:val="7F0E027B"/>
    <w:rsid w:val="7F1255AA"/>
    <w:rsid w:val="7F166E48"/>
    <w:rsid w:val="7F171895"/>
    <w:rsid w:val="7F17496E"/>
    <w:rsid w:val="7F207CC7"/>
    <w:rsid w:val="7F231565"/>
    <w:rsid w:val="7F233313"/>
    <w:rsid w:val="7F264BB1"/>
    <w:rsid w:val="7F2C0419"/>
    <w:rsid w:val="7F2C0C33"/>
    <w:rsid w:val="7F2C7BF1"/>
    <w:rsid w:val="7F30742E"/>
    <w:rsid w:val="7F315A30"/>
    <w:rsid w:val="7F3379FA"/>
    <w:rsid w:val="7F3472CE"/>
    <w:rsid w:val="7F3C6183"/>
    <w:rsid w:val="7F42758F"/>
    <w:rsid w:val="7F480FCB"/>
    <w:rsid w:val="7F4B416B"/>
    <w:rsid w:val="7F4D017F"/>
    <w:rsid w:val="7F547970"/>
    <w:rsid w:val="7F570FE0"/>
    <w:rsid w:val="7F580682"/>
    <w:rsid w:val="7F594F87"/>
    <w:rsid w:val="7F5C44BA"/>
    <w:rsid w:val="7F62208D"/>
    <w:rsid w:val="7F6851CA"/>
    <w:rsid w:val="7F6A2CF0"/>
    <w:rsid w:val="7F6B576D"/>
    <w:rsid w:val="7F6D0F46"/>
    <w:rsid w:val="7F6F6558"/>
    <w:rsid w:val="7F722EB9"/>
    <w:rsid w:val="7F7A73A0"/>
    <w:rsid w:val="7F7B314F"/>
    <w:rsid w:val="7F802513"/>
    <w:rsid w:val="7F8E7373"/>
    <w:rsid w:val="7F8F2078"/>
    <w:rsid w:val="7F932247"/>
    <w:rsid w:val="7FA2692E"/>
    <w:rsid w:val="7FA676E6"/>
    <w:rsid w:val="7FAC155A"/>
    <w:rsid w:val="7FAE0A49"/>
    <w:rsid w:val="7FB34697"/>
    <w:rsid w:val="7FB66CB2"/>
    <w:rsid w:val="7FBB248D"/>
    <w:rsid w:val="7FBE43E0"/>
    <w:rsid w:val="7FC00B62"/>
    <w:rsid w:val="7FCA05C5"/>
    <w:rsid w:val="7FCC2528"/>
    <w:rsid w:val="7FCE14D1"/>
    <w:rsid w:val="7FD10FC1"/>
    <w:rsid w:val="7FD129C1"/>
    <w:rsid w:val="7FD34D39"/>
    <w:rsid w:val="7FE922CA"/>
    <w:rsid w:val="7FE9630A"/>
    <w:rsid w:val="7FEC1451"/>
    <w:rsid w:val="7FEE3921"/>
    <w:rsid w:val="7FF37189"/>
    <w:rsid w:val="7FF43CBB"/>
    <w:rsid w:val="7FF802FC"/>
    <w:rsid w:val="DFDFAF2D"/>
    <w:rsid w:val="EBBF7CA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uiPriority="39"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47"/>
    <w:qFormat/>
    <w:uiPriority w:val="0"/>
    <w:pPr>
      <w:keepNext/>
      <w:autoSpaceDE w:val="0"/>
      <w:autoSpaceDN w:val="0"/>
      <w:adjustRightInd w:val="0"/>
      <w:jc w:val="left"/>
      <w:outlineLvl w:val="0"/>
    </w:pPr>
    <w:rPr>
      <w:rFonts w:ascii="仿宋_GB2312" w:hAnsi="Times New Roman" w:eastAsia="仿宋_GB2312" w:cs="仿宋_GB2312"/>
      <w:b/>
      <w:bCs/>
      <w:color w:val="000000"/>
      <w:kern w:val="0"/>
      <w:sz w:val="20"/>
      <w:szCs w:val="20"/>
    </w:rPr>
  </w:style>
  <w:style w:type="paragraph" w:styleId="4">
    <w:name w:val="heading 2"/>
    <w:basedOn w:val="1"/>
    <w:next w:val="5"/>
    <w:link w:val="9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51"/>
    <w:unhideWhenUsed/>
    <w:qFormat/>
    <w:uiPriority w:val="9"/>
    <w:pPr>
      <w:keepNext/>
      <w:keepLines/>
      <w:spacing w:before="260" w:after="260" w:line="416" w:lineRule="auto"/>
      <w:outlineLvl w:val="2"/>
    </w:pPr>
    <w:rPr>
      <w:b/>
      <w:bCs/>
      <w:sz w:val="32"/>
      <w:szCs w:val="32"/>
    </w:rPr>
  </w:style>
  <w:style w:type="paragraph" w:styleId="7">
    <w:name w:val="heading 4"/>
    <w:basedOn w:val="1"/>
    <w:next w:val="1"/>
    <w:semiHidden/>
    <w:unhideWhenUsed/>
    <w:qFormat/>
    <w:uiPriority w:val="9"/>
    <w:pPr>
      <w:spacing w:beforeAutospacing="1" w:afterAutospacing="1"/>
      <w:jc w:val="left"/>
      <w:outlineLvl w:val="3"/>
    </w:pPr>
    <w:rPr>
      <w:rFonts w:hint="eastAsia" w:ascii="宋体" w:hAnsi="宋体" w:eastAsia="宋体" w:cs="Times New Roman"/>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spacing w:after="120"/>
      <w:ind w:firstLine="420" w:firstLineChars="100"/>
    </w:pPr>
    <w:rPr>
      <w:rFonts w:ascii="Times New Roman" w:hAnsi="Times New Roman" w:eastAsia="宋体"/>
      <w:bCs/>
      <w:spacing w:val="0"/>
      <w:kern w:val="44"/>
      <w:sz w:val="52"/>
      <w:szCs w:val="44"/>
    </w:rPr>
  </w:style>
  <w:style w:type="paragraph" w:styleId="5">
    <w:name w:val="Normal Indent"/>
    <w:basedOn w:val="1"/>
    <w:link w:val="53"/>
    <w:qFormat/>
    <w:uiPriority w:val="0"/>
    <w:pPr>
      <w:tabs>
        <w:tab w:val="left" w:pos="750"/>
      </w:tabs>
      <w:spacing w:beforeLines="50" w:line="300" w:lineRule="auto"/>
      <w:ind w:firstLine="200" w:firstLineChars="200"/>
    </w:pPr>
    <w:rPr>
      <w:rFonts w:ascii="宋体" w:hAnsi="Times New Roman" w:eastAsia="宋体" w:cs="Times New Roman"/>
      <w:szCs w:val="21"/>
    </w:rPr>
  </w:style>
  <w:style w:type="paragraph" w:styleId="8">
    <w:name w:val="index 8"/>
    <w:basedOn w:val="1"/>
    <w:next w:val="1"/>
    <w:qFormat/>
    <w:uiPriority w:val="0"/>
    <w:pPr>
      <w:ind w:left="1400" w:leftChars="1400"/>
    </w:pPr>
  </w:style>
  <w:style w:type="paragraph" w:styleId="9">
    <w:name w:val="List Number"/>
    <w:basedOn w:val="1"/>
    <w:semiHidden/>
    <w:unhideWhenUsed/>
    <w:qFormat/>
    <w:uiPriority w:val="99"/>
    <w:pPr>
      <w:numPr>
        <w:ilvl w:val="0"/>
        <w:numId w:val="1"/>
      </w:numPr>
    </w:pPr>
  </w:style>
  <w:style w:type="paragraph" w:styleId="10">
    <w:name w:val="Document Map"/>
    <w:basedOn w:val="1"/>
    <w:qFormat/>
    <w:uiPriority w:val="99"/>
    <w:pPr>
      <w:shd w:val="clear" w:color="auto" w:fill="000080"/>
    </w:pPr>
  </w:style>
  <w:style w:type="paragraph" w:styleId="11">
    <w:name w:val="toa heading"/>
    <w:basedOn w:val="1"/>
    <w:next w:val="1"/>
    <w:qFormat/>
    <w:uiPriority w:val="0"/>
    <w:pPr>
      <w:spacing w:before="120"/>
    </w:pPr>
    <w:rPr>
      <w:rFonts w:ascii="Arial" w:hAnsi="Arial" w:eastAsia="微软雅黑"/>
      <w:sz w:val="24"/>
      <w:szCs w:val="21"/>
    </w:rPr>
  </w:style>
  <w:style w:type="paragraph" w:styleId="12">
    <w:name w:val="annotation text"/>
    <w:basedOn w:val="1"/>
    <w:qFormat/>
    <w:uiPriority w:val="0"/>
    <w:pPr>
      <w:jc w:val="left"/>
    </w:pPr>
    <w:rPr>
      <w:rFonts w:ascii="Times New Roman" w:hAnsi="Times New Roman"/>
      <w:color w:val="auto"/>
      <w:spacing w:val="0"/>
      <w:sz w:val="24"/>
      <w:szCs w:val="24"/>
    </w:rPr>
  </w:style>
  <w:style w:type="paragraph" w:styleId="13">
    <w:name w:val="Body Text"/>
    <w:basedOn w:val="1"/>
    <w:next w:val="1"/>
    <w:link w:val="58"/>
    <w:unhideWhenUsed/>
    <w:qFormat/>
    <w:uiPriority w:val="99"/>
    <w:pPr>
      <w:spacing w:after="120"/>
    </w:pPr>
  </w:style>
  <w:style w:type="paragraph" w:styleId="14">
    <w:name w:val="Body Text Indent"/>
    <w:basedOn w:val="1"/>
    <w:qFormat/>
    <w:uiPriority w:val="99"/>
    <w:pPr>
      <w:ind w:firstLine="200" w:firstLineChars="200"/>
      <w:jc w:val="left"/>
    </w:pPr>
    <w:rPr>
      <w:rFonts w:ascii="仿宋_GB2312" w:eastAsia="仿宋_GB2312"/>
      <w:kern w:val="0"/>
      <w:sz w:val="24"/>
    </w:rPr>
  </w:style>
  <w:style w:type="paragraph" w:styleId="15">
    <w:name w:val="toc 5"/>
    <w:basedOn w:val="1"/>
    <w:next w:val="1"/>
    <w:qFormat/>
    <w:uiPriority w:val="39"/>
    <w:pPr>
      <w:ind w:left="840"/>
      <w:jc w:val="left"/>
    </w:pPr>
    <w:rPr>
      <w:sz w:val="18"/>
      <w:szCs w:val="18"/>
    </w:rPr>
  </w:style>
  <w:style w:type="paragraph" w:styleId="16">
    <w:name w:val="Plain Text"/>
    <w:basedOn w:val="1"/>
    <w:link w:val="46"/>
    <w:qFormat/>
    <w:uiPriority w:val="99"/>
    <w:pPr>
      <w:autoSpaceDE w:val="0"/>
      <w:autoSpaceDN w:val="0"/>
      <w:adjustRightInd w:val="0"/>
      <w:jc w:val="left"/>
    </w:pPr>
    <w:rPr>
      <w:rFonts w:ascii="宋体" w:hAnsi="Courier New" w:eastAsia="宋体" w:cs="宋体"/>
      <w:szCs w:val="21"/>
    </w:rPr>
  </w:style>
  <w:style w:type="paragraph" w:styleId="17">
    <w:name w:val="Date"/>
    <w:basedOn w:val="1"/>
    <w:next w:val="1"/>
    <w:qFormat/>
    <w:uiPriority w:val="99"/>
    <w:pPr>
      <w:widowControl w:val="0"/>
      <w:jc w:val="both"/>
    </w:pPr>
    <w:rPr>
      <w:kern w:val="2"/>
      <w:szCs w:val="20"/>
    </w:rPr>
  </w:style>
  <w:style w:type="paragraph" w:styleId="18">
    <w:name w:val="Balloon Text"/>
    <w:basedOn w:val="1"/>
    <w:link w:val="54"/>
    <w:unhideWhenUsed/>
    <w:qFormat/>
    <w:uiPriority w:val="99"/>
    <w:rPr>
      <w:sz w:val="18"/>
      <w:szCs w:val="18"/>
    </w:rPr>
  </w:style>
  <w:style w:type="paragraph" w:styleId="19">
    <w:name w:val="footer"/>
    <w:basedOn w:val="1"/>
    <w:link w:val="45"/>
    <w:unhideWhenUsed/>
    <w:qFormat/>
    <w:uiPriority w:val="99"/>
    <w:pPr>
      <w:tabs>
        <w:tab w:val="center" w:pos="4153"/>
        <w:tab w:val="right" w:pos="8306"/>
      </w:tabs>
      <w:snapToGrid w:val="0"/>
      <w:jc w:val="left"/>
    </w:pPr>
    <w:rPr>
      <w:sz w:val="18"/>
      <w:szCs w:val="18"/>
    </w:rPr>
  </w:style>
  <w:style w:type="paragraph" w:styleId="20">
    <w:name w:val="header"/>
    <w:basedOn w:val="1"/>
    <w:link w:val="44"/>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unhideWhenUsed/>
    <w:qFormat/>
    <w:uiPriority w:val="39"/>
  </w:style>
  <w:style w:type="paragraph" w:styleId="22">
    <w:name w:val="toc 2"/>
    <w:basedOn w:val="1"/>
    <w:next w:val="1"/>
    <w:unhideWhenUsed/>
    <w:qFormat/>
    <w:uiPriority w:val="39"/>
    <w:pPr>
      <w:ind w:left="420" w:leftChars="200"/>
    </w:pPr>
  </w:style>
  <w:style w:type="paragraph" w:styleId="23">
    <w:name w:val="Body Text 2"/>
    <w:basedOn w:val="1"/>
    <w:link w:val="50"/>
    <w:qFormat/>
    <w:uiPriority w:val="99"/>
    <w:rPr>
      <w:rFonts w:ascii="宋体" w:hAnsi="Times New Roman" w:eastAsia="宋体" w:cs="宋体"/>
      <w:kern w:val="0"/>
      <w:sz w:val="20"/>
      <w:szCs w:val="20"/>
    </w:rPr>
  </w:style>
  <w:style w:type="paragraph" w:styleId="2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6">
    <w:name w:val="Body Text First Indent 2"/>
    <w:basedOn w:val="14"/>
    <w:qFormat/>
    <w:uiPriority w:val="0"/>
    <w:pPr>
      <w:ind w:firstLine="420" w:firstLineChars="200"/>
    </w:pPr>
  </w:style>
  <w:style w:type="table" w:styleId="28">
    <w:name w:val="Table Grid"/>
    <w:basedOn w:val="27"/>
    <w:qFormat/>
    <w:uiPriority w:val="0"/>
    <w:rPr>
      <w:rFonts w:eastAsia="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rPr>
  </w:style>
  <w:style w:type="character" w:styleId="31">
    <w:name w:val="page number"/>
    <w:basedOn w:val="29"/>
    <w:qFormat/>
    <w:uiPriority w:val="99"/>
  </w:style>
  <w:style w:type="character" w:styleId="32">
    <w:name w:val="FollowedHyperlink"/>
    <w:basedOn w:val="29"/>
    <w:semiHidden/>
    <w:unhideWhenUsed/>
    <w:qFormat/>
    <w:uiPriority w:val="99"/>
    <w:rPr>
      <w:color w:val="954F72"/>
      <w:u w:val="single"/>
    </w:rPr>
  </w:style>
  <w:style w:type="character" w:styleId="33">
    <w:name w:val="Hyperlink"/>
    <w:basedOn w:val="29"/>
    <w:semiHidden/>
    <w:unhideWhenUsed/>
    <w:qFormat/>
    <w:uiPriority w:val="99"/>
    <w:rPr>
      <w:color w:val="0563C1"/>
      <w:u w:val="single"/>
    </w:rPr>
  </w:style>
  <w:style w:type="paragraph" w:customStyle="1" w:styleId="34">
    <w:name w:val="Default"/>
    <w:qFormat/>
    <w:uiPriority w:val="0"/>
    <w:pPr>
      <w:widowControl w:val="0"/>
      <w:autoSpaceDE w:val="0"/>
      <w:autoSpaceDN w:val="0"/>
      <w:adjustRightInd w:val="0"/>
    </w:pPr>
    <w:rPr>
      <w:rFonts w:ascii="Akzidenz Grotesk" w:hAnsi="Times New Roman" w:eastAsia="Akzidenz Grotesk" w:cs="Times New Roman"/>
      <w:color w:val="000000"/>
      <w:sz w:val="24"/>
      <w:szCs w:val="24"/>
      <w:lang w:val="en-US" w:eastAsia="zh-CN" w:bidi="ar-SA"/>
    </w:rPr>
  </w:style>
  <w:style w:type="paragraph" w:customStyle="1" w:styleId="35">
    <w:name w:val="正文（自定义）"/>
    <w:basedOn w:val="1"/>
    <w:qFormat/>
    <w:uiPriority w:val="0"/>
    <w:pPr>
      <w:ind w:firstLine="200" w:firstLineChars="200"/>
    </w:pPr>
    <w:rPr>
      <w:rFonts w:ascii="仿宋_GB2312" w:hAnsi="仿宋_GB2312" w:eastAsia="仿宋_GB2312"/>
      <w:sz w:val="32"/>
    </w:rPr>
  </w:style>
  <w:style w:type="paragraph" w:customStyle="1" w:styleId="36">
    <w:name w:val="样式 正文文字缩进 + 小四 首行缩进:  2 字符"/>
    <w:basedOn w:val="1"/>
    <w:qFormat/>
    <w:uiPriority w:val="0"/>
    <w:pPr>
      <w:spacing w:line="600" w:lineRule="exact"/>
      <w:jc w:val="center"/>
    </w:pPr>
    <w:rPr>
      <w:b/>
      <w:u w:val="double"/>
    </w:rPr>
  </w:style>
  <w:style w:type="paragraph" w:customStyle="1" w:styleId="37">
    <w:name w:val="一级条标题"/>
    <w:basedOn w:val="1"/>
    <w:next w:val="1"/>
    <w:qFormat/>
    <w:uiPriority w:val="99"/>
    <w:pPr>
      <w:widowControl/>
      <w:ind w:left="420"/>
      <w:outlineLvl w:val="2"/>
    </w:pPr>
    <w:rPr>
      <w:rFonts w:ascii="黑体" w:eastAsia="黑体" w:cs="黑体"/>
    </w:rPr>
  </w:style>
  <w:style w:type="paragraph" w:customStyle="1" w:styleId="38">
    <w:name w:val="正文文本首行缩进 2"/>
    <w:basedOn w:val="14"/>
    <w:qFormat/>
    <w:uiPriority w:val="99"/>
    <w:pPr>
      <w:spacing w:line="200" w:lineRule="atLeast"/>
      <w:ind w:firstLine="420"/>
    </w:pPr>
    <w:rPr>
      <w:rFonts w:ascii="宋体" w:hAnsi="Courier New"/>
      <w:spacing w:val="-4"/>
      <w:sz w:val="18"/>
    </w:rPr>
  </w:style>
  <w:style w:type="paragraph" w:customStyle="1" w:styleId="39">
    <w:name w:val="图表目录1"/>
    <w:basedOn w:val="40"/>
    <w:next w:val="40"/>
    <w:qFormat/>
    <w:uiPriority w:val="0"/>
    <w:pPr>
      <w:spacing w:beforeAutospacing="1" w:afterAutospacing="1"/>
      <w:ind w:left="200" w:leftChars="200" w:hanging="200" w:hangingChars="200"/>
    </w:pPr>
  </w:style>
  <w:style w:type="paragraph" w:customStyle="1" w:styleId="4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9"/>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41">
    <w:name w:val="无间隔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2">
    <w:name w:val="table of figures"/>
    <w:basedOn w:val="43"/>
    <w:next w:val="43"/>
    <w:qFormat/>
    <w:uiPriority w:val="0"/>
    <w:pPr>
      <w:spacing w:before="100" w:beforeLines="0" w:beforeAutospacing="1" w:after="100" w:afterLines="0" w:afterAutospacing="1"/>
      <w:ind w:left="200" w:leftChars="200" w:hanging="200" w:hangingChars="200"/>
    </w:pPr>
    <w:rPr>
      <w:rFonts w:ascii="Times New Roman" w:hAnsi="Times New Roman"/>
    </w:rPr>
  </w:style>
  <w:style w:type="paragraph" w:customStyle="1" w:styleId="43">
    <w:name w:val="正文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New"/>
    <w:next w:val="42"/>
    <w:qFormat/>
    <w:uiPriority w:val="0"/>
    <w:pPr>
      <w:widowControl w:val="0"/>
      <w:jc w:val="both"/>
    </w:pPr>
    <w:rPr>
      <w:rFonts w:ascii="Times New Roman" w:hAnsi="Times New Roman" w:eastAsia="宋体" w:cs="黑体"/>
      <w:kern w:val="2"/>
      <w:sz w:val="21"/>
      <w:szCs w:val="24"/>
      <w:lang w:val="en-US" w:eastAsia="zh-CN" w:bidi="ar-SA"/>
    </w:rPr>
  </w:style>
  <w:style w:type="character" w:customStyle="1" w:styleId="44">
    <w:name w:val="页眉 Char"/>
    <w:basedOn w:val="29"/>
    <w:link w:val="20"/>
    <w:qFormat/>
    <w:uiPriority w:val="99"/>
    <w:rPr>
      <w:sz w:val="18"/>
      <w:szCs w:val="18"/>
    </w:rPr>
  </w:style>
  <w:style w:type="character" w:customStyle="1" w:styleId="45">
    <w:name w:val="页脚 Char"/>
    <w:basedOn w:val="29"/>
    <w:link w:val="19"/>
    <w:qFormat/>
    <w:uiPriority w:val="99"/>
    <w:rPr>
      <w:sz w:val="18"/>
      <w:szCs w:val="18"/>
    </w:rPr>
  </w:style>
  <w:style w:type="character" w:customStyle="1" w:styleId="46">
    <w:name w:val="纯文本 Char"/>
    <w:basedOn w:val="29"/>
    <w:link w:val="16"/>
    <w:qFormat/>
    <w:uiPriority w:val="99"/>
    <w:rPr>
      <w:rFonts w:ascii="宋体" w:hAnsi="Courier New" w:eastAsia="宋体" w:cs="宋体"/>
      <w:szCs w:val="21"/>
    </w:rPr>
  </w:style>
  <w:style w:type="character" w:customStyle="1" w:styleId="47">
    <w:name w:val="标题 1 Char"/>
    <w:basedOn w:val="29"/>
    <w:link w:val="3"/>
    <w:qFormat/>
    <w:uiPriority w:val="0"/>
    <w:rPr>
      <w:rFonts w:ascii="仿宋_GB2312" w:hAnsi="Times New Roman" w:eastAsia="仿宋_GB2312" w:cs="仿宋_GB2312"/>
      <w:b/>
      <w:bCs/>
      <w:color w:val="000000"/>
      <w:kern w:val="0"/>
      <w:sz w:val="20"/>
      <w:szCs w:val="20"/>
    </w:rPr>
  </w:style>
  <w:style w:type="paragraph" w:customStyle="1" w:styleId="48">
    <w:name w:val="列出段落1"/>
    <w:basedOn w:val="1"/>
    <w:qFormat/>
    <w:uiPriority w:val="34"/>
    <w:pPr>
      <w:ind w:firstLine="420" w:firstLineChars="200"/>
    </w:pPr>
  </w:style>
  <w:style w:type="character" w:customStyle="1" w:styleId="49">
    <w:name w:val="标题 2 Char"/>
    <w:basedOn w:val="29"/>
    <w:link w:val="4"/>
    <w:qFormat/>
    <w:uiPriority w:val="9"/>
    <w:rPr>
      <w:rFonts w:asciiTheme="majorHAnsi" w:hAnsiTheme="majorHAnsi" w:eastAsiaTheme="majorEastAsia" w:cstheme="majorBidi"/>
      <w:b/>
      <w:bCs/>
      <w:sz w:val="32"/>
      <w:szCs w:val="32"/>
    </w:rPr>
  </w:style>
  <w:style w:type="character" w:customStyle="1" w:styleId="50">
    <w:name w:val="正文文本 2 Char"/>
    <w:basedOn w:val="29"/>
    <w:link w:val="23"/>
    <w:qFormat/>
    <w:uiPriority w:val="99"/>
    <w:rPr>
      <w:rFonts w:ascii="宋体" w:hAnsi="Times New Roman" w:eastAsia="宋体" w:cs="宋体"/>
      <w:kern w:val="0"/>
      <w:sz w:val="20"/>
      <w:szCs w:val="20"/>
    </w:rPr>
  </w:style>
  <w:style w:type="character" w:customStyle="1" w:styleId="51">
    <w:name w:val="标题 3 Char"/>
    <w:basedOn w:val="29"/>
    <w:link w:val="6"/>
    <w:semiHidden/>
    <w:qFormat/>
    <w:uiPriority w:val="9"/>
    <w:rPr>
      <w:b/>
      <w:bCs/>
      <w:sz w:val="32"/>
      <w:szCs w:val="32"/>
    </w:rPr>
  </w:style>
  <w:style w:type="paragraph" w:customStyle="1" w:styleId="52">
    <w:name w:val="p2"/>
    <w:basedOn w:val="1"/>
    <w:qFormat/>
    <w:uiPriority w:val="99"/>
    <w:pPr>
      <w:widowControl/>
      <w:spacing w:line="480" w:lineRule="auto"/>
      <w:ind w:firstLine="420"/>
      <w:jc w:val="left"/>
    </w:pPr>
    <w:rPr>
      <w:rFonts w:ascii="宋体" w:hAnsi="宋体" w:eastAsia="宋体" w:cs="宋体"/>
      <w:kern w:val="0"/>
      <w:szCs w:val="21"/>
    </w:rPr>
  </w:style>
  <w:style w:type="character" w:customStyle="1" w:styleId="53">
    <w:name w:val="正文缩进 Char"/>
    <w:link w:val="5"/>
    <w:qFormat/>
    <w:locked/>
    <w:uiPriority w:val="0"/>
    <w:rPr>
      <w:rFonts w:ascii="宋体" w:hAnsi="Times New Roman" w:eastAsia="宋体" w:cs="Times New Roman"/>
      <w:szCs w:val="21"/>
    </w:rPr>
  </w:style>
  <w:style w:type="character" w:customStyle="1" w:styleId="54">
    <w:name w:val="批注框文本 Char"/>
    <w:basedOn w:val="29"/>
    <w:link w:val="18"/>
    <w:semiHidden/>
    <w:qFormat/>
    <w:uiPriority w:val="99"/>
    <w:rPr>
      <w:sz w:val="18"/>
      <w:szCs w:val="18"/>
    </w:rPr>
  </w:style>
  <w:style w:type="character" w:customStyle="1" w:styleId="55">
    <w:name w:val="纯文本 Char1"/>
    <w:qFormat/>
    <w:uiPriority w:val="0"/>
    <w:rPr>
      <w:rFonts w:ascii="宋体" w:hAnsi="Courier New"/>
      <w:kern w:val="2"/>
      <w:sz w:val="21"/>
      <w:szCs w:val="21"/>
    </w:rPr>
  </w:style>
  <w:style w:type="paragraph" w:customStyle="1" w:styleId="56">
    <w:name w:val="列出段落2"/>
    <w:basedOn w:val="1"/>
    <w:link w:val="59"/>
    <w:unhideWhenUsed/>
    <w:qFormat/>
    <w:uiPriority w:val="34"/>
    <w:pPr>
      <w:ind w:firstLine="420" w:firstLineChars="200"/>
    </w:pPr>
  </w:style>
  <w:style w:type="character" w:customStyle="1" w:styleId="57">
    <w:name w:val="纯文本 Char2"/>
    <w:qFormat/>
    <w:uiPriority w:val="0"/>
    <w:rPr>
      <w:rFonts w:ascii="宋体" w:hAnsi="Courier New"/>
      <w:kern w:val="2"/>
      <w:sz w:val="21"/>
      <w:szCs w:val="21"/>
    </w:rPr>
  </w:style>
  <w:style w:type="character" w:customStyle="1" w:styleId="58">
    <w:name w:val="正文文本 Char"/>
    <w:basedOn w:val="29"/>
    <w:link w:val="13"/>
    <w:qFormat/>
    <w:uiPriority w:val="99"/>
    <w:rPr>
      <w:kern w:val="2"/>
      <w:sz w:val="21"/>
      <w:szCs w:val="22"/>
    </w:rPr>
  </w:style>
  <w:style w:type="character" w:customStyle="1" w:styleId="59">
    <w:name w:val="列出段落 Char"/>
    <w:link w:val="56"/>
    <w:qFormat/>
    <w:uiPriority w:val="34"/>
    <w:rPr>
      <w:kern w:val="2"/>
      <w:sz w:val="21"/>
      <w:szCs w:val="22"/>
    </w:rPr>
  </w:style>
  <w:style w:type="paragraph" w:styleId="60">
    <w:name w:val="List Paragraph"/>
    <w:basedOn w:val="1"/>
    <w:qFormat/>
    <w:uiPriority w:val="34"/>
    <w:pPr>
      <w:ind w:firstLine="420" w:firstLineChars="200"/>
    </w:pPr>
  </w:style>
  <w:style w:type="paragraph" w:customStyle="1" w:styleId="61">
    <w:name w:val="正文文本缩进1"/>
    <w:basedOn w:val="1"/>
    <w:qFormat/>
    <w:uiPriority w:val="99"/>
    <w:pPr>
      <w:spacing w:line="200" w:lineRule="exact"/>
      <w:ind w:firstLine="301"/>
    </w:pPr>
    <w:rPr>
      <w:rFonts w:ascii="宋体" w:hAnsi="Courier New" w:eastAsia="宋体" w:cs="Times New Roman"/>
      <w:spacing w:val="-4"/>
      <w:sz w:val="18"/>
      <w:szCs w:val="20"/>
    </w:rPr>
  </w:style>
  <w:style w:type="paragraph" w:customStyle="1" w:styleId="62">
    <w:name w:val="font5"/>
    <w:basedOn w:val="1"/>
    <w:qFormat/>
    <w:uiPriority w:val="99"/>
    <w:pPr>
      <w:widowControl/>
      <w:spacing w:before="100" w:beforeAutospacing="1" w:after="100" w:afterAutospacing="1"/>
      <w:jc w:val="left"/>
    </w:pPr>
    <w:rPr>
      <w:rFonts w:ascii="等线" w:hAnsi="等线" w:eastAsia="等线" w:cs="宋体"/>
      <w:kern w:val="0"/>
      <w:sz w:val="18"/>
      <w:szCs w:val="18"/>
    </w:rPr>
  </w:style>
  <w:style w:type="paragraph" w:customStyle="1" w:styleId="63">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64">
    <w:name w:val="xl6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65">
    <w:name w:val="xl67"/>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66">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Cs w:val="21"/>
    </w:rPr>
  </w:style>
  <w:style w:type="paragraph" w:customStyle="1" w:styleId="67">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68">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9">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Cs w:val="21"/>
    </w:rPr>
  </w:style>
  <w:style w:type="paragraph" w:customStyle="1" w:styleId="70">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000000"/>
      <w:kern w:val="0"/>
      <w:szCs w:val="21"/>
    </w:rPr>
  </w:style>
  <w:style w:type="paragraph" w:customStyle="1" w:styleId="71">
    <w:name w:val="xl7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Cs w:val="21"/>
    </w:rPr>
  </w:style>
  <w:style w:type="paragraph" w:customStyle="1" w:styleId="72">
    <w:name w:val="标题 11"/>
    <w:basedOn w:val="1"/>
    <w:qFormat/>
    <w:uiPriority w:val="1"/>
    <w:pPr>
      <w:autoSpaceDE w:val="0"/>
      <w:autoSpaceDN w:val="0"/>
      <w:spacing w:before="38"/>
      <w:ind w:left="1482" w:right="1677"/>
      <w:jc w:val="center"/>
      <w:outlineLvl w:val="1"/>
    </w:pPr>
    <w:rPr>
      <w:rFonts w:ascii="宋体" w:hAnsi="宋体" w:eastAsia="宋体" w:cs="宋体"/>
      <w:b/>
      <w:bCs/>
      <w:kern w:val="0"/>
      <w:sz w:val="36"/>
      <w:szCs w:val="36"/>
      <w:lang w:val="zh-CN" w:bidi="zh-CN"/>
    </w:rPr>
  </w:style>
  <w:style w:type="character" w:customStyle="1" w:styleId="73">
    <w:name w:val="font01"/>
    <w:basedOn w:val="29"/>
    <w:qFormat/>
    <w:uiPriority w:val="0"/>
    <w:rPr>
      <w:rFonts w:hint="eastAsia" w:ascii="宋体" w:hAnsi="宋体" w:eastAsia="宋体" w:cs="宋体"/>
      <w:color w:val="000000"/>
      <w:sz w:val="16"/>
      <w:szCs w:val="16"/>
      <w:u w:val="none"/>
    </w:rPr>
  </w:style>
  <w:style w:type="character" w:customStyle="1" w:styleId="74">
    <w:name w:val="font41"/>
    <w:basedOn w:val="29"/>
    <w:qFormat/>
    <w:uiPriority w:val="0"/>
    <w:rPr>
      <w:rFonts w:ascii="Calibri" w:hAnsi="Calibri" w:cs="Calibri"/>
      <w:color w:val="000000"/>
      <w:sz w:val="16"/>
      <w:szCs w:val="16"/>
      <w:u w:val="none"/>
    </w:rPr>
  </w:style>
  <w:style w:type="paragraph" w:customStyle="1" w:styleId="75">
    <w:name w:val="！正文"/>
    <w:basedOn w:val="1"/>
    <w:qFormat/>
    <w:uiPriority w:val="0"/>
    <w:pPr>
      <w:widowControl/>
      <w:autoSpaceDE w:val="0"/>
      <w:autoSpaceDN w:val="0"/>
      <w:adjustRightInd w:val="0"/>
      <w:spacing w:line="360" w:lineRule="auto"/>
      <w:ind w:firstLine="200" w:firstLineChars="200"/>
      <w:jc w:val="left"/>
      <w:textAlignment w:val="baseline"/>
    </w:pPr>
    <w:rPr>
      <w:rFonts w:hAnsi="Arial" w:eastAsia="仿宋"/>
      <w:kern w:val="0"/>
      <w:sz w:val="28"/>
      <w:szCs w:val="28"/>
      <w:lang w:val="zh-CN"/>
    </w:rPr>
  </w:style>
  <w:style w:type="character" w:customStyle="1" w:styleId="76">
    <w:name w:val="font101"/>
    <w:basedOn w:val="29"/>
    <w:qFormat/>
    <w:uiPriority w:val="0"/>
    <w:rPr>
      <w:rFonts w:hint="eastAsia" w:ascii="宋体" w:hAnsi="宋体" w:eastAsia="宋体" w:cs="宋体"/>
      <w:b/>
      <w:color w:val="000000"/>
      <w:sz w:val="22"/>
      <w:szCs w:val="22"/>
      <w:u w:val="none"/>
    </w:rPr>
  </w:style>
  <w:style w:type="character" w:customStyle="1" w:styleId="77">
    <w:name w:val="font31"/>
    <w:basedOn w:val="29"/>
    <w:qFormat/>
    <w:uiPriority w:val="0"/>
    <w:rPr>
      <w:rFonts w:hint="eastAsia" w:ascii="宋体" w:hAnsi="宋体" w:eastAsia="宋体" w:cs="宋体"/>
      <w:color w:val="000000"/>
      <w:sz w:val="22"/>
      <w:szCs w:val="22"/>
      <w:u w:val="none"/>
    </w:rPr>
  </w:style>
  <w:style w:type="character" w:customStyle="1" w:styleId="78">
    <w:name w:val="font21"/>
    <w:basedOn w:val="29"/>
    <w:qFormat/>
    <w:uiPriority w:val="0"/>
    <w:rPr>
      <w:rFonts w:hint="default" w:ascii="Arial" w:hAnsi="Arial" w:cs="Arial"/>
      <w:color w:val="000000"/>
      <w:sz w:val="22"/>
      <w:szCs w:val="22"/>
      <w:u w:val="none"/>
    </w:rPr>
  </w:style>
  <w:style w:type="character" w:customStyle="1" w:styleId="79">
    <w:name w:val="font111"/>
    <w:basedOn w:val="29"/>
    <w:qFormat/>
    <w:uiPriority w:val="0"/>
    <w:rPr>
      <w:rFonts w:hint="default" w:ascii="Times New Roman" w:hAnsi="Times New Roman" w:cs="Times New Roman"/>
      <w:color w:val="000000"/>
      <w:sz w:val="14"/>
      <w:szCs w:val="14"/>
      <w:u w:val="none"/>
    </w:rPr>
  </w:style>
  <w:style w:type="character" w:customStyle="1" w:styleId="80">
    <w:name w:val="font131"/>
    <w:basedOn w:val="29"/>
    <w:qFormat/>
    <w:uiPriority w:val="0"/>
    <w:rPr>
      <w:rFonts w:hint="eastAsia" w:ascii="宋体" w:hAnsi="宋体" w:eastAsia="宋体" w:cs="宋体"/>
      <w:color w:val="000000"/>
      <w:sz w:val="16"/>
      <w:szCs w:val="16"/>
      <w:u w:val="none"/>
    </w:rPr>
  </w:style>
  <w:style w:type="character" w:customStyle="1" w:styleId="81">
    <w:name w:val="font161"/>
    <w:basedOn w:val="29"/>
    <w:qFormat/>
    <w:uiPriority w:val="0"/>
    <w:rPr>
      <w:rFonts w:ascii="Calibri" w:hAnsi="Calibri" w:cs="Calibri"/>
      <w:color w:val="000000"/>
      <w:sz w:val="16"/>
      <w:szCs w:val="16"/>
      <w:u w:val="none"/>
    </w:rPr>
  </w:style>
  <w:style w:type="character" w:customStyle="1" w:styleId="82">
    <w:name w:val="font51"/>
    <w:basedOn w:val="29"/>
    <w:qFormat/>
    <w:uiPriority w:val="0"/>
    <w:rPr>
      <w:rFonts w:hint="default" w:ascii="Times New Roman" w:hAnsi="Times New Roman" w:cs="Times New Roman"/>
      <w:color w:val="000000"/>
      <w:sz w:val="22"/>
      <w:szCs w:val="22"/>
      <w:u w:val="none"/>
    </w:rPr>
  </w:style>
  <w:style w:type="character" w:customStyle="1" w:styleId="83">
    <w:name w:val="font91"/>
    <w:basedOn w:val="29"/>
    <w:qFormat/>
    <w:uiPriority w:val="0"/>
    <w:rPr>
      <w:rFonts w:hint="eastAsia" w:ascii="微软雅黑" w:hAnsi="微软雅黑" w:eastAsia="微软雅黑" w:cs="微软雅黑"/>
      <w:color w:val="000000"/>
      <w:sz w:val="22"/>
      <w:szCs w:val="22"/>
      <w:u w:val="none"/>
    </w:rPr>
  </w:style>
  <w:style w:type="character" w:customStyle="1" w:styleId="84">
    <w:name w:val="font81"/>
    <w:basedOn w:val="29"/>
    <w:qFormat/>
    <w:uiPriority w:val="0"/>
    <w:rPr>
      <w:rFonts w:hint="default" w:ascii="Times New Roman" w:hAnsi="Times New Roman" w:cs="Times New Roman"/>
      <w:color w:val="000000"/>
      <w:sz w:val="18"/>
      <w:szCs w:val="18"/>
      <w:u w:val="none"/>
    </w:rPr>
  </w:style>
  <w:style w:type="character" w:customStyle="1" w:styleId="85">
    <w:name w:val="font61"/>
    <w:basedOn w:val="29"/>
    <w:qFormat/>
    <w:uiPriority w:val="0"/>
    <w:rPr>
      <w:rFonts w:hint="default" w:ascii="Times New Roman" w:hAnsi="Times New Roman" w:cs="Times New Roman"/>
      <w:color w:val="000000"/>
      <w:sz w:val="18"/>
      <w:szCs w:val="18"/>
      <w:u w:val="none"/>
    </w:rPr>
  </w:style>
  <w:style w:type="character" w:customStyle="1" w:styleId="86">
    <w:name w:val="font71"/>
    <w:basedOn w:val="29"/>
    <w:qFormat/>
    <w:uiPriority w:val="0"/>
    <w:rPr>
      <w:rFonts w:hint="default" w:ascii="Times New Roman" w:hAnsi="Times New Roman" w:cs="Times New Roman"/>
      <w:color w:val="000000"/>
      <w:sz w:val="22"/>
      <w:szCs w:val="22"/>
      <w:u w:val="none"/>
    </w:rPr>
  </w:style>
  <w:style w:type="character" w:customStyle="1" w:styleId="87">
    <w:name w:val="font11"/>
    <w:basedOn w:val="29"/>
    <w:qFormat/>
    <w:uiPriority w:val="0"/>
    <w:rPr>
      <w:rFonts w:hint="eastAsia" w:ascii="宋体" w:hAnsi="宋体" w:eastAsia="宋体" w:cs="宋体"/>
      <w:color w:val="FF0000"/>
      <w:sz w:val="24"/>
      <w:szCs w:val="24"/>
      <w:u w:val="none"/>
    </w:rPr>
  </w:style>
  <w:style w:type="paragraph" w:customStyle="1" w:styleId="88">
    <w:name w:val="Body text|1"/>
    <w:basedOn w:val="1"/>
    <w:qFormat/>
    <w:uiPriority w:val="0"/>
    <w:pPr>
      <w:widowControl w:val="0"/>
      <w:shd w:val="clear" w:color="auto" w:fill="auto"/>
      <w:spacing w:line="434" w:lineRule="auto"/>
      <w:ind w:firstLine="400"/>
    </w:pPr>
    <w:rPr>
      <w:rFonts w:ascii="宋体" w:hAnsi="宋体" w:eastAsia="宋体" w:cs="宋体"/>
      <w:sz w:val="22"/>
      <w:szCs w:val="22"/>
      <w:u w:val="none"/>
      <w:shd w:val="clear" w:color="auto" w:fill="auto"/>
      <w:lang w:val="zh-TW" w:eastAsia="zh-TW" w:bidi="zh-TW"/>
    </w:rPr>
  </w:style>
  <w:style w:type="character" w:customStyle="1" w:styleId="89">
    <w:name w:val="font112"/>
    <w:basedOn w:val="29"/>
    <w:qFormat/>
    <w:uiPriority w:val="0"/>
    <w:rPr>
      <w:rFonts w:hint="eastAsia" w:ascii="宋体" w:hAnsi="宋体" w:eastAsia="宋体" w:cs="宋体"/>
      <w:color w:val="FF0000"/>
      <w:sz w:val="18"/>
      <w:szCs w:val="18"/>
      <w:u w:val="none"/>
    </w:rPr>
  </w:style>
  <w:style w:type="paragraph" w:customStyle="1" w:styleId="90">
    <w:name w:val="Heading 1"/>
    <w:basedOn w:val="1"/>
    <w:qFormat/>
    <w:uiPriority w:val="1"/>
    <w:pPr>
      <w:autoSpaceDE w:val="0"/>
      <w:autoSpaceDN w:val="0"/>
      <w:spacing w:before="38"/>
      <w:ind w:left="1482" w:right="1677"/>
      <w:jc w:val="center"/>
      <w:outlineLvl w:val="1"/>
    </w:pPr>
    <w:rPr>
      <w:rFonts w:hAnsi="宋体" w:cs="宋体"/>
      <w:b/>
      <w:bCs/>
      <w:kern w:val="0"/>
      <w:sz w:val="36"/>
      <w:szCs w:val="36"/>
      <w:lang w:val="zh-CN" w:bidi="zh-CN"/>
    </w:rPr>
  </w:style>
  <w:style w:type="paragraph" w:customStyle="1" w:styleId="91">
    <w:name w:val="列出段落3"/>
    <w:basedOn w:val="1"/>
    <w:unhideWhenUsed/>
    <w:qFormat/>
    <w:uiPriority w:val="1"/>
    <w:pPr>
      <w:ind w:firstLine="420" w:firstLineChars="200"/>
    </w:pPr>
  </w:style>
  <w:style w:type="paragraph" w:customStyle="1" w:styleId="92">
    <w:name w:val="正文_1"/>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93">
    <w:name w:val="No 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94">
    <w:name w:val="Normal"/>
    <w:qFormat/>
    <w:uiPriority w:val="0"/>
    <w:pPr>
      <w:jc w:val="both"/>
    </w:pPr>
    <w:rPr>
      <w:rFonts w:ascii="Calibri" w:hAnsi="Calibri" w:eastAsia="宋体" w:cs="Calibri"/>
      <w:kern w:val="2"/>
      <w:sz w:val="21"/>
      <w:szCs w:val="21"/>
      <w:lang w:val="en-US" w:eastAsia="zh-CN" w:bidi="ar-SA"/>
    </w:rPr>
  </w:style>
  <w:style w:type="paragraph" w:customStyle="1" w:styleId="95">
    <w:name w:val="F正文"/>
    <w:basedOn w:val="1"/>
    <w:qFormat/>
    <w:uiPriority w:val="0"/>
    <w:pPr>
      <w:spacing w:before="60" w:after="60" w:line="360" w:lineRule="auto"/>
      <w:ind w:firstLine="480" w:firstLineChars="200"/>
      <w:jc w:val="left"/>
    </w:pPr>
    <w:rPr>
      <w:rFonts w:ascii="宋体" w:hAnsi="Microsoft Sans Serif"/>
      <w:bCs/>
      <w:sz w:val="24"/>
    </w:rPr>
  </w:style>
  <w:style w:type="paragraph" w:customStyle="1" w:styleId="96">
    <w:name w:val="正文（缩进）"/>
    <w:basedOn w:val="1"/>
    <w:qFormat/>
    <w:uiPriority w:val="0"/>
    <w:pPr>
      <w:widowControl/>
      <w:spacing w:beforeLines="50" w:afterLines="50" w:line="360" w:lineRule="auto"/>
      <w:ind w:firstLine="200" w:firstLineChars="200"/>
    </w:pPr>
    <w:rPr>
      <w:rFonts w:ascii="宋体" w:hAnsi="Calibri" w:eastAsia="宋体" w:cs="Times New Roman"/>
      <w:kern w:val="0"/>
      <w:sz w:val="24"/>
      <w:szCs w:val="22"/>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98">
    <w:name w:val="标题 2 字符"/>
    <w:link w:val="4"/>
    <w:qFormat/>
    <w:uiPriority w:val="9"/>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5664ce9b-48fd-4142-ab47-b012bf280a19</errorID>
      <errorWord>2026年06月</errorWord>
      <group>L1_Knowledge</group>
      <groupName>知识性问题</groupName>
      <ability>L2_Time</ability>
      <abilityName>日期时间</abilityName>
      <candidateList>
        <item>2026年6月</item>
      </candidateList>
      <explain>根据日常书写习惯，月份一般会省略前导零。</explain>
      <paraID>39A947B0</paraID>
      <start>65</start>
      <end>73</end>
      <status>unmodified</status>
      <modifiedWord/>
      <trackRevisions>false</trackRevisions>
    </reviewItem>
    <reviewItem>
      <errorID>5326e6fc-5c54-4423-812b-d1ea74065894</errorID>
      <errorWord>按照过程</errorWord>
      <group>L1_Word</group>
      <groupName>字词问题</groupName>
      <ability>L2_Typo</ability>
      <abilityName>字词错误</abilityName>
      <candidateList>
        <item>安装过程</item>
      </candidateList>
      <explain/>
      <paraID>30C26718</paraID>
      <start>77</start>
      <end>81</end>
      <status>unmodified</status>
      <modifiedWord/>
      <trackRevisions>false</trackRevisions>
    </reviewItem>
    <reviewItem>
      <errorID>ac2ce2ee-a79a-468b-87a8-34cfc291ad4e</errorID>
      <errorWord>2026年06月</errorWord>
      <group>L1_Knowledge</group>
      <groupName>知识性问题</groupName>
      <ability>L2_Time</ability>
      <abilityName>日期时间</abilityName>
      <candidateList>
        <item>2026年6月</item>
      </candidateList>
      <explain>根据日常书写习惯，月份一般会省略前导零。</explain>
      <paraID>57685FCF</paraID>
      <start>5</start>
      <end>13</end>
      <status>unmodified</status>
      <modifiedWord/>
      <trackRevisions>false</trackRevisions>
    </reviewItem>
    <reviewItem>
      <errorID>adc02bfc-895e-406b-9508-8307b63e208d</errorID>
      <errorWord>2026年06月</errorWord>
      <group>L1_Knowledge</group>
      <groupName>知识性问题</groupName>
      <ability>L2_Time</ability>
      <abilityName>日期时间</abilityName>
      <candidateList>
        <item>2026年6月</item>
      </candidateList>
      <explain>根据日常书写习惯，月份一般会省略前导零。</explain>
      <paraID>57685FCF</paraID>
      <start>18</start>
      <end>26</end>
      <status>unmodified</status>
      <modifiedWord/>
      <trackRevisions>false</trackRevisions>
    </reviewItem>
    <reviewItem>
      <errorID>3a613553-e28a-44ed-ba9e-436215b5798c</errorID>
      <errorWord>2026年06月</errorWord>
      <group>L1_Knowledge</group>
      <groupName>知识性问题</groupName>
      <ability>L2_Time</ability>
      <abilityName>日期时间</abilityName>
      <candidateList>
        <item>2026年6月</item>
      </candidateList>
      <explain>根据日常书写习惯，月份一般会省略前导零。</explain>
      <paraID> 2DDD8F4</paraID>
      <start>7</start>
      <end>15</end>
      <status>unmodified</status>
      <modifiedWord/>
      <trackRevisions>false</trackRevisions>
    </reviewItem>
    <reviewItem>
      <errorID>208dbf89-17dc-4169-853f-401102bbd233</errorID>
      <errorWord>2026年06月</errorWord>
      <group>L1_Knowledge</group>
      <groupName>知识性问题</groupName>
      <ability>L2_Time</ability>
      <abilityName>日期时间</abilityName>
      <candidateList>
        <item>2026年6月</item>
      </candidateList>
      <explain>根据日常书写习惯，月份一般会省略前导零。</explain>
      <paraID>42E9D5E3</paraID>
      <start>5</start>
      <end>13</end>
      <status>unmodified</status>
      <modifiedWord/>
      <trackRevisions>false</trackRevisions>
    </reviewItem>
    <reviewItem>
      <errorID>f2f7b413-ab49-4081-8e5f-601c3ad051b2</errorID>
      <errorWord>2026年03月12日</errorWord>
      <group>L1_Knowledge</group>
      <groupName>知识性问题</groupName>
      <ability>L2_Time</ability>
      <abilityName>日期时间</abilityName>
      <candidateList>
        <item>2026年3月12日</item>
      </candidateList>
      <explain>根据日常书写习惯，月份一般会省略前导零。</explain>
      <paraID>714E4AA0</paraID>
      <start>54</start>
      <end>65</end>
      <status>unmodified</status>
      <modifiedWord/>
      <trackRevisions>false</trackRevisions>
    </reviewItem>
    <reviewItem>
      <errorID>eb56249f-d332-46fb-90cf-b7893ee96961</errorID>
      <errorWord>2026年06月</errorWord>
      <group>L1_Knowledge</group>
      <groupName>知识性问题</groupName>
      <ability>L2_Time</ability>
      <abilityName>日期时间</abilityName>
      <candidateList>
        <item>2026年6月</item>
      </candidateList>
      <explain>根据日常书写习惯，月份一般会省略前导零。</explain>
      <paraID>5458CE96</paraID>
      <start>181</start>
      <end>189</end>
      <status>unmodified</status>
      <modifiedWord/>
      <trackRevisions>false</trackRevisions>
    </reviewItem>
    <reviewItem>
      <errorID>38c9adf8-aeb5-412e-adc6-c9250b398b4e</errorID>
      <errorWord>2026年06月</errorWord>
      <group>L1_Knowledge</group>
      <groupName>知识性问题</groupName>
      <ability>L2_Time</ability>
      <abilityName>日期时间</abilityName>
      <candidateList>
        <item>2026年6月</item>
      </candidateList>
      <explain>根据日常书写习惯，月份一般会省略前导零。</explain>
      <paraID>34D49770</paraID>
      <start>12</start>
      <end>20</end>
      <status>unmodified</status>
      <modifiedWord/>
      <trackRevisions>false</trackRevisions>
    </reviewItem>
    <reviewItem>
      <errorID>33e9cb8e-e5c8-421d-a691-43e158a7afde</errorID>
      <errorWord>2026年06月</errorWord>
      <group>L1_Knowledge</group>
      <groupName>知识性问题</groupName>
      <ability>L2_Time</ability>
      <abilityName>日期时间</abilityName>
      <candidateList>
        <item>2026年6月</item>
      </candidateList>
      <explain>根据日常书写习惯，月份一般会省略前导零。</explain>
      <paraID>4ECA9D8B</paraID>
      <start>11</start>
      <end>19</end>
      <status>unmodified</status>
      <modifiedWord/>
      <trackRevisions>false</trackRevisions>
    </reviewItem>
    <reviewItem>
      <errorID>224d832f-e952-4f6e-be1c-8789008c0817</errorID>
      <errorWord>按照过程</errorWord>
      <group>L1_Word</group>
      <groupName>字词问题</groupName>
      <ability>L2_Typo</ability>
      <abilityName>字词错误</abilityName>
      <candidateList>
        <item>安装过程</item>
      </candidateList>
      <explain/>
      <paraID>212CF16C</paraID>
      <start>77</start>
      <end>81</end>
      <status>unmodified</status>
      <modifiedWord/>
      <trackRevisions>false</trackRevisions>
    </reviewItem>
    <reviewItem>
      <errorID>3eb963ab-d194-4602-8131-4d2286603a46</errorID>
      <errorWord>2026年06月</errorWord>
      <group>L1_Knowledge</group>
      <groupName>知识性问题</groupName>
      <ability>L2_Time</ability>
      <abilityName>日期时间</abilityName>
      <candidateList>
        <item>2026年6月</item>
      </candidateList>
      <explain>根据日常书写习惯，月份一般会省略前导零。</explain>
      <paraID> E23EACD</paraID>
      <start>7</start>
      <end>15</end>
      <status>unmodified</status>
      <modifiedWord/>
      <trackRevisions>false</trackRevisions>
    </reviewItem>
    <reviewItem>
      <errorID>95f1f969-ccd3-4ebf-80b4-44b3afaf2008</errorID>
      <errorWord>2026年06月</errorWord>
      <group>L1_Knowledge</group>
      <groupName>知识性问题</groupName>
      <ability>L2_Time</ability>
      <abilityName>日期时间</abilityName>
      <candidateList>
        <item>2026年6月</item>
      </candidateList>
      <explain>根据日常书写习惯，月份一般会省略前导零。</explain>
      <paraID>43B5AE06</paraID>
      <start>7</start>
      <end>15</end>
      <status>unmodified</status>
      <modifiedWord/>
      <trackRevisions>false</trackRevisions>
    </reviewItem>
    <reviewItem>
      <errorID>9a4d0b07-f236-4950-8446-2c28e44c499e</errorID>
      <errorWord>办法中</errorWord>
      <group>L1_Word</group>
      <groupName>字词问题</groupName>
      <ability>L2_Typo</ability>
      <abilityName>字词错误</abilityName>
      <candidateList>
        <item>办法</item>
      </candidateList>
      <explain/>
      <paraID>4C5E466D</paraID>
      <start>133</start>
      <end>136</end>
      <status>unmodified</status>
      <modifiedWord/>
      <trackRevisions>false</trackRevisions>
    </reviewItem>
    <reviewItem>
      <errorID>2d73a6ef-e12c-4e2c-aced-bec5347d3e30</errorID>
      <errorWord>其它</errorWord>
      <group>L1_Word</group>
      <groupName>字词问题</groupName>
      <ability>L2_Alias</ability>
      <abilityName>也作/曾用词</abilityName>
      <candidateList>
        <item>其他</item>
      </candidateList>
      <explain>词汇[其它]为不规范表述或旧称，其规范书面表述为[其他]。</explain>
      <paraID>1D863CB9</paraID>
      <start>0</start>
      <end>2</end>
      <status>unmodified</status>
      <modifiedWord/>
      <trackRevisions>false</trackRevisions>
    </reviewItem>
    <reviewItem>
      <errorID>9bc9cd72-eba5-4de4-86ba-cc55e71bf137</errorID>
      <errorWord>接受</errorWord>
      <group>L1_Word</group>
      <groupName>字词问题</groupName>
      <ability>L2_Typo</ability>
      <abilityName>字词错误</abilityName>
      <candidateList>
        <item>接收</item>
      </candidateList>
      <explain>存在发音相同字词的误用。</explain>
      <paraID>510B98BA</paraID>
      <start>10</start>
      <end>12</end>
      <status>unmodified</status>
      <modifiedWord/>
      <trackRevisions>false</trackRevisions>
    </reviewItem>
    <reviewItem>
      <errorID>4c176d27-0b42-4ed9-a71c-fa817d2eb3c8</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29E525CB</paraID>
      <start>28</start>
      <end>32</end>
      <status>unmodified</status>
      <modifiedWord/>
      <trackRevisions>false</trackRevisions>
    </reviewItem>
    <reviewItem>
      <errorID>5ed672ad-0be2-4e39-844a-eb5fa04faf59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3D507AB6</paraID>
      <start>0</start>
      <end>2</end>
      <status>unmodified</status>
      <modifiedWord/>
      <trackRevisions>false</trackRevisions>
    </reviewItem>
    <reviewItem>
      <errorID>e76923c3-a375-4f36-ab79-26af30dff53f</errorID>
      <errorWord>“/</errorWord>
      <group>L1_Punc</group>
      <groupName>标点问题</groupName>
      <ability>L2_Punc</ability>
      <abilityName>标点符号检查</abilityName>
      <candidateList>
        <item>“</item>
      </candidateList>
      <explain/>
      <paraID>  EAD68F</paraID>
      <start>70</start>
      <end>72</end>
      <status>unmodified</status>
      <modifiedWord/>
      <trackRevisions>false</trackRevisions>
    </reviewItem>
    <reviewItem>
      <errorID>a5006216-f975-493d-9849-fb9177968ecd</errorID>
      <errorWord>2025年05月</errorWord>
      <group>L1_Knowledge</group>
      <groupName>知识性问题</groupName>
      <ability>L2_Time</ability>
      <abilityName>日期时间</abilityName>
      <candidateList>
        <item>2025年5月</item>
      </candidateList>
      <explain>根据日常书写习惯，月份一般会省略前导零。</explain>
      <paraID>71FDEEA6</paraID>
      <start>7</start>
      <end>15</end>
      <status>unmodified</status>
      <modifiedWord/>
      <trackRevisions>false</trackRevisions>
    </reviewItem>
    <reviewItem>
      <errorID>18f00531-3089-4341-ad30-85c5fe1aa285</errorID>
      <errorWord>2025年05月</errorWord>
      <group>L1_Knowledge</group>
      <groupName>知识性问题</groupName>
      <ability>L2_Time</ability>
      <abilityName>日期时间</abilityName>
      <candidateList>
        <item>2025年5月</item>
      </candidateList>
      <explain>根据日常书写习惯，月份一般会省略前导零。</explain>
      <paraID>71FDEEA6</paraID>
      <start>92</start>
      <end>100</end>
      <status>unmodified</status>
      <modifiedWord/>
      <trackRevisions>false</trackRevisions>
    </reviewItem>
    <reviewItem>
      <errorID>a1300d1a-fbf5-452e-871d-1540a3ec6a49</errorID>
      <errorWord>按照过程</errorWord>
      <group>L1_Word</group>
      <groupName>字词问题</groupName>
      <ability>L2_Typo</ability>
      <abilityName>字词错误</abilityName>
      <candidateList>
        <item>安装过程</item>
      </candidateList>
      <explain/>
      <paraID>682E9EA0</paraID>
      <start>77</start>
      <end>81</end>
      <status>unmodified</status>
      <modifiedWord/>
      <trackRevisions>false</trackRevisions>
    </reviewItem>
    <reviewItem>
      <errorID>0e855bd6-a750-4e65-bdce-6d02505762c8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7B8B527F</paraID>
      <start>0</start>
      <end>2</end>
      <status>unmodified</status>
      <modifiedWord/>
      <trackRevisions>false</trackRevisions>
    </reviewItem>
    <reviewItem>
      <errorID>aadc8433-7e8d-4502-bbbb-e0ed1861b20e</errorID>
      <errorWord>，</errorWord>
      <group>L1_Word</group>
      <groupName>字词问题</groupName>
      <ability>L2_Typo</ability>
      <abilityName>字词错误</abilityName>
      <candidateList>
        <item>，以</item>
      </candidateList>
      <explain/>
      <paraID>3049AF06</paraID>
      <start>26</start>
      <end>27</end>
      <status>unmodified</status>
      <modifiedWord/>
      <trackRevisions>false</trackRevisions>
    </reviewItem>
    <reviewItem>
      <errorID>4a017fc1-18b9-4c3e-8526-b8f6310e48fc</errorID>
      <errorWord>间</errorWord>
      <group>L1_Word</group>
      <groupName>字词问题</groupName>
      <ability>L2_Typo</ability>
      <abilityName>字词错误</abilityName>
      <candidateList>
        <item>间和</item>
      </candidateList>
      <explain/>
      <paraID>52E75B86</paraID>
      <start>37</start>
      <end>38</end>
      <status>unmodified</status>
      <modifiedWord/>
      <trackRevisions>false</trackRevisions>
    </reviewItem>
    <reviewItem>
      <errorID>c18964ac-e4f9-4750-b7e8-5a6c726577ac</errorID>
      <errorWord>按照过程</errorWord>
      <group>L1_Word</group>
      <groupName>字词问题</groupName>
      <ability>L2_Typo</ability>
      <abilityName>字词错误</abilityName>
      <candidateList>
        <item>安装过程</item>
      </candidateList>
      <explain/>
      <paraID>7C035ABD</paraID>
      <start>77</start>
      <end>81</end>
      <status>unmodified</status>
      <modifiedWord/>
      <trackRevisions>false</trackRevisions>
    </reviewItem>
    <reviewItem>
      <errorID>1ecff92e-c425-4daa-a289-cccc17cf3a1a</errorID>
      <errorWord>行</errorWord>
      <group>L1_Word</group>
      <groupName>字词问题</groupName>
      <ability>L2_Typo</ability>
      <abilityName>字词错误</abilityName>
      <candidateList>
        <item>行对</item>
      </candidateList>
      <explain/>
      <paraID> 840E282</paraID>
      <start>12</start>
      <end>13</end>
      <status>unmodified</status>
      <modifiedWord/>
      <trackRevisions>false</trackRevisions>
    </reviewItem>
    <reviewItem>
      <errorID>ee0d4848-bd56-4905-ae3a-3acfaa275d77</errorID>
      <errorWord>体体</errorWord>
      <group>L1_Word</group>
      <groupName>字词问题</groupName>
      <ability>L2_Typo</ability>
      <abilityName>字词错误</abilityName>
      <candidateList>
        <item>体</item>
      </candidateList>
      <explain/>
      <paraID>7412298E</paraID>
      <start>21</start>
      <end>22</end>
      <status>modified</status>
      <modifiedWord>体</modifiedWord>
      <trackRevisions>false</trackRevisions>
    </reviewItem>
    <reviewItem>
      <errorID>8b84010f-127f-4429-b938-fba77943b343</errorID>
      <errorWord>行</errorWord>
      <group>L1_Word</group>
      <groupName>字词问题</groupName>
      <ability>L2_Typo</ability>
      <abilityName>字词错误</abilityName>
      <candidateList>
        <item>行对</item>
      </candidateList>
      <explain/>
      <paraID>498C6B54</paraID>
      <start>12</start>
      <end>13</end>
      <status>unmodified</status>
      <modifiedWord/>
      <trackRevisions>false</trackRevisions>
    </reviewItem>
    <reviewItem>
      <errorID>42352acf-73e7-4fc9-9d42-ab6e7eca467f</errorID>
      <errorWord>、</errorWord>
      <group>L1_Word</group>
      <groupName>字词问题</groupName>
      <ability>L2_Typo</ability>
      <abilityName>字词错误</abilityName>
      <candidateList>
        <item>、有</item>
      </candidateList>
      <explain/>
      <paraID>7C7ED016</paraID>
      <start>56</start>
      <end>57</end>
      <status>unmodified</status>
      <modifiedWord/>
      <trackRevisions>false</trackRevisions>
    </reviewItem>
    <reviewItem>
      <errorID>47de8a41-2b22-414c-ae99-47d5419435d2</errorID>
      <errorWord>、</errorWord>
      <group>L1_Word</group>
      <groupName>字词问题</groupName>
      <ability>L2_Typo</ability>
      <abilityName>字词错误</abilityName>
      <candidateList>
        <item>、有</item>
      </candidateList>
      <explain/>
      <paraID>3DD65EF5</paraID>
      <start>22</start>
      <end>23</end>
      <status>unmodified</status>
      <modifiedWord/>
      <trackRevisions>false</trackRevisions>
    </reviewItem>
    <reviewItem>
      <errorID>5909a70e-3a8f-4da1-ae21-832bd2fa11a6</errorID>
      <errorWord>数</errorWord>
      <group>L1_Word</group>
      <groupName>字词问题</groupName>
      <ability>L2_Typo</ability>
      <abilityName>字词错误</abilityName>
      <candidateList>
        <item>数量</item>
      </candidateList>
      <explain/>
      <paraID>19F99CD8</paraID>
      <start>123</start>
      <end>124</end>
      <status>unmodified</status>
      <modifiedWord/>
      <trackRevisions>false</trackRevisions>
    </reviewItem>
    <reviewItem>
      <errorID>808fbbdc-3b5b-4409-90e6-be2ad737f259</errorID>
      <errorWord>、</errorWord>
      <group>L1_Word</group>
      <groupName>字词问题</groupName>
      <ability>L2_Typo</ability>
      <abilityName>字词错误</abilityName>
      <candidateList>
        <item>、有</item>
      </candidateList>
      <explain/>
      <paraID>5595915E</paraID>
      <start>37</start>
      <end>38</end>
      <status>unmodified</status>
      <modifiedWord/>
      <trackRevisions>false</trackRevisions>
    </reviewItem>
    <reviewItem>
      <errorID>2c67e51e-25d3-45e0-b3bb-f7b23b4d78ab</errorID>
      <errorWord>、</errorWord>
      <group>L1_Word</group>
      <groupName>字词问题</groupName>
      <ability>L2_Typo</ability>
      <abilityName>字词错误</abilityName>
      <candidateList>
        <item>、有</item>
      </candidateList>
      <explain/>
      <paraID>178680D4</paraID>
      <start>86</start>
      <end>87</end>
      <status>unmodified</status>
      <modifiedWord/>
      <trackRevisions>false</trackRevisions>
    </reviewItem>
    <reviewItem>
      <errorID>db436ea8-147c-4aaa-a9b6-58f6ebdcfc03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1BE5B40E</paraID>
      <start>16</start>
      <end>18</end>
      <status>unmodified</status>
      <modifiedWord/>
      <trackRevisions>false</trackRevisions>
    </reviewItem>
    <reviewItem>
      <errorID>4618c619-3391-4d46-b481-a961f424001e</errorID>
      <errorWord>余</errorWord>
      <group>L1_Word</group>
      <groupName>字词问题</groupName>
      <ability>L2_Typo</ability>
      <abilityName>字词错误</abilityName>
      <candidateList>
        <item>余有</item>
      </candidateList>
      <explain/>
      <paraID>5D935ABF</paraID>
      <start>69</start>
      <end>70</end>
      <status>unmodified</status>
      <modifiedWord/>
      <trackRevisions>false</trackRevisions>
    </reviewItem>
    <reviewItem>
      <errorID>52a5ef39-fca3-45b7-8a9a-eb21ff246be6</errorID>
      <errorWord>和</errorWord>
      <group>L1_Word</group>
      <groupName>字词问题</groupName>
      <ability>L2_Typo</ability>
      <abilityName>字词错误</abilityName>
      <candidateList>
        <item>和有</item>
      </candidateList>
      <explain/>
      <paraID>38BE7F64</paraID>
      <start>49</start>
      <end>50</end>
      <status>unmodified</status>
      <modifiedWord/>
      <trackRevisions>false</trackRevisions>
    </reviewItem>
    <reviewItem>
      <errorID>478f1834-7611-409f-9dba-9b8e6aff6d33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245A4838</paraID>
      <start>67</start>
      <end>69</end>
      <status>unmodified</status>
      <modifiedWord/>
      <trackRevisions>false</trackRevisions>
    </reviewItem>
    <reviewItem>
      <errorID>6a2c5173-cf35-48f0-9975-d26bdc72f902</errorID>
      <errorWord>，</errorWord>
      <group>L1_Word</group>
      <groupName>字词问题</groupName>
      <ability>L2_Typo</ability>
      <abilityName>字词错误</abilityName>
      <candidateList>
        <item>，具</item>
      </candidateList>
      <explain/>
      <paraID>6F7D1ECF</paraID>
      <start>47</start>
      <end>48</end>
      <status>unmodified</status>
      <modifiedWord/>
      <trackRevisions>false</trackRevisions>
    </reviewItem>
    <reviewItem>
      <errorID>cfa92bff-8715-44cd-a614-2aef8ec109ff</errorID>
      <errorWord>前</errorWord>
      <group>L1_Word</group>
      <groupName>字词问题</groupName>
      <ability>L2_Typo</ability>
      <abilityName>字词错误</abilityName>
      <candidateList>
        <item>见</item>
      </candidateList>
      <explain/>
      <paraID>67A5F89E</paraID>
      <start>7</start>
      <end>8</end>
      <status>unmodified</status>
      <modifiedWord/>
      <trackRevisions>false</trackRevisions>
    </reviewItem>
    <reviewItem>
      <errorID>c0dc34e3-5202-431d-a99b-e9b8780861f2</errorID>
      <errorWord>2025年05月</errorWord>
      <group>L1_Knowledge</group>
      <groupName>知识性问题</groupName>
      <ability>L2_Time</ability>
      <abilityName>日期时间</abilityName>
      <candidateList>
        <item>2025年5月</item>
      </candidateList>
      <explain>根据日常书写习惯，月份一般会省略前导零。</explain>
      <paraID>58136FF4</paraID>
      <start>11</start>
      <end>19</end>
      <status>unmodified</status>
      <modifiedWord/>
      <trackRevisions>false</trackRevisions>
    </reviewItem>
    <reviewItem>
      <errorID>edcab479-fb28-43f5-8b1f-cc810152d0d8</errorID>
      <errorWord>，</errorWord>
      <group>L1_Word</group>
      <groupName>字词问题</groupName>
      <ability>L2_Typo</ability>
      <abilityName>字词错误</abilityName>
      <candidateList>
        <item>，并</item>
      </candidateList>
      <explain/>
      <paraID> 8F8F415</paraID>
      <start>69</start>
      <end>70</end>
      <status>unmodified</status>
      <modifiedWord/>
      <trackRevisions>false</trackRevisions>
    </reviewItem>
    <reviewItem>
      <errorID>b0ef248d-2e41-416b-baab-e003dd3e2604</errorID>
      <errorWord>科学合理的</errorWord>
      <group>L1_Word</group>
      <groupName>字词问题</groupName>
      <ability>L2_Typo</ability>
      <abilityName>字词错误</abilityName>
      <candidateList>
        <item>科学合理</item>
      </candidateList>
      <explain/>
      <paraID> 933B1E8</paraID>
      <start>81</start>
      <end>86</end>
      <status>unmodified</status>
      <modifiedWord/>
      <trackRevisions>false</trackRevisions>
    </reviewItem>
    <reviewItem>
      <errorID>924c3eab-0e23-47fe-b5b5-080b4f971c29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76DE57E1</paraID>
      <start>107</start>
      <end>110</end>
      <status>unmodified</status>
      <modifiedWord/>
      <trackRevisions>false</trackRevisions>
    </reviewItem>
    <reviewItem>
      <errorID>e8e3e37a-b92f-4e99-b197-29e873202171</errorID>
      <errorWord>，</errorWord>
      <group>L1_Word</group>
      <groupName>字词问题</groupName>
      <ability>L2_Typo</ability>
      <abilityName>字词错误</abilityName>
      <candidateList>
        <item>，以</item>
      </candidateList>
      <explain/>
      <paraID>39372256</paraID>
      <start>26</start>
      <end>27</end>
      <status>unmodified</status>
      <modifiedWord/>
      <trackRevisions>false</trackRevisions>
    </reviewItem>
    <reviewItem>
      <errorID>48b3e9e7-8e27-4e55-9cab-e380bc554066</errorID>
      <errorWord>间</errorWord>
      <group>L1_Word</group>
      <groupName>字词问题</groupName>
      <ability>L2_Typo</ability>
      <abilityName>字词错误</abilityName>
      <candidateList>
        <item>间和</item>
      </candidateList>
      <explain/>
      <paraID>3FA9EECE</paraID>
      <start>37</start>
      <end>38</end>
      <status>unmodified</status>
      <modifiedWord/>
      <trackRevisions>false</trackRevisions>
    </reviewItem>
    <reviewItem>
      <errorID>92197176-deca-4633-a8c5-8505aa2bca0c</errorID>
      <errorWord>详实</errorWord>
      <group>L1_Word</group>
      <groupName>字词问题</groupName>
      <ability>L2_Typo</ability>
      <abilityName>字词错误</abilityName>
      <candidateList>
        <item>翔实</item>
      </candidateList>
      <explain/>
      <paraID> CE8CA18</paraID>
      <start>32</start>
      <end>34</end>
      <status>unmodified</status>
      <modifiedWord/>
      <trackRevisions>false</trackRevisions>
    </reviewItem>
    <reviewItem>
      <errorID>146cbc7f-a2b5-4b5e-8826-532abdb668db</errorID>
      <errorWord>详实</errorWord>
      <group>L1_Word</group>
      <groupName>字词问题</groupName>
      <ability>L2_Typo</ability>
      <abilityName>字词错误</abilityName>
      <candidateList>
        <item>翔实</item>
      </candidateList>
      <explain/>
      <paraID>4AFE6B6E</paraID>
      <start>173</start>
      <end>175</end>
      <status>unmodified</status>
      <modifiedWord/>
      <trackRevisions>false</trackRevisions>
    </reviewItem>
    <reviewItem>
      <errorID>700ac6d0-2c11-4d1d-b656-3e6c69bf8ce3</errorID>
      <errorWord>（</errorWord>
      <group>L1_Punc</group>
      <groupName>标点问题</groupName>
      <ability>L2_Punc</ability>
      <abilityName>标点符号检查</abilityName>
      <candidateList/>
      <explain>同一形式括号套用。</explain>
      <paraID>1DC916CD</paraID>
      <start>75</start>
      <end>76</end>
      <status>unmodified</status>
      <modifiedWord/>
      <trackRevisions>false</trackRevisions>
    </reviewItem>
    <reviewItem>
      <errorID>f3378c5c-dda8-4a1f-94a4-0de790615c4a</errorID>
      <errorWord>)</errorWord>
      <group>L1_Format</group>
      <groupName>格式问题</groupName>
      <ability>L2_HalfPunc</ability>
      <abilityName>全半角检查</abilityName>
      <candidateList>
        <item>）</item>
      </candidateList>
      <explain>文本全半角错误。</explain>
      <paraID>4F75F0DB</paraID>
      <start>26</start>
      <end>27</end>
      <status>modified</status>
      <modifiedWord>）</modifiedWord>
      <trackRevisions>false</trackRevisions>
    </reviewItem>
    <reviewItem>
      <errorID>730cc0bd-2d7e-40de-8e8c-c86338e75629</errorID>
      <errorWord>，…，</errorWord>
      <group>L1_Punc</group>
      <groupName>标点问题</groupName>
      <ability>L2_Punc</ability>
      <abilityName>标点符号检查</abilityName>
      <candidateList>
        <item>，</item>
      </candidateList>
      <explain/>
      <paraID>71C0260D</paraID>
      <start>14</start>
      <end>17</end>
      <status>unmodified</status>
      <modifiedWord/>
      <trackRevisions>false</trackRevisions>
    </reviewItem>
    <reviewItem>
      <errorID>280edeea-1d9a-4373-8c48-f1ca4914661a</errorID>
      <errorWord>，…，</errorWord>
      <group>L1_Punc</group>
      <groupName>标点问题</groupName>
      <ability>L2_Punc</ability>
      <abilityName>标点符号检查</abilityName>
      <candidateList>
        <item>，</item>
      </candidateList>
      <explain/>
      <paraID>5A40BEA3</paraID>
      <start>5</start>
      <end>8</end>
      <status>unmodified</status>
      <modifiedWord/>
      <trackRevisions>false</trackRevisions>
    </reviewItem>
    <reviewItem>
      <errorID>81a0701c-cba0-45a1-8c1f-d5efaf011ddc</errorID>
      <errorWord>提供应</errorWord>
      <group>L1_Word</group>
      <groupName>字词问题</groupName>
      <ability>L2_Typo</ability>
      <abilityName>字词错误</abilityName>
      <candidateList>
        <item>提供</item>
      </candidateList>
      <explain/>
      <paraID>1393D0A8</paraID>
      <start>74</start>
      <end>77</end>
      <status>unmodified</status>
      <modifiedWord/>
      <trackRevisions>false</trackRevisions>
    </reviewItem>
    <reviewItem>
      <errorID>bae656c1-73e5-42c5-a6f0-666cb0e57e4d</errorID>
      <errorWord>（</errorWord>
      <group>L1_Punc</group>
      <groupName>标点问题</groupName>
      <ability>L2_Punc</ability>
      <abilityName>标点符号检查</abilityName>
      <candidateList/>
      <explain>同一形式括号套用。</explain>
      <paraID>1393D0A8</paraID>
      <start>87</start>
      <end>88</end>
      <status>unmodified</status>
      <modifiedWord/>
      <trackRevisions>false</trackRevisions>
    </reviewItem>
    <reviewItem>
      <errorID>ca3c3982-e5eb-440a-a807-44d1cc205aaa</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450F4DF5</paraID>
      <start>1</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0ef7c6-9edd-4cfb-934f-06b44bc6642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98</Pages>
  <Words>16126</Words>
  <Characters>17529</Characters>
  <Lines>49</Lines>
  <Paragraphs>104</Paragraphs>
  <TotalTime>97</TotalTime>
  <ScaleCrop>false</ScaleCrop>
  <LinksUpToDate>false</LinksUpToDate>
  <CharactersWithSpaces>17693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2020-11-27T09:27:00Z</dcterms:created>
  <dc:creator>zhang weiming</dc:creator>
  <cp:lastModifiedBy>红叶</cp:lastModifiedBy>
  <cp:lastPrinted>2023-09-11T17:51:00Z</cp:lastPrinted>
  <dcterms:modified xsi:type="dcterms:W3CDTF">2026-06-25T09:43:40Z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DDE1DF6B07FF43A0AE8A84FEE541A2E1_13</vt:lpwstr>
  </property>
  <property fmtid="{D5CDD505-2E9C-101B-9397-08002B2CF9AE}" pid="4" name="KSOTemplateDocerSaveRecord">
    <vt:lpwstr>eyJoZGlkIjoiNTMyOGVlMzI3MjRhN2UwYWE2NjVkY2E5ZmM0ZWI5OGYiLCJ1c2VySWQiOiIxMDUxNzg0MDM1In0=</vt:lpwstr>
  </property>
</Properties>
</file>