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版本号：N511501202600015620260528001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宜宾市中央财政支持实施城市更新行动全过程跟踪及技术评估服务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N5115012026000156</w:t>
      </w:r>
    </w:p>
    <w:p>
      <w:pPr>
        <w:pStyle w:val="null3"/>
        <w:jc w:val="left"/>
        <w:outlineLvl w:val="2"/>
      </w:pPr>
      <w:r>
        <w:rPr>
          <w:rFonts w:ascii="仿宋_GB2312" w:hAnsi="仿宋_GB2312" w:cs="仿宋_GB2312" w:eastAsia="仿宋_GB2312"/>
          <w:sz w:val="28"/>
          <w:b/>
        </w:rPr>
        <w:t>宜宾市住房和城乡建设局</w:t>
      </w:r>
    </w:p>
    <w:p>
      <w:pPr>
        <w:pStyle w:val="null3"/>
        <w:jc w:val="center"/>
        <w:outlineLvl w:val="2"/>
      </w:pPr>
      <w:r>
        <w:rPr>
          <w:rFonts w:ascii="仿宋_GB2312" w:hAnsi="仿宋_GB2312" w:cs="仿宋_GB2312" w:eastAsia="仿宋_GB2312"/>
          <w:sz w:val="28"/>
          <w:b/>
        </w:rPr>
        <w:t>四川国信恒通项目管理有限公司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四川国信恒通项目管理有限公司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宜宾市住房和城乡建设局</w:t>
      </w:r>
      <w:r>
        <w:rPr>
          <w:rFonts w:ascii="仿宋_GB2312" w:hAnsi="仿宋_GB2312" w:cs="仿宋_GB2312" w:eastAsia="仿宋_GB2312"/>
        </w:rPr>
        <w:t xml:space="preserve"> 委托，拟对 </w:t>
      </w:r>
      <w:r>
        <w:rPr>
          <w:rFonts w:ascii="仿宋_GB2312" w:hAnsi="仿宋_GB2312" w:cs="仿宋_GB2312" w:eastAsia="仿宋_GB2312"/>
        </w:rPr>
        <w:t>宜宾市中央财政支持实施城市更新行动全过程跟踪及技术评估服务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宜宾市市本级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N5115012026000156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宜宾市中央财政支持实施城市更新行动全过程跟踪及技术评估服务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2025年，中共中央办公厅、国务院办公厅印发《关于持续推进城市更新行动的意见》，为新时期城市更新工作确立了总体方向。同年4月，财政部办公厅、住房城乡建设部办公厅出台《关于开展2025年度中央财政支持实施城市更新行动的通知》（财办建〔2025〕11号），宜宾市成功入选全国20个中央财政支持实施城市更新行动城市。为切实开展中央财政支持实施城市更新行动，宜宾市计划聘请第三方技术咨询服务单位，对中央财政支持实施城市更新行动工作进行全过程技术咨询。重点围绕城市生活污水管网全覆盖样板区及“厂网一体”运维示范区建设、老旧片区更新改造集中示范区建设、历史文化街区活化利用集中示范区建设等方向，进一步深化城市更新行动方案，完善项目储备和生成、资金安排和筹措、用地保障和审批等长效机制。力争通过三年行动，城市地下管网集约敷设水平和安全性稳步提高，生活污水收集处理效能显著提升，市政基础设施短板有效补齐，老旧片区宜居水平明显提升，形成可复制、可推广的经验和模式。</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具有行政主管部门颁发的城乡规划(国土空间规划)编制乙级及以上资质证书或城乡规划编制乙级及以上资质证书（若为联合体投标，联合体各方均须符合上述资质要求）（描述：投标人具有行政主管部门颁发的城乡规划(国土空间规划)编制乙级及以上资质证书或城乡规划编制乙级及以上资质证书（若为联合体投标，联合体各方均须符合上述资质要求）【投标人提供行政主管部门颁发的城乡规划(国土空间规划)编制乙级及以上资质证书扫描件（或复印件）或城乡规划编制乙级及以上资质证书扫描件（或复印件）并进行电子签章，若为联合体投标，提供联合体协议书，联合体各方均要提供满足要求的资质证书扫描件（或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宜宾市住房和城乡建设局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四川省宜宾市叙州区叙府路西段9号附件6号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644600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舒女士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0831-2379295</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四川国信恒通项目管理有限公司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四川省宜宾市叙州区柏溪街道城北新区展鹏投资大厦2号楼5层5-4号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644699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左先生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0831-6681518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采购包1：17,500,000.00元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代理服务费以采购预算金额作为计算基础，按收费标准（100万元以下：1.5%，100万元—500万元：0.8%，500万元—1000万元：0.45%，1000万元—5000万元：0.25%）采用差额定率累进法计算后×0.358向中标人收取31,500.00元（大写：叁万壹仟伍佰元整）。中标人在领取中标通知书时，一次性全额向招标代理机构交纳招标代理服务费。 收款单位：四川国信恒通项目管理有限公司宜宾分公司 开户银行：中国工商银行股份有限公司宜宾三角路支行 账 号：2314 5082 0910 0051 795</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宜宾市住房和城乡建设局</w:t>
      </w:r>
      <w:r>
        <w:rPr>
          <w:rFonts w:ascii="仿宋_GB2312" w:hAnsi="仿宋_GB2312" w:cs="仿宋_GB2312" w:eastAsia="仿宋_GB2312"/>
        </w:rPr>
        <w:t xml:space="preserve"> 和 </w:t>
      </w:r>
      <w:r>
        <w:rPr>
          <w:rFonts w:ascii="仿宋_GB2312" w:hAnsi="仿宋_GB2312" w:cs="仿宋_GB2312" w:eastAsia="仿宋_GB2312"/>
        </w:rPr>
        <w:t>四川国信恒通项目管理有限公司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宜宾市住房和城乡建设局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四川国信恒通项目管理有限公司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项目成果实行"分项验收、总体验收”相结合的方式。中标人交付约定的阶段技术服务成果给采购人后，可提出分项验收申请，全部服务内容完成后，提出总体验收申请，采购人组织验收</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 〕205号)、《政府采购需求管理办法》(财库〔2021〕22 号)及招标文件规定组织验收，最终验收方案以验收时采购人制定的验收方案为准。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按照本项目技术要求、服务内容要求、中标人的投标文件及承诺、合同约定进行验收。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按照本项目商务要求、中标人的投标文件及承诺、合同约定进行验收。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严格按照《财政部关于进一步加强政府采购需求和履约验收管理的指导意见》（财库〔2016〕205号）的要求及行业标准进行验收。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时如发现所提交的成果不符合标准及合同规定之情形者，采购人应做出详尽的现场记录，或由采购人和中标人双方签署备忘录，此现场记录或备忘录可用作补充、缺失和整改的有效证据，由此产生的时间延误与有关费用由中标人承担，验收期限相应顺延。</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宜宾市住房和城乡建设局</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四川国信恒通项目管理有限公司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四川国信恒通项目管理有限公司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联系人：舒女士</w:t>
      </w:r>
    </w:p>
    <w:p>
      <w:pPr>
        <w:pStyle w:val="null3"/>
        <w:jc w:val="left"/>
      </w:pPr>
      <w:r>
        <w:rPr>
          <w:rFonts w:ascii="仿宋_GB2312" w:hAnsi="仿宋_GB2312" w:cs="仿宋_GB2312" w:eastAsia="仿宋_GB2312"/>
        </w:rPr>
        <w:t>联系电话：0831-2379295</w:t>
      </w:r>
    </w:p>
    <w:p>
      <w:pPr>
        <w:pStyle w:val="null3"/>
        <w:jc w:val="left"/>
      </w:pPr>
      <w:r>
        <w:rPr>
          <w:rFonts w:ascii="仿宋_GB2312" w:hAnsi="仿宋_GB2312" w:cs="仿宋_GB2312" w:eastAsia="仿宋_GB2312"/>
        </w:rPr>
        <w:t>地址：四川省宜宾市叙州区叙府路西段9号附件6号</w:t>
      </w:r>
    </w:p>
    <w:p>
      <w:pPr>
        <w:pStyle w:val="null3"/>
        <w:jc w:val="left"/>
      </w:pPr>
      <w:r>
        <w:rPr>
          <w:rFonts w:ascii="仿宋_GB2312" w:hAnsi="仿宋_GB2312" w:cs="仿宋_GB2312" w:eastAsia="仿宋_GB2312"/>
        </w:rPr>
        <w:t>邮编：644600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联系人：唐女士</w:t>
      </w:r>
    </w:p>
    <w:p>
      <w:pPr>
        <w:pStyle w:val="null3"/>
        <w:jc w:val="left"/>
      </w:pPr>
      <w:r>
        <w:rPr>
          <w:rFonts w:ascii="仿宋_GB2312" w:hAnsi="仿宋_GB2312" w:cs="仿宋_GB2312" w:eastAsia="仿宋_GB2312"/>
        </w:rPr>
        <w:t>联系电话：0831-6681718</w:t>
      </w:r>
    </w:p>
    <w:p>
      <w:pPr>
        <w:pStyle w:val="null3"/>
        <w:jc w:val="left"/>
      </w:pPr>
      <w:r>
        <w:rPr>
          <w:rFonts w:ascii="仿宋_GB2312" w:hAnsi="仿宋_GB2312" w:cs="仿宋_GB2312" w:eastAsia="仿宋_GB2312"/>
        </w:rPr>
        <w:t>地址：四川省宜宾市叙州区柏溪街道城北新区展鹏投资大厦2号楼5层5-4号</w:t>
      </w:r>
    </w:p>
    <w:p>
      <w:pPr>
        <w:pStyle w:val="null3"/>
        <w:jc w:val="left"/>
      </w:pPr>
      <w:r>
        <w:rPr>
          <w:rFonts w:ascii="仿宋_GB2312" w:hAnsi="仿宋_GB2312" w:cs="仿宋_GB2312" w:eastAsia="仿宋_GB2312"/>
        </w:rPr>
        <w:t>邮编：644699</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17,500,000.00</w:t>
      </w:r>
    </w:p>
    <w:p>
      <w:pPr>
        <w:pStyle w:val="null3"/>
        <w:jc w:val="left"/>
      </w:pPr>
      <w:r>
        <w:rPr>
          <w:rFonts w:ascii="仿宋_GB2312" w:hAnsi="仿宋_GB2312" w:cs="仿宋_GB2312" w:eastAsia="仿宋_GB2312"/>
        </w:rPr>
        <w:t>采购包最高限价（元）: 17,500,000.00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宜宾市中央财政支持实施城市更新行动全过程跟踪及技术评估服务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17,500,000.00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宜宾市中央财政支持实施城市更新行动全过程跟踪及技术评估服务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17,500,000.00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标的名称：宜宾市中央财政支持实施城市更新行动全过程跟踪及技术评估服务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宜宾市中央财政支持实施城市更新行动全过程跟踪及技术评估服务内容及要求</w:t>
            </w:r>
          </w:p>
        </w:tc>
        <w:tc>
          <w:tcPr>
            <w:tcW w:type="dxa" w:w="5814"/>
          </w:tcPr>
          <w:p>
            <w:pPr>
              <w:pStyle w:val="null3"/>
              <w:ind w:firstLine="240"/>
              <w:jc w:val="left"/>
            </w:pPr>
            <w:r>
              <w:rPr>
                <w:rFonts w:ascii="仿宋_GB2312" w:hAnsi="仿宋_GB2312" w:cs="仿宋_GB2312" w:eastAsia="仿宋_GB2312"/>
                <w:sz w:val="24"/>
                <w:shd w:fill="FFFFFF" w:val="clear"/>
              </w:rPr>
              <w:t>本项目服务内容主要包括</w:t>
            </w:r>
            <w:r>
              <w:rPr>
                <w:rFonts w:ascii="仿宋_GB2312" w:hAnsi="仿宋_GB2312" w:cs="仿宋_GB2312" w:eastAsia="仿宋_GB2312"/>
                <w:sz w:val="24"/>
                <w:shd w:fill="FFFFFF" w:val="clear"/>
              </w:rPr>
              <w:t>编制深化宜宾市城市更新行动实施方案</w:t>
            </w:r>
            <w:r>
              <w:rPr>
                <w:rFonts w:ascii="仿宋_GB2312" w:hAnsi="仿宋_GB2312" w:cs="仿宋_GB2312" w:eastAsia="仿宋_GB2312"/>
                <w:sz w:val="24"/>
                <w:shd w:fill="FFFFFF" w:val="clear"/>
              </w:rPr>
              <w:t>、开展宜宾市城市更新行动全过程技术咨询、建设成效技术评估以及其他日常服务，具体如下：</w:t>
            </w:r>
          </w:p>
          <w:p>
            <w:pPr>
              <w:pStyle w:val="null3"/>
              <w:ind w:firstLine="241"/>
              <w:jc w:val="left"/>
            </w:pPr>
            <w:r>
              <w:rPr>
                <w:rFonts w:ascii="仿宋_GB2312" w:hAnsi="仿宋_GB2312" w:cs="仿宋_GB2312" w:eastAsia="仿宋_GB2312"/>
                <w:sz w:val="24"/>
                <w:b/>
                <w:shd w:fill="FFFFFF" w:val="clear"/>
              </w:rPr>
              <w:t>（一）编制深化宜宾市城市更新行动实施技术报告</w:t>
            </w:r>
          </w:p>
          <w:p>
            <w:pPr>
              <w:pStyle w:val="null3"/>
              <w:ind w:firstLine="240"/>
              <w:jc w:val="left"/>
            </w:pPr>
            <w:r>
              <w:rPr>
                <w:rFonts w:ascii="仿宋_GB2312" w:hAnsi="仿宋_GB2312" w:cs="仿宋_GB2312" w:eastAsia="仿宋_GB2312"/>
                <w:sz w:val="24"/>
                <w:shd w:fill="FFFFFF" w:val="clear"/>
              </w:rPr>
              <w:t>1、根据相关要求编制深化宜宾市城市更新行动技术报告，配合采购人对方案进行及时优化和动态调整，技术报告重点聚焦宜宾市翠屏老城样板区、柏溪老城样板区、南溪东门古城样板区及南岸污水管网全覆盖样板区等重点片区，围绕城市地下管网更新改造、“厂网一体”建设、市政基础设施补短板、既有片区更新改造等方面，针对宜宾市该阶段城市更新面临的问题进行分析，并提出针对性措施和建设计划等，编制内容不限于：城市更新建设现状、重点问题分析、总体思路和目标、建设方案、机制建设、实施计划和保障措施等。</w:t>
            </w:r>
          </w:p>
          <w:p>
            <w:pPr>
              <w:pStyle w:val="null3"/>
              <w:ind w:firstLine="240"/>
              <w:jc w:val="left"/>
            </w:pPr>
            <w:r>
              <w:rPr>
                <w:rFonts w:ascii="仿宋_GB2312" w:hAnsi="仿宋_GB2312" w:cs="仿宋_GB2312" w:eastAsia="仿宋_GB2312"/>
                <w:sz w:val="24"/>
                <w:shd w:fill="FFFFFF" w:val="clear"/>
              </w:rPr>
              <w:t>2、编制成果：宜宾市城市更新行动（2025-2027年）实施技术报告。</w:t>
            </w:r>
          </w:p>
          <w:p>
            <w:pPr>
              <w:pStyle w:val="null3"/>
              <w:ind w:firstLine="241"/>
              <w:jc w:val="left"/>
            </w:pPr>
            <w:r>
              <w:rPr>
                <w:rFonts w:ascii="仿宋_GB2312" w:hAnsi="仿宋_GB2312" w:cs="仿宋_GB2312" w:eastAsia="仿宋_GB2312"/>
                <w:sz w:val="24"/>
                <w:b/>
                <w:shd w:fill="FFFFFF" w:val="clear"/>
              </w:rPr>
              <w:t>（二）开展宜宾市城市更新行动全过程技术咨询工作</w:t>
            </w:r>
          </w:p>
          <w:p>
            <w:pPr>
              <w:pStyle w:val="null3"/>
              <w:ind w:firstLine="240"/>
              <w:jc w:val="left"/>
            </w:pPr>
            <w:r>
              <w:rPr>
                <w:rFonts w:ascii="仿宋_GB2312" w:hAnsi="仿宋_GB2312" w:cs="仿宋_GB2312" w:eastAsia="仿宋_GB2312"/>
                <w:sz w:val="24"/>
                <w:shd w:fill="FFFFFF" w:val="clear"/>
              </w:rPr>
              <w:t>1、协助统筹推进城市更新行动工作：</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对国家、四川省对城市更新、完整社区、污水管网全覆盖样板区建设、城市内涝、海绵城市等涉及城市更新指标体系的最新要求和相关政策文件进行解读，并结合宜宾市工作推进情况，提出相关工作建议。协助采购人统筹宜宾市中心城区城市更新行动工作，发挥技术团队的顶层设计、系统统筹、总体把控的专业技术优势和综合协调统筹能力，协助建立片区化、系统化推进城市更新行动的工作体系。通过多专业融合，将宜宾市中心城区城市更新、地下管网更新改造、污水治理、排水防涝等相关工作有效衔接，统筹推进城市更新行动工作，协助编制宜宾市城市更新行动年度工作计划，明确年度目标和重点任务，协助优化更新行动项目库，同时对工作计划中主要工作内容进行动态跟踪，及时反馈相关问题，确保城市更新行动工作高效推进。</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2）编制成果：宜宾市城市更新行动相关工作技术咨询意见、宜宾市城市更新行动年度工作技术方案等。</w:t>
            </w:r>
          </w:p>
          <w:p>
            <w:pPr>
              <w:pStyle w:val="null3"/>
              <w:ind w:firstLine="240"/>
              <w:jc w:val="left"/>
            </w:pPr>
            <w:r>
              <w:rPr>
                <w:rFonts w:ascii="仿宋_GB2312" w:hAnsi="仿宋_GB2312" w:cs="仿宋_GB2312" w:eastAsia="仿宋_GB2312"/>
                <w:sz w:val="24"/>
                <w:shd w:fill="FFFFFF" w:val="clear"/>
              </w:rPr>
              <w:t>2、协助建立宜宾市城市更新长效机制：</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w:t>
            </w:r>
            <w:r>
              <w:rPr>
                <w:rFonts w:ascii="仿宋_GB2312" w:hAnsi="仿宋_GB2312" w:cs="仿宋_GB2312" w:eastAsia="仿宋_GB2312"/>
                <w:sz w:val="24"/>
                <w:shd w:fill="FFFFFF" w:val="clear"/>
              </w:rPr>
              <w:t>协助制定</w:t>
            </w:r>
            <w:r>
              <w:rPr>
                <w:rFonts w:ascii="仿宋_GB2312" w:hAnsi="仿宋_GB2312" w:cs="仿宋_GB2312" w:eastAsia="仿宋_GB2312"/>
                <w:sz w:val="24"/>
                <w:shd w:fill="FFFFFF" w:val="clear"/>
              </w:rPr>
              <w:t>宜宾市</w:t>
            </w:r>
            <w:r>
              <w:rPr>
                <w:rFonts w:ascii="仿宋_GB2312" w:hAnsi="仿宋_GB2312" w:cs="仿宋_GB2312" w:eastAsia="仿宋_GB2312"/>
                <w:sz w:val="24"/>
                <w:shd w:fill="FFFFFF" w:val="clear"/>
              </w:rPr>
              <w:t>城市更新行动长效机制文件，</w:t>
            </w:r>
            <w:r>
              <w:rPr>
                <w:rFonts w:ascii="仿宋_GB2312" w:hAnsi="仿宋_GB2312" w:cs="仿宋_GB2312" w:eastAsia="仿宋_GB2312"/>
                <w:sz w:val="24"/>
                <w:shd w:fill="FFFFFF" w:val="clear"/>
              </w:rPr>
              <w:t>建立城市更新</w:t>
            </w:r>
            <w:r>
              <w:rPr>
                <w:rFonts w:ascii="仿宋_GB2312" w:hAnsi="仿宋_GB2312" w:cs="仿宋_GB2312" w:eastAsia="仿宋_GB2312"/>
                <w:sz w:val="24"/>
                <w:shd w:fill="FFFFFF" w:val="clear"/>
              </w:rPr>
              <w:t>项目储备</w:t>
            </w:r>
            <w:r>
              <w:rPr>
                <w:rFonts w:ascii="仿宋_GB2312" w:hAnsi="仿宋_GB2312" w:cs="仿宋_GB2312" w:eastAsia="仿宋_GB2312"/>
                <w:sz w:val="24"/>
                <w:shd w:fill="FFFFFF" w:val="clear"/>
              </w:rPr>
              <w:t>和生成机制、资金安排和筹措机制、用地保障和审批机制等，制定</w:t>
            </w:r>
            <w:r>
              <w:rPr>
                <w:rFonts w:ascii="仿宋_GB2312" w:hAnsi="仿宋_GB2312" w:cs="仿宋_GB2312" w:eastAsia="仿宋_GB2312"/>
                <w:sz w:val="24"/>
                <w:shd w:fill="FFFFFF" w:val="clear"/>
              </w:rPr>
              <w:t>4-5 次补助资金分配方案。服务期内围绕城市更新技术标准开展不少于 3 项城市更新机制相关的技术研究。</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2）编制成果：宜宾市城市更新相关机制建立的技术咨询报告汇编等</w:t>
            </w:r>
          </w:p>
          <w:p>
            <w:pPr>
              <w:pStyle w:val="null3"/>
              <w:ind w:firstLine="240"/>
              <w:jc w:val="left"/>
            </w:pPr>
            <w:r>
              <w:rPr>
                <w:rFonts w:ascii="仿宋_GB2312" w:hAnsi="仿宋_GB2312" w:cs="仿宋_GB2312" w:eastAsia="仿宋_GB2312"/>
                <w:sz w:val="24"/>
                <w:shd w:fill="FFFFFF" w:val="clear"/>
              </w:rPr>
              <w:t>3、协助城市更新行动项目全过程技术服务：</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1）协助对城市更新样板区方案和项目库城市更新项目进行全过程技术服务，及时跟踪项目情况，开展现场技术服务，对发现的问题及时反馈并提出意见建议。</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2）编制成果：宜宾市城市更新行动项目咨询技术报告等。</w:t>
            </w:r>
          </w:p>
          <w:p>
            <w:pPr>
              <w:pStyle w:val="null3"/>
              <w:ind w:firstLine="240"/>
              <w:jc w:val="left"/>
            </w:pPr>
            <w:r>
              <w:rPr>
                <w:rFonts w:ascii="仿宋_GB2312" w:hAnsi="仿宋_GB2312" w:cs="仿宋_GB2312" w:eastAsia="仿宋_GB2312"/>
                <w:sz w:val="24"/>
                <w:shd w:fill="FFFFFF" w:val="clear"/>
              </w:rPr>
              <w:t>4、协助推进宜宾市城市更新立法工作：</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协助宜宾市开展城市更新立法工作，按照地方立法程序推进：编制完成宜宾市城市更新条例初稿，经征求意见、论证听证、公平竞争审查及合法性审查后，形成送审稿，配合采购人完成市人大和省人大审议工作。</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2）编制成果：宜宾市城市更新条例相关材料汇编。</w:t>
            </w:r>
          </w:p>
          <w:p>
            <w:pPr>
              <w:pStyle w:val="null3"/>
              <w:ind w:firstLine="240"/>
              <w:jc w:val="left"/>
            </w:pPr>
            <w:r>
              <w:rPr>
                <w:rFonts w:ascii="仿宋_GB2312" w:hAnsi="仿宋_GB2312" w:cs="仿宋_GB2312" w:eastAsia="仿宋_GB2312"/>
                <w:sz w:val="24"/>
                <w:shd w:fill="FFFFFF" w:val="clear"/>
              </w:rPr>
              <w:t>5、编制宜宾市城市更新相关技术标准：</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1）针对宜宾市城市更新建设推进过程中存在的难点，形成规范化、标准化的实施技术指引，制定宜宾市城市更新技术导则等技术标准。</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2）编制成果：《宜宾市城市更新技术导则》《宜宾市城市更新操作手册》。</w:t>
            </w:r>
          </w:p>
          <w:p>
            <w:pPr>
              <w:pStyle w:val="null3"/>
              <w:ind w:firstLine="241"/>
              <w:jc w:val="left"/>
            </w:pPr>
            <w:r>
              <w:rPr>
                <w:rFonts w:ascii="仿宋_GB2312" w:hAnsi="仿宋_GB2312" w:cs="仿宋_GB2312" w:eastAsia="仿宋_GB2312"/>
                <w:sz w:val="24"/>
                <w:b/>
                <w:shd w:fill="FFFFFF" w:val="clear"/>
              </w:rPr>
              <w:t>（三）开展宜宾市城市更新行动成效技术评估工作</w:t>
            </w:r>
          </w:p>
          <w:p>
            <w:pPr>
              <w:pStyle w:val="null3"/>
              <w:ind w:firstLine="240"/>
              <w:jc w:val="left"/>
            </w:pPr>
            <w:r>
              <w:rPr>
                <w:rFonts w:ascii="仿宋_GB2312" w:hAnsi="仿宋_GB2312" w:cs="仿宋_GB2312" w:eastAsia="仿宋_GB2312"/>
                <w:sz w:val="24"/>
                <w:shd w:fill="FFFFFF" w:val="clear"/>
              </w:rPr>
              <w:t>1、协助开展对各区的城市更新行动成效技术评估工作：</w:t>
            </w:r>
          </w:p>
          <w:p>
            <w:pPr>
              <w:pStyle w:val="null3"/>
              <w:ind w:firstLine="240"/>
              <w:jc w:val="left"/>
            </w:pPr>
            <w:r>
              <w:rPr>
                <w:rFonts w:ascii="仿宋_GB2312" w:hAnsi="仿宋_GB2312" w:cs="仿宋_GB2312" w:eastAsia="仿宋_GB2312"/>
                <w:sz w:val="24"/>
                <w:shd w:fill="FFFFFF" w:val="clear"/>
              </w:rPr>
              <w:t>协助采购人按照相关文件要求，制定评估方案并通过资料和现场复核的方式进行成效评估。</w:t>
            </w:r>
          </w:p>
          <w:p>
            <w:pPr>
              <w:pStyle w:val="null3"/>
              <w:ind w:firstLine="240"/>
              <w:jc w:val="left"/>
            </w:pPr>
            <w:r>
              <w:rPr>
                <w:rFonts w:ascii="仿宋_GB2312" w:hAnsi="仿宋_GB2312" w:cs="仿宋_GB2312" w:eastAsia="仿宋_GB2312"/>
                <w:sz w:val="24"/>
                <w:shd w:fill="FFFFFF" w:val="clear"/>
              </w:rPr>
              <w:t>2、协助开展年度中央财政支持城市更新行动实施效果技术评估工作：</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1）按照相关文件要求，编制中央财政支持城市更新行动年度实施效果技术评估报告，并做好相关材料的技术准备工作。</w:t>
            </w:r>
          </w:p>
          <w:p>
            <w:pPr>
              <w:pStyle w:val="null3"/>
              <w:ind w:firstLine="240"/>
              <w:jc w:val="left"/>
            </w:pPr>
            <w:r>
              <w:rPr>
                <w:rFonts w:ascii="仿宋_GB2312" w:hAnsi="仿宋_GB2312" w:cs="仿宋_GB2312" w:eastAsia="仿宋_GB2312"/>
                <w:sz w:val="24"/>
                <w:shd w:fill="FFFFFF" w:val="clear"/>
              </w:rPr>
              <w:t>（2）结合模型等技术手段，对宜宾市中心城区内涝积水情况进行分析研究</w:t>
            </w:r>
            <w:r>
              <w:rPr>
                <w:rFonts w:ascii="仿宋_GB2312" w:hAnsi="仿宋_GB2312" w:cs="仿宋_GB2312" w:eastAsia="仿宋_GB2312"/>
                <w:sz w:val="24"/>
                <w:shd w:fill="FFFFFF" w:val="clear"/>
              </w:rPr>
              <w:t>。</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3</w:t>
            </w:r>
            <w:r>
              <w:rPr>
                <w:rFonts w:ascii="仿宋_GB2312" w:hAnsi="仿宋_GB2312" w:cs="仿宋_GB2312" w:eastAsia="仿宋_GB2312"/>
                <w:sz w:val="24"/>
                <w:shd w:fill="FFFFFF" w:val="clear"/>
              </w:rPr>
              <w:t>）编制成果：宜宾市城市更新行动年度实施效果技术评估报告</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宜宾市中心城区内涝积水技术分析报告</w:t>
            </w:r>
            <w:r>
              <w:rPr>
                <w:rFonts w:ascii="仿宋_GB2312" w:hAnsi="仿宋_GB2312" w:cs="仿宋_GB2312" w:eastAsia="仿宋_GB2312"/>
                <w:sz w:val="24"/>
                <w:shd w:fill="FFFFFF" w:val="clear"/>
              </w:rPr>
              <w:t>及相关材料汇编等</w:t>
            </w:r>
            <w:r>
              <w:rPr>
                <w:rFonts w:ascii="仿宋_GB2312" w:hAnsi="仿宋_GB2312" w:cs="仿宋_GB2312" w:eastAsia="仿宋_GB2312"/>
                <w:sz w:val="24"/>
                <w:shd w:fill="FFFFFF" w:val="clear"/>
              </w:rPr>
              <w:t>。</w:t>
            </w:r>
          </w:p>
          <w:p>
            <w:pPr>
              <w:pStyle w:val="null3"/>
              <w:ind w:firstLine="240"/>
              <w:jc w:val="left"/>
            </w:pPr>
            <w:r>
              <w:rPr>
                <w:rFonts w:ascii="仿宋_GB2312" w:hAnsi="仿宋_GB2312" w:cs="仿宋_GB2312" w:eastAsia="仿宋_GB2312"/>
                <w:sz w:val="24"/>
                <w:shd w:fill="FFFFFF" w:val="clear"/>
              </w:rPr>
              <w:t>3、协助完成重点项目成效评估现场调研准备工作：</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1）按照相关文件要求，协助做好城市更新行动重点项目成效评估现场调研准备工作。</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2）编制成果：宜宾市城市更新行动重点项目成效评估现场调研相关技术报告汇编等。</w:t>
            </w:r>
          </w:p>
          <w:p>
            <w:pPr>
              <w:pStyle w:val="null3"/>
              <w:ind w:firstLine="240"/>
              <w:jc w:val="left"/>
            </w:pPr>
            <w:r>
              <w:rPr>
                <w:rFonts w:ascii="仿宋_GB2312" w:hAnsi="仿宋_GB2312" w:cs="仿宋_GB2312" w:eastAsia="仿宋_GB2312"/>
                <w:sz w:val="24"/>
                <w:shd w:fill="FFFFFF" w:val="clear"/>
              </w:rPr>
              <w:t>4、协助完成城市更新行动经验总结提炼工作：</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1）针对宜宾市城市更新行动总体推进情况、项目建设情况进行全面梳理，协助总结提炼宜宾市城市更新典型做法、典型案例等。</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2）编制成果：宜宾市城市更新行动经验总结提炼和典型案例相关资料汇编等。</w:t>
            </w:r>
          </w:p>
          <w:p>
            <w:pPr>
              <w:pStyle w:val="null3"/>
              <w:ind w:firstLine="240"/>
              <w:jc w:val="left"/>
            </w:pPr>
            <w:r>
              <w:rPr>
                <w:rFonts w:ascii="仿宋_GB2312" w:hAnsi="仿宋_GB2312" w:cs="仿宋_GB2312" w:eastAsia="仿宋_GB2312"/>
                <w:sz w:val="24"/>
                <w:b/>
                <w:shd w:fill="FFFFFF" w:val="clear"/>
              </w:rPr>
              <w:t>（四）开展宜宾市城市更新宣传、培训和日常技术服务工作</w:t>
            </w:r>
          </w:p>
          <w:p>
            <w:pPr>
              <w:pStyle w:val="null3"/>
              <w:ind w:firstLine="240"/>
              <w:jc w:val="left"/>
            </w:pPr>
            <w:r>
              <w:rPr>
                <w:rFonts w:ascii="仿宋_GB2312" w:hAnsi="仿宋_GB2312" w:cs="仿宋_GB2312" w:eastAsia="仿宋_GB2312"/>
                <w:sz w:val="24"/>
                <w:shd w:fill="FFFFFF" w:val="clear"/>
              </w:rPr>
              <w:t>1、协助开展城市更新行动公众参与和宣传工作：</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1）协助采购人通过调查问卷、微信公众号等多种方式，开展城市更新行动的公众调查和群众满意度调查。</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2）编制成果：宜宾市城市更新行动公众调查和群众满意度调查报告</w:t>
            </w:r>
          </w:p>
          <w:p>
            <w:pPr>
              <w:pStyle w:val="null3"/>
              <w:ind w:firstLine="240"/>
              <w:jc w:val="left"/>
            </w:pPr>
            <w:r>
              <w:rPr>
                <w:rFonts w:ascii="仿宋_GB2312" w:hAnsi="仿宋_GB2312" w:cs="仿宋_GB2312" w:eastAsia="仿宋_GB2312"/>
                <w:sz w:val="24"/>
                <w:shd w:fill="FFFFFF" w:val="clear"/>
              </w:rPr>
              <w:t>2、协助开展相关培训工作：</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1）协助开展城市更新相关培训工作，切实提升基层工作人员的专业素养和实操能力，为城市更新行动提供坚实的人才保障，每年不少于2次。</w:t>
            </w:r>
          </w:p>
          <w:p>
            <w:pPr>
              <w:pStyle w:val="null3"/>
              <w:ind w:firstLine="240"/>
              <w:jc w:val="left"/>
            </w:pP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2）编制成果：宜宾市城市更新行动相关培训工作资料汇编等</w:t>
            </w:r>
          </w:p>
          <w:p>
            <w:pPr>
              <w:pStyle w:val="null3"/>
              <w:ind w:firstLine="240"/>
              <w:jc w:val="left"/>
            </w:pPr>
            <w:r>
              <w:rPr>
                <w:rFonts w:ascii="仿宋_GB2312" w:hAnsi="仿宋_GB2312" w:cs="仿宋_GB2312" w:eastAsia="仿宋_GB2312"/>
                <w:sz w:val="24"/>
                <w:shd w:fill="FFFFFF" w:val="clear"/>
              </w:rPr>
              <w:t>3、日常技术服务工作：</w:t>
            </w:r>
          </w:p>
          <w:p>
            <w:pPr>
              <w:pStyle w:val="null3"/>
              <w:ind w:firstLine="240"/>
              <w:jc w:val="left"/>
            </w:pPr>
            <w:r>
              <w:rPr>
                <w:rFonts w:ascii="仿宋_GB2312" w:hAnsi="仿宋_GB2312" w:cs="仿宋_GB2312" w:eastAsia="仿宋_GB2312"/>
                <w:sz w:val="24"/>
              </w:rPr>
              <w:t>协助采购人对各部门提交的城市更新行动相关的工作成果，开展科学合理性、指标可达性技术核实。协助城市更新行动专班开展日常工作，并参加相关工作会议，提供相关专业技术咨询意见，以及其他与城市更新行动相关的沟通对接工作</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成果要求</w:t>
            </w:r>
          </w:p>
        </w:tc>
        <w:tc>
          <w:tcPr>
            <w:tcW w:type="dxa" w:w="5814"/>
          </w:tcPr>
          <w:p>
            <w:pPr>
              <w:pStyle w:val="null3"/>
              <w:ind w:firstLine="240"/>
              <w:jc w:val="both"/>
            </w:pPr>
            <w:r>
              <w:rPr>
                <w:rFonts w:ascii="仿宋_GB2312" w:hAnsi="仿宋_GB2312" w:cs="仿宋_GB2312" w:eastAsia="仿宋_GB2312"/>
                <w:sz w:val="24"/>
              </w:rPr>
              <w:t>1、成果要求：</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1）宜宾市城市更新行动（2025-2027年）实施技术报告；</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2）宜宾市城市更新行动相关工作技术咨询意见汇编；</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3）宜宾市城市更新行动年度工作技术方案；</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4）宜宾市城市更新行动项目技术咨询报告汇编；</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5）宜宾市城市更新相关机制建立的技术咨询报告汇编等；</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6）宜宾市城市更新条例相关技术材料汇编；</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7）《宜宾市城市更新技术导则》；</w:t>
            </w:r>
          </w:p>
          <w:p>
            <w:pPr>
              <w:pStyle w:val="null3"/>
              <w:ind w:firstLine="240"/>
              <w:jc w:val="both"/>
            </w:pPr>
            <w:r>
              <w:rPr>
                <w:rFonts w:ascii="仿宋_GB2312" w:hAnsi="仿宋_GB2312" w:cs="仿宋_GB2312" w:eastAsia="仿宋_GB2312"/>
                <w:sz w:val="24"/>
              </w:rPr>
              <w:t>（8）宜宾市城市更新行动年度实施效果技术评估报告及相关材料汇编等；</w:t>
            </w:r>
          </w:p>
          <w:p>
            <w:pPr>
              <w:pStyle w:val="null3"/>
              <w:ind w:firstLine="240"/>
              <w:jc w:val="both"/>
            </w:pPr>
            <w:r>
              <w:rPr>
                <w:rFonts w:ascii="仿宋_GB2312" w:hAnsi="仿宋_GB2312" w:cs="仿宋_GB2312" w:eastAsia="仿宋_GB2312"/>
                <w:sz w:val="24"/>
              </w:rPr>
              <w:t>（9）宜宾市中心城区内涝积水技术分析报告；</w:t>
            </w:r>
          </w:p>
          <w:p>
            <w:pPr>
              <w:pStyle w:val="null3"/>
              <w:ind w:firstLine="240"/>
              <w:jc w:val="both"/>
            </w:pPr>
            <w:r>
              <w:rPr>
                <w:rFonts w:ascii="仿宋_GB2312" w:hAnsi="仿宋_GB2312" w:cs="仿宋_GB2312" w:eastAsia="仿宋_GB2312"/>
                <w:sz w:val="24"/>
              </w:rPr>
              <w:t>（10）宜宾市城市更新行动经验总结提炼和典型案例相关资料汇编；</w:t>
            </w:r>
          </w:p>
          <w:p>
            <w:pPr>
              <w:pStyle w:val="null3"/>
              <w:ind w:firstLine="240"/>
              <w:jc w:val="both"/>
            </w:pPr>
            <w:r>
              <w:rPr>
                <w:rFonts w:ascii="仿宋_GB2312" w:hAnsi="仿宋_GB2312" w:cs="仿宋_GB2312" w:eastAsia="仿宋_GB2312"/>
                <w:sz w:val="24"/>
              </w:rPr>
              <w:t>（</w:t>
            </w:r>
            <w:r>
              <w:rPr>
                <w:rFonts w:ascii="仿宋_GB2312" w:hAnsi="仿宋_GB2312" w:cs="仿宋_GB2312" w:eastAsia="仿宋_GB2312"/>
                <w:sz w:val="24"/>
              </w:rPr>
              <w:t>11）宜宾市城市更新行动公众调查和群众满意度调查报告；</w:t>
            </w:r>
          </w:p>
          <w:p>
            <w:pPr>
              <w:pStyle w:val="null3"/>
              <w:ind w:firstLine="240"/>
              <w:jc w:val="both"/>
            </w:pPr>
            <w:r>
              <w:rPr>
                <w:rFonts w:ascii="仿宋_GB2312" w:hAnsi="仿宋_GB2312" w:cs="仿宋_GB2312" w:eastAsia="仿宋_GB2312"/>
                <w:sz w:val="24"/>
              </w:rPr>
              <w:t>（12）宜宾市城市更新行动技术培训工作资料汇编。</w:t>
            </w:r>
          </w:p>
          <w:p>
            <w:pPr>
              <w:pStyle w:val="null3"/>
              <w:ind w:firstLine="240"/>
              <w:jc w:val="both"/>
            </w:pPr>
            <w:r>
              <w:rPr>
                <w:rFonts w:ascii="仿宋_GB2312" w:hAnsi="仿宋_GB2312" w:cs="仿宋_GB2312" w:eastAsia="仿宋_GB2312"/>
                <w:sz w:val="24"/>
              </w:rPr>
              <w:t>2、提供以上各成果纸质版1套及电子版1套。成果文件需满足相关政</w:t>
            </w:r>
            <w:r>
              <w:rPr>
                <w:rFonts w:ascii="仿宋_GB2312" w:hAnsi="仿宋_GB2312" w:cs="仿宋_GB2312" w:eastAsia="仿宋_GB2312"/>
                <w:sz w:val="24"/>
              </w:rPr>
              <w:t>策及采购文件要求，</w:t>
            </w:r>
            <w:r>
              <w:rPr>
                <w:rFonts w:ascii="仿宋_GB2312" w:hAnsi="仿宋_GB2312" w:cs="仿宋_GB2312" w:eastAsia="仿宋_GB2312"/>
                <w:sz w:val="24"/>
              </w:rPr>
              <w:t>且经采购人评审通过。</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240"/>
              <w:jc w:val="both"/>
            </w:pPr>
            <w:r>
              <w:rPr>
                <w:rFonts w:ascii="仿宋_GB2312" w:hAnsi="仿宋_GB2312" w:cs="仿宋_GB2312" w:eastAsia="仿宋_GB2312"/>
                <w:sz w:val="24"/>
              </w:rPr>
              <w:t>1、此项工作数据属于保密数据，工作过程中必须严格按照国家保密工作规程操作，以保障对整个工作成果及接触到的相关工作资料进行保密。在项目实施过程中及项目实施完毕后中标人不能留有数据的任何复制产品。</w:t>
            </w:r>
          </w:p>
          <w:p>
            <w:pPr>
              <w:pStyle w:val="null3"/>
              <w:ind w:firstLine="240"/>
              <w:jc w:val="both"/>
            </w:pPr>
            <w:r>
              <w:rPr>
                <w:rFonts w:ascii="仿宋_GB2312" w:hAnsi="仿宋_GB2312" w:cs="仿宋_GB2312" w:eastAsia="仿宋_GB2312"/>
                <w:sz w:val="24"/>
              </w:rPr>
              <w:t>2、安全责任：中标人须按有关规定采取严格的项目实施安全措施，承担由于自身安全措施不力造成的事故责任和因此发生的费用及后果。中标人投入本项目工作人员的人身安全由中标人</w:t>
            </w:r>
            <w:r>
              <w:rPr>
                <w:rFonts w:ascii="仿宋_GB2312" w:hAnsi="仿宋_GB2312" w:cs="仿宋_GB2312" w:eastAsia="仿宋_GB2312"/>
                <w:sz w:val="24"/>
              </w:rPr>
              <w:t>负责。</w:t>
            </w:r>
            <w:r>
              <w:rPr>
                <w:rFonts w:ascii="仿宋_GB2312" w:hAnsi="仿宋_GB2312" w:cs="仿宋_GB2312" w:eastAsia="仿宋_GB2312"/>
                <w:sz w:val="24"/>
              </w:rPr>
              <w:t>中标人</w:t>
            </w:r>
            <w:r>
              <w:rPr>
                <w:rFonts w:ascii="仿宋_GB2312" w:hAnsi="仿宋_GB2312" w:cs="仿宋_GB2312" w:eastAsia="仿宋_GB2312"/>
                <w:sz w:val="24"/>
              </w:rPr>
              <w:t>应为本项目工作人员购买人身意外伤害险及与项目实施有关的一切保险。凡在项目实施过程中发生安全责任事故或其他责</w:t>
            </w:r>
            <w:r>
              <w:rPr>
                <w:rFonts w:ascii="仿宋_GB2312" w:hAnsi="仿宋_GB2312" w:cs="仿宋_GB2312" w:eastAsia="仿宋_GB2312"/>
                <w:sz w:val="24"/>
              </w:rPr>
              <w:t>任事故，均由中标人承担全部民事和刑事责任，采购人概不负责。如因项目质量问题及更换不及时造成的人身伤害中标人应依法承担全部责任。中标人工作人员在项目实施过程中造成第三人人身或财产损害的，由中标人承担全部赔偿责任，如采购人因此被主张权利的，有权向中标人全额追偿。</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合同签订之日起至2028年12月31日，其中技术服务期至2028年8月31日，2028年8月31日之日起至2028年12月31日为跟踪服务期。</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宜宾市。</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1、验收方式：由中标人提出验收申请，采购人组织验收，项目实施结束后一次性验收。 2、验收内容：技术服务和商务要求全部内容及合同履约情况。 3、验收标准：严格按照《财政部关于进一步加强政府采购需求和履约验收管理的指导意见》（财库〔2016〕205号）的要求及行业标准进行验收。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1、合同签订后，采购人收到中标人提供的有效发票起，达到付款条件起14日内，支付合同总金额的30.00%</w:t>
            </w:r>
          </w:p>
          <w:p>
            <w:pPr>
              <w:pStyle w:val="null3"/>
              <w:jc w:val="left"/>
            </w:pPr>
            <w:r>
              <w:rPr>
                <w:rFonts w:ascii="仿宋_GB2312" w:hAnsi="仿宋_GB2312" w:cs="仿宋_GB2312" w:eastAsia="仿宋_GB2312"/>
              </w:rPr>
              <w:t>2、2027年3月31日前，交付约定的阶段技术服务成果给采购人，经采购人验收合格后，财政拨款及付款审批完成后，达到付款条件起14日内，支付合同总金额的30.00%</w:t>
            </w:r>
          </w:p>
          <w:p>
            <w:pPr>
              <w:pStyle w:val="null3"/>
              <w:jc w:val="left"/>
            </w:pPr>
            <w:r>
              <w:rPr>
                <w:rFonts w:ascii="仿宋_GB2312" w:hAnsi="仿宋_GB2312" w:cs="仿宋_GB2312" w:eastAsia="仿宋_GB2312"/>
              </w:rPr>
              <w:t>3、2028年3月31日前，交付约定的阶段技术服务成果给采购人，经采购人验收合格后，财政拨款及付款审批完成后，达到付款条件起14日内，支付合同总金额的30.00%</w:t>
            </w:r>
          </w:p>
          <w:p>
            <w:pPr>
              <w:pStyle w:val="null3"/>
              <w:jc w:val="left"/>
            </w:pPr>
            <w:r>
              <w:rPr>
                <w:rFonts w:ascii="仿宋_GB2312" w:hAnsi="仿宋_GB2312" w:cs="仿宋_GB2312" w:eastAsia="仿宋_GB2312"/>
              </w:rPr>
              <w:t>4、2028年12月31日前，完成合同约定全部内容且经采购人验收合格后，财政拨款及付款审批完成后，达到付款条件起14日内，支付合同总金额的10.00%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若中标人因自身原因未按照采购文件要求、合同约定在期限内完成本项目所有工作视为违约，中标人违约需承担违约责任，若涉及法律责任的将有由中标人承担。每逾期1天支付该阶段合同金额的1‰，逾期超过30日的，采购人有权单方解除合同，并要求中标人赔偿因此给采购人造成的全部损失。 二、解决争议的方法： 1. 因本合同引起的任何争议，采购人及中标人双方应通过友好协商的方式解决；协商不成，任何一方可将争议提交采购人所在地有管辖权的法院提请诉讼。 2.若一方违约，另一方因维权支出的诉讼费、律师费、公证费、保全费、担保费、鉴定费、评估费等全部费用由违约方承担。 3.在诉讼期间，除正在进行诉讼的部分外，合同其他部分继续执行。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1、人员配置要求： 1.1 为规范和促进本项目的正常实施和推进，投标人须针对本项目成立独立的项目组，安排足够专业技术人员参加本项目工作。 1.2 在项目组织机构中应明确各岗位的职责、任职资格，确保项目顺利实施。应配备项目负责人承担本项目的管理工作，配备项目核心技术团队及技术支持团队。 2、为保障本项目工作合力有序开展，投标人应为本项目编制项目服务方案，服务方案包含但不限于：项目理解认识；城市更新行动实施技术报告编制方案；城市更新行动全过程技术咨询工作服务方案；城市更新行动成效技术评估工作方案；协助开展宜宾市城市更新宣传、培训和日常技术服务工作方案。 2.1 项目理解认识内容包含但不限于：①项目实施背景及需求；②项目实施目的和意义等； 2.2 城市更新行动实施技术报告编制方案内容包含但不限于：①阐述宜宾市的城市发展定位，城市概况、经济社会发展情况、产业类型及财力情况；②梳理宜宾在城市更新工作方面的基础和成效，并围绕城市更新的主要领域，进行问题分析和需求分析；③根据国家和省级对城市更新的相关政策和意见相关要求，对宜宾市城市更新提出总体建设思路和目标；④提出宜宾市划定和选择城市更新典型片区的工作思路及工作方案；⑤围绕项目储备和生成、资金安全和筹措、用地保障和审批机制，提出城市更新体制机制建设工作方案；⑥评估实施城市更新行动后的成效，可从社会效益、生态效益、经济效益等方面进行，从组织保障、政策机制保障等方面，说明拟采取的保障措施等； 2.3 城市更新行动全过程技术咨询工作服务方案内容包含但不限于：①协助统筹推进城市更新行动工作方案；②协助推进宜宾市城市更新相关体制机制建立工作方案；③协助开展城市更新项目技术咨询方案；④协助开展城市更新立法、编制城市更新相关技术标准方案等； 2.4 城市更新行动成效技术评估工作方案内容包含但不限于：①协助采购人开展对各区的城市更新行动成效技术评估方案；②协助开展年度中央财政支持城市更新行动实施效果技术评估工作方案；③协助采购人做好城市更新行动城市更新行动经验总结提炼工作方案等； 2.5 协助开展宜宾市城市更新宣传、培训和日常技术服务工作方案内容包含但不限于：①协助开展城市更新行动公众参与和宣传工作方案；②协助开展相关培训工作方案；③协助开展日常技术服务工作方案等 3.投标人应具有城市更新咨询类相关业绩和城市更新专项规划类相关业绩。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提供截至提交投标文件截止之日前两年内（任意一年），经审计的财务报告（包含审计报告和审计报告中所涉及的财务报表和报表附注）或者银行出具的资信证明。未经审计的提供截至提交投标文件截止之日前两年内（任意一年）的财务报告（包括资产负债表、利润表、现金流量表）。投标人注册时间截至提交投标文件截止之日前不足一年的，也可提供在相关主管部门备案的公司章程等证明材料。非营利性单位或者社会团体或者其他机关事业单位以符合财务会计制度为准或者提供承诺函（格式自拟）。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投标人具有行政主管部门颁发的城乡规划(国土空间规划)编制乙级及以上资质证书或城乡规划编制乙级及以上资质证书（若为联合体投标，联合体各方均须符合上述资质要求）</w:t>
            </w:r>
          </w:p>
        </w:tc>
        <w:tc>
          <w:tcPr>
            <w:tcW w:type="dxa" w:w="3322"/>
          </w:tcPr>
          <w:p>
            <w:pPr>
              <w:pStyle w:val="null3"/>
              <w:jc w:val="left"/>
            </w:pPr>
            <w:r>
              <w:rPr>
                <w:rFonts w:ascii="仿宋_GB2312" w:hAnsi="仿宋_GB2312" w:cs="仿宋_GB2312" w:eastAsia="仿宋_GB2312"/>
              </w:rPr>
              <w:t>投标人具有行政主管部门颁发的城乡规划(国土空间规划)编制乙级及以上资质证书或城乡规划编制乙级及以上资质证书（若为联合体投标，联合体各方均须符合上述资质要求）【投标人提供行政主管部门颁发的城乡规划(国土空间规划)编制乙级及以上资质证书扫描件（或复印件）或城乡规划编制乙级及以上资质证书扫描件（或复印件）并进行电子签章，若为联合体投标，提供联合体协议书，联合体各方均要提供满足要求的资质证书扫描件（或复印件）】</w:t>
            </w:r>
          </w:p>
        </w:tc>
        <w:tc>
          <w:tcPr>
            <w:tcW w:type="dxa" w:w="1661"/>
          </w:tcPr>
          <w:p>
            <w:pPr>
              <w:pStyle w:val="null3"/>
              <w:jc w:val="left"/>
            </w:pPr>
            <w:r>
              <w:rPr>
                <w:rFonts w:ascii="仿宋_GB2312" w:hAnsi="仿宋_GB2312" w:cs="仿宋_GB2312" w:eastAsia="仿宋_GB2312"/>
              </w:rPr>
              <w:t>投标人应提交的相关证明材料,联合体协议书</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其他符合性审查（实质性要求）</w:t>
            </w:r>
          </w:p>
        </w:tc>
        <w:tc>
          <w:tcPr>
            <w:tcW w:type="dxa" w:w="3322"/>
          </w:tcPr>
          <w:p>
            <w:pPr>
              <w:pStyle w:val="null3"/>
              <w:jc w:val="left"/>
            </w:pPr>
            <w:r>
              <w:rPr>
                <w:rFonts w:ascii="仿宋_GB2312" w:hAnsi="仿宋_GB2312" w:cs="仿宋_GB2312" w:eastAsia="仿宋_GB2312"/>
              </w:rPr>
              <w:t>1、投标文件的格式、语言、计量单位、报价货币、知识产权、投标有效期等不符合招标文件的规定，影响评标委员会评判的。2、投标报价不符合招标文件 规定的采购预算或限价或其他报价规定的。3、商务、技术、服务应答内容没有完全响应招标文件的实质性要求的。4、未载明或者载明的招标项目履约时间、方式、数量及其他政府采购合同实质性内容与招标文件要求不一致，且招标单位无法接受的。</w:t>
            </w:r>
          </w:p>
        </w:tc>
        <w:tc>
          <w:tcPr>
            <w:tcW w:type="dxa" w:w="1661"/>
          </w:tcPr>
          <w:p>
            <w:pPr>
              <w:pStyle w:val="null3"/>
              <w:jc w:val="left"/>
            </w:pPr>
            <w:r>
              <w:rPr>
                <w:rFonts w:ascii="仿宋_GB2312" w:hAnsi="仿宋_GB2312" w:cs="仿宋_GB2312" w:eastAsia="仿宋_GB2312"/>
              </w:rPr>
              <w:t>投标人认为需要提供的其他证明材料,投标人应提交的相关证明材料,服务应答表,报价表,投标（响应）函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项目理解认识</w:t>
            </w:r>
          </w:p>
        </w:tc>
        <w:tc>
          <w:tcPr>
            <w:tcW w:type="dxa" w:w="2575"/>
          </w:tcPr>
          <w:p>
            <w:pPr>
              <w:pStyle w:val="null3"/>
              <w:jc w:val="left"/>
            </w:pPr>
            <w:r>
              <w:rPr>
                <w:rFonts w:ascii="仿宋_GB2312" w:hAnsi="仿宋_GB2312" w:cs="仿宋_GB2312" w:eastAsia="仿宋_GB2312"/>
              </w:rPr>
              <w:t>根据投标人针对本项目提供的项目理解认识进行综合评分,内容包含：①项目实施背景及需求；②项目实施目的和意义。 上述2项内容完全提供且方案内容完整，有具体详细的阐述，阐述内容逻辑严谨，符合项目实际所需的得2分；每缺失一项内容扣1分；内容描述存在缺陷的每有一处扣0.5分，直至扣完为止，未提供的不得分。 注：缺陷是指以下任意一种情况：或项目名称错误；或专业术语错误；或提供的方案中引用法律存在失效或错误；或引用的规范存在失效或错误；或引用的标准存在失效或错误；或照搬采购文件内容；或照搬其他地区及项目的内容；或地点区域错误；或不符合项目实际情况；或不满足采购需求中非实质性要求的情形；或仅有框架或标题；或方案标题与实际内容不相符。</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项目所涉及的相关方案</w:t>
            </w:r>
          </w:p>
        </w:tc>
      </w:tr>
      <w:tr>
        <w:tc>
          <w:tcPr>
            <w:tcW w:type="dxa" w:w="831"/>
            <w:vMerge/>
          </w:tcPr>
          <w:p/>
        </w:tc>
        <w:tc>
          <w:tcPr>
            <w:tcW w:type="dxa" w:w="1661"/>
          </w:tcPr>
          <w:p>
            <w:pPr>
              <w:pStyle w:val="null3"/>
              <w:jc w:val="left"/>
            </w:pPr>
            <w:r>
              <w:rPr>
                <w:rFonts w:ascii="仿宋_GB2312" w:hAnsi="仿宋_GB2312" w:cs="仿宋_GB2312" w:eastAsia="仿宋_GB2312"/>
              </w:rPr>
              <w:t>城市更新行动实施技术报告编制方案</w:t>
            </w:r>
          </w:p>
        </w:tc>
        <w:tc>
          <w:tcPr>
            <w:tcW w:type="dxa" w:w="2575"/>
          </w:tcPr>
          <w:p>
            <w:pPr>
              <w:pStyle w:val="null3"/>
              <w:jc w:val="left"/>
            </w:pPr>
            <w:r>
              <w:rPr>
                <w:rFonts w:ascii="仿宋_GB2312" w:hAnsi="仿宋_GB2312" w:cs="仿宋_GB2312" w:eastAsia="仿宋_GB2312"/>
              </w:rPr>
              <w:t>根据投标人针对本项目提供的城市更新行动实施技术报告编制方案进行综合评分,方案内容包含：①阐述宜宾市的城市发展定位，城市概况、经济社会发展情况、产业类型及财力情况；②梳理宜宾在城市更新工作方面的基础和成效，并围绕城市更新的主要领域，进行问题分析和需求分析；③根据国家和省级对城市更新的相关政策和意见相关要求，对宜宾市城市更新提出总体建设思路和目标；④提出宜宾市划定和选择城市更新典型片区的工作思路及工作方案；⑤围绕项目储备和生成、资金安全和筹措、用地保障和审批机制，提出城市更新体制机制建设工作方案；⑥评估实施城市更新行动后的成效，可从社会效益、生态效益、经济效益等方面进行，从组织保障、政策机制保障等方面，说明拟采取的保障措施。 上述6项内容完全提供且方案内容完整，有具体详细的阐述，阐述内容逻辑严谨，符合项目实际所需的得24分；每缺失一项方案内容扣4分；内容描述存在缺陷的每有一处扣2分，直至扣完为止，未提供的不得分。 注：缺陷是指以下任意一种情况：或项目名称错误；或专业术语错误；或提供的方案中引用法律存在失效或错误；或引用的规范存在失效或错误；或引用的标准存在失效或错误；或照搬采购文件内容；或照搬其他地区及项目的内容；或地点区域错误；或不符合项目实际情况；或不满足采购需求中非实质性要求的情形；或仅有框架或标题；或方案标题与实际内容不相符。</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项目所涉及的相关方案</w:t>
            </w:r>
          </w:p>
        </w:tc>
      </w:tr>
      <w:tr>
        <w:tc>
          <w:tcPr>
            <w:tcW w:type="dxa" w:w="831"/>
            <w:vMerge/>
          </w:tcPr>
          <w:p/>
        </w:tc>
        <w:tc>
          <w:tcPr>
            <w:tcW w:type="dxa" w:w="1661"/>
          </w:tcPr>
          <w:p>
            <w:pPr>
              <w:pStyle w:val="null3"/>
              <w:jc w:val="left"/>
            </w:pPr>
            <w:r>
              <w:rPr>
                <w:rFonts w:ascii="仿宋_GB2312" w:hAnsi="仿宋_GB2312" w:cs="仿宋_GB2312" w:eastAsia="仿宋_GB2312"/>
              </w:rPr>
              <w:t>城市更新行动全过程技术咨询工作服务方案</w:t>
            </w:r>
          </w:p>
        </w:tc>
        <w:tc>
          <w:tcPr>
            <w:tcW w:type="dxa" w:w="2575"/>
          </w:tcPr>
          <w:p>
            <w:pPr>
              <w:pStyle w:val="null3"/>
              <w:jc w:val="left"/>
            </w:pPr>
            <w:r>
              <w:rPr>
                <w:rFonts w:ascii="仿宋_GB2312" w:hAnsi="仿宋_GB2312" w:cs="仿宋_GB2312" w:eastAsia="仿宋_GB2312"/>
              </w:rPr>
              <w:t>根据投标人针对本项目提供的城市更新行动全过程技术咨询工作服务方案进行综合评分,方案内容包含：①协助统筹推进城市更新行动工作方案；②协助推进宜宾市城市更新相关体制机制建立工作方案；③协助开展城市更新项目技术咨询方案；④协助开展城市更新立法、编制城市更新相关技术标准方案。 上述4项内容完全提供且方案内容完整，有具体详细的阐述，阐述内容逻辑严谨，符合项目实际所需的得12分；每缺失一项方案内容扣3分；内容描述存在缺陷的每有一处扣1.5分，直至扣完为止，未提供的不得分。 注：缺陷是指以下任意一种情况：或项目名称错误；或专业术语错误；或提供的方案中引用法律存在失效或错误；或引用的规范存在失效或错误；或引用的标准存在失效或错误；或照搬采购文件内容；或照搬其他地区及项目的内容；或地点区域错误；或不符合项目实际情况；或不满足采购需求中非实质性要求的情形；或仅有框架或标题；或方案标题与实际内容不相符。</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项目所涉及的相关方案</w:t>
            </w:r>
          </w:p>
        </w:tc>
      </w:tr>
      <w:tr>
        <w:tc>
          <w:tcPr>
            <w:tcW w:type="dxa" w:w="831"/>
            <w:vMerge/>
          </w:tcPr>
          <w:p/>
        </w:tc>
        <w:tc>
          <w:tcPr>
            <w:tcW w:type="dxa" w:w="1661"/>
          </w:tcPr>
          <w:p>
            <w:pPr>
              <w:pStyle w:val="null3"/>
              <w:jc w:val="left"/>
            </w:pPr>
            <w:r>
              <w:rPr>
                <w:rFonts w:ascii="仿宋_GB2312" w:hAnsi="仿宋_GB2312" w:cs="仿宋_GB2312" w:eastAsia="仿宋_GB2312"/>
              </w:rPr>
              <w:t>城市更新行动成效技术评估工作方案</w:t>
            </w:r>
          </w:p>
        </w:tc>
        <w:tc>
          <w:tcPr>
            <w:tcW w:type="dxa" w:w="2575"/>
          </w:tcPr>
          <w:p>
            <w:pPr>
              <w:pStyle w:val="null3"/>
              <w:jc w:val="left"/>
            </w:pPr>
            <w:r>
              <w:rPr>
                <w:rFonts w:ascii="仿宋_GB2312" w:hAnsi="仿宋_GB2312" w:cs="仿宋_GB2312" w:eastAsia="仿宋_GB2312"/>
              </w:rPr>
              <w:t>根据投标人针对本项目提供的开展城市更新行动成效技术评估工作方案进行综合评分,方案内容包含：①协助采购人开展对各区的城市更新行动成效技术评估方案；②协助开展年度中央财政支持城市更新行动实施效果技术评估工作方案；③协助采购人做好城市更新行动经验总结提炼工作方案。 上述3项内容完全提供且方案内容完整，有具体详细的阐述，阐述内容逻辑严谨，符合项目实际所需的得9分；每缺失一项方案内容扣3分；内容描述存在缺陷的每有一处扣1.5分，直至扣完为止，未提供的不得分。 注：缺陷是指以下任意一种情况：或项目名称错误；或专业术语错误；或提供的方案中引用法律存在失效或错误；或引用的规范存在失效或错误；或引用的标准存在失效或错误；或照搬采购文件内容；或照搬其他地区及项目的内容；或地点区域错误；或不符合项目实际情况；或不满足采购需求中非实质性要求的情形；或仅有框架或标题；或方案标题与实际内容不相符。</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项目所涉及的相关方案</w:t>
            </w:r>
          </w:p>
        </w:tc>
      </w:tr>
      <w:tr>
        <w:tc>
          <w:tcPr>
            <w:tcW w:type="dxa" w:w="831"/>
            <w:vMerge/>
          </w:tcPr>
          <w:p/>
        </w:tc>
        <w:tc>
          <w:tcPr>
            <w:tcW w:type="dxa" w:w="1661"/>
          </w:tcPr>
          <w:p>
            <w:pPr>
              <w:pStyle w:val="null3"/>
              <w:jc w:val="left"/>
            </w:pPr>
            <w:r>
              <w:rPr>
                <w:rFonts w:ascii="仿宋_GB2312" w:hAnsi="仿宋_GB2312" w:cs="仿宋_GB2312" w:eastAsia="仿宋_GB2312"/>
              </w:rPr>
              <w:t>协助开展宜宾市城市更新宣传、培训和日常技术服务工作方案</w:t>
            </w:r>
          </w:p>
        </w:tc>
        <w:tc>
          <w:tcPr>
            <w:tcW w:type="dxa" w:w="2575"/>
          </w:tcPr>
          <w:p>
            <w:pPr>
              <w:pStyle w:val="null3"/>
              <w:jc w:val="left"/>
            </w:pPr>
            <w:r>
              <w:rPr>
                <w:rFonts w:ascii="仿宋_GB2312" w:hAnsi="仿宋_GB2312" w:cs="仿宋_GB2312" w:eastAsia="仿宋_GB2312"/>
              </w:rPr>
              <w:t>根据投标人针对本项目提供的协助开展宜宾市城市更新宣传、培训和日常技术服务工作方案进行综合评分,方案内容包含：①协助开展城市更新行动公众参与和宣传工作方案；②协助开展相关培训工作方案；③协助开展日常技术服务工作方案。 上述3项内容完全提供且方案内容完整，有具体详细的阐述，阐述内容逻辑严谨，符合项目实际所需的得3分；每缺失一项方案内容扣1分；内容描述存在缺陷的每有一处扣0.5分，直至扣完为止，未提供的不得分。 注：缺陷是指以下任意一种情况：或项目名称错误；或专业术语错误；或提供的方案中引用法律存在失效或错误；或引用的规范存在失效或错误；或引用的标准存在失效或错误；或照搬采购文件内容；或照搬其他地区及项目的内容；或地点区域错误；或不符合项目实际情况；或不满足采购需求中非实质性要求的情形；或仅有框架或标题；或方案标题与实际内容不相符。</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项目所涉及的相关方案</w:t>
            </w:r>
          </w:p>
        </w:tc>
      </w:tr>
      <w:tr>
        <w:tc>
          <w:tcPr>
            <w:tcW w:type="dxa" w:w="831"/>
            <w:vMerge/>
          </w:tcPr>
          <w:p/>
        </w:tc>
        <w:tc>
          <w:tcPr>
            <w:tcW w:type="dxa" w:w="1661"/>
          </w:tcPr>
          <w:p>
            <w:pPr>
              <w:pStyle w:val="null3"/>
              <w:jc w:val="left"/>
            </w:pPr>
            <w:r>
              <w:rPr>
                <w:rFonts w:ascii="仿宋_GB2312" w:hAnsi="仿宋_GB2312" w:cs="仿宋_GB2312" w:eastAsia="仿宋_GB2312"/>
              </w:rPr>
              <w:t>拟投入本项目的人员配置</w:t>
            </w:r>
          </w:p>
        </w:tc>
        <w:tc>
          <w:tcPr>
            <w:tcW w:type="dxa" w:w="2575"/>
          </w:tcPr>
          <w:p>
            <w:pPr>
              <w:pStyle w:val="null3"/>
              <w:jc w:val="left"/>
            </w:pPr>
            <w:r>
              <w:rPr>
                <w:rFonts w:ascii="仿宋_GB2312" w:hAnsi="仿宋_GB2312" w:cs="仿宋_GB2312" w:eastAsia="仿宋_GB2312"/>
              </w:rPr>
              <w:t>1.拟投入本项目的项目负责人1人（8分）： ①具有城市规划专业（或城乡规划专业）中级职称的得1分；具有城市规划专业（或城乡规划专业）高级职称的得3分；具有城市规划专业（或城乡规划专业）正高及以上（含教授级或研究员级）职称的得5分；本项最高得5分； ②具有注册城乡规划师证书的得3分，本项最高得3分。 2、项目团队参与人员4人（不包括项目负责人）（20分）： ①具有规划类专业中级工程师职称证书的得1分；具有规划类专业高级及以上职称证书的得3分；同时具有注册城乡规划师证书的加2分，本项最高得5分； ②具有规划类专业中级工程师职称证书的得1分；具有规划类专业高级及以上职称证书的得3分；同时具有注册咨询工程师（投资）证书的加2分，本项最高得5分； ③具有给排水类专业中级工程师职称证书的得1分；具有给排水类专业高级及以上职称证书的得3分；同时具有注册公用设备工程师（给水排水）证书的加2分，本项最高得5分； ④具有建筑类专业中级工程师职称证书的得1分；具有建筑类专业高级及以上职称证书的得3分；同时具有一级注册建筑师证书的加2分，本项最高得5分。 注：①上述人员不重复计分；②以上人员须提供有效的相关证书复印件（或扫描件）和在职证明材料并且注册人员需注册在投标单位的证明并进行电子签章；③上述所有人员，若为联合体投标，可由联合体中任意一家单位提供。</w:t>
            </w:r>
          </w:p>
        </w:tc>
        <w:tc>
          <w:tcPr>
            <w:tcW w:type="dxa" w:w="831"/>
          </w:tcPr>
          <w:p>
            <w:pPr>
              <w:pStyle w:val="null3"/>
              <w:jc w:val="center"/>
            </w:pPr>
            <w:r>
              <w:rPr>
                <w:rFonts w:ascii="仿宋_GB2312" w:hAnsi="仿宋_GB2312" w:cs="仿宋_GB2312" w:eastAsia="仿宋_GB2312"/>
              </w:rPr>
              <w:t>28.0000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拟投入本项目人员情况表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1、2023年1月1日（含）以来，投标人具有城市更新咨询类相关业绩，每提供1个业绩得3分，本项最高得6分。 2、2023年1月1日（含）以来，投标人具有城市更新专项规划类相关业绩，每提供1个业绩得3分，本项最高得6分。 注：①提供合同（或协议）复印件（或扫描件）并进行电子签章。②若为联合体投标，可由联合体中任意一家单位提供。</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类似业绩一览表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采购包接受大中型企业与小微企业组成联合体的采购项目，对联合协议约定小微企业的合同份额占到合同总金额30%以上的，对联合体的报价给予扣除，用扣除后的价格参加评审。组成联合体的小微企业与联合体内其他企业之间存在直接控股、管理关系的，不享受价格扣除优惠政策。</w:t>
            </w:r>
          </w:p>
        </w:tc>
        <w:tc>
          <w:tcPr>
            <w:tcW w:type="dxa" w:w="831"/>
          </w:tcPr>
          <w:p>
            <w:pPr>
              <w:pStyle w:val="null3"/>
              <w:jc w:val="right"/>
            </w:pPr>
            <w:r>
              <w:rPr>
                <w:rFonts w:ascii="仿宋_GB2312" w:hAnsi="仿宋_GB2312" w:cs="仿宋_GB2312" w:eastAsia="仿宋_GB2312"/>
              </w:rPr>
              <w:t>4.00%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详见附件：联合体协议书</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详见附件：投标人认为需要提供的其他证明材料</w:t>
      </w:r>
    </w:p>
    <w:p>
      <w:pPr>
        <w:pStyle w:val="null3"/>
        <w:ind w:firstLine="960"/>
        <w:jc w:val="left"/>
      </w:pPr>
      <w:r>
        <w:rPr>
          <w:rFonts w:ascii="仿宋_GB2312" w:hAnsi="仿宋_GB2312" w:cs="仿宋_GB2312" w:eastAsia="仿宋_GB2312"/>
        </w:rPr>
        <w:t>详见附件：项目所涉及的相关方案</w:t>
      </w:r>
    </w:p>
    <w:p>
      <w:pPr>
        <w:pStyle w:val="null3"/>
        <w:ind w:firstLine="960"/>
        <w:jc w:val="left"/>
      </w:pPr>
      <w:r>
        <w:rPr>
          <w:rFonts w:ascii="仿宋_GB2312" w:hAnsi="仿宋_GB2312" w:cs="仿宋_GB2312" w:eastAsia="仿宋_GB2312"/>
        </w:rPr>
        <w:t>详见附件：拟投入本项目人员情况表</w:t>
      </w:r>
    </w:p>
    <w:p>
      <w:pPr>
        <w:pStyle w:val="null3"/>
        <w:ind w:firstLine="960"/>
        <w:jc w:val="left"/>
      </w:pPr>
      <w:r>
        <w:rPr>
          <w:rFonts w:ascii="仿宋_GB2312" w:hAnsi="仿宋_GB2312" w:cs="仿宋_GB2312" w:eastAsia="仿宋_GB2312"/>
        </w:rPr>
        <w:t>详见附件：类似业绩一览表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