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124F9">
      <w:pPr>
        <w:spacing w:line="360" w:lineRule="auto"/>
        <w:jc w:val="center"/>
        <w:rPr>
          <w:rFonts w:ascii="宋体" w:hAnsi="宋体"/>
          <w:b/>
          <w:bCs/>
          <w:sz w:val="24"/>
          <w:szCs w:val="24"/>
        </w:rPr>
      </w:pPr>
      <w:bookmarkStart w:id="0" w:name="_GoBack"/>
      <w:r>
        <w:rPr>
          <w:rFonts w:hint="eastAsia" w:ascii="宋体" w:hAnsi="宋体"/>
          <w:b/>
          <w:bCs/>
          <w:sz w:val="24"/>
          <w:szCs w:val="24"/>
        </w:rPr>
        <w:t>实质性响应一览表</w:t>
      </w:r>
      <w:bookmarkEnd w:id="0"/>
    </w:p>
    <w:tbl>
      <w:tblPr>
        <w:tblStyle w:val="13"/>
        <w:tblW w:w="9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7566"/>
        <w:gridCol w:w="1188"/>
        <w:gridCol w:w="498"/>
      </w:tblGrid>
      <w:tr w14:paraId="0584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21" w:type="dxa"/>
            <w:tcBorders>
              <w:top w:val="single" w:color="auto" w:sz="4" w:space="0"/>
              <w:left w:val="single" w:color="auto" w:sz="4" w:space="0"/>
              <w:bottom w:val="single" w:color="auto" w:sz="4" w:space="0"/>
              <w:right w:val="single" w:color="auto" w:sz="4" w:space="0"/>
            </w:tcBorders>
          </w:tcPr>
          <w:p w14:paraId="335D9F65">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7566" w:type="dxa"/>
            <w:tcBorders>
              <w:top w:val="single" w:color="auto" w:sz="4" w:space="0"/>
              <w:left w:val="single" w:color="auto" w:sz="4" w:space="0"/>
              <w:bottom w:val="single" w:color="auto" w:sz="4" w:space="0"/>
              <w:right w:val="single" w:color="auto" w:sz="4" w:space="0"/>
            </w:tcBorders>
          </w:tcPr>
          <w:p w14:paraId="537B9198">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1188" w:type="dxa"/>
            <w:tcBorders>
              <w:top w:val="single" w:color="auto" w:sz="4" w:space="0"/>
              <w:left w:val="single" w:color="auto" w:sz="4" w:space="0"/>
              <w:bottom w:val="single" w:color="auto" w:sz="4" w:space="0"/>
              <w:right w:val="single" w:color="auto" w:sz="4" w:space="0"/>
            </w:tcBorders>
          </w:tcPr>
          <w:p w14:paraId="335B459B">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498" w:type="dxa"/>
            <w:tcBorders>
              <w:top w:val="single" w:color="auto" w:sz="4" w:space="0"/>
              <w:left w:val="single" w:color="auto" w:sz="4" w:space="0"/>
              <w:bottom w:val="single" w:color="auto" w:sz="4" w:space="0"/>
              <w:right w:val="single" w:color="auto" w:sz="4" w:space="0"/>
            </w:tcBorders>
          </w:tcPr>
          <w:p w14:paraId="65942B01">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14:paraId="0B4E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621" w:type="dxa"/>
            <w:tcBorders>
              <w:top w:val="single" w:color="auto" w:sz="4" w:space="0"/>
              <w:left w:val="single" w:color="auto" w:sz="4" w:space="0"/>
              <w:bottom w:val="single" w:color="auto" w:sz="4" w:space="0"/>
              <w:right w:val="single" w:color="auto" w:sz="4" w:space="0"/>
            </w:tcBorders>
            <w:vAlign w:val="center"/>
          </w:tcPr>
          <w:p w14:paraId="064F4769">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1</w:t>
            </w:r>
          </w:p>
        </w:tc>
        <w:tc>
          <w:tcPr>
            <w:tcW w:w="7566" w:type="dxa"/>
            <w:tcBorders>
              <w:top w:val="single" w:color="auto" w:sz="4" w:space="0"/>
              <w:left w:val="single" w:color="auto" w:sz="4" w:space="0"/>
              <w:bottom w:val="single" w:color="auto" w:sz="4" w:space="0"/>
              <w:right w:val="single" w:color="auto" w:sz="4" w:space="0"/>
            </w:tcBorders>
          </w:tcPr>
          <w:p w14:paraId="254C4CED">
            <w:pPr>
              <w:pStyle w:val="25"/>
              <w:pageBreakBefore w:val="0"/>
              <w:numPr>
                <w:numId w:val="0"/>
              </w:numPr>
              <w:kinsoku/>
              <w:wordWrap/>
              <w:overflowPunct/>
              <w:topLinePunct w:val="0"/>
              <w:bidi w:val="0"/>
              <w:spacing w:beforeAutospacing="0" w:afterAutospacing="0" w:line="360" w:lineRule="auto"/>
              <w:textAlignment w:val="auto"/>
              <w:rPr>
                <w:rFonts w:hint="eastAsia" w:ascii="宋体" w:hAnsi="宋体" w:eastAsia="宋体" w:cs="宋体"/>
                <w:color w:val="auto"/>
                <w:sz w:val="21"/>
                <w:szCs w:val="21"/>
              </w:rPr>
            </w:pPr>
            <w:r>
              <w:rPr>
                <w:rFonts w:hint="eastAsia" w:ascii="仿宋_GB2312" w:hAnsi="仿宋_GB2312" w:eastAsia="仿宋_GB2312" w:cs="仿宋_GB2312"/>
                <w:sz w:val="21"/>
                <w:szCs w:val="21"/>
              </w:rPr>
              <w:t>★</w:t>
            </w:r>
            <w:r>
              <w:rPr>
                <w:rFonts w:hint="eastAsia" w:ascii="宋体" w:hAnsi="宋体" w:eastAsia="宋体" w:cs="宋体"/>
                <w:color w:val="auto"/>
                <w:sz w:val="21"/>
                <w:szCs w:val="21"/>
              </w:rPr>
              <w:t>本项目为人民币报价。报价中包含软件开发服务和</w:t>
            </w:r>
            <w:r>
              <w:rPr>
                <w:rFonts w:hint="eastAsia" w:ascii="宋体" w:hAnsi="宋体" w:eastAsia="宋体" w:cs="宋体"/>
                <w:color w:val="auto"/>
                <w:sz w:val="21"/>
                <w:szCs w:val="21"/>
                <w:lang w:eastAsia="zh-CN"/>
              </w:rPr>
              <w:t>数据治理服务</w:t>
            </w:r>
            <w:r>
              <w:rPr>
                <w:rFonts w:hint="eastAsia" w:ascii="宋体" w:hAnsi="宋体" w:eastAsia="宋体" w:cs="宋体"/>
                <w:color w:val="auto"/>
                <w:sz w:val="21"/>
                <w:szCs w:val="21"/>
              </w:rPr>
              <w:t>两部分内</w:t>
            </w:r>
            <w:r>
              <w:rPr>
                <w:rFonts w:hint="eastAsia" w:ascii="宋体" w:hAnsi="宋体" w:eastAsia="宋体" w:cs="宋体"/>
                <w:color w:val="auto"/>
                <w:sz w:val="21"/>
                <w:szCs w:val="21"/>
                <w:lang w:eastAsia="zh-CN"/>
              </w:rPr>
              <w:t>容，</w:t>
            </w:r>
            <w:r>
              <w:rPr>
                <w:rFonts w:hint="eastAsia" w:ascii="宋体" w:hAnsi="宋体" w:cs="宋体"/>
                <w:color w:val="auto"/>
                <w:sz w:val="21"/>
                <w:szCs w:val="21"/>
                <w:lang w:val="en-US" w:eastAsia="zh-CN"/>
              </w:rPr>
              <w:t>具体</w:t>
            </w:r>
            <w:r>
              <w:rPr>
                <w:rFonts w:hint="eastAsia" w:ascii="宋体" w:hAnsi="宋体" w:eastAsia="宋体" w:cs="宋体"/>
                <w:color w:val="auto"/>
                <w:sz w:val="21"/>
                <w:szCs w:val="21"/>
                <w:lang w:eastAsia="zh-CN"/>
              </w:rPr>
              <w:t>如下，</w:t>
            </w:r>
            <w:r>
              <w:rPr>
                <w:rFonts w:hint="eastAsia" w:ascii="宋体" w:hAnsi="宋体" w:eastAsia="宋体" w:cs="宋体"/>
                <w:color w:val="auto"/>
                <w:sz w:val="21"/>
                <w:szCs w:val="21"/>
                <w:lang w:val="en-US" w:eastAsia="zh-CN"/>
              </w:rPr>
              <w:t>投标</w:t>
            </w:r>
            <w:r>
              <w:rPr>
                <w:rFonts w:hint="eastAsia" w:ascii="宋体" w:hAnsi="宋体" w:cs="宋体"/>
                <w:color w:val="auto"/>
                <w:sz w:val="21"/>
                <w:szCs w:val="21"/>
                <w:lang w:val="en-US" w:eastAsia="zh-CN"/>
              </w:rPr>
              <w:t>人</w:t>
            </w:r>
            <w:r>
              <w:rPr>
                <w:rFonts w:hint="eastAsia" w:ascii="宋体" w:hAnsi="宋体" w:eastAsia="宋体" w:cs="宋体"/>
                <w:color w:val="auto"/>
                <w:sz w:val="21"/>
                <w:szCs w:val="21"/>
                <w:lang w:val="en-US" w:eastAsia="zh-CN"/>
              </w:rPr>
              <w:t>需针对单项分开报价</w:t>
            </w:r>
            <w:r>
              <w:rPr>
                <w:rFonts w:hint="eastAsia" w:ascii="宋体" w:hAnsi="宋体" w:cs="宋体"/>
                <w:color w:val="auto"/>
                <w:sz w:val="21"/>
                <w:szCs w:val="21"/>
                <w:lang w:val="en-US" w:eastAsia="zh-CN"/>
              </w:rPr>
              <w:t>，总价及单价均不得超过最高限价</w:t>
            </w:r>
            <w:r>
              <w:rPr>
                <w:rFonts w:hint="eastAsia" w:ascii="宋体" w:hAnsi="宋体" w:eastAsia="宋体" w:cs="宋体"/>
                <w:color w:val="auto"/>
                <w:sz w:val="21"/>
                <w:szCs w:val="21"/>
                <w:lang w:eastAsia="zh-CN"/>
              </w:rPr>
              <w:t>：</w:t>
            </w:r>
          </w:p>
          <w:tbl>
            <w:tblPr>
              <w:tblStyle w:val="13"/>
              <w:tblW w:w="4996" w:type="pct"/>
              <w:tblInd w:w="0" w:type="dxa"/>
              <w:tblLayout w:type="autofit"/>
              <w:tblCellMar>
                <w:top w:w="0" w:type="dxa"/>
                <w:left w:w="108" w:type="dxa"/>
                <w:bottom w:w="0" w:type="dxa"/>
                <w:right w:w="108" w:type="dxa"/>
              </w:tblCellMar>
            </w:tblPr>
            <w:tblGrid>
              <w:gridCol w:w="692"/>
              <w:gridCol w:w="1936"/>
              <w:gridCol w:w="1413"/>
              <w:gridCol w:w="925"/>
              <w:gridCol w:w="2378"/>
            </w:tblGrid>
            <w:tr w14:paraId="2B57EE1D">
              <w:tblPrEx>
                <w:tblCellMar>
                  <w:top w:w="0" w:type="dxa"/>
                  <w:left w:w="108" w:type="dxa"/>
                  <w:bottom w:w="0" w:type="dxa"/>
                  <w:right w:w="108" w:type="dxa"/>
                </w:tblCellMar>
              </w:tblPrEx>
              <w:trPr>
                <w:trHeight w:val="570" w:hRule="atLeast"/>
              </w:trPr>
              <w:tc>
                <w:tcPr>
                  <w:tcW w:w="471" w:type="pct"/>
                  <w:tcBorders>
                    <w:top w:val="single" w:color="000000" w:sz="4" w:space="0"/>
                    <w:left w:val="single" w:color="000000" w:sz="4" w:space="0"/>
                    <w:bottom w:val="single" w:color="000000" w:sz="4" w:space="0"/>
                    <w:right w:val="single" w:color="000000" w:sz="4" w:space="0"/>
                  </w:tcBorders>
                  <w:noWrap w:val="0"/>
                  <w:vAlign w:val="center"/>
                </w:tcPr>
                <w:p w14:paraId="10A84BCB">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kern w:val="2"/>
                      <w:sz w:val="21"/>
                      <w:szCs w:val="21"/>
                      <w:lang w:eastAsia="zh-CN" w:bidi="ar-SA"/>
                    </w:rPr>
                  </w:pPr>
                  <w:r>
                    <w:rPr>
                      <w:rFonts w:hint="eastAsia" w:ascii="宋体" w:hAnsi="宋体" w:eastAsia="宋体" w:cs="宋体"/>
                      <w:b w:val="0"/>
                      <w:bCs w:val="0"/>
                      <w:color w:val="auto"/>
                      <w:kern w:val="2"/>
                      <w:sz w:val="21"/>
                      <w:szCs w:val="21"/>
                      <w:lang w:eastAsia="zh-CN" w:bidi="ar-SA"/>
                    </w:rPr>
                    <w:t>序号</w:t>
                  </w:r>
                </w:p>
              </w:tc>
              <w:tc>
                <w:tcPr>
                  <w:tcW w:w="1318" w:type="pct"/>
                  <w:tcBorders>
                    <w:top w:val="single" w:color="000000" w:sz="4" w:space="0"/>
                    <w:left w:val="single" w:color="000000" w:sz="4" w:space="0"/>
                    <w:bottom w:val="single" w:color="000000" w:sz="4" w:space="0"/>
                    <w:right w:val="single" w:color="000000" w:sz="4" w:space="0"/>
                  </w:tcBorders>
                  <w:noWrap w:val="0"/>
                  <w:vAlign w:val="center"/>
                </w:tcPr>
                <w:p w14:paraId="20548B51">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kern w:val="2"/>
                      <w:sz w:val="21"/>
                      <w:szCs w:val="21"/>
                      <w:lang w:bidi="ar-SA"/>
                    </w:rPr>
                    <w:t>服务名称</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3A19F362">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kern w:val="2"/>
                      <w:sz w:val="21"/>
                      <w:szCs w:val="21"/>
                      <w:lang w:eastAsia="zh-CN" w:bidi="ar-SA"/>
                    </w:rPr>
                    <w:t>数量（单位）</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2A20AE40">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kern w:val="2"/>
                      <w:sz w:val="21"/>
                      <w:szCs w:val="21"/>
                      <w:lang w:bidi="ar-SA"/>
                    </w:rPr>
                    <w:t>单价（元）</w:t>
                  </w:r>
                </w:p>
              </w:tc>
              <w:tc>
                <w:tcPr>
                  <w:tcW w:w="1618" w:type="pct"/>
                  <w:tcBorders>
                    <w:top w:val="single" w:color="000000" w:sz="4" w:space="0"/>
                    <w:left w:val="single" w:color="000000" w:sz="4" w:space="0"/>
                    <w:bottom w:val="single" w:color="000000" w:sz="4" w:space="0"/>
                    <w:right w:val="single" w:color="000000" w:sz="4" w:space="0"/>
                  </w:tcBorders>
                  <w:noWrap w:val="0"/>
                  <w:vAlign w:val="center"/>
                </w:tcPr>
                <w:p w14:paraId="59992219">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kern w:val="2"/>
                      <w:sz w:val="21"/>
                      <w:szCs w:val="21"/>
                      <w:lang w:bidi="ar-SA"/>
                    </w:rPr>
                  </w:pPr>
                  <w:r>
                    <w:rPr>
                      <w:rFonts w:hint="eastAsia" w:ascii="宋体" w:hAnsi="宋体" w:eastAsia="宋体" w:cs="宋体"/>
                      <w:b w:val="0"/>
                      <w:bCs w:val="0"/>
                      <w:color w:val="auto"/>
                      <w:kern w:val="2"/>
                      <w:sz w:val="21"/>
                      <w:szCs w:val="21"/>
                      <w:lang w:bidi="ar-SA"/>
                    </w:rPr>
                    <w:t>单</w:t>
                  </w:r>
                  <w:r>
                    <w:rPr>
                      <w:rFonts w:hint="eastAsia" w:ascii="宋体" w:hAnsi="宋体" w:eastAsia="宋体" w:cs="宋体"/>
                      <w:b w:val="0"/>
                      <w:bCs w:val="0"/>
                      <w:color w:val="auto"/>
                      <w:kern w:val="2"/>
                      <w:sz w:val="21"/>
                      <w:szCs w:val="21"/>
                      <w:lang w:eastAsia="zh-CN" w:bidi="ar-SA"/>
                    </w:rPr>
                    <w:t>项</w:t>
                  </w:r>
                  <w:r>
                    <w:rPr>
                      <w:rFonts w:hint="eastAsia" w:ascii="宋体" w:hAnsi="宋体" w:eastAsia="宋体" w:cs="宋体"/>
                      <w:b w:val="0"/>
                      <w:bCs w:val="0"/>
                      <w:color w:val="auto"/>
                      <w:kern w:val="2"/>
                      <w:sz w:val="21"/>
                      <w:szCs w:val="21"/>
                      <w:lang w:bidi="ar-SA"/>
                    </w:rPr>
                    <w:t>最高限价（元）</w:t>
                  </w:r>
                </w:p>
              </w:tc>
            </w:tr>
            <w:tr w14:paraId="12515017">
              <w:tblPrEx>
                <w:tblCellMar>
                  <w:top w:w="0" w:type="dxa"/>
                  <w:left w:w="108" w:type="dxa"/>
                  <w:bottom w:w="0" w:type="dxa"/>
                  <w:right w:w="108" w:type="dxa"/>
                </w:tblCellMar>
              </w:tblPrEx>
              <w:trPr>
                <w:trHeight w:val="315" w:hRule="atLeast"/>
              </w:trPr>
              <w:tc>
                <w:tcPr>
                  <w:tcW w:w="471" w:type="pct"/>
                  <w:tcBorders>
                    <w:top w:val="single" w:color="000000" w:sz="4" w:space="0"/>
                    <w:left w:val="single" w:color="000000" w:sz="4" w:space="0"/>
                    <w:bottom w:val="single" w:color="000000" w:sz="4" w:space="0"/>
                    <w:right w:val="single" w:color="000000" w:sz="4" w:space="0"/>
                  </w:tcBorders>
                  <w:noWrap w:val="0"/>
                  <w:vAlign w:val="center"/>
                </w:tcPr>
                <w:p w14:paraId="33A78BEE">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w:t>
                  </w:r>
                </w:p>
              </w:tc>
              <w:tc>
                <w:tcPr>
                  <w:tcW w:w="1318" w:type="pct"/>
                  <w:tcBorders>
                    <w:top w:val="single" w:color="000000" w:sz="4" w:space="0"/>
                    <w:left w:val="single" w:color="000000" w:sz="4" w:space="0"/>
                    <w:bottom w:val="single" w:color="000000" w:sz="4" w:space="0"/>
                    <w:right w:val="single" w:color="000000" w:sz="4" w:space="0"/>
                  </w:tcBorders>
                  <w:noWrap w:val="0"/>
                  <w:vAlign w:val="center"/>
                </w:tcPr>
                <w:p w14:paraId="2757D395">
                  <w:pPr>
                    <w:pageBreakBefore w:val="0"/>
                    <w:widowControl/>
                    <w:numPr>
                      <w:ilvl w:val="0"/>
                      <w:numId w:val="0"/>
                    </w:numPr>
                    <w:kinsoku/>
                    <w:wordWrap/>
                    <w:overflowPunct/>
                    <w:topLinePunct w:val="0"/>
                    <w:autoSpaceDE/>
                    <w:autoSpaceDN/>
                    <w:bidi w:val="0"/>
                    <w:adjustRightInd/>
                    <w:snapToGrid/>
                    <w:spacing w:before="0" w:after="0" w:line="240" w:lineRule="auto"/>
                    <w:ind w:left="0"/>
                    <w:jc w:val="both"/>
                    <w:textAlignment w:val="auto"/>
                    <w:outlineLvl w:val="9"/>
                    <w:rPr>
                      <w:rFonts w:hint="eastAsia" w:ascii="宋体" w:hAnsi="宋体" w:eastAsia="宋体" w:cs="宋体"/>
                      <w:b w:val="0"/>
                      <w:bCs w:val="0"/>
                      <w:color w:val="auto"/>
                      <w:kern w:val="2"/>
                      <w:sz w:val="21"/>
                      <w:szCs w:val="21"/>
                      <w:lang w:eastAsia="zh-CN" w:bidi="ar-SA"/>
                    </w:rPr>
                  </w:pPr>
                  <w:r>
                    <w:rPr>
                      <w:rFonts w:hint="eastAsia" w:ascii="宋体" w:hAnsi="宋体" w:eastAsia="宋体" w:cs="宋体"/>
                      <w:b w:val="0"/>
                      <w:bCs w:val="0"/>
                      <w:color w:val="auto"/>
                      <w:kern w:val="2"/>
                      <w:sz w:val="21"/>
                      <w:szCs w:val="21"/>
                      <w:lang w:eastAsia="zh-CN" w:bidi="ar-SA"/>
                    </w:rPr>
                    <w:t>广州12345政府服务热线受理中心2025年智能平台建设软件开发服务</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1F8F36B">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1（项）</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02C5696D">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rPr>
                  </w:pPr>
                </w:p>
              </w:tc>
              <w:tc>
                <w:tcPr>
                  <w:tcW w:w="1618" w:type="pct"/>
                  <w:tcBorders>
                    <w:top w:val="single" w:color="000000" w:sz="4" w:space="0"/>
                    <w:left w:val="single" w:color="000000" w:sz="4" w:space="0"/>
                    <w:bottom w:val="single" w:color="000000" w:sz="4" w:space="0"/>
                    <w:right w:val="single" w:color="000000" w:sz="4" w:space="0"/>
                  </w:tcBorders>
                  <w:noWrap w:val="0"/>
                  <w:vAlign w:val="center"/>
                </w:tcPr>
                <w:p w14:paraId="52F26738">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6,001,60</w:t>
                  </w:r>
                  <w:r>
                    <w:rPr>
                      <w:rFonts w:hint="eastAsia" w:ascii="宋体" w:hAnsi="宋体" w:cs="宋体"/>
                      <w:b w:val="0"/>
                      <w:bCs w:val="0"/>
                      <w:color w:val="auto"/>
                      <w:sz w:val="21"/>
                      <w:szCs w:val="21"/>
                      <w:lang w:val="en-US" w:eastAsia="zh-CN"/>
                    </w:rPr>
                    <w:t>0</w:t>
                  </w:r>
                  <w:r>
                    <w:rPr>
                      <w:rFonts w:hint="eastAsia" w:ascii="宋体" w:hAnsi="宋体" w:eastAsia="宋体" w:cs="宋体"/>
                      <w:b w:val="0"/>
                      <w:bCs w:val="0"/>
                      <w:color w:val="auto"/>
                      <w:sz w:val="21"/>
                      <w:szCs w:val="21"/>
                      <w:lang w:val="en-US" w:eastAsia="zh-CN"/>
                    </w:rPr>
                    <w:t>.00</w:t>
                  </w:r>
                </w:p>
              </w:tc>
            </w:tr>
            <w:tr w14:paraId="691F991D">
              <w:tblPrEx>
                <w:tblCellMar>
                  <w:top w:w="0" w:type="dxa"/>
                  <w:left w:w="108" w:type="dxa"/>
                  <w:bottom w:w="0" w:type="dxa"/>
                  <w:right w:w="108" w:type="dxa"/>
                </w:tblCellMar>
              </w:tblPrEx>
              <w:trPr>
                <w:trHeight w:val="270" w:hRule="atLeast"/>
              </w:trPr>
              <w:tc>
                <w:tcPr>
                  <w:tcW w:w="471" w:type="pct"/>
                  <w:tcBorders>
                    <w:top w:val="single" w:color="000000" w:sz="4" w:space="0"/>
                    <w:left w:val="single" w:color="000000" w:sz="4" w:space="0"/>
                    <w:bottom w:val="single" w:color="000000" w:sz="4" w:space="0"/>
                    <w:right w:val="single" w:color="000000" w:sz="4" w:space="0"/>
                  </w:tcBorders>
                  <w:noWrap w:val="0"/>
                  <w:vAlign w:val="center"/>
                </w:tcPr>
                <w:p w14:paraId="3689C088">
                  <w:pPr>
                    <w:pageBreakBefore w:val="0"/>
                    <w:widowControl/>
                    <w:numPr>
                      <w:ilvl w:val="0"/>
                      <w:numId w:val="0"/>
                    </w:numPr>
                    <w:kinsoku/>
                    <w:wordWrap/>
                    <w:overflowPunct/>
                    <w:topLinePunct w:val="0"/>
                    <w:autoSpaceDE/>
                    <w:autoSpaceDN/>
                    <w:bidi w:val="0"/>
                    <w:adjustRightInd/>
                    <w:snapToGrid/>
                    <w:spacing w:before="0" w:after="0" w:line="240" w:lineRule="auto"/>
                    <w:ind w:left="0"/>
                    <w:jc w:val="center"/>
                    <w:textAlignment w:val="auto"/>
                    <w:outlineLvl w:val="9"/>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w:t>
                  </w:r>
                </w:p>
              </w:tc>
              <w:tc>
                <w:tcPr>
                  <w:tcW w:w="1318" w:type="pct"/>
                  <w:tcBorders>
                    <w:top w:val="single" w:color="000000" w:sz="4" w:space="0"/>
                    <w:left w:val="single" w:color="000000" w:sz="4" w:space="0"/>
                    <w:bottom w:val="single" w:color="000000" w:sz="4" w:space="0"/>
                    <w:right w:val="single" w:color="000000" w:sz="4" w:space="0"/>
                  </w:tcBorders>
                  <w:noWrap w:val="0"/>
                  <w:vAlign w:val="center"/>
                </w:tcPr>
                <w:p w14:paraId="00205443">
                  <w:pPr>
                    <w:pageBreakBefore w:val="0"/>
                    <w:widowControl/>
                    <w:numPr>
                      <w:ilvl w:val="0"/>
                      <w:numId w:val="0"/>
                    </w:numPr>
                    <w:kinsoku/>
                    <w:wordWrap/>
                    <w:overflowPunct/>
                    <w:topLinePunct w:val="0"/>
                    <w:autoSpaceDE/>
                    <w:autoSpaceDN/>
                    <w:bidi w:val="0"/>
                    <w:adjustRightInd/>
                    <w:snapToGrid/>
                    <w:spacing w:before="0" w:after="0" w:line="240" w:lineRule="auto"/>
                    <w:ind w:left="0"/>
                    <w:jc w:val="both"/>
                    <w:textAlignment w:val="auto"/>
                    <w:outlineLvl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kern w:val="2"/>
                      <w:sz w:val="21"/>
                      <w:szCs w:val="21"/>
                      <w:lang w:eastAsia="zh-CN" w:bidi="ar-SA"/>
                    </w:rPr>
                    <w:t>广州12345政府服务热线受理中心2025年智能平台建设数据治理服务</w:t>
                  </w:r>
                </w:p>
              </w:tc>
              <w:tc>
                <w:tcPr>
                  <w:tcW w:w="962" w:type="pct"/>
                  <w:tcBorders>
                    <w:top w:val="single" w:color="000000" w:sz="4" w:space="0"/>
                    <w:left w:val="single" w:color="000000" w:sz="4" w:space="0"/>
                    <w:bottom w:val="single" w:color="000000" w:sz="4" w:space="0"/>
                    <w:right w:val="single" w:color="000000" w:sz="4" w:space="0"/>
                  </w:tcBorders>
                  <w:noWrap w:val="0"/>
                  <w:vAlign w:val="center"/>
                </w:tcPr>
                <w:p w14:paraId="106A08F8">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1（项）</w:t>
                  </w:r>
                </w:p>
              </w:tc>
              <w:tc>
                <w:tcPr>
                  <w:tcW w:w="628" w:type="pct"/>
                  <w:tcBorders>
                    <w:top w:val="single" w:color="000000" w:sz="4" w:space="0"/>
                    <w:left w:val="single" w:color="000000" w:sz="4" w:space="0"/>
                    <w:bottom w:val="single" w:color="000000" w:sz="4" w:space="0"/>
                    <w:right w:val="single" w:color="000000" w:sz="4" w:space="0"/>
                  </w:tcBorders>
                  <w:noWrap w:val="0"/>
                  <w:vAlign w:val="center"/>
                </w:tcPr>
                <w:p w14:paraId="6D4A3E72">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rPr>
                  </w:pPr>
                </w:p>
              </w:tc>
              <w:tc>
                <w:tcPr>
                  <w:tcW w:w="1618" w:type="pct"/>
                  <w:tcBorders>
                    <w:top w:val="single" w:color="000000" w:sz="4" w:space="0"/>
                    <w:left w:val="single" w:color="000000" w:sz="4" w:space="0"/>
                    <w:bottom w:val="single" w:color="000000" w:sz="4" w:space="0"/>
                    <w:right w:val="single" w:color="000000" w:sz="4" w:space="0"/>
                  </w:tcBorders>
                  <w:noWrap w:val="0"/>
                  <w:vAlign w:val="center"/>
                </w:tcPr>
                <w:p w14:paraId="081C80D4">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378,000.00</w:t>
                  </w:r>
                </w:p>
              </w:tc>
            </w:tr>
            <w:tr w14:paraId="164E9B09">
              <w:tblPrEx>
                <w:tblCellMar>
                  <w:top w:w="0" w:type="dxa"/>
                  <w:left w:w="108" w:type="dxa"/>
                  <w:bottom w:w="0" w:type="dxa"/>
                  <w:right w:w="108" w:type="dxa"/>
                </w:tblCellMar>
              </w:tblPrEx>
              <w:trPr>
                <w:trHeight w:val="724" w:hRule="atLeast"/>
              </w:trPr>
              <w:tc>
                <w:tcPr>
                  <w:tcW w:w="3381" w:type="pct"/>
                  <w:gridSpan w:val="4"/>
                  <w:tcBorders>
                    <w:top w:val="single" w:color="000000" w:sz="4" w:space="0"/>
                    <w:left w:val="single" w:color="000000" w:sz="4" w:space="0"/>
                    <w:bottom w:val="single" w:color="000000" w:sz="4" w:space="0"/>
                    <w:right w:val="single" w:color="000000" w:sz="4" w:space="0"/>
                  </w:tcBorders>
                  <w:noWrap w:val="0"/>
                  <w:vAlign w:val="center"/>
                </w:tcPr>
                <w:p w14:paraId="57408D42">
                  <w:pPr>
                    <w:pageBreakBefore w:val="0"/>
                    <w:numPr>
                      <w:ilvl w:val="0"/>
                      <w:numId w:val="0"/>
                    </w:numPr>
                    <w:kinsoku/>
                    <w:wordWrap/>
                    <w:overflowPunct/>
                    <w:topLinePunct w:val="0"/>
                    <w:autoSpaceDE/>
                    <w:autoSpaceDN/>
                    <w:bidi w:val="0"/>
                    <w:adjustRightInd/>
                    <w:snapToGrid/>
                    <w:spacing w:before="0" w:after="0" w:line="240" w:lineRule="auto"/>
                    <w:ind w:left="0"/>
                    <w:outlineLvl w:val="9"/>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总价最高限价</w:t>
                  </w:r>
                </w:p>
              </w:tc>
              <w:tc>
                <w:tcPr>
                  <w:tcW w:w="1618" w:type="pct"/>
                  <w:tcBorders>
                    <w:top w:val="single" w:color="000000" w:sz="4" w:space="0"/>
                    <w:left w:val="single" w:color="000000" w:sz="4" w:space="0"/>
                    <w:bottom w:val="single" w:color="000000" w:sz="4" w:space="0"/>
                    <w:right w:val="single" w:color="000000" w:sz="4" w:space="0"/>
                  </w:tcBorders>
                  <w:noWrap w:val="0"/>
                  <w:vAlign w:val="center"/>
                </w:tcPr>
                <w:p w14:paraId="357176EE">
                  <w:pPr>
                    <w:pageBreakBefore w:val="0"/>
                    <w:numPr>
                      <w:ilvl w:val="0"/>
                      <w:numId w:val="0"/>
                    </w:numPr>
                    <w:kinsoku/>
                    <w:wordWrap/>
                    <w:overflowPunct/>
                    <w:topLinePunct w:val="0"/>
                    <w:autoSpaceDE/>
                    <w:autoSpaceDN/>
                    <w:bidi w:val="0"/>
                    <w:adjustRightInd/>
                    <w:snapToGrid/>
                    <w:spacing w:before="0" w:after="0" w:line="240" w:lineRule="auto"/>
                    <w:ind w:left="0"/>
                    <w:jc w:val="center"/>
                    <w:outlineLvl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w:t>
                  </w:r>
                  <w:r>
                    <w:rPr>
                      <w:rFonts w:hint="eastAsia" w:ascii="宋体" w:hAnsi="宋体" w:eastAsia="宋体" w:cs="宋体"/>
                      <w:b w:val="0"/>
                      <w:bCs w:val="0"/>
                      <w:color w:val="auto"/>
                      <w:sz w:val="21"/>
                      <w:szCs w:val="21"/>
                      <w:lang w:val="en" w:eastAsia="zh-CN"/>
                    </w:rPr>
                    <w:t>,</w:t>
                  </w:r>
                  <w:r>
                    <w:rPr>
                      <w:rFonts w:hint="eastAsia" w:ascii="宋体" w:hAnsi="宋体" w:eastAsia="宋体" w:cs="宋体"/>
                      <w:b w:val="0"/>
                      <w:bCs w:val="0"/>
                      <w:color w:val="auto"/>
                      <w:sz w:val="21"/>
                      <w:szCs w:val="21"/>
                      <w:lang w:val="en-US" w:eastAsia="zh-CN"/>
                    </w:rPr>
                    <w:t>379</w:t>
                  </w:r>
                  <w:r>
                    <w:rPr>
                      <w:rFonts w:hint="eastAsia" w:ascii="宋体" w:hAnsi="宋体" w:eastAsia="宋体" w:cs="宋体"/>
                      <w:b w:val="0"/>
                      <w:bCs w:val="0"/>
                      <w:color w:val="auto"/>
                      <w:sz w:val="21"/>
                      <w:szCs w:val="21"/>
                      <w:lang w:val="en" w:eastAsia="zh-CN"/>
                    </w:rPr>
                    <w:t>,</w:t>
                  </w:r>
                  <w:r>
                    <w:rPr>
                      <w:rFonts w:hint="eastAsia" w:ascii="宋体" w:hAnsi="宋体" w:eastAsia="宋体" w:cs="宋体"/>
                      <w:b w:val="0"/>
                      <w:bCs w:val="0"/>
                      <w:color w:val="auto"/>
                      <w:sz w:val="21"/>
                      <w:szCs w:val="21"/>
                      <w:lang w:val="en-US" w:eastAsia="zh-CN"/>
                    </w:rPr>
                    <w:t>60</w:t>
                  </w:r>
                  <w:r>
                    <w:rPr>
                      <w:rFonts w:hint="eastAsia" w:ascii="宋体" w:hAnsi="宋体" w:cs="宋体"/>
                      <w:b w:val="0"/>
                      <w:bCs w:val="0"/>
                      <w:color w:val="auto"/>
                      <w:sz w:val="21"/>
                      <w:szCs w:val="21"/>
                      <w:lang w:val="en-US" w:eastAsia="zh-CN"/>
                    </w:rPr>
                    <w:t>0</w:t>
                  </w:r>
                  <w:r>
                    <w:rPr>
                      <w:rFonts w:hint="eastAsia" w:ascii="宋体" w:hAnsi="宋体" w:eastAsia="宋体" w:cs="宋体"/>
                      <w:b w:val="0"/>
                      <w:bCs w:val="0"/>
                      <w:color w:val="auto"/>
                      <w:sz w:val="21"/>
                      <w:szCs w:val="21"/>
                      <w:lang w:val="en-US" w:eastAsia="zh-CN"/>
                    </w:rPr>
                    <w:t>.00</w:t>
                  </w:r>
                </w:p>
              </w:tc>
            </w:tr>
          </w:tbl>
          <w:p w14:paraId="613C806F">
            <w:pPr>
              <w:keepNext w:val="0"/>
              <w:keepLines w:val="0"/>
              <w:widowControl/>
              <w:suppressLineNumbers w:val="0"/>
              <w:spacing w:before="0" w:beforeAutospacing="0" w:after="0" w:afterAutospacing="0" w:line="360" w:lineRule="auto"/>
              <w:ind w:left="0" w:right="0"/>
              <w:jc w:val="left"/>
              <w:rPr>
                <w:rFonts w:hint="default" w:ascii="宋体" w:hAnsi="宋体"/>
                <w:sz w:val="24"/>
                <w:szCs w:val="24"/>
              </w:rPr>
            </w:pPr>
          </w:p>
        </w:tc>
        <w:tc>
          <w:tcPr>
            <w:tcW w:w="1188" w:type="dxa"/>
            <w:tcBorders>
              <w:top w:val="single" w:color="auto" w:sz="4" w:space="0"/>
              <w:left w:val="single" w:color="auto" w:sz="4" w:space="0"/>
              <w:bottom w:val="single" w:color="auto" w:sz="4" w:space="0"/>
              <w:right w:val="single" w:color="auto" w:sz="4" w:space="0"/>
            </w:tcBorders>
          </w:tcPr>
          <w:p w14:paraId="17D1B03E">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498" w:type="dxa"/>
            <w:tcBorders>
              <w:top w:val="single" w:color="auto" w:sz="4" w:space="0"/>
              <w:left w:val="single" w:color="auto" w:sz="4" w:space="0"/>
              <w:bottom w:val="single" w:color="auto" w:sz="4" w:space="0"/>
              <w:right w:val="single" w:color="auto" w:sz="4" w:space="0"/>
            </w:tcBorders>
          </w:tcPr>
          <w:p w14:paraId="7C63C748">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14:paraId="700C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621" w:type="dxa"/>
            <w:tcBorders>
              <w:top w:val="single" w:color="auto" w:sz="4" w:space="0"/>
              <w:left w:val="single" w:color="auto" w:sz="4" w:space="0"/>
              <w:bottom w:val="single" w:color="auto" w:sz="4" w:space="0"/>
              <w:right w:val="single" w:color="auto" w:sz="4" w:space="0"/>
            </w:tcBorders>
            <w:vAlign w:val="center"/>
          </w:tcPr>
          <w:p w14:paraId="6F49A572">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2</w:t>
            </w:r>
          </w:p>
        </w:tc>
        <w:tc>
          <w:tcPr>
            <w:tcW w:w="7566" w:type="dxa"/>
            <w:tcBorders>
              <w:top w:val="single" w:color="auto" w:sz="4" w:space="0"/>
              <w:left w:val="single" w:color="auto" w:sz="4" w:space="0"/>
              <w:bottom w:val="single" w:color="auto" w:sz="4" w:space="0"/>
              <w:right w:val="single" w:color="auto" w:sz="4" w:space="0"/>
            </w:tcBorders>
          </w:tcPr>
          <w:p w14:paraId="4552FC60">
            <w:pPr>
              <w:keepNext w:val="0"/>
              <w:keepLines w:val="0"/>
              <w:widowControl/>
              <w:suppressLineNumbers w:val="0"/>
              <w:spacing w:before="0" w:beforeAutospacing="0" w:after="0" w:afterAutospacing="0" w:line="360" w:lineRule="auto"/>
              <w:ind w:left="0" w:right="0"/>
              <w:jc w:val="left"/>
              <w:rPr>
                <w:rFonts w:hint="default" w:ascii="宋体" w:hAnsi="宋体"/>
                <w:sz w:val="24"/>
                <w:szCs w:val="24"/>
                <w:lang w:val="en-US" w:eastAsia="zh-CN"/>
              </w:rPr>
            </w:pPr>
            <w:r>
              <w:rPr>
                <w:rFonts w:hint="eastAsia" w:ascii="宋体" w:hAnsi="宋体" w:eastAsia="宋体" w:cs="宋体"/>
                <w:b w:val="0"/>
                <w:bCs w:val="0"/>
                <w:color w:val="auto"/>
                <w:sz w:val="21"/>
                <w:szCs w:val="21"/>
              </w:rPr>
              <w:t>★</w:t>
            </w:r>
            <w:r>
              <w:rPr>
                <w:rFonts w:hint="eastAsia" w:ascii="宋体" w:hAnsi="宋体" w:eastAsia="宋体" w:cs="宋体"/>
                <w:color w:val="auto"/>
                <w:sz w:val="21"/>
                <w:szCs w:val="21"/>
              </w:rPr>
              <w:t>技术支持：质保期内中标</w:t>
            </w:r>
            <w:r>
              <w:rPr>
                <w:rFonts w:hint="eastAsia" w:ascii="宋体" w:hAnsi="宋体" w:cs="宋体"/>
                <w:color w:val="auto"/>
                <w:sz w:val="21"/>
                <w:szCs w:val="21"/>
                <w:lang w:eastAsia="zh-CN"/>
              </w:rPr>
              <w:t>供应商</w:t>
            </w:r>
            <w:r>
              <w:rPr>
                <w:rFonts w:hint="eastAsia" w:ascii="宋体" w:hAnsi="宋体" w:eastAsia="宋体" w:cs="宋体"/>
                <w:color w:val="auto"/>
                <w:sz w:val="21"/>
                <w:szCs w:val="21"/>
              </w:rPr>
              <w:t>免费提供质量保证和软件升级、</w:t>
            </w:r>
            <w:r>
              <w:rPr>
                <w:rFonts w:hint="eastAsia" w:ascii="宋体" w:hAnsi="宋体" w:eastAsia="宋体" w:cs="宋体"/>
                <w:color w:val="auto"/>
                <w:spacing w:val="0"/>
                <w:sz w:val="21"/>
                <w:szCs w:val="21"/>
              </w:rPr>
              <w:t>对采购需求中所列的功能点在系统运行过程中出现的缺陷进行免费修复，保证系统稳定运行。</w:t>
            </w:r>
          </w:p>
        </w:tc>
        <w:tc>
          <w:tcPr>
            <w:tcW w:w="1188" w:type="dxa"/>
            <w:tcBorders>
              <w:top w:val="single" w:color="auto" w:sz="4" w:space="0"/>
              <w:left w:val="single" w:color="auto" w:sz="4" w:space="0"/>
              <w:bottom w:val="single" w:color="auto" w:sz="4" w:space="0"/>
              <w:right w:val="single" w:color="auto" w:sz="4" w:space="0"/>
            </w:tcBorders>
          </w:tcPr>
          <w:p w14:paraId="1FD3A166">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498" w:type="dxa"/>
            <w:tcBorders>
              <w:top w:val="single" w:color="auto" w:sz="4" w:space="0"/>
              <w:left w:val="single" w:color="auto" w:sz="4" w:space="0"/>
              <w:bottom w:val="single" w:color="auto" w:sz="4" w:space="0"/>
              <w:right w:val="single" w:color="auto" w:sz="4" w:space="0"/>
            </w:tcBorders>
          </w:tcPr>
          <w:p w14:paraId="2EA19F61">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14:paraId="57E1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621" w:type="dxa"/>
            <w:tcBorders>
              <w:top w:val="single" w:color="auto" w:sz="4" w:space="0"/>
              <w:left w:val="single" w:color="auto" w:sz="4" w:space="0"/>
              <w:bottom w:val="single" w:color="auto" w:sz="4" w:space="0"/>
              <w:right w:val="single" w:color="auto" w:sz="4" w:space="0"/>
            </w:tcBorders>
            <w:vAlign w:val="center"/>
          </w:tcPr>
          <w:p w14:paraId="47926602">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3</w:t>
            </w:r>
          </w:p>
        </w:tc>
        <w:tc>
          <w:tcPr>
            <w:tcW w:w="7566" w:type="dxa"/>
            <w:tcBorders>
              <w:top w:val="single" w:color="auto" w:sz="4" w:space="0"/>
              <w:left w:val="single" w:color="auto" w:sz="4" w:space="0"/>
              <w:bottom w:val="single" w:color="auto" w:sz="4" w:space="0"/>
              <w:right w:val="single" w:color="auto" w:sz="4" w:space="0"/>
            </w:tcBorders>
          </w:tcPr>
          <w:p w14:paraId="31BAC61C">
            <w:pPr>
              <w:keepNext w:val="0"/>
              <w:keepLines w:val="0"/>
              <w:widowControl/>
              <w:suppressLineNumbers w:val="0"/>
              <w:spacing w:before="0" w:beforeAutospacing="0" w:after="0" w:afterAutospacing="0" w:line="360" w:lineRule="auto"/>
              <w:ind w:left="0" w:right="0"/>
              <w:jc w:val="left"/>
              <w:rPr>
                <w:rFonts w:hint="eastAsia" w:ascii="宋体" w:hAnsi="宋体"/>
                <w:sz w:val="24"/>
                <w:szCs w:val="24"/>
                <w:lang w:val="en-US" w:eastAsia="zh-CN"/>
              </w:rPr>
            </w:pPr>
            <w:r>
              <w:rPr>
                <w:rFonts w:hint="eastAsia" w:ascii="宋体" w:hAnsi="宋体" w:eastAsia="宋体" w:cs="宋体"/>
                <w:b w:val="0"/>
                <w:bCs w:val="0"/>
                <w:color w:val="auto"/>
                <w:sz w:val="21"/>
                <w:szCs w:val="21"/>
              </w:rPr>
              <w:t>★</w:t>
            </w:r>
            <w:r>
              <w:rPr>
                <w:rFonts w:hint="eastAsia" w:ascii="宋体" w:hAnsi="宋体" w:eastAsia="宋体" w:cs="宋体"/>
                <w:color w:val="auto"/>
                <w:sz w:val="21"/>
                <w:szCs w:val="21"/>
              </w:rPr>
              <w:t>在质保期内中标</w:t>
            </w:r>
            <w:r>
              <w:rPr>
                <w:rFonts w:hint="eastAsia" w:ascii="宋体" w:hAnsi="宋体" w:cs="宋体"/>
                <w:color w:val="auto"/>
                <w:sz w:val="21"/>
                <w:szCs w:val="21"/>
                <w:lang w:eastAsia="zh-CN"/>
              </w:rPr>
              <w:t>供应商</w:t>
            </w:r>
            <w:r>
              <w:rPr>
                <w:rFonts w:hint="eastAsia" w:ascii="宋体" w:hAnsi="宋体" w:eastAsia="宋体" w:cs="宋体"/>
                <w:color w:val="auto"/>
                <w:sz w:val="21"/>
                <w:szCs w:val="21"/>
              </w:rPr>
              <w:t>提供软件系统维护和支持服务(7×24小时响应，维护和现场技术服务的费用已包含在合同总价中)</w:t>
            </w:r>
          </w:p>
        </w:tc>
        <w:tc>
          <w:tcPr>
            <w:tcW w:w="1188" w:type="dxa"/>
            <w:tcBorders>
              <w:top w:val="single" w:color="auto" w:sz="4" w:space="0"/>
              <w:left w:val="single" w:color="auto" w:sz="4" w:space="0"/>
              <w:bottom w:val="single" w:color="auto" w:sz="4" w:space="0"/>
              <w:right w:val="single" w:color="auto" w:sz="4" w:space="0"/>
            </w:tcBorders>
          </w:tcPr>
          <w:p w14:paraId="7570332B">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498" w:type="dxa"/>
            <w:tcBorders>
              <w:top w:val="single" w:color="auto" w:sz="4" w:space="0"/>
              <w:left w:val="single" w:color="auto" w:sz="4" w:space="0"/>
              <w:bottom w:val="single" w:color="auto" w:sz="4" w:space="0"/>
              <w:right w:val="single" w:color="auto" w:sz="4" w:space="0"/>
            </w:tcBorders>
          </w:tcPr>
          <w:p w14:paraId="267CAE5F">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14:paraId="4C8E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621" w:type="dxa"/>
            <w:tcBorders>
              <w:top w:val="single" w:color="auto" w:sz="4" w:space="0"/>
              <w:left w:val="single" w:color="auto" w:sz="4" w:space="0"/>
              <w:bottom w:val="single" w:color="auto" w:sz="4" w:space="0"/>
              <w:right w:val="single" w:color="auto" w:sz="4" w:space="0"/>
            </w:tcBorders>
            <w:vAlign w:val="center"/>
          </w:tcPr>
          <w:p w14:paraId="11130C26">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4</w:t>
            </w:r>
          </w:p>
        </w:tc>
        <w:tc>
          <w:tcPr>
            <w:tcW w:w="7566" w:type="dxa"/>
            <w:tcBorders>
              <w:top w:val="single" w:color="auto" w:sz="4" w:space="0"/>
              <w:left w:val="single" w:color="auto" w:sz="4" w:space="0"/>
              <w:bottom w:val="single" w:color="auto" w:sz="4" w:space="0"/>
              <w:right w:val="single" w:color="auto" w:sz="4" w:space="0"/>
            </w:tcBorders>
          </w:tcPr>
          <w:p w14:paraId="1CE876D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val="0"/>
                <w:bCs w:val="0"/>
                <w:color w:val="auto"/>
                <w:sz w:val="21"/>
                <w:szCs w:val="21"/>
              </w:rPr>
            </w:pPr>
            <w:r>
              <w:rPr>
                <w:rFonts w:hint="eastAsia" w:ascii="宋体" w:hAnsi="宋体" w:cs="宋体"/>
                <w:szCs w:val="21"/>
              </w:rPr>
              <w:t>★中标</w:t>
            </w:r>
            <w:r>
              <w:rPr>
                <w:rFonts w:hint="eastAsia" w:ascii="宋体" w:hAnsi="宋体" w:cs="宋体"/>
                <w:color w:val="auto"/>
                <w:sz w:val="21"/>
                <w:szCs w:val="21"/>
                <w:lang w:eastAsia="zh-CN"/>
              </w:rPr>
              <w:t>供应商</w:t>
            </w:r>
            <w:r>
              <w:rPr>
                <w:rFonts w:hint="eastAsia" w:ascii="宋体" w:hAnsi="宋体" w:cs="宋体"/>
                <w:szCs w:val="21"/>
              </w:rPr>
              <w:t>开发的应用软件在项目合同验收通过后，应提供一年的免费质保服务，质保期间需派2人或以上驻现场提供系统维护和升级服务，其中1人为技术负责人，1人为原项目组开发人员或者实施人员。</w:t>
            </w:r>
          </w:p>
        </w:tc>
        <w:tc>
          <w:tcPr>
            <w:tcW w:w="1188" w:type="dxa"/>
            <w:tcBorders>
              <w:top w:val="single" w:color="auto" w:sz="4" w:space="0"/>
              <w:left w:val="single" w:color="auto" w:sz="4" w:space="0"/>
              <w:bottom w:val="single" w:color="auto" w:sz="4" w:space="0"/>
              <w:right w:val="single" w:color="auto" w:sz="4" w:space="0"/>
            </w:tcBorders>
          </w:tcPr>
          <w:p w14:paraId="238A73CE">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498" w:type="dxa"/>
            <w:tcBorders>
              <w:top w:val="single" w:color="auto" w:sz="4" w:space="0"/>
              <w:left w:val="single" w:color="auto" w:sz="4" w:space="0"/>
              <w:bottom w:val="single" w:color="auto" w:sz="4" w:space="0"/>
              <w:right w:val="single" w:color="auto" w:sz="4" w:space="0"/>
            </w:tcBorders>
          </w:tcPr>
          <w:p w14:paraId="6D948FE1">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14:paraId="46B5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621" w:type="dxa"/>
            <w:tcBorders>
              <w:top w:val="single" w:color="auto" w:sz="4" w:space="0"/>
              <w:left w:val="single" w:color="auto" w:sz="4" w:space="0"/>
              <w:bottom w:val="single" w:color="auto" w:sz="4" w:space="0"/>
              <w:right w:val="single" w:color="auto" w:sz="4" w:space="0"/>
            </w:tcBorders>
            <w:vAlign w:val="center"/>
          </w:tcPr>
          <w:p w14:paraId="58AE0731">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5</w:t>
            </w:r>
          </w:p>
        </w:tc>
        <w:tc>
          <w:tcPr>
            <w:tcW w:w="7566" w:type="dxa"/>
            <w:tcBorders>
              <w:top w:val="single" w:color="auto" w:sz="4" w:space="0"/>
              <w:left w:val="single" w:color="auto" w:sz="4" w:space="0"/>
              <w:bottom w:val="single" w:color="auto" w:sz="4" w:space="0"/>
              <w:right w:val="single" w:color="auto" w:sz="4" w:space="0"/>
            </w:tcBorders>
          </w:tcPr>
          <w:p w14:paraId="736F3D08">
            <w:pPr>
              <w:keepNext w:val="0"/>
              <w:keepLines w:val="0"/>
              <w:widowControl/>
              <w:suppressLineNumbers w:val="0"/>
              <w:spacing w:before="0" w:beforeAutospacing="0" w:after="0" w:afterAutospacing="0" w:line="360" w:lineRule="auto"/>
              <w:ind w:left="0" w:right="0"/>
              <w:jc w:val="left"/>
              <w:rPr>
                <w:rFonts w:hint="eastAsia" w:ascii="宋体" w:hAnsi="宋体" w:cs="宋体"/>
                <w:szCs w:val="21"/>
              </w:rPr>
            </w:pPr>
            <w:r>
              <w:rPr>
                <w:rFonts w:hint="eastAsia" w:ascii="宋体" w:hAnsi="宋体" w:eastAsia="宋体" w:cs="宋体"/>
                <w:color w:val="auto"/>
                <w:sz w:val="21"/>
                <w:szCs w:val="21"/>
              </w:rPr>
              <w:t>★广州12345政府服务热线受理中心对服务成果拥有所有权及全部、完整的知识产权（包括但不限于著作权、专利权、商标权以及知识产权申请权等）。</w:t>
            </w:r>
          </w:p>
        </w:tc>
        <w:tc>
          <w:tcPr>
            <w:tcW w:w="1188" w:type="dxa"/>
            <w:tcBorders>
              <w:top w:val="single" w:color="auto" w:sz="4" w:space="0"/>
              <w:left w:val="single" w:color="auto" w:sz="4" w:space="0"/>
              <w:bottom w:val="single" w:color="auto" w:sz="4" w:space="0"/>
              <w:right w:val="single" w:color="auto" w:sz="4" w:space="0"/>
            </w:tcBorders>
          </w:tcPr>
          <w:p w14:paraId="1C3210D9">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498" w:type="dxa"/>
            <w:tcBorders>
              <w:top w:val="single" w:color="auto" w:sz="4" w:space="0"/>
              <w:left w:val="single" w:color="auto" w:sz="4" w:space="0"/>
              <w:bottom w:val="single" w:color="auto" w:sz="4" w:space="0"/>
              <w:right w:val="single" w:color="auto" w:sz="4" w:space="0"/>
            </w:tcBorders>
          </w:tcPr>
          <w:p w14:paraId="65C07CA0">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bl>
    <w:p w14:paraId="69AD25CF">
      <w:pPr>
        <w:spacing w:line="360" w:lineRule="auto"/>
        <w:rPr>
          <w:rFonts w:ascii="宋体" w:hAnsi="宋体"/>
          <w:sz w:val="24"/>
          <w:szCs w:val="24"/>
        </w:rPr>
      </w:pPr>
      <w:r>
        <w:rPr>
          <w:rFonts w:hint="eastAsia" w:ascii="宋体" w:hAnsi="宋体"/>
          <w:sz w:val="24"/>
          <w:szCs w:val="24"/>
        </w:rPr>
        <w:t>说明：</w:t>
      </w:r>
    </w:p>
    <w:p w14:paraId="287E0E51">
      <w:pPr>
        <w:pStyle w:val="11"/>
        <w:shd w:val="clear" w:color="auto" w:fill="FFFFFF"/>
        <w:ind w:firstLine="480"/>
      </w:pPr>
      <w:r>
        <w:rPr>
          <w:rFonts w:hint="eastAsia"/>
        </w:rPr>
        <w:t>1.实质性响应条款一览表后续内容请根据第二章采购需求</w:t>
      </w:r>
      <w:r>
        <w:rPr>
          <w:rStyle w:val="15"/>
          <w:rFonts w:hint="eastAsia"/>
          <w:b w:val="0"/>
        </w:rPr>
        <w:t>★</w:t>
      </w:r>
      <w:r>
        <w:rPr>
          <w:rFonts w:hint="eastAsia"/>
        </w:rPr>
        <w:t>号条款详细列举</w:t>
      </w:r>
    </w:p>
    <w:p w14:paraId="2A2C5BC7">
      <w:pPr>
        <w:pStyle w:val="11"/>
        <w:shd w:val="clear" w:color="auto" w:fill="FFFFFF"/>
        <w:ind w:firstLine="480"/>
      </w:pPr>
      <w:r>
        <w:rPr>
          <w:rFonts w:hint="eastAsia"/>
        </w:rPr>
        <w:t>2.本表所列条款必须一一予以响应，“投标人响应情况”一栏应</w:t>
      </w:r>
      <w:r>
        <w:rPr>
          <w:rStyle w:val="15"/>
          <w:rFonts w:hint="eastAsia"/>
          <w:b w:val="0"/>
        </w:rPr>
        <w:t>填写具体的响应内容，有差异</w:t>
      </w:r>
      <w:r>
        <w:rPr>
          <w:rFonts w:hint="eastAsia"/>
        </w:rPr>
        <w:t>的要具体说明。</w:t>
      </w:r>
    </w:p>
    <w:p w14:paraId="72F733F4">
      <w:pPr>
        <w:pStyle w:val="11"/>
        <w:shd w:val="clear" w:color="auto" w:fill="FFFFFF"/>
        <w:ind w:firstLine="480"/>
        <w:rPr>
          <w:rFonts w:ascii="宋体" w:hAnsi="宋体"/>
          <w:sz w:val="24"/>
          <w:szCs w:val="24"/>
        </w:rPr>
      </w:pPr>
      <w:r>
        <w:rPr>
          <w:rFonts w:hint="eastAsia"/>
        </w:rPr>
        <w:t>3.请投标人认真填写本表内容，如填写错误将可能导致投标无效。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wOWEwMzI5M2U4MWE4ZWFhMGFmNGI3OWUxMGYwZDEifQ=="/>
  </w:docVars>
  <w:rsids>
    <w:rsidRoot w:val="002F3044"/>
    <w:rsid w:val="00076C5F"/>
    <w:rsid w:val="00083B02"/>
    <w:rsid w:val="000C13F0"/>
    <w:rsid w:val="001079D2"/>
    <w:rsid w:val="0015735B"/>
    <w:rsid w:val="00194F3E"/>
    <w:rsid w:val="001B369A"/>
    <w:rsid w:val="002048E3"/>
    <w:rsid w:val="0021128E"/>
    <w:rsid w:val="002323C9"/>
    <w:rsid w:val="002F3044"/>
    <w:rsid w:val="003060E6"/>
    <w:rsid w:val="003105EE"/>
    <w:rsid w:val="00321F0D"/>
    <w:rsid w:val="0036576E"/>
    <w:rsid w:val="00387B33"/>
    <w:rsid w:val="004523E4"/>
    <w:rsid w:val="004B30C6"/>
    <w:rsid w:val="00544002"/>
    <w:rsid w:val="0056143B"/>
    <w:rsid w:val="00706877"/>
    <w:rsid w:val="007B77B1"/>
    <w:rsid w:val="008103F4"/>
    <w:rsid w:val="00880896"/>
    <w:rsid w:val="008826E0"/>
    <w:rsid w:val="00906CA6"/>
    <w:rsid w:val="009238D2"/>
    <w:rsid w:val="00926E05"/>
    <w:rsid w:val="00967340"/>
    <w:rsid w:val="00A0648E"/>
    <w:rsid w:val="00A1664F"/>
    <w:rsid w:val="00A30155"/>
    <w:rsid w:val="00A50151"/>
    <w:rsid w:val="00A73AE4"/>
    <w:rsid w:val="00A7604B"/>
    <w:rsid w:val="00B47072"/>
    <w:rsid w:val="00B76C26"/>
    <w:rsid w:val="00BB1460"/>
    <w:rsid w:val="00BB7663"/>
    <w:rsid w:val="00BE6601"/>
    <w:rsid w:val="00C554C7"/>
    <w:rsid w:val="00CD0E81"/>
    <w:rsid w:val="00CF3FAB"/>
    <w:rsid w:val="00DF0BC4"/>
    <w:rsid w:val="00E33BF2"/>
    <w:rsid w:val="00E639D3"/>
    <w:rsid w:val="00F2688D"/>
    <w:rsid w:val="00F45D4E"/>
    <w:rsid w:val="00F84676"/>
    <w:rsid w:val="02AA639C"/>
    <w:rsid w:val="06C05421"/>
    <w:rsid w:val="0DDC230D"/>
    <w:rsid w:val="0F815C01"/>
    <w:rsid w:val="13D312AC"/>
    <w:rsid w:val="150D619F"/>
    <w:rsid w:val="189563F6"/>
    <w:rsid w:val="1C0876C1"/>
    <w:rsid w:val="1D43135C"/>
    <w:rsid w:val="21DB3B5B"/>
    <w:rsid w:val="23170CD3"/>
    <w:rsid w:val="246A40AC"/>
    <w:rsid w:val="27CD5DCE"/>
    <w:rsid w:val="28266F57"/>
    <w:rsid w:val="2A8F0CFD"/>
    <w:rsid w:val="2BB003D4"/>
    <w:rsid w:val="30E346C5"/>
    <w:rsid w:val="32C30D1C"/>
    <w:rsid w:val="3422539C"/>
    <w:rsid w:val="36630549"/>
    <w:rsid w:val="38113901"/>
    <w:rsid w:val="383E029A"/>
    <w:rsid w:val="39013665"/>
    <w:rsid w:val="3AE12900"/>
    <w:rsid w:val="3ECD0998"/>
    <w:rsid w:val="434A2CF0"/>
    <w:rsid w:val="44470762"/>
    <w:rsid w:val="494A1801"/>
    <w:rsid w:val="497700B1"/>
    <w:rsid w:val="4A0F3F5F"/>
    <w:rsid w:val="4A691BA3"/>
    <w:rsid w:val="4BC12B47"/>
    <w:rsid w:val="4DE503F6"/>
    <w:rsid w:val="5379497C"/>
    <w:rsid w:val="554F368F"/>
    <w:rsid w:val="58721A2F"/>
    <w:rsid w:val="5C513E06"/>
    <w:rsid w:val="5E521427"/>
    <w:rsid w:val="6C433F78"/>
    <w:rsid w:val="6D9423E1"/>
    <w:rsid w:val="6E9434E1"/>
    <w:rsid w:val="72897D89"/>
    <w:rsid w:val="7D8C1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0"/>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4">
    <w:name w:val="Default Paragraph Font"/>
    <w:semiHidden/>
    <w:unhideWhenUsed/>
    <w:qFormat/>
    <w:uiPriority w:val="1"/>
  </w:style>
  <w:style w:type="table" w:default="1" w:styleId="13">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3">
    <w:name w:val="annotation text"/>
    <w:basedOn w:val="1"/>
    <w:link w:val="20"/>
    <w:autoRedefine/>
    <w:unhideWhenUsed/>
    <w:qFormat/>
    <w:uiPriority w:val="0"/>
    <w:rPr>
      <w:sz w:val="20"/>
    </w:rPr>
  </w:style>
  <w:style w:type="paragraph" w:styleId="4">
    <w:name w:val="Body Text"/>
    <w:basedOn w:val="1"/>
    <w:autoRedefine/>
    <w:qFormat/>
    <w:uiPriority w:val="1"/>
    <w:pPr>
      <w:ind w:left="490"/>
    </w:pPr>
    <w:rPr>
      <w:sz w:val="19"/>
      <w:szCs w:val="19"/>
    </w:rPr>
  </w:style>
  <w:style w:type="paragraph" w:styleId="5">
    <w:name w:val="Body Text Indent"/>
    <w:basedOn w:val="1"/>
    <w:autoRedefine/>
    <w:qFormat/>
    <w:uiPriority w:val="0"/>
    <w:pPr>
      <w:spacing w:after="120" w:afterLines="0" w:afterAutospacing="0"/>
      <w:ind w:left="420" w:leftChars="200"/>
    </w:pPr>
  </w:style>
  <w:style w:type="paragraph" w:styleId="6">
    <w:name w:val="Balloon Text"/>
    <w:basedOn w:val="1"/>
    <w:link w:val="19"/>
    <w:autoRedefine/>
    <w:semiHidden/>
    <w:unhideWhenUsed/>
    <w:qFormat/>
    <w:uiPriority w:val="99"/>
    <w:rPr>
      <w:sz w:val="18"/>
      <w:szCs w:val="18"/>
    </w:rPr>
  </w:style>
  <w:style w:type="paragraph" w:styleId="7">
    <w:name w:val="footer"/>
    <w:basedOn w:val="1"/>
    <w:link w:val="18"/>
    <w:autoRedefine/>
    <w:unhideWhenUsed/>
    <w:qFormat/>
    <w:uiPriority w:val="99"/>
    <w:pPr>
      <w:tabs>
        <w:tab w:val="center" w:pos="4153"/>
        <w:tab w:val="right" w:pos="8306"/>
      </w:tabs>
      <w:snapToGrid w:val="0"/>
    </w:pPr>
    <w:rPr>
      <w:sz w:val="18"/>
      <w:szCs w:val="18"/>
    </w:rPr>
  </w:style>
  <w:style w:type="paragraph" w:styleId="8">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2"/>
    <w:basedOn w:val="1"/>
    <w:next w:val="1"/>
    <w:autoRedefine/>
    <w:qFormat/>
    <w:uiPriority w:val="39"/>
    <w:pPr>
      <w:tabs>
        <w:tab w:val="left" w:pos="432"/>
        <w:tab w:val="right" w:leader="dot" w:pos="8931"/>
      </w:tabs>
      <w:spacing w:line="300" w:lineRule="auto"/>
      <w:ind w:left="200" w:leftChars="200"/>
    </w:pPr>
    <w:rPr>
      <w:rFonts w:eastAsia="宋体"/>
      <w:smallCaps/>
      <w:szCs w:val="24"/>
    </w:rPr>
  </w:style>
  <w:style w:type="paragraph" w:styleId="10">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rPr>
  </w:style>
  <w:style w:type="paragraph" w:styleId="11">
    <w:name w:val="Normal (Web)"/>
    <w:basedOn w:val="1"/>
    <w:autoRedefine/>
    <w:unhideWhenUsed/>
    <w:qFormat/>
    <w:uiPriority w:val="99"/>
    <w:pPr>
      <w:spacing w:line="360" w:lineRule="auto"/>
    </w:pPr>
    <w:rPr>
      <w:rFonts w:ascii="宋体" w:hAnsi="宋体" w:cs="宋体"/>
      <w:sz w:val="24"/>
      <w:szCs w:val="24"/>
    </w:rPr>
  </w:style>
  <w:style w:type="paragraph" w:styleId="12">
    <w:name w:val="Body Text First Indent"/>
    <w:basedOn w:val="4"/>
    <w:autoRedefine/>
    <w:unhideWhenUsed/>
    <w:qFormat/>
    <w:uiPriority w:val="99"/>
    <w:pPr>
      <w:spacing w:line="360" w:lineRule="auto"/>
      <w:ind w:firstLine="420" w:firstLineChars="100"/>
    </w:pPr>
  </w:style>
  <w:style w:type="character" w:styleId="15">
    <w:name w:val="Strong"/>
    <w:basedOn w:val="14"/>
    <w:autoRedefine/>
    <w:qFormat/>
    <w:uiPriority w:val="22"/>
    <w:rPr>
      <w:b/>
      <w:bCs/>
    </w:rPr>
  </w:style>
  <w:style w:type="character" w:styleId="16">
    <w:name w:val="annotation reference"/>
    <w:basedOn w:val="14"/>
    <w:autoRedefine/>
    <w:qFormat/>
    <w:uiPriority w:val="0"/>
    <w:rPr>
      <w:rFonts w:ascii="Tahoma" w:hAnsi="Tahoma"/>
      <w:kern w:val="2"/>
      <w:sz w:val="21"/>
      <w:szCs w:val="21"/>
    </w:rPr>
  </w:style>
  <w:style w:type="character" w:customStyle="1" w:styleId="17">
    <w:name w:val="页眉 Char"/>
    <w:basedOn w:val="14"/>
    <w:link w:val="8"/>
    <w:autoRedefine/>
    <w:qFormat/>
    <w:uiPriority w:val="99"/>
    <w:rPr>
      <w:sz w:val="18"/>
      <w:szCs w:val="18"/>
    </w:rPr>
  </w:style>
  <w:style w:type="character" w:customStyle="1" w:styleId="18">
    <w:name w:val="页脚 Char"/>
    <w:basedOn w:val="14"/>
    <w:link w:val="7"/>
    <w:autoRedefine/>
    <w:qFormat/>
    <w:uiPriority w:val="99"/>
    <w:rPr>
      <w:sz w:val="18"/>
      <w:szCs w:val="18"/>
    </w:rPr>
  </w:style>
  <w:style w:type="character" w:customStyle="1" w:styleId="19">
    <w:name w:val="批注框文本 Char"/>
    <w:basedOn w:val="14"/>
    <w:link w:val="6"/>
    <w:autoRedefine/>
    <w:semiHidden/>
    <w:qFormat/>
    <w:uiPriority w:val="99"/>
    <w:rPr>
      <w:sz w:val="18"/>
      <w:szCs w:val="18"/>
    </w:rPr>
  </w:style>
  <w:style w:type="character" w:customStyle="1" w:styleId="20">
    <w:name w:val="批注文字 Char"/>
    <w:basedOn w:val="14"/>
    <w:link w:val="3"/>
    <w:autoRedefine/>
    <w:qFormat/>
    <w:uiPriority w:val="0"/>
    <w:rPr>
      <w:rFonts w:ascii="Times New Roman" w:hAnsi="Times New Roman" w:eastAsia="宋体" w:cs="Times New Roman"/>
      <w:kern w:val="0"/>
      <w:sz w:val="20"/>
      <w:szCs w:val="20"/>
    </w:rPr>
  </w:style>
  <w:style w:type="paragraph" w:styleId="21">
    <w:name w:val="List Paragraph"/>
    <w:basedOn w:val="1"/>
    <w:autoRedefine/>
    <w:qFormat/>
    <w:uiPriority w:val="34"/>
    <w:pPr>
      <w:widowControl w:val="0"/>
      <w:ind w:firstLine="420"/>
      <w:jc w:val="both"/>
    </w:pPr>
    <w:rPr>
      <w:rFonts w:cs="Helvetica"/>
      <w:kern w:val="2"/>
      <w:szCs w:val="21"/>
    </w:rPr>
  </w:style>
  <w:style w:type="character" w:customStyle="1" w:styleId="22">
    <w:name w:val="NormalCharacter"/>
    <w:autoRedefine/>
    <w:qFormat/>
    <w:uiPriority w:val="0"/>
  </w:style>
  <w:style w:type="paragraph" w:customStyle="1" w:styleId="23">
    <w:name w:val="null3"/>
    <w:autoRedefine/>
    <w:hidden/>
    <w:qFormat/>
    <w:uiPriority w:val="0"/>
    <w:rPr>
      <w:rFonts w:hint="eastAsia" w:asciiTheme="minorHAnsi" w:hAnsiTheme="minorHAnsi" w:eastAsiaTheme="minorEastAsia" w:cstheme="minorBidi"/>
      <w:lang w:val="en-US" w:eastAsia="zh-Hans"/>
    </w:rPr>
  </w:style>
  <w:style w:type="paragraph" w:customStyle="1" w:styleId="24">
    <w:name w:val="段"/>
    <w:autoRedefine/>
    <w:qFormat/>
    <w:uiPriority w:val="0"/>
    <w:pPr>
      <w:autoSpaceDE w:val="0"/>
      <w:autoSpaceDN w:val="0"/>
      <w:ind w:firstLine="420" w:firstLineChars="200"/>
      <w:jc w:val="both"/>
    </w:pPr>
    <w:rPr>
      <w:rFonts w:ascii="宋体" w:hAnsi="Calibri" w:eastAsia="宋体" w:cs="宋体"/>
      <w:kern w:val="2"/>
      <w:sz w:val="21"/>
      <w:szCs w:val="22"/>
      <w:lang w:val="en-US" w:eastAsia="zh-CN" w:bidi="ar-SA"/>
    </w:rPr>
  </w:style>
  <w:style w:type="paragraph" w:customStyle="1" w:styleId="25">
    <w:name w:val="正文_0"/>
    <w:next w:val="26"/>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表格文字"/>
    <w:basedOn w:val="11"/>
    <w:next w:val="25"/>
    <w:qFormat/>
    <w:uiPriority w:val="0"/>
    <w:pPr>
      <w:spacing w:before="25" w:after="25"/>
      <w:jc w:val="left"/>
    </w:pPr>
    <w:rPr>
      <w:rFonts w:ascii="Calibri" w:hAnsi="Calibri"/>
      <w:bCs/>
      <w:spacing w:val="10"/>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542</Words>
  <Characters>576</Characters>
  <Lines>9</Lines>
  <Paragraphs>2</Paragraphs>
  <TotalTime>0</TotalTime>
  <ScaleCrop>false</ScaleCrop>
  <LinksUpToDate>false</LinksUpToDate>
  <CharactersWithSpaces>576</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周毅框</cp:lastModifiedBy>
  <dcterms:modified xsi:type="dcterms:W3CDTF">2025-10-13T10:50:55Z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D310FE6D3A294FE68674891383EA0D2E_13</vt:lpwstr>
  </property>
  <property fmtid="{D5CDD505-2E9C-101B-9397-08002B2CF9AE}" pid="4" name="KSOTemplateDocerSaveRecord">
    <vt:lpwstr>eyJoZGlkIjoiN2ViNDU4OWNjYTJmOTRiZDdlNzI2ZGJjNmM5OTVmYjMiLCJ1c2VySWQiOiIxNTQ4NTAyNDYzIn0=</vt:lpwstr>
  </property>
</Properties>
</file>