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FD5DA3">
      <w:pPr>
        <w:tabs>
          <w:tab w:val="left" w:pos="4830"/>
        </w:tabs>
        <w:spacing w:line="360" w:lineRule="auto"/>
        <w:ind w:firstLine="160" w:firstLineChars="50"/>
        <w:jc w:val="right"/>
        <w:rPr>
          <w:rFonts w:ascii="仿宋_GB2312" w:hAnsi="仿宋_GB2312" w:eastAsia="仿宋_GB2312" w:cs="仿宋_GB2312"/>
          <w:b/>
          <w:color w:val="auto"/>
          <w:sz w:val="52"/>
          <w:szCs w:val="52"/>
          <w:highlight w:val="none"/>
        </w:rPr>
      </w:pPr>
      <w:r>
        <w:rPr>
          <w:rFonts w:hint="eastAsia" w:ascii="仿宋_GB2312" w:hAnsi="仿宋_GB2312" w:eastAsia="仿宋_GB2312" w:cs="仿宋_GB2312"/>
          <w:b/>
          <w:color w:val="auto"/>
          <w:sz w:val="32"/>
          <w:szCs w:val="32"/>
          <w:highlight w:val="none"/>
        </w:rPr>
        <w:drawing>
          <wp:inline distT="0" distB="0" distL="114300" distR="114300">
            <wp:extent cx="1302385" cy="826770"/>
            <wp:effectExtent l="0" t="0" r="5715" b="11430"/>
            <wp:docPr id="19" name="图片 3" descr="QQ截图2020031317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3" descr="QQ截图20200313172440"/>
                    <pic:cNvPicPr>
                      <a:picLocks noChangeAspect="1"/>
                    </pic:cNvPicPr>
                  </pic:nvPicPr>
                  <pic:blipFill>
                    <a:blip r:embed="rId8"/>
                    <a:stretch>
                      <a:fillRect/>
                    </a:stretch>
                  </pic:blipFill>
                  <pic:spPr>
                    <a:xfrm>
                      <a:off x="0" y="0"/>
                      <a:ext cx="1302385" cy="826770"/>
                    </a:xfrm>
                    <a:prstGeom prst="rect">
                      <a:avLst/>
                    </a:prstGeom>
                    <a:noFill/>
                    <a:ln>
                      <a:noFill/>
                    </a:ln>
                  </pic:spPr>
                </pic:pic>
              </a:graphicData>
            </a:graphic>
          </wp:inline>
        </w:drawing>
      </w:r>
    </w:p>
    <w:p w14:paraId="6F0A4640">
      <w:pPr>
        <w:spacing w:line="360" w:lineRule="auto"/>
        <w:ind w:firstLine="260" w:firstLineChars="50"/>
        <w:jc w:val="center"/>
        <w:rPr>
          <w:rFonts w:ascii="仿宋_GB2312" w:hAnsi="仿宋_GB2312" w:eastAsia="仿宋_GB2312" w:cs="仿宋_GB2312"/>
          <w:b/>
          <w:color w:val="auto"/>
          <w:sz w:val="52"/>
          <w:szCs w:val="52"/>
          <w:highlight w:val="none"/>
        </w:rPr>
      </w:pPr>
    </w:p>
    <w:p w14:paraId="059C8CAF">
      <w:pPr>
        <w:pStyle w:val="21"/>
        <w:ind w:firstLine="1331"/>
        <w:rPr>
          <w:rFonts w:ascii="仿宋_GB2312" w:hAnsi="仿宋_GB2312" w:eastAsia="仿宋_GB2312" w:cs="仿宋_GB2312"/>
          <w:b/>
          <w:color w:val="auto"/>
          <w:sz w:val="52"/>
          <w:szCs w:val="52"/>
          <w:highlight w:val="none"/>
        </w:rPr>
      </w:pPr>
    </w:p>
    <w:p w14:paraId="6559CABD">
      <w:pPr>
        <w:rPr>
          <w:rFonts w:ascii="仿宋_GB2312" w:hAnsi="仿宋_GB2312" w:eastAsia="仿宋_GB2312" w:cs="仿宋_GB2312"/>
          <w:color w:val="auto"/>
          <w:highlight w:val="none"/>
        </w:rPr>
      </w:pPr>
    </w:p>
    <w:p w14:paraId="4ED9A7D8">
      <w:pPr>
        <w:spacing w:line="360" w:lineRule="auto"/>
        <w:ind w:firstLine="260" w:firstLineChars="50"/>
        <w:jc w:val="center"/>
        <w:rPr>
          <w:rFonts w:ascii="仿宋_GB2312" w:hAnsi="仿宋_GB2312" w:eastAsia="仿宋_GB2312" w:cs="仿宋_GB2312"/>
          <w:b/>
          <w:color w:val="auto"/>
          <w:sz w:val="52"/>
          <w:szCs w:val="52"/>
          <w:highlight w:val="none"/>
        </w:rPr>
      </w:pPr>
      <w:r>
        <w:rPr>
          <w:rFonts w:hint="eastAsia" w:ascii="仿宋_GB2312" w:hAnsi="仿宋_GB2312" w:eastAsia="仿宋_GB2312" w:cs="仿宋_GB2312"/>
          <w:b/>
          <w:color w:val="auto"/>
          <w:sz w:val="52"/>
          <w:szCs w:val="52"/>
          <w:highlight w:val="none"/>
        </w:rPr>
        <w:t>辽宁省政府采购项目</w:t>
      </w:r>
    </w:p>
    <w:p w14:paraId="3C550100">
      <w:pPr>
        <w:spacing w:line="360" w:lineRule="auto"/>
        <w:ind w:firstLine="120" w:firstLineChars="50"/>
        <w:jc w:val="center"/>
        <w:rPr>
          <w:rFonts w:ascii="仿宋_GB2312" w:hAnsi="仿宋_GB2312" w:eastAsia="仿宋_GB2312" w:cs="仿宋_GB2312"/>
          <w:b/>
          <w:color w:val="auto"/>
          <w:sz w:val="24"/>
          <w:highlight w:val="none"/>
        </w:rPr>
      </w:pPr>
    </w:p>
    <w:p w14:paraId="3E7D1C10">
      <w:pPr>
        <w:spacing w:line="360" w:lineRule="auto"/>
        <w:ind w:firstLine="240" w:firstLineChars="50"/>
        <w:jc w:val="center"/>
        <w:rPr>
          <w:rFonts w:ascii="仿宋_GB2312" w:hAnsi="仿宋_GB2312" w:eastAsia="仿宋_GB2312" w:cs="仿宋_GB2312"/>
          <w:b/>
          <w:color w:val="auto"/>
          <w:sz w:val="48"/>
          <w:szCs w:val="48"/>
          <w:highlight w:val="none"/>
        </w:rPr>
      </w:pPr>
      <w:r>
        <w:rPr>
          <w:rFonts w:hint="eastAsia" w:ascii="仿宋_GB2312" w:hAnsi="仿宋_GB2312" w:eastAsia="仿宋_GB2312" w:cs="仿宋_GB2312"/>
          <w:b/>
          <w:color w:val="auto"/>
          <w:sz w:val="48"/>
          <w:szCs w:val="48"/>
          <w:highlight w:val="none"/>
        </w:rPr>
        <w:t>货物类公开招标</w:t>
      </w:r>
    </w:p>
    <w:p w14:paraId="51DD7073">
      <w:pPr>
        <w:spacing w:line="360" w:lineRule="auto"/>
        <w:ind w:firstLine="120" w:firstLineChars="50"/>
        <w:jc w:val="center"/>
        <w:rPr>
          <w:rFonts w:ascii="仿宋_GB2312" w:hAnsi="仿宋_GB2312" w:eastAsia="仿宋_GB2312" w:cs="仿宋_GB2312"/>
          <w:b/>
          <w:color w:val="auto"/>
          <w:sz w:val="24"/>
          <w:highlight w:val="none"/>
        </w:rPr>
      </w:pPr>
    </w:p>
    <w:p w14:paraId="0135E6EF">
      <w:pPr>
        <w:spacing w:line="360" w:lineRule="auto"/>
        <w:ind w:firstLine="240" w:firstLineChars="50"/>
        <w:jc w:val="center"/>
        <w:rPr>
          <w:rFonts w:ascii="仿宋_GB2312" w:hAnsi="仿宋_GB2312" w:eastAsia="仿宋_GB2312" w:cs="仿宋_GB2312"/>
          <w:b/>
          <w:color w:val="auto"/>
          <w:sz w:val="48"/>
          <w:szCs w:val="48"/>
          <w:highlight w:val="none"/>
        </w:rPr>
      </w:pPr>
      <w:r>
        <w:rPr>
          <w:rFonts w:hint="eastAsia" w:ascii="仿宋_GB2312" w:hAnsi="仿宋_GB2312" w:eastAsia="仿宋_GB2312" w:cs="仿宋_GB2312"/>
          <w:b/>
          <w:color w:val="auto"/>
          <w:sz w:val="48"/>
          <w:szCs w:val="48"/>
          <w:highlight w:val="none"/>
        </w:rPr>
        <w:t>招标文件</w:t>
      </w:r>
    </w:p>
    <w:p w14:paraId="36414120">
      <w:pPr>
        <w:spacing w:line="480" w:lineRule="exact"/>
        <w:jc w:val="center"/>
        <w:rPr>
          <w:rFonts w:ascii="仿宋_GB2312" w:hAnsi="仿宋_GB2312" w:eastAsia="仿宋_GB2312" w:cs="仿宋_GB2312"/>
          <w:b/>
          <w:color w:val="auto"/>
          <w:sz w:val="24"/>
          <w:highlight w:val="none"/>
        </w:rPr>
      </w:pPr>
    </w:p>
    <w:p w14:paraId="20A97DF9">
      <w:pPr>
        <w:spacing w:line="480" w:lineRule="exact"/>
        <w:jc w:val="center"/>
        <w:rPr>
          <w:rFonts w:ascii="仿宋_GB2312" w:hAnsi="仿宋_GB2312" w:eastAsia="仿宋_GB2312" w:cs="仿宋_GB2312"/>
          <w:b/>
          <w:color w:val="auto"/>
          <w:sz w:val="24"/>
          <w:highlight w:val="none"/>
        </w:rPr>
      </w:pPr>
    </w:p>
    <w:p w14:paraId="2AA9FD96">
      <w:pPr>
        <w:spacing w:line="480" w:lineRule="exact"/>
        <w:jc w:val="center"/>
        <w:rPr>
          <w:rFonts w:ascii="仿宋_GB2312" w:hAnsi="仿宋_GB2312" w:eastAsia="仿宋_GB2312" w:cs="仿宋_GB2312"/>
          <w:b/>
          <w:color w:val="auto"/>
          <w:sz w:val="24"/>
          <w:highlight w:val="none"/>
        </w:rPr>
      </w:pPr>
    </w:p>
    <w:p w14:paraId="2FB27EA5">
      <w:pPr>
        <w:spacing w:line="480" w:lineRule="exact"/>
        <w:jc w:val="center"/>
        <w:rPr>
          <w:rFonts w:ascii="仿宋_GB2312" w:hAnsi="仿宋_GB2312" w:eastAsia="仿宋_GB2312" w:cs="仿宋_GB2312"/>
          <w:b/>
          <w:color w:val="auto"/>
          <w:sz w:val="24"/>
          <w:highlight w:val="none"/>
        </w:rPr>
      </w:pPr>
    </w:p>
    <w:p w14:paraId="107D4922">
      <w:pPr>
        <w:spacing w:line="480" w:lineRule="exact"/>
        <w:jc w:val="center"/>
        <w:rPr>
          <w:rFonts w:ascii="仿宋_GB2312" w:hAnsi="仿宋_GB2312" w:eastAsia="仿宋_GB2312" w:cs="仿宋_GB2312"/>
          <w:b/>
          <w:color w:val="auto"/>
          <w:sz w:val="24"/>
          <w:highlight w:val="none"/>
        </w:rPr>
      </w:pPr>
    </w:p>
    <w:p w14:paraId="762ACD7F">
      <w:pPr>
        <w:spacing w:line="480" w:lineRule="exact"/>
        <w:jc w:val="center"/>
        <w:rPr>
          <w:rFonts w:ascii="仿宋_GB2312" w:hAnsi="仿宋_GB2312" w:eastAsia="仿宋_GB2312" w:cs="仿宋_GB2312"/>
          <w:b/>
          <w:color w:val="auto"/>
          <w:sz w:val="24"/>
          <w:highlight w:val="none"/>
        </w:rPr>
      </w:pPr>
    </w:p>
    <w:p w14:paraId="5D463B5F">
      <w:pPr>
        <w:spacing w:line="360" w:lineRule="auto"/>
        <w:ind w:firstLine="846" w:firstLineChars="235"/>
        <w:rPr>
          <w:rFonts w:hint="eastAsia" w:ascii="仿宋_GB2312" w:hAnsi="仿宋_GB2312" w:eastAsia="仿宋_GB2312" w:cs="仿宋_GB2312"/>
          <w:b/>
          <w:color w:val="auto"/>
          <w:sz w:val="36"/>
          <w:szCs w:val="36"/>
          <w:highlight w:val="none"/>
          <w:lang w:eastAsia="zh-CN"/>
        </w:rPr>
      </w:pPr>
      <w:r>
        <w:rPr>
          <w:rFonts w:hint="eastAsia" w:ascii="仿宋_GB2312" w:hAnsi="仿宋_GB2312" w:eastAsia="仿宋_GB2312" w:cs="仿宋_GB2312"/>
          <w:b/>
          <w:color w:val="auto"/>
          <w:sz w:val="36"/>
          <w:szCs w:val="36"/>
          <w:highlight w:val="none"/>
        </w:rPr>
        <w:t>项目名称：</w:t>
      </w:r>
      <w:r>
        <w:rPr>
          <w:rFonts w:hint="eastAsia" w:ascii="仿宋_GB2312" w:hAnsi="仿宋_GB2312" w:eastAsia="仿宋_GB2312" w:cs="仿宋_GB2312"/>
          <w:b/>
          <w:color w:val="auto"/>
          <w:sz w:val="36"/>
          <w:szCs w:val="36"/>
          <w:highlight w:val="none"/>
          <w:lang w:eastAsia="zh-CN"/>
        </w:rPr>
        <w:t>大连医科大学口腔医学院发展建设设备采购项目（二次）</w:t>
      </w:r>
    </w:p>
    <w:p w14:paraId="0AFA6DA5">
      <w:pPr>
        <w:spacing w:line="360" w:lineRule="auto"/>
        <w:ind w:firstLine="846" w:firstLineChars="235"/>
        <w:rPr>
          <w:rFonts w:ascii="仿宋_GB2312" w:hAnsi="仿宋_GB2312" w:eastAsia="仿宋_GB2312" w:cs="仿宋_GB2312"/>
          <w:b/>
          <w:color w:val="auto"/>
          <w:sz w:val="36"/>
          <w:szCs w:val="36"/>
          <w:highlight w:val="none"/>
        </w:rPr>
      </w:pPr>
      <w:r>
        <w:rPr>
          <w:rFonts w:hint="eastAsia" w:ascii="仿宋_GB2312" w:hAnsi="仿宋_GB2312" w:eastAsia="仿宋_GB2312" w:cs="仿宋_GB2312"/>
          <w:b/>
          <w:color w:val="auto"/>
          <w:sz w:val="36"/>
          <w:szCs w:val="36"/>
          <w:highlight w:val="none"/>
        </w:rPr>
        <w:t>项目编号：JH25-210000-33918</w:t>
      </w:r>
    </w:p>
    <w:p w14:paraId="105FE0AF">
      <w:pPr>
        <w:spacing w:line="360" w:lineRule="auto"/>
        <w:ind w:firstLine="846" w:firstLineChars="235"/>
        <w:rPr>
          <w:rFonts w:ascii="仿宋_GB2312" w:hAnsi="仿宋_GB2312" w:eastAsia="仿宋_GB2312" w:cs="仿宋_GB2312"/>
          <w:b/>
          <w:color w:val="auto"/>
          <w:sz w:val="36"/>
          <w:szCs w:val="36"/>
          <w:highlight w:val="none"/>
        </w:rPr>
      </w:pPr>
      <w:r>
        <w:rPr>
          <w:rFonts w:hint="eastAsia" w:ascii="仿宋_GB2312" w:hAnsi="仿宋_GB2312" w:eastAsia="仿宋_GB2312" w:cs="仿宋_GB2312"/>
          <w:b/>
          <w:color w:val="auto"/>
          <w:sz w:val="36"/>
          <w:szCs w:val="36"/>
          <w:highlight w:val="none"/>
        </w:rPr>
        <w:t>编制单位：通利晟信管理咨询有限公司</w:t>
      </w:r>
    </w:p>
    <w:p w14:paraId="1CFEE6A8">
      <w:pPr>
        <w:ind w:firstLine="846" w:firstLineChars="235"/>
        <w:jc w:val="center"/>
        <w:rPr>
          <w:rFonts w:ascii="仿宋_GB2312" w:hAnsi="仿宋_GB2312" w:eastAsia="仿宋_GB2312" w:cs="仿宋_GB2312"/>
          <w:b/>
          <w:bCs/>
          <w:color w:val="auto"/>
          <w:sz w:val="36"/>
          <w:szCs w:val="44"/>
          <w:highlight w:val="none"/>
        </w:rPr>
        <w:sectPr>
          <w:pgSz w:w="11906" w:h="16838"/>
          <w:pgMar w:top="1440" w:right="1800" w:bottom="1440" w:left="1800" w:header="851" w:footer="992" w:gutter="0"/>
          <w:cols w:space="720" w:num="1"/>
          <w:docGrid w:type="linesAndChars" w:linePitch="312" w:charSpace="0"/>
        </w:sectPr>
      </w:pPr>
    </w:p>
    <w:p w14:paraId="18733729">
      <w:pPr>
        <w:jc w:val="center"/>
        <w:rPr>
          <w:rFonts w:ascii="仿宋_GB2312" w:hAnsi="仿宋_GB2312" w:eastAsia="仿宋_GB2312" w:cs="仿宋_GB2312"/>
          <w:b/>
          <w:bCs/>
          <w:color w:val="auto"/>
          <w:sz w:val="44"/>
          <w:szCs w:val="44"/>
          <w:highlight w:val="none"/>
        </w:rPr>
      </w:pPr>
      <w:r>
        <w:rPr>
          <w:rFonts w:hint="eastAsia" w:ascii="仿宋_GB2312" w:hAnsi="仿宋_GB2312" w:eastAsia="仿宋_GB2312" w:cs="仿宋_GB2312"/>
          <w:b/>
          <w:bCs/>
          <w:color w:val="auto"/>
          <w:sz w:val="44"/>
          <w:szCs w:val="44"/>
          <w:highlight w:val="none"/>
        </w:rPr>
        <w:t>目  录</w:t>
      </w:r>
    </w:p>
    <w:p w14:paraId="51AEDBE2">
      <w:pPr>
        <w:jc w:val="center"/>
        <w:rPr>
          <w:rFonts w:ascii="仿宋_GB2312" w:hAnsi="仿宋_GB2312" w:eastAsia="仿宋_GB2312" w:cs="仿宋_GB2312"/>
          <w:b/>
          <w:bCs/>
          <w:color w:val="auto"/>
          <w:sz w:val="44"/>
          <w:szCs w:val="44"/>
          <w:highlight w:val="none"/>
        </w:rPr>
      </w:pPr>
    </w:p>
    <w:p w14:paraId="7EBA0BE4">
      <w:pPr>
        <w:pStyle w:val="18"/>
        <w:tabs>
          <w:tab w:val="right" w:leader="dot" w:pos="8306"/>
        </w:tabs>
        <w:spacing w:line="480" w:lineRule="auto"/>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fldChar w:fldCharType="begin"/>
      </w:r>
      <w:r>
        <w:rPr>
          <w:rFonts w:hint="eastAsia" w:ascii="仿宋_GB2312" w:hAnsi="仿宋_GB2312" w:eastAsia="仿宋_GB2312" w:cs="仿宋_GB2312"/>
          <w:b/>
          <w:bCs/>
          <w:color w:val="auto"/>
          <w:sz w:val="24"/>
          <w:highlight w:val="none"/>
        </w:rPr>
        <w:instrText xml:space="preserve">TOC \o "1-1" \h \u </w:instrText>
      </w:r>
      <w:r>
        <w:rPr>
          <w:rFonts w:hint="eastAsia" w:ascii="仿宋_GB2312" w:hAnsi="仿宋_GB2312" w:eastAsia="仿宋_GB2312" w:cs="仿宋_GB2312"/>
          <w:b/>
          <w:bCs/>
          <w:color w:val="auto"/>
          <w:sz w:val="24"/>
          <w:highlight w:val="none"/>
        </w:rPr>
        <w:fldChar w:fldCharType="separate"/>
      </w:r>
      <w:r>
        <w:rPr>
          <w:color w:val="auto"/>
          <w:highlight w:val="none"/>
        </w:rPr>
        <w:fldChar w:fldCharType="begin"/>
      </w:r>
      <w:r>
        <w:rPr>
          <w:color w:val="auto"/>
          <w:highlight w:val="none"/>
        </w:rPr>
        <w:instrText xml:space="preserve"> HYPERLINK \l "_Toc7381" </w:instrText>
      </w:r>
      <w:r>
        <w:rPr>
          <w:color w:val="auto"/>
          <w:highlight w:val="none"/>
        </w:rPr>
        <w:fldChar w:fldCharType="separate"/>
      </w:r>
      <w:r>
        <w:rPr>
          <w:rFonts w:hint="eastAsia" w:ascii="仿宋_GB2312" w:hAnsi="仿宋_GB2312" w:eastAsia="仿宋_GB2312" w:cs="仿宋_GB2312"/>
          <w:b/>
          <w:bCs/>
          <w:color w:val="auto"/>
          <w:sz w:val="24"/>
          <w:highlight w:val="none"/>
        </w:rPr>
        <w:t>招标公告</w:t>
      </w:r>
      <w:r>
        <w:rPr>
          <w:rFonts w:hint="eastAsia" w:ascii="仿宋_GB2312" w:hAnsi="仿宋_GB2312" w:eastAsia="仿宋_GB2312" w:cs="仿宋_GB2312"/>
          <w:b/>
          <w:bCs/>
          <w:color w:val="auto"/>
          <w:sz w:val="24"/>
          <w:highlight w:val="none"/>
        </w:rPr>
        <w:tab/>
      </w:r>
      <w:r>
        <w:rPr>
          <w:rFonts w:hint="eastAsia" w:ascii="仿宋_GB2312" w:hAnsi="仿宋_GB2312" w:eastAsia="仿宋_GB2312" w:cs="仿宋_GB2312"/>
          <w:b/>
          <w:bCs/>
          <w:color w:val="auto"/>
          <w:sz w:val="24"/>
          <w:highlight w:val="none"/>
        </w:rPr>
        <w:fldChar w:fldCharType="begin"/>
      </w:r>
      <w:r>
        <w:rPr>
          <w:rFonts w:hint="eastAsia" w:ascii="仿宋_GB2312" w:hAnsi="仿宋_GB2312" w:eastAsia="仿宋_GB2312" w:cs="仿宋_GB2312"/>
          <w:b/>
          <w:bCs/>
          <w:color w:val="auto"/>
          <w:sz w:val="24"/>
          <w:highlight w:val="none"/>
        </w:rPr>
        <w:instrText xml:space="preserve"> PAGEREF _Toc7381 </w:instrText>
      </w:r>
      <w:r>
        <w:rPr>
          <w:rFonts w:hint="eastAsia" w:ascii="仿宋_GB2312" w:hAnsi="仿宋_GB2312" w:eastAsia="仿宋_GB2312" w:cs="仿宋_GB2312"/>
          <w:b/>
          <w:bCs/>
          <w:color w:val="auto"/>
          <w:sz w:val="24"/>
          <w:highlight w:val="none"/>
        </w:rPr>
        <w:fldChar w:fldCharType="separate"/>
      </w:r>
      <w:r>
        <w:rPr>
          <w:rFonts w:hint="eastAsia" w:ascii="仿宋_GB2312" w:hAnsi="仿宋_GB2312" w:eastAsia="仿宋_GB2312" w:cs="仿宋_GB2312"/>
          <w:b/>
          <w:bCs/>
          <w:color w:val="auto"/>
          <w:sz w:val="24"/>
          <w:highlight w:val="none"/>
        </w:rPr>
        <w:t>1</w:t>
      </w:r>
      <w:r>
        <w:rPr>
          <w:rFonts w:hint="eastAsia" w:ascii="仿宋_GB2312" w:hAnsi="仿宋_GB2312" w:eastAsia="仿宋_GB2312" w:cs="仿宋_GB2312"/>
          <w:b/>
          <w:bCs/>
          <w:color w:val="auto"/>
          <w:sz w:val="24"/>
          <w:highlight w:val="none"/>
        </w:rPr>
        <w:fldChar w:fldCharType="end"/>
      </w:r>
      <w:r>
        <w:rPr>
          <w:rFonts w:hint="eastAsia" w:ascii="仿宋_GB2312" w:hAnsi="仿宋_GB2312" w:eastAsia="仿宋_GB2312" w:cs="仿宋_GB2312"/>
          <w:b/>
          <w:bCs/>
          <w:color w:val="auto"/>
          <w:sz w:val="24"/>
          <w:highlight w:val="none"/>
        </w:rPr>
        <w:fldChar w:fldCharType="end"/>
      </w:r>
    </w:p>
    <w:p w14:paraId="7B087B5D">
      <w:pPr>
        <w:pStyle w:val="18"/>
        <w:tabs>
          <w:tab w:val="right" w:leader="dot" w:pos="8306"/>
        </w:tabs>
        <w:spacing w:line="480" w:lineRule="auto"/>
        <w:rPr>
          <w:rFonts w:ascii="仿宋_GB2312" w:hAnsi="仿宋_GB2312" w:eastAsia="仿宋_GB2312" w:cs="仿宋_GB2312"/>
          <w:b/>
          <w:bCs/>
          <w:color w:val="auto"/>
          <w:sz w:val="24"/>
          <w:highlight w:val="none"/>
        </w:rPr>
      </w:pPr>
      <w:r>
        <w:rPr>
          <w:color w:val="auto"/>
          <w:highlight w:val="none"/>
        </w:rPr>
        <w:fldChar w:fldCharType="begin"/>
      </w:r>
      <w:r>
        <w:rPr>
          <w:color w:val="auto"/>
          <w:highlight w:val="none"/>
        </w:rPr>
        <w:instrText xml:space="preserve"> HYPERLINK \l "_Toc9614" </w:instrText>
      </w:r>
      <w:r>
        <w:rPr>
          <w:color w:val="auto"/>
          <w:highlight w:val="none"/>
        </w:rPr>
        <w:fldChar w:fldCharType="separate"/>
      </w:r>
      <w:r>
        <w:rPr>
          <w:rFonts w:hint="eastAsia" w:ascii="仿宋_GB2312" w:hAnsi="仿宋_GB2312" w:eastAsia="仿宋_GB2312" w:cs="仿宋_GB2312"/>
          <w:b/>
          <w:bCs/>
          <w:color w:val="auto"/>
          <w:sz w:val="24"/>
          <w:highlight w:val="none"/>
        </w:rPr>
        <w:t>第一章 投标人须知</w:t>
      </w:r>
      <w:r>
        <w:rPr>
          <w:rFonts w:hint="eastAsia" w:ascii="仿宋_GB2312" w:hAnsi="仿宋_GB2312" w:eastAsia="仿宋_GB2312" w:cs="仿宋_GB2312"/>
          <w:b/>
          <w:bCs/>
          <w:color w:val="auto"/>
          <w:sz w:val="24"/>
          <w:highlight w:val="none"/>
        </w:rPr>
        <w:tab/>
      </w:r>
      <w:r>
        <w:rPr>
          <w:rFonts w:hint="eastAsia" w:ascii="仿宋_GB2312" w:hAnsi="仿宋_GB2312" w:eastAsia="仿宋_GB2312" w:cs="仿宋_GB2312"/>
          <w:b/>
          <w:bCs/>
          <w:color w:val="auto"/>
          <w:sz w:val="24"/>
          <w:highlight w:val="none"/>
        </w:rPr>
        <w:fldChar w:fldCharType="begin"/>
      </w:r>
      <w:r>
        <w:rPr>
          <w:rFonts w:hint="eastAsia" w:ascii="仿宋_GB2312" w:hAnsi="仿宋_GB2312" w:eastAsia="仿宋_GB2312" w:cs="仿宋_GB2312"/>
          <w:b/>
          <w:bCs/>
          <w:color w:val="auto"/>
          <w:sz w:val="24"/>
          <w:highlight w:val="none"/>
        </w:rPr>
        <w:instrText xml:space="preserve"> PAGEREF _Toc9614 </w:instrText>
      </w:r>
      <w:r>
        <w:rPr>
          <w:rFonts w:hint="eastAsia" w:ascii="仿宋_GB2312" w:hAnsi="仿宋_GB2312" w:eastAsia="仿宋_GB2312" w:cs="仿宋_GB2312"/>
          <w:b/>
          <w:bCs/>
          <w:color w:val="auto"/>
          <w:sz w:val="24"/>
          <w:highlight w:val="none"/>
        </w:rPr>
        <w:fldChar w:fldCharType="separate"/>
      </w:r>
      <w:r>
        <w:rPr>
          <w:rFonts w:hint="eastAsia" w:ascii="仿宋_GB2312" w:hAnsi="仿宋_GB2312" w:eastAsia="仿宋_GB2312" w:cs="仿宋_GB2312"/>
          <w:b/>
          <w:bCs/>
          <w:color w:val="auto"/>
          <w:sz w:val="24"/>
          <w:highlight w:val="none"/>
        </w:rPr>
        <w:t>6</w:t>
      </w:r>
      <w:r>
        <w:rPr>
          <w:rFonts w:hint="eastAsia" w:ascii="仿宋_GB2312" w:hAnsi="仿宋_GB2312" w:eastAsia="仿宋_GB2312" w:cs="仿宋_GB2312"/>
          <w:b/>
          <w:bCs/>
          <w:color w:val="auto"/>
          <w:sz w:val="24"/>
          <w:highlight w:val="none"/>
        </w:rPr>
        <w:fldChar w:fldCharType="end"/>
      </w:r>
      <w:r>
        <w:rPr>
          <w:rFonts w:hint="eastAsia" w:ascii="仿宋_GB2312" w:hAnsi="仿宋_GB2312" w:eastAsia="仿宋_GB2312" w:cs="仿宋_GB2312"/>
          <w:b/>
          <w:bCs/>
          <w:color w:val="auto"/>
          <w:sz w:val="24"/>
          <w:highlight w:val="none"/>
        </w:rPr>
        <w:fldChar w:fldCharType="end"/>
      </w:r>
    </w:p>
    <w:p w14:paraId="4CD37116">
      <w:pPr>
        <w:pStyle w:val="18"/>
        <w:tabs>
          <w:tab w:val="right" w:leader="dot" w:pos="8306"/>
        </w:tabs>
        <w:spacing w:line="480" w:lineRule="auto"/>
        <w:rPr>
          <w:rFonts w:ascii="仿宋_GB2312" w:hAnsi="仿宋_GB2312" w:eastAsia="仿宋_GB2312" w:cs="仿宋_GB2312"/>
          <w:b/>
          <w:bCs/>
          <w:color w:val="auto"/>
          <w:sz w:val="24"/>
          <w:highlight w:val="none"/>
        </w:rPr>
      </w:pPr>
      <w:r>
        <w:rPr>
          <w:color w:val="auto"/>
          <w:highlight w:val="none"/>
        </w:rPr>
        <w:fldChar w:fldCharType="begin"/>
      </w:r>
      <w:r>
        <w:rPr>
          <w:color w:val="auto"/>
          <w:highlight w:val="none"/>
        </w:rPr>
        <w:instrText xml:space="preserve"> HYPERLINK \l "_Toc6403" </w:instrText>
      </w:r>
      <w:r>
        <w:rPr>
          <w:color w:val="auto"/>
          <w:highlight w:val="none"/>
        </w:rPr>
        <w:fldChar w:fldCharType="separate"/>
      </w:r>
      <w:r>
        <w:rPr>
          <w:rFonts w:hint="eastAsia" w:ascii="仿宋_GB2312" w:hAnsi="仿宋_GB2312" w:eastAsia="仿宋_GB2312" w:cs="仿宋_GB2312"/>
          <w:b/>
          <w:bCs/>
          <w:color w:val="auto"/>
          <w:sz w:val="24"/>
          <w:highlight w:val="none"/>
        </w:rPr>
        <w:t>第二章 投标文件内容及格式</w:t>
      </w:r>
      <w:r>
        <w:rPr>
          <w:rFonts w:hint="eastAsia" w:ascii="仿宋_GB2312" w:hAnsi="仿宋_GB2312" w:eastAsia="仿宋_GB2312" w:cs="仿宋_GB2312"/>
          <w:b/>
          <w:bCs/>
          <w:color w:val="auto"/>
          <w:sz w:val="24"/>
          <w:highlight w:val="none"/>
        </w:rPr>
        <w:tab/>
      </w:r>
      <w:r>
        <w:rPr>
          <w:rFonts w:hint="eastAsia" w:ascii="仿宋_GB2312" w:hAnsi="仿宋_GB2312" w:eastAsia="仿宋_GB2312" w:cs="仿宋_GB2312"/>
          <w:b/>
          <w:bCs/>
          <w:color w:val="auto"/>
          <w:sz w:val="24"/>
          <w:highlight w:val="none"/>
        </w:rPr>
        <w:fldChar w:fldCharType="begin"/>
      </w:r>
      <w:r>
        <w:rPr>
          <w:rFonts w:hint="eastAsia" w:ascii="仿宋_GB2312" w:hAnsi="仿宋_GB2312" w:eastAsia="仿宋_GB2312" w:cs="仿宋_GB2312"/>
          <w:b/>
          <w:bCs/>
          <w:color w:val="auto"/>
          <w:sz w:val="24"/>
          <w:highlight w:val="none"/>
        </w:rPr>
        <w:instrText xml:space="preserve"> PAGEREF _Toc6403 </w:instrText>
      </w:r>
      <w:r>
        <w:rPr>
          <w:rFonts w:hint="eastAsia" w:ascii="仿宋_GB2312" w:hAnsi="仿宋_GB2312" w:eastAsia="仿宋_GB2312" w:cs="仿宋_GB2312"/>
          <w:b/>
          <w:bCs/>
          <w:color w:val="auto"/>
          <w:sz w:val="24"/>
          <w:highlight w:val="none"/>
        </w:rPr>
        <w:fldChar w:fldCharType="separate"/>
      </w:r>
      <w:r>
        <w:rPr>
          <w:rFonts w:hint="eastAsia" w:ascii="仿宋_GB2312" w:hAnsi="仿宋_GB2312" w:eastAsia="仿宋_GB2312" w:cs="仿宋_GB2312"/>
          <w:b/>
          <w:bCs/>
          <w:color w:val="auto"/>
          <w:sz w:val="24"/>
          <w:highlight w:val="none"/>
        </w:rPr>
        <w:t>22</w:t>
      </w:r>
      <w:r>
        <w:rPr>
          <w:rFonts w:hint="eastAsia" w:ascii="仿宋_GB2312" w:hAnsi="仿宋_GB2312" w:eastAsia="仿宋_GB2312" w:cs="仿宋_GB2312"/>
          <w:b/>
          <w:bCs/>
          <w:color w:val="auto"/>
          <w:sz w:val="24"/>
          <w:highlight w:val="none"/>
        </w:rPr>
        <w:fldChar w:fldCharType="end"/>
      </w:r>
      <w:r>
        <w:rPr>
          <w:rFonts w:hint="eastAsia" w:ascii="仿宋_GB2312" w:hAnsi="仿宋_GB2312" w:eastAsia="仿宋_GB2312" w:cs="仿宋_GB2312"/>
          <w:b/>
          <w:bCs/>
          <w:color w:val="auto"/>
          <w:sz w:val="24"/>
          <w:highlight w:val="none"/>
        </w:rPr>
        <w:fldChar w:fldCharType="end"/>
      </w:r>
    </w:p>
    <w:p w14:paraId="7CC8130C">
      <w:pPr>
        <w:pStyle w:val="18"/>
        <w:tabs>
          <w:tab w:val="right" w:leader="dot" w:pos="8306"/>
        </w:tabs>
        <w:spacing w:line="480" w:lineRule="auto"/>
        <w:rPr>
          <w:rFonts w:ascii="仿宋_GB2312" w:hAnsi="仿宋_GB2312" w:eastAsia="仿宋_GB2312" w:cs="仿宋_GB2312"/>
          <w:b/>
          <w:bCs/>
          <w:color w:val="auto"/>
          <w:sz w:val="24"/>
          <w:highlight w:val="none"/>
        </w:rPr>
      </w:pPr>
      <w:r>
        <w:rPr>
          <w:color w:val="auto"/>
          <w:highlight w:val="none"/>
        </w:rPr>
        <w:fldChar w:fldCharType="begin"/>
      </w:r>
      <w:r>
        <w:rPr>
          <w:color w:val="auto"/>
          <w:highlight w:val="none"/>
        </w:rPr>
        <w:instrText xml:space="preserve"> HYPERLINK \l "_Toc17590" </w:instrText>
      </w:r>
      <w:r>
        <w:rPr>
          <w:color w:val="auto"/>
          <w:highlight w:val="none"/>
        </w:rPr>
        <w:fldChar w:fldCharType="separate"/>
      </w:r>
      <w:r>
        <w:rPr>
          <w:rFonts w:hint="eastAsia" w:ascii="仿宋_GB2312" w:hAnsi="仿宋_GB2312" w:eastAsia="仿宋_GB2312" w:cs="仿宋_GB2312"/>
          <w:b/>
          <w:bCs/>
          <w:color w:val="auto"/>
          <w:sz w:val="24"/>
          <w:highlight w:val="none"/>
        </w:rPr>
        <w:t>第三章 货物需求</w:t>
      </w:r>
      <w:r>
        <w:rPr>
          <w:rFonts w:hint="eastAsia" w:ascii="仿宋_GB2312" w:hAnsi="仿宋_GB2312" w:eastAsia="仿宋_GB2312" w:cs="仿宋_GB2312"/>
          <w:b/>
          <w:bCs/>
          <w:color w:val="auto"/>
          <w:sz w:val="24"/>
          <w:highlight w:val="none"/>
        </w:rPr>
        <w:tab/>
      </w:r>
      <w:r>
        <w:rPr>
          <w:rFonts w:hint="eastAsia" w:ascii="仿宋_GB2312" w:hAnsi="仿宋_GB2312" w:eastAsia="仿宋_GB2312" w:cs="仿宋_GB2312"/>
          <w:b/>
          <w:bCs/>
          <w:color w:val="auto"/>
          <w:sz w:val="24"/>
          <w:highlight w:val="none"/>
        </w:rPr>
        <w:fldChar w:fldCharType="begin"/>
      </w:r>
      <w:r>
        <w:rPr>
          <w:rFonts w:hint="eastAsia" w:ascii="仿宋_GB2312" w:hAnsi="仿宋_GB2312" w:eastAsia="仿宋_GB2312" w:cs="仿宋_GB2312"/>
          <w:b/>
          <w:bCs/>
          <w:color w:val="auto"/>
          <w:sz w:val="24"/>
          <w:highlight w:val="none"/>
        </w:rPr>
        <w:instrText xml:space="preserve"> PAGEREF _Toc17590 </w:instrText>
      </w:r>
      <w:r>
        <w:rPr>
          <w:rFonts w:hint="eastAsia" w:ascii="仿宋_GB2312" w:hAnsi="仿宋_GB2312" w:eastAsia="仿宋_GB2312" w:cs="仿宋_GB2312"/>
          <w:b/>
          <w:bCs/>
          <w:color w:val="auto"/>
          <w:sz w:val="24"/>
          <w:highlight w:val="none"/>
        </w:rPr>
        <w:fldChar w:fldCharType="separate"/>
      </w:r>
      <w:r>
        <w:rPr>
          <w:rFonts w:hint="eastAsia" w:ascii="仿宋_GB2312" w:hAnsi="仿宋_GB2312" w:eastAsia="仿宋_GB2312" w:cs="仿宋_GB2312"/>
          <w:b/>
          <w:bCs/>
          <w:color w:val="auto"/>
          <w:sz w:val="24"/>
          <w:highlight w:val="none"/>
        </w:rPr>
        <w:t>51</w:t>
      </w:r>
      <w:r>
        <w:rPr>
          <w:rFonts w:hint="eastAsia" w:ascii="仿宋_GB2312" w:hAnsi="仿宋_GB2312" w:eastAsia="仿宋_GB2312" w:cs="仿宋_GB2312"/>
          <w:b/>
          <w:bCs/>
          <w:color w:val="auto"/>
          <w:sz w:val="24"/>
          <w:highlight w:val="none"/>
        </w:rPr>
        <w:fldChar w:fldCharType="end"/>
      </w:r>
      <w:r>
        <w:rPr>
          <w:rFonts w:hint="eastAsia" w:ascii="仿宋_GB2312" w:hAnsi="仿宋_GB2312" w:eastAsia="仿宋_GB2312" w:cs="仿宋_GB2312"/>
          <w:b/>
          <w:bCs/>
          <w:color w:val="auto"/>
          <w:sz w:val="24"/>
          <w:highlight w:val="none"/>
        </w:rPr>
        <w:fldChar w:fldCharType="end"/>
      </w:r>
    </w:p>
    <w:p w14:paraId="2D69CEB5">
      <w:pPr>
        <w:pStyle w:val="18"/>
        <w:tabs>
          <w:tab w:val="right" w:leader="dot" w:pos="8306"/>
        </w:tabs>
        <w:spacing w:line="480" w:lineRule="auto"/>
        <w:rPr>
          <w:rFonts w:ascii="仿宋_GB2312" w:hAnsi="仿宋_GB2312" w:eastAsia="仿宋_GB2312" w:cs="仿宋_GB2312"/>
          <w:b/>
          <w:bCs/>
          <w:color w:val="auto"/>
          <w:sz w:val="24"/>
          <w:highlight w:val="none"/>
        </w:rPr>
      </w:pPr>
      <w:r>
        <w:rPr>
          <w:color w:val="auto"/>
          <w:highlight w:val="none"/>
        </w:rPr>
        <w:fldChar w:fldCharType="begin"/>
      </w:r>
      <w:r>
        <w:rPr>
          <w:color w:val="auto"/>
          <w:highlight w:val="none"/>
        </w:rPr>
        <w:instrText xml:space="preserve"> HYPERLINK \l "_Toc25237" </w:instrText>
      </w:r>
      <w:r>
        <w:rPr>
          <w:color w:val="auto"/>
          <w:highlight w:val="none"/>
        </w:rPr>
        <w:fldChar w:fldCharType="separate"/>
      </w:r>
      <w:r>
        <w:rPr>
          <w:rFonts w:hint="eastAsia" w:ascii="仿宋_GB2312" w:hAnsi="仿宋_GB2312" w:eastAsia="仿宋_GB2312" w:cs="仿宋_GB2312"/>
          <w:b/>
          <w:bCs/>
          <w:color w:val="auto"/>
          <w:sz w:val="24"/>
          <w:highlight w:val="none"/>
        </w:rPr>
        <w:t>第四章 评标方法</w:t>
      </w:r>
      <w:r>
        <w:rPr>
          <w:rFonts w:hint="eastAsia" w:ascii="仿宋_GB2312" w:hAnsi="仿宋_GB2312" w:eastAsia="仿宋_GB2312" w:cs="仿宋_GB2312"/>
          <w:b/>
          <w:bCs/>
          <w:color w:val="auto"/>
          <w:sz w:val="24"/>
          <w:highlight w:val="none"/>
        </w:rPr>
        <w:tab/>
      </w:r>
      <w:r>
        <w:rPr>
          <w:rFonts w:hint="eastAsia" w:ascii="仿宋_GB2312" w:hAnsi="仿宋_GB2312" w:eastAsia="仿宋_GB2312" w:cs="仿宋_GB2312"/>
          <w:b/>
          <w:bCs/>
          <w:color w:val="auto"/>
          <w:sz w:val="24"/>
          <w:highlight w:val="none"/>
        </w:rPr>
        <w:fldChar w:fldCharType="begin"/>
      </w:r>
      <w:r>
        <w:rPr>
          <w:rFonts w:hint="eastAsia" w:ascii="仿宋_GB2312" w:hAnsi="仿宋_GB2312" w:eastAsia="仿宋_GB2312" w:cs="仿宋_GB2312"/>
          <w:b/>
          <w:bCs/>
          <w:color w:val="auto"/>
          <w:sz w:val="24"/>
          <w:highlight w:val="none"/>
        </w:rPr>
        <w:instrText xml:space="preserve"> PAGEREF _Toc25237 </w:instrText>
      </w:r>
      <w:r>
        <w:rPr>
          <w:rFonts w:hint="eastAsia" w:ascii="仿宋_GB2312" w:hAnsi="仿宋_GB2312" w:eastAsia="仿宋_GB2312" w:cs="仿宋_GB2312"/>
          <w:b/>
          <w:bCs/>
          <w:color w:val="auto"/>
          <w:sz w:val="24"/>
          <w:highlight w:val="none"/>
        </w:rPr>
        <w:fldChar w:fldCharType="separate"/>
      </w:r>
      <w:r>
        <w:rPr>
          <w:rFonts w:hint="eastAsia" w:ascii="仿宋_GB2312" w:hAnsi="仿宋_GB2312" w:eastAsia="仿宋_GB2312" w:cs="仿宋_GB2312"/>
          <w:b/>
          <w:bCs/>
          <w:color w:val="auto"/>
          <w:sz w:val="24"/>
          <w:highlight w:val="none"/>
        </w:rPr>
        <w:t>65</w:t>
      </w:r>
      <w:r>
        <w:rPr>
          <w:rFonts w:hint="eastAsia" w:ascii="仿宋_GB2312" w:hAnsi="仿宋_GB2312" w:eastAsia="仿宋_GB2312" w:cs="仿宋_GB2312"/>
          <w:b/>
          <w:bCs/>
          <w:color w:val="auto"/>
          <w:sz w:val="24"/>
          <w:highlight w:val="none"/>
        </w:rPr>
        <w:fldChar w:fldCharType="end"/>
      </w:r>
      <w:r>
        <w:rPr>
          <w:rFonts w:hint="eastAsia" w:ascii="仿宋_GB2312" w:hAnsi="仿宋_GB2312" w:eastAsia="仿宋_GB2312" w:cs="仿宋_GB2312"/>
          <w:b/>
          <w:bCs/>
          <w:color w:val="auto"/>
          <w:sz w:val="24"/>
          <w:highlight w:val="none"/>
        </w:rPr>
        <w:fldChar w:fldCharType="end"/>
      </w:r>
    </w:p>
    <w:p w14:paraId="4FAC7749">
      <w:pPr>
        <w:pStyle w:val="18"/>
        <w:tabs>
          <w:tab w:val="right" w:leader="dot" w:pos="8306"/>
        </w:tabs>
        <w:spacing w:line="480" w:lineRule="auto"/>
        <w:rPr>
          <w:rFonts w:ascii="仿宋_GB2312" w:hAnsi="仿宋_GB2312" w:eastAsia="仿宋_GB2312" w:cs="仿宋_GB2312"/>
          <w:b/>
          <w:bCs/>
          <w:color w:val="auto"/>
          <w:sz w:val="24"/>
          <w:highlight w:val="none"/>
        </w:rPr>
      </w:pPr>
      <w:r>
        <w:rPr>
          <w:color w:val="auto"/>
          <w:highlight w:val="none"/>
        </w:rPr>
        <w:fldChar w:fldCharType="begin"/>
      </w:r>
      <w:r>
        <w:rPr>
          <w:color w:val="auto"/>
          <w:highlight w:val="none"/>
        </w:rPr>
        <w:instrText xml:space="preserve"> HYPERLINK \l "_Toc19588" </w:instrText>
      </w:r>
      <w:r>
        <w:rPr>
          <w:color w:val="auto"/>
          <w:highlight w:val="none"/>
        </w:rPr>
        <w:fldChar w:fldCharType="separate"/>
      </w:r>
      <w:r>
        <w:rPr>
          <w:rFonts w:hint="eastAsia" w:ascii="仿宋_GB2312" w:hAnsi="仿宋_GB2312" w:eastAsia="仿宋_GB2312" w:cs="仿宋_GB2312"/>
          <w:b/>
          <w:bCs/>
          <w:color w:val="auto"/>
          <w:sz w:val="24"/>
          <w:highlight w:val="none"/>
        </w:rPr>
        <w:t>第五章 政府采购合同条款及格式</w:t>
      </w:r>
      <w:r>
        <w:rPr>
          <w:rFonts w:hint="eastAsia" w:ascii="仿宋_GB2312" w:hAnsi="仿宋_GB2312" w:eastAsia="仿宋_GB2312" w:cs="仿宋_GB2312"/>
          <w:b/>
          <w:bCs/>
          <w:color w:val="auto"/>
          <w:sz w:val="24"/>
          <w:highlight w:val="none"/>
        </w:rPr>
        <w:tab/>
      </w:r>
      <w:r>
        <w:rPr>
          <w:rFonts w:hint="eastAsia" w:ascii="仿宋_GB2312" w:hAnsi="仿宋_GB2312" w:eastAsia="仿宋_GB2312" w:cs="仿宋_GB2312"/>
          <w:b/>
          <w:bCs/>
          <w:color w:val="auto"/>
          <w:sz w:val="24"/>
          <w:highlight w:val="none"/>
        </w:rPr>
        <w:fldChar w:fldCharType="begin"/>
      </w:r>
      <w:r>
        <w:rPr>
          <w:rFonts w:hint="eastAsia" w:ascii="仿宋_GB2312" w:hAnsi="仿宋_GB2312" w:eastAsia="仿宋_GB2312" w:cs="仿宋_GB2312"/>
          <w:b/>
          <w:bCs/>
          <w:color w:val="auto"/>
          <w:sz w:val="24"/>
          <w:highlight w:val="none"/>
        </w:rPr>
        <w:instrText xml:space="preserve"> PAGEREF _Toc19588 </w:instrText>
      </w:r>
      <w:r>
        <w:rPr>
          <w:rFonts w:hint="eastAsia" w:ascii="仿宋_GB2312" w:hAnsi="仿宋_GB2312" w:eastAsia="仿宋_GB2312" w:cs="仿宋_GB2312"/>
          <w:b/>
          <w:bCs/>
          <w:color w:val="auto"/>
          <w:sz w:val="24"/>
          <w:highlight w:val="none"/>
        </w:rPr>
        <w:fldChar w:fldCharType="separate"/>
      </w:r>
      <w:r>
        <w:rPr>
          <w:rFonts w:hint="eastAsia" w:ascii="仿宋_GB2312" w:hAnsi="仿宋_GB2312" w:eastAsia="仿宋_GB2312" w:cs="仿宋_GB2312"/>
          <w:b/>
          <w:bCs/>
          <w:color w:val="auto"/>
          <w:sz w:val="24"/>
          <w:highlight w:val="none"/>
        </w:rPr>
        <w:t>77</w:t>
      </w:r>
      <w:r>
        <w:rPr>
          <w:rFonts w:hint="eastAsia" w:ascii="仿宋_GB2312" w:hAnsi="仿宋_GB2312" w:eastAsia="仿宋_GB2312" w:cs="仿宋_GB2312"/>
          <w:b/>
          <w:bCs/>
          <w:color w:val="auto"/>
          <w:sz w:val="24"/>
          <w:highlight w:val="none"/>
        </w:rPr>
        <w:fldChar w:fldCharType="end"/>
      </w:r>
      <w:r>
        <w:rPr>
          <w:rFonts w:hint="eastAsia" w:ascii="仿宋_GB2312" w:hAnsi="仿宋_GB2312" w:eastAsia="仿宋_GB2312" w:cs="仿宋_GB2312"/>
          <w:b/>
          <w:bCs/>
          <w:color w:val="auto"/>
          <w:sz w:val="24"/>
          <w:highlight w:val="none"/>
        </w:rPr>
        <w:fldChar w:fldCharType="end"/>
      </w:r>
    </w:p>
    <w:p w14:paraId="6F7DEE71">
      <w:pPr>
        <w:spacing w:line="480" w:lineRule="auto"/>
        <w:rPr>
          <w:rFonts w:ascii="仿宋_GB2312" w:hAnsi="仿宋_GB2312" w:eastAsia="仿宋_GB2312" w:cs="仿宋_GB2312"/>
          <w:color w:val="auto"/>
          <w:highlight w:val="none"/>
        </w:rPr>
      </w:pPr>
      <w:r>
        <w:rPr>
          <w:rFonts w:hint="eastAsia" w:ascii="仿宋_GB2312" w:hAnsi="仿宋_GB2312" w:eastAsia="仿宋_GB2312" w:cs="仿宋_GB2312"/>
          <w:b/>
          <w:bCs/>
          <w:color w:val="auto"/>
          <w:sz w:val="24"/>
          <w:highlight w:val="none"/>
        </w:rPr>
        <w:fldChar w:fldCharType="end"/>
      </w:r>
    </w:p>
    <w:p w14:paraId="527C25EC">
      <w:pPr>
        <w:pStyle w:val="2"/>
        <w:rPr>
          <w:rFonts w:ascii="仿宋_GB2312" w:hAnsi="仿宋_GB2312" w:eastAsia="仿宋_GB2312" w:cs="仿宋_GB2312"/>
          <w:color w:val="auto"/>
          <w:highlight w:val="none"/>
        </w:rPr>
        <w:sectPr>
          <w:footerReference r:id="rId3" w:type="default"/>
          <w:pgSz w:w="11906" w:h="16838"/>
          <w:pgMar w:top="1440" w:right="1800" w:bottom="1440" w:left="1800" w:header="851" w:footer="992" w:gutter="0"/>
          <w:pgNumType w:start="1"/>
          <w:cols w:space="720" w:num="1"/>
          <w:docGrid w:type="linesAndChars" w:linePitch="312" w:charSpace="0"/>
        </w:sectPr>
      </w:pPr>
      <w:bookmarkStart w:id="0" w:name="_Toc1124_WPSOffice_Level1"/>
      <w:bookmarkStart w:id="1" w:name="_Toc7381"/>
    </w:p>
    <w:bookmarkEnd w:id="0"/>
    <w:bookmarkEnd w:id="1"/>
    <w:p w14:paraId="43F86941">
      <w:pPr>
        <w:pStyle w:val="2"/>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w:t>
      </w:r>
      <w:r>
        <w:rPr>
          <w:rFonts w:hint="eastAsia" w:ascii="仿宋_GB2312" w:hAnsi="仿宋_GB2312" w:eastAsia="仿宋_GB2312" w:cs="仿宋_GB2312"/>
          <w:color w:val="auto"/>
          <w:highlight w:val="none"/>
          <w:lang w:eastAsia="zh-CN"/>
        </w:rPr>
        <w:t>大连医科大学口腔医学院发展建设设备采购项目（二次）</w:t>
      </w:r>
      <w:r>
        <w:rPr>
          <w:rFonts w:hint="eastAsia" w:ascii="仿宋_GB2312" w:hAnsi="仿宋_GB2312" w:eastAsia="仿宋_GB2312" w:cs="仿宋_GB2312"/>
          <w:color w:val="auto"/>
          <w:highlight w:val="none"/>
        </w:rPr>
        <w:t>）的招标公告</w:t>
      </w:r>
    </w:p>
    <w:p w14:paraId="0DCF11E2">
      <w:pPr>
        <w:pBdr>
          <w:top w:val="single" w:color="auto" w:sz="4" w:space="1"/>
          <w:left w:val="single" w:color="auto" w:sz="4" w:space="4"/>
          <w:bottom w:val="single" w:color="auto" w:sz="4" w:space="1"/>
          <w:right w:val="single" w:color="auto" w:sz="4" w:space="4"/>
        </w:pBdr>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项目概况</w:t>
      </w:r>
    </w:p>
    <w:p w14:paraId="7FE49751">
      <w:pPr>
        <w:pBdr>
          <w:top w:val="single" w:color="auto" w:sz="4" w:space="1"/>
          <w:left w:val="single" w:color="auto" w:sz="4" w:space="4"/>
          <w:bottom w:val="single" w:color="auto" w:sz="4" w:space="1"/>
          <w:right w:val="single" w:color="auto" w:sz="4" w:space="4"/>
        </w:pBdr>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u w:val="single"/>
          <w:lang w:eastAsia="zh-CN"/>
        </w:rPr>
        <w:t>大连医科大学口腔医学院发展建设设备采购项目（二次）</w:t>
      </w:r>
      <w:r>
        <w:rPr>
          <w:rFonts w:hint="eastAsia" w:ascii="仿宋_GB2312" w:hAnsi="仿宋_GB2312" w:eastAsia="仿宋_GB2312" w:cs="仿宋_GB2312"/>
          <w:color w:val="auto"/>
          <w:szCs w:val="21"/>
          <w:highlight w:val="none"/>
        </w:rPr>
        <w:t>的潜在供应商应在</w:t>
      </w:r>
      <w:r>
        <w:rPr>
          <w:rFonts w:hint="eastAsia" w:ascii="仿宋_GB2312" w:hAnsi="仿宋_GB2312" w:eastAsia="仿宋_GB2312" w:cs="仿宋_GB2312"/>
          <w:color w:val="auto"/>
          <w:szCs w:val="21"/>
          <w:highlight w:val="none"/>
          <w:u w:val="single"/>
        </w:rPr>
        <w:t>辽宁政府采购网</w:t>
      </w:r>
      <w:r>
        <w:rPr>
          <w:rFonts w:hint="eastAsia" w:ascii="仿宋_GB2312" w:hAnsi="仿宋_GB2312" w:eastAsia="仿宋_GB2312" w:cs="仿宋_GB2312"/>
          <w:color w:val="auto"/>
          <w:szCs w:val="21"/>
          <w:highlight w:val="none"/>
        </w:rPr>
        <w:t>获取招标文件，并于</w:t>
      </w:r>
      <w:r>
        <w:rPr>
          <w:rFonts w:hint="eastAsia" w:ascii="仿宋_GB2312" w:hAnsi="仿宋_GB2312" w:eastAsia="仿宋_GB2312" w:cs="仿宋_GB2312"/>
          <w:color w:val="auto"/>
          <w:szCs w:val="21"/>
          <w:highlight w:val="none"/>
          <w:u w:val="single"/>
        </w:rPr>
        <w:t>2025年</w:t>
      </w:r>
      <w:r>
        <w:rPr>
          <w:rFonts w:hint="eastAsia" w:ascii="仿宋_GB2312" w:hAnsi="仿宋_GB2312" w:eastAsia="仿宋_GB2312" w:cs="仿宋_GB2312"/>
          <w:color w:val="auto"/>
          <w:szCs w:val="21"/>
          <w:highlight w:val="none"/>
          <w:u w:val="single"/>
          <w:lang w:val="en-US" w:eastAsia="zh-CN"/>
        </w:rPr>
        <w:t>8</w:t>
      </w:r>
      <w:r>
        <w:rPr>
          <w:rFonts w:hint="eastAsia" w:ascii="仿宋_GB2312" w:hAnsi="仿宋_GB2312" w:eastAsia="仿宋_GB2312" w:cs="仿宋_GB2312"/>
          <w:color w:val="auto"/>
          <w:szCs w:val="21"/>
          <w:highlight w:val="none"/>
          <w:u w:val="single"/>
        </w:rPr>
        <w:t>月</w:t>
      </w:r>
      <w:r>
        <w:rPr>
          <w:rFonts w:hint="eastAsia" w:ascii="仿宋_GB2312" w:hAnsi="仿宋_GB2312" w:eastAsia="仿宋_GB2312" w:cs="仿宋_GB2312"/>
          <w:color w:val="auto"/>
          <w:szCs w:val="21"/>
          <w:highlight w:val="none"/>
          <w:u w:val="single"/>
          <w:lang w:val="en-US" w:eastAsia="zh-CN"/>
        </w:rPr>
        <w:t>28</w:t>
      </w:r>
      <w:r>
        <w:rPr>
          <w:rFonts w:hint="eastAsia" w:ascii="仿宋_GB2312" w:hAnsi="仿宋_GB2312" w:eastAsia="仿宋_GB2312" w:cs="仿宋_GB2312"/>
          <w:color w:val="auto"/>
          <w:szCs w:val="21"/>
          <w:highlight w:val="none"/>
          <w:u w:val="single"/>
        </w:rPr>
        <w:t>日</w:t>
      </w:r>
      <w:r>
        <w:rPr>
          <w:rFonts w:hint="eastAsia" w:ascii="仿宋_GB2312" w:hAnsi="仿宋_GB2312" w:eastAsia="仿宋_GB2312" w:cs="仿宋_GB2312"/>
          <w:bCs/>
          <w:color w:val="auto"/>
          <w:szCs w:val="21"/>
          <w:highlight w:val="none"/>
          <w:u w:val="single"/>
        </w:rPr>
        <w:t>9点00分（</w:t>
      </w:r>
      <w:r>
        <w:rPr>
          <w:rFonts w:hint="eastAsia" w:ascii="仿宋_GB2312" w:hAnsi="仿宋_GB2312" w:eastAsia="仿宋_GB2312" w:cs="仿宋_GB2312"/>
          <w:bCs/>
          <w:color w:val="auto"/>
          <w:szCs w:val="21"/>
          <w:highlight w:val="none"/>
        </w:rPr>
        <w:t>北京时间）前递交投标文件</w:t>
      </w:r>
      <w:r>
        <w:rPr>
          <w:rFonts w:hint="eastAsia" w:ascii="仿宋_GB2312" w:hAnsi="仿宋_GB2312" w:eastAsia="仿宋_GB2312" w:cs="仿宋_GB2312"/>
          <w:color w:val="auto"/>
          <w:szCs w:val="21"/>
          <w:highlight w:val="none"/>
        </w:rPr>
        <w:t>。</w:t>
      </w:r>
    </w:p>
    <w:p w14:paraId="15A2AD83">
      <w:pPr>
        <w:widowControl/>
        <w:adjustRightInd w:val="0"/>
        <w:snapToGrid w:val="0"/>
        <w:spacing w:line="360" w:lineRule="auto"/>
        <w:ind w:firstLine="420" w:firstLineChars="200"/>
        <w:jc w:val="left"/>
        <w:rPr>
          <w:rFonts w:ascii="仿宋_GB2312" w:hAnsi="仿宋_GB2312" w:eastAsia="仿宋_GB2312" w:cs="仿宋_GB2312"/>
          <w:b/>
          <w:bCs/>
          <w:color w:val="auto"/>
          <w:kern w:val="0"/>
          <w:szCs w:val="21"/>
          <w:highlight w:val="none"/>
        </w:rPr>
      </w:pPr>
      <w:r>
        <w:rPr>
          <w:rFonts w:hint="eastAsia" w:ascii="仿宋_GB2312" w:hAnsi="仿宋_GB2312" w:eastAsia="仿宋_GB2312" w:cs="仿宋_GB2312"/>
          <w:color w:val="auto"/>
          <w:kern w:val="0"/>
          <w:szCs w:val="21"/>
          <w:highlight w:val="none"/>
        </w:rPr>
        <w:t xml:space="preserve"> </w:t>
      </w:r>
    </w:p>
    <w:p w14:paraId="325C722D">
      <w:pPr>
        <w:adjustRightInd w:val="0"/>
        <w:snapToGrid w:val="0"/>
        <w:spacing w:line="360" w:lineRule="auto"/>
        <w:rPr>
          <w:rFonts w:ascii="仿宋_GB2312" w:hAnsi="仿宋_GB2312" w:eastAsia="仿宋_GB2312" w:cs="仿宋_GB2312"/>
          <w:b/>
          <w:bCs/>
          <w:color w:val="auto"/>
          <w:szCs w:val="21"/>
          <w:highlight w:val="none"/>
        </w:rPr>
      </w:pPr>
      <w:bookmarkStart w:id="2" w:name="_Toc28359002"/>
      <w:bookmarkStart w:id="3" w:name="_Toc35393621"/>
      <w:bookmarkStart w:id="4" w:name="_Toc28359079"/>
      <w:bookmarkStart w:id="5" w:name="_Toc35393790"/>
      <w:bookmarkStart w:id="6" w:name="_Hlk24379207"/>
      <w:r>
        <w:rPr>
          <w:rFonts w:hint="eastAsia" w:ascii="仿宋_GB2312" w:hAnsi="仿宋_GB2312" w:eastAsia="仿宋_GB2312" w:cs="仿宋_GB2312"/>
          <w:b/>
          <w:bCs/>
          <w:color w:val="auto"/>
          <w:szCs w:val="21"/>
          <w:highlight w:val="none"/>
        </w:rPr>
        <w:t>一、项目基本情况</w:t>
      </w:r>
      <w:bookmarkEnd w:id="2"/>
      <w:bookmarkEnd w:id="3"/>
      <w:bookmarkEnd w:id="4"/>
      <w:bookmarkEnd w:id="5"/>
    </w:p>
    <w:p w14:paraId="474F412F">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项目编号：JH25-210000-33918</w:t>
      </w:r>
    </w:p>
    <w:p w14:paraId="39D735AF">
      <w:pPr>
        <w:adjustRightInd w:val="0"/>
        <w:snapToGrid w:val="0"/>
        <w:spacing w:line="360" w:lineRule="auto"/>
        <w:ind w:firstLine="420" w:firstLineChars="200"/>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color w:val="auto"/>
          <w:szCs w:val="21"/>
          <w:highlight w:val="none"/>
        </w:rPr>
        <w:t>项目名称：</w:t>
      </w:r>
      <w:r>
        <w:rPr>
          <w:rFonts w:hint="eastAsia" w:ascii="仿宋_GB2312" w:hAnsi="仿宋_GB2312" w:eastAsia="仿宋_GB2312" w:cs="仿宋_GB2312"/>
          <w:color w:val="auto"/>
          <w:szCs w:val="21"/>
          <w:highlight w:val="none"/>
          <w:lang w:eastAsia="zh-CN"/>
        </w:rPr>
        <w:t>大连医科大学口腔医学院发展建设设备采购项目（二次）</w:t>
      </w:r>
    </w:p>
    <w:bookmarkEnd w:id="6"/>
    <w:p w14:paraId="1211F01B">
      <w:pPr>
        <w:adjustRightInd w:val="0"/>
        <w:snapToGrid w:val="0"/>
        <w:spacing w:line="360" w:lineRule="auto"/>
        <w:ind w:firstLine="420" w:firstLineChars="200"/>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包组编号：001</w:t>
      </w:r>
    </w:p>
    <w:p w14:paraId="7621E562">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预算金额：</w:t>
      </w:r>
      <w:r>
        <w:rPr>
          <w:rFonts w:hint="eastAsia" w:ascii="仿宋_GB2312" w:hAnsi="仿宋_GB2312" w:eastAsia="仿宋_GB2312" w:cs="仿宋_GB2312"/>
          <w:color w:val="auto"/>
          <w:szCs w:val="21"/>
          <w:highlight w:val="none"/>
          <w:lang w:eastAsia="zh-CN"/>
        </w:rPr>
        <w:t>673000</w:t>
      </w:r>
      <w:r>
        <w:rPr>
          <w:rFonts w:hint="eastAsia" w:ascii="仿宋_GB2312" w:hAnsi="仿宋_GB2312" w:eastAsia="仿宋_GB2312" w:cs="仿宋_GB2312"/>
          <w:color w:val="auto"/>
          <w:szCs w:val="21"/>
          <w:highlight w:val="none"/>
        </w:rPr>
        <w:t>元</w:t>
      </w:r>
    </w:p>
    <w:p w14:paraId="34BC30C1">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最高限价：</w:t>
      </w:r>
      <w:r>
        <w:rPr>
          <w:rFonts w:hint="eastAsia" w:ascii="仿宋_GB2312" w:hAnsi="仿宋_GB2312" w:eastAsia="仿宋_GB2312" w:cs="仿宋_GB2312"/>
          <w:color w:val="auto"/>
          <w:szCs w:val="21"/>
          <w:highlight w:val="none"/>
          <w:lang w:eastAsia="zh-CN"/>
        </w:rPr>
        <w:t>673000</w:t>
      </w:r>
      <w:r>
        <w:rPr>
          <w:rFonts w:hint="eastAsia" w:ascii="仿宋_GB2312" w:hAnsi="仿宋_GB2312" w:eastAsia="仿宋_GB2312" w:cs="仿宋_GB2312"/>
          <w:color w:val="auto"/>
          <w:szCs w:val="21"/>
          <w:highlight w:val="none"/>
        </w:rPr>
        <w:t>元（本项目设有单价最高限价（详见第三章 货物需求），投标人所报单价报价不得超过单价最高限价，否则视为无效投标）</w:t>
      </w:r>
    </w:p>
    <w:p w14:paraId="125579CB">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采购需求：多功能酶标仪、高速冷冻离心机、微量冷冻离心机、倒置显微镜等设备一批（详见采购需求）</w:t>
      </w:r>
    </w:p>
    <w:p w14:paraId="11423096">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合同履行期限：自合同签订之日起，30天</w:t>
      </w:r>
      <w:bookmarkStart w:id="135" w:name="_GoBack"/>
      <w:bookmarkEnd w:id="135"/>
      <w:r>
        <w:rPr>
          <w:rFonts w:hint="eastAsia" w:ascii="仿宋_GB2312" w:hAnsi="仿宋_GB2312" w:eastAsia="仿宋_GB2312" w:cs="仿宋_GB2312"/>
          <w:color w:val="auto"/>
          <w:szCs w:val="21"/>
          <w:highlight w:val="none"/>
        </w:rPr>
        <w:t>内完成全部供货安装。</w:t>
      </w:r>
    </w:p>
    <w:p w14:paraId="298B5A42">
      <w:pPr>
        <w:adjustRightInd w:val="0"/>
        <w:snapToGrid w:val="0"/>
        <w:spacing w:line="360" w:lineRule="auto"/>
        <w:ind w:firstLine="420" w:firstLineChars="200"/>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需落实的政府采购政策内容：绿色发展、节能环保、中小企业发展、监狱发展、残疾人就业、支持创新等政府采购政策相关规定</w:t>
      </w:r>
      <w:r>
        <w:rPr>
          <w:rFonts w:hint="eastAsia" w:ascii="仿宋_GB2312" w:hAnsi="仿宋_GB2312" w:eastAsia="仿宋_GB2312" w:cs="仿宋_GB2312"/>
          <w:color w:val="auto"/>
          <w:szCs w:val="21"/>
          <w:highlight w:val="none"/>
          <w:lang w:eastAsia="zh-CN"/>
        </w:rPr>
        <w:t>。</w:t>
      </w:r>
    </w:p>
    <w:p w14:paraId="364F349D">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本项目（是/否）接受联合体投标：否</w:t>
      </w:r>
    </w:p>
    <w:p w14:paraId="19F67711">
      <w:pPr>
        <w:adjustRightInd w:val="0"/>
        <w:snapToGrid w:val="0"/>
        <w:spacing w:line="360" w:lineRule="auto"/>
        <w:ind w:firstLine="420" w:firstLineChars="200"/>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包组编号：003</w:t>
      </w:r>
    </w:p>
    <w:p w14:paraId="59E4ECA2">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预算金额：416000元</w:t>
      </w:r>
    </w:p>
    <w:p w14:paraId="513E8266">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最高限价：416000元（本项目设有单价最高限价（详见第三章 货物需求），投标人所报单价报价不得超过单价最高限价，否则视为无效投标）</w:t>
      </w:r>
    </w:p>
    <w:p w14:paraId="396A1D17">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采购需求：口腔临床模拟教学实习系统8套（详见采购需求）</w:t>
      </w:r>
    </w:p>
    <w:p w14:paraId="056DA4F5">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合同履行期限：自合同签订之日起，30天内完成全部供货安装。</w:t>
      </w:r>
    </w:p>
    <w:p w14:paraId="2311C4EC">
      <w:pPr>
        <w:adjustRightInd w:val="0"/>
        <w:snapToGrid w:val="0"/>
        <w:spacing w:line="360" w:lineRule="auto"/>
        <w:ind w:firstLine="420" w:firstLineChars="200"/>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需落实的政府采购政策内容：绿色发展、节能环保、中小企业发展、监狱发展、残疾人就业、支持创新等政府采购政策相关规定</w:t>
      </w:r>
      <w:r>
        <w:rPr>
          <w:rFonts w:hint="eastAsia" w:ascii="仿宋_GB2312" w:hAnsi="仿宋_GB2312" w:eastAsia="仿宋_GB2312" w:cs="仿宋_GB2312"/>
          <w:color w:val="auto"/>
          <w:szCs w:val="21"/>
          <w:highlight w:val="none"/>
          <w:lang w:eastAsia="zh-CN"/>
        </w:rPr>
        <w:t>。</w:t>
      </w:r>
    </w:p>
    <w:p w14:paraId="0682BDCF">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本项目（是/否）接受联合体投标：否</w:t>
      </w:r>
    </w:p>
    <w:p w14:paraId="49D8CDED">
      <w:pPr>
        <w:adjustRightInd w:val="0"/>
        <w:snapToGrid w:val="0"/>
        <w:spacing w:line="360" w:lineRule="auto"/>
        <w:rPr>
          <w:rFonts w:ascii="仿宋_GB2312" w:hAnsi="仿宋_GB2312" w:eastAsia="仿宋_GB2312" w:cs="仿宋_GB2312"/>
          <w:b/>
          <w:bCs/>
          <w:color w:val="auto"/>
          <w:szCs w:val="21"/>
          <w:highlight w:val="none"/>
        </w:rPr>
      </w:pPr>
      <w:bookmarkStart w:id="7" w:name="_Toc28359003"/>
      <w:bookmarkStart w:id="8" w:name="_Toc28359080"/>
      <w:bookmarkStart w:id="9" w:name="_Toc35393622"/>
      <w:bookmarkStart w:id="10" w:name="_Toc35393791"/>
      <w:r>
        <w:rPr>
          <w:rFonts w:hint="eastAsia" w:ascii="仿宋_GB2312" w:hAnsi="仿宋_GB2312" w:eastAsia="仿宋_GB2312" w:cs="仿宋_GB2312"/>
          <w:b/>
          <w:bCs/>
          <w:color w:val="auto"/>
          <w:szCs w:val="21"/>
          <w:highlight w:val="none"/>
        </w:rPr>
        <w:t>二、供应商的资格要求：</w:t>
      </w:r>
      <w:bookmarkEnd w:id="7"/>
      <w:bookmarkEnd w:id="8"/>
      <w:bookmarkEnd w:id="9"/>
      <w:bookmarkEnd w:id="10"/>
    </w:p>
    <w:p w14:paraId="627D0022">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1.满足《中华人民共和国政府采购法》第二十二条规定；</w:t>
      </w:r>
    </w:p>
    <w:p w14:paraId="29B42BE7">
      <w:pPr>
        <w:adjustRightInd w:val="0"/>
        <w:snapToGrid w:val="0"/>
        <w:spacing w:line="360" w:lineRule="auto"/>
        <w:ind w:firstLine="420" w:firstLineChars="200"/>
        <w:rPr>
          <w:rFonts w:ascii="仿宋_GB2312" w:hAnsi="仿宋_GB2312" w:eastAsia="仿宋_GB2312" w:cs="仿宋_GB2312"/>
          <w:color w:val="auto"/>
          <w:szCs w:val="21"/>
          <w:highlight w:val="none"/>
        </w:rPr>
      </w:pPr>
      <w:bookmarkStart w:id="11" w:name="_Toc28359004"/>
      <w:bookmarkStart w:id="12" w:name="_Toc28359081"/>
      <w:r>
        <w:rPr>
          <w:rFonts w:hint="eastAsia" w:ascii="仿宋_GB2312" w:hAnsi="仿宋_GB2312" w:eastAsia="仿宋_GB2312" w:cs="仿宋_GB2312"/>
          <w:color w:val="auto"/>
          <w:szCs w:val="21"/>
          <w:highlight w:val="none"/>
        </w:rPr>
        <w:t>2.落实政府采购政策需满足的资格要求：本项目专门面向中小微企业，监狱企业、残疾人企业视同为中小微企业；</w:t>
      </w:r>
    </w:p>
    <w:p w14:paraId="3B2FE082">
      <w:pPr>
        <w:adjustRightInd w:val="0"/>
        <w:snapToGrid w:val="0"/>
        <w:spacing w:line="360" w:lineRule="auto"/>
        <w:ind w:firstLine="420" w:firstLineChars="200"/>
        <w:rPr>
          <w:rFonts w:ascii="仿宋_GB2312" w:hAnsi="仿宋_GB2312" w:eastAsia="仿宋_GB2312" w:cs="仿宋_GB2312"/>
          <w:i/>
          <w:iCs/>
          <w:color w:val="auto"/>
          <w:szCs w:val="21"/>
          <w:highlight w:val="none"/>
          <w:u w:val="single"/>
        </w:rPr>
      </w:pPr>
      <w:r>
        <w:rPr>
          <w:rFonts w:hint="eastAsia" w:ascii="仿宋_GB2312" w:hAnsi="仿宋_GB2312" w:eastAsia="仿宋_GB2312" w:cs="仿宋_GB2312"/>
          <w:color w:val="auto"/>
          <w:szCs w:val="21"/>
          <w:highlight w:val="none"/>
        </w:rPr>
        <w:t>3.本项目的特定资格要求：无。</w:t>
      </w:r>
    </w:p>
    <w:bookmarkEnd w:id="11"/>
    <w:bookmarkEnd w:id="12"/>
    <w:p w14:paraId="76609C02">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三、政府采购供应商入库须知</w:t>
      </w:r>
    </w:p>
    <w:p w14:paraId="00815665">
      <w:pPr>
        <w:adjustRightInd w:val="0"/>
        <w:snapToGrid w:val="0"/>
        <w:spacing w:line="360" w:lineRule="auto"/>
        <w:ind w:firstLine="420" w:firstLineChars="200"/>
        <w:rPr>
          <w:rFonts w:ascii="仿宋_GB2312" w:hAnsi="仿宋_GB2312" w:eastAsia="仿宋_GB2312" w:cs="仿宋_GB2312"/>
          <w:color w:val="auto"/>
          <w:szCs w:val="21"/>
          <w:highlight w:val="none"/>
        </w:rPr>
      </w:pPr>
      <w:bookmarkStart w:id="13" w:name="_Toc35393623"/>
      <w:bookmarkStart w:id="14" w:name="_Toc35393792"/>
      <w:r>
        <w:rPr>
          <w:rFonts w:hint="eastAsia" w:ascii="仿宋_GB2312" w:hAnsi="仿宋_GB2312" w:eastAsia="仿宋_GB2312" w:cs="仿宋_GB2312"/>
          <w:color w:val="auto"/>
          <w:szCs w:val="21"/>
          <w:highlight w:val="none"/>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3F465303">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四、获取招标文件</w:t>
      </w:r>
      <w:bookmarkEnd w:id="13"/>
      <w:bookmarkEnd w:id="14"/>
    </w:p>
    <w:p w14:paraId="5FF97673">
      <w:pPr>
        <w:adjustRightInd w:val="0"/>
        <w:snapToGrid w:val="0"/>
        <w:spacing w:line="360" w:lineRule="auto"/>
        <w:ind w:firstLine="54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时间：2025年</w:t>
      </w:r>
      <w:r>
        <w:rPr>
          <w:rFonts w:hint="eastAsia" w:ascii="仿宋_GB2312" w:hAnsi="仿宋_GB2312" w:eastAsia="仿宋_GB2312" w:cs="仿宋_GB2312"/>
          <w:color w:val="auto"/>
          <w:szCs w:val="21"/>
          <w:highlight w:val="none"/>
          <w:lang w:val="en-US" w:eastAsia="zh-CN"/>
        </w:rPr>
        <w:t>8</w:t>
      </w:r>
      <w:r>
        <w:rPr>
          <w:rFonts w:hint="eastAsia" w:ascii="仿宋_GB2312" w:hAnsi="仿宋_GB2312" w:eastAsia="仿宋_GB2312" w:cs="仿宋_GB2312"/>
          <w:color w:val="auto"/>
          <w:szCs w:val="21"/>
          <w:highlight w:val="none"/>
        </w:rPr>
        <w:t>月</w:t>
      </w:r>
      <w:r>
        <w:rPr>
          <w:rFonts w:hint="eastAsia" w:ascii="仿宋_GB2312" w:hAnsi="仿宋_GB2312" w:eastAsia="仿宋_GB2312" w:cs="仿宋_GB2312"/>
          <w:color w:val="auto"/>
          <w:szCs w:val="21"/>
          <w:highlight w:val="none"/>
          <w:lang w:val="en-US" w:eastAsia="zh-CN"/>
        </w:rPr>
        <w:t>6</w:t>
      </w:r>
      <w:r>
        <w:rPr>
          <w:rFonts w:hint="eastAsia" w:ascii="仿宋_GB2312" w:hAnsi="仿宋_GB2312" w:eastAsia="仿宋_GB2312" w:cs="仿宋_GB2312"/>
          <w:color w:val="auto"/>
          <w:szCs w:val="21"/>
          <w:highlight w:val="none"/>
        </w:rPr>
        <w:t>日23时00分至2025年</w:t>
      </w:r>
      <w:r>
        <w:rPr>
          <w:rFonts w:hint="eastAsia" w:ascii="仿宋_GB2312" w:hAnsi="仿宋_GB2312" w:eastAsia="仿宋_GB2312" w:cs="仿宋_GB2312"/>
          <w:color w:val="auto"/>
          <w:szCs w:val="21"/>
          <w:highlight w:val="none"/>
          <w:lang w:val="en-US" w:eastAsia="zh-CN"/>
        </w:rPr>
        <w:t>8</w:t>
      </w:r>
      <w:r>
        <w:rPr>
          <w:rFonts w:hint="eastAsia" w:ascii="仿宋_GB2312" w:hAnsi="仿宋_GB2312" w:eastAsia="仿宋_GB2312" w:cs="仿宋_GB2312"/>
          <w:color w:val="auto"/>
          <w:szCs w:val="21"/>
          <w:highlight w:val="none"/>
        </w:rPr>
        <w:t>月</w:t>
      </w:r>
      <w:r>
        <w:rPr>
          <w:rFonts w:hint="eastAsia" w:ascii="仿宋_GB2312" w:hAnsi="仿宋_GB2312" w:eastAsia="仿宋_GB2312" w:cs="仿宋_GB2312"/>
          <w:color w:val="auto"/>
          <w:szCs w:val="21"/>
          <w:highlight w:val="none"/>
          <w:lang w:val="en-US" w:eastAsia="zh-CN"/>
        </w:rPr>
        <w:t>14</w:t>
      </w:r>
      <w:r>
        <w:rPr>
          <w:rFonts w:hint="eastAsia" w:ascii="仿宋_GB2312" w:hAnsi="仿宋_GB2312" w:eastAsia="仿宋_GB2312" w:cs="仿宋_GB2312"/>
          <w:color w:val="auto"/>
          <w:szCs w:val="21"/>
          <w:highlight w:val="none"/>
        </w:rPr>
        <w:t>日00时00分（北京时间，法定节假日除外）</w:t>
      </w:r>
    </w:p>
    <w:p w14:paraId="596A1493">
      <w:pPr>
        <w:adjustRightInd w:val="0"/>
        <w:snapToGrid w:val="0"/>
        <w:spacing w:line="360" w:lineRule="auto"/>
        <w:ind w:firstLine="54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地点：线上获取</w:t>
      </w:r>
    </w:p>
    <w:p w14:paraId="1CBB6CFA">
      <w:pPr>
        <w:adjustRightInd w:val="0"/>
        <w:snapToGrid w:val="0"/>
        <w:spacing w:line="360" w:lineRule="auto"/>
        <w:ind w:firstLine="54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方式：线上</w:t>
      </w:r>
    </w:p>
    <w:p w14:paraId="69305BD7">
      <w:pPr>
        <w:adjustRightInd w:val="0"/>
        <w:snapToGrid w:val="0"/>
        <w:spacing w:line="360" w:lineRule="auto"/>
        <w:ind w:firstLine="54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售价：免费</w:t>
      </w:r>
    </w:p>
    <w:p w14:paraId="6BB53C03">
      <w:pPr>
        <w:adjustRightInd w:val="0"/>
        <w:snapToGrid w:val="0"/>
        <w:spacing w:line="360" w:lineRule="auto"/>
        <w:rPr>
          <w:rFonts w:ascii="仿宋_GB2312" w:hAnsi="仿宋_GB2312" w:eastAsia="仿宋_GB2312" w:cs="仿宋_GB2312"/>
          <w:b/>
          <w:bCs/>
          <w:color w:val="auto"/>
          <w:szCs w:val="21"/>
          <w:highlight w:val="none"/>
        </w:rPr>
      </w:pPr>
      <w:bookmarkStart w:id="15" w:name="_Toc28359082"/>
      <w:bookmarkStart w:id="16" w:name="_Toc28359005"/>
      <w:bookmarkStart w:id="17" w:name="_Toc35393793"/>
      <w:bookmarkStart w:id="18" w:name="_Toc35393624"/>
      <w:r>
        <w:rPr>
          <w:rFonts w:hint="eastAsia" w:ascii="仿宋_GB2312" w:hAnsi="仿宋_GB2312" w:eastAsia="仿宋_GB2312" w:cs="仿宋_GB2312"/>
          <w:b/>
          <w:bCs/>
          <w:color w:val="auto"/>
          <w:szCs w:val="21"/>
          <w:highlight w:val="none"/>
        </w:rPr>
        <w:t>五、提交投标文件</w:t>
      </w:r>
      <w:bookmarkEnd w:id="15"/>
      <w:bookmarkEnd w:id="16"/>
      <w:r>
        <w:rPr>
          <w:rFonts w:hint="eastAsia" w:ascii="仿宋_GB2312" w:hAnsi="仿宋_GB2312" w:eastAsia="仿宋_GB2312" w:cs="仿宋_GB2312"/>
          <w:b/>
          <w:bCs/>
          <w:color w:val="auto"/>
          <w:szCs w:val="21"/>
          <w:highlight w:val="none"/>
        </w:rPr>
        <w:t>截止时间、开标时间和地点</w:t>
      </w:r>
      <w:bookmarkEnd w:id="17"/>
      <w:bookmarkEnd w:id="18"/>
    </w:p>
    <w:p w14:paraId="1124F324">
      <w:pPr>
        <w:adjustRightInd w:val="0"/>
        <w:snapToGrid w:val="0"/>
        <w:spacing w:line="360" w:lineRule="auto"/>
        <w:ind w:firstLine="420" w:firstLineChars="200"/>
        <w:rPr>
          <w:rFonts w:ascii="仿宋_GB2312" w:hAnsi="仿宋_GB2312" w:eastAsia="仿宋_GB2312" w:cs="仿宋_GB2312"/>
          <w:bCs/>
          <w:color w:val="auto"/>
          <w:szCs w:val="21"/>
          <w:highlight w:val="none"/>
          <w:u w:val="single"/>
        </w:rPr>
      </w:pPr>
      <w:r>
        <w:rPr>
          <w:rFonts w:hint="eastAsia" w:ascii="仿宋_GB2312" w:hAnsi="仿宋_GB2312" w:eastAsia="仿宋_GB2312" w:cs="仿宋_GB2312"/>
          <w:color w:val="auto"/>
          <w:szCs w:val="21"/>
          <w:highlight w:val="none"/>
        </w:rPr>
        <w:t>2025年</w:t>
      </w:r>
      <w:r>
        <w:rPr>
          <w:rFonts w:hint="eastAsia" w:ascii="仿宋_GB2312" w:hAnsi="仿宋_GB2312" w:eastAsia="仿宋_GB2312" w:cs="仿宋_GB2312"/>
          <w:color w:val="auto"/>
          <w:szCs w:val="21"/>
          <w:highlight w:val="none"/>
          <w:lang w:val="en-US" w:eastAsia="zh-CN"/>
        </w:rPr>
        <w:t>8</w:t>
      </w:r>
      <w:r>
        <w:rPr>
          <w:rFonts w:hint="eastAsia" w:ascii="仿宋_GB2312" w:hAnsi="仿宋_GB2312" w:eastAsia="仿宋_GB2312" w:cs="仿宋_GB2312"/>
          <w:color w:val="auto"/>
          <w:szCs w:val="21"/>
          <w:highlight w:val="none"/>
        </w:rPr>
        <w:t>月</w:t>
      </w:r>
      <w:r>
        <w:rPr>
          <w:rFonts w:hint="eastAsia" w:ascii="仿宋_GB2312" w:hAnsi="仿宋_GB2312" w:eastAsia="仿宋_GB2312" w:cs="仿宋_GB2312"/>
          <w:color w:val="auto"/>
          <w:szCs w:val="21"/>
          <w:highlight w:val="none"/>
          <w:lang w:val="en-US" w:eastAsia="zh-CN"/>
        </w:rPr>
        <w:t>28</w:t>
      </w:r>
      <w:r>
        <w:rPr>
          <w:rFonts w:hint="eastAsia" w:ascii="仿宋_GB2312" w:hAnsi="仿宋_GB2312" w:eastAsia="仿宋_GB2312" w:cs="仿宋_GB2312"/>
          <w:color w:val="auto"/>
          <w:szCs w:val="21"/>
          <w:highlight w:val="none"/>
        </w:rPr>
        <w:t>日9点00分</w:t>
      </w:r>
      <w:r>
        <w:rPr>
          <w:rFonts w:hint="eastAsia" w:ascii="仿宋_GB2312" w:hAnsi="仿宋_GB2312" w:eastAsia="仿宋_GB2312" w:cs="仿宋_GB2312"/>
          <w:bCs/>
          <w:color w:val="auto"/>
          <w:szCs w:val="21"/>
          <w:highlight w:val="none"/>
        </w:rPr>
        <w:t>（北京时间）</w:t>
      </w:r>
    </w:p>
    <w:p w14:paraId="71154A5E">
      <w:pPr>
        <w:adjustRightInd w:val="0"/>
        <w:snapToGrid w:val="0"/>
        <w:spacing w:line="360" w:lineRule="auto"/>
        <w:ind w:firstLine="420" w:firstLineChars="200"/>
        <w:rPr>
          <w:rFonts w:ascii="仿宋_GB2312" w:hAnsi="仿宋_GB2312" w:eastAsia="仿宋_GB2312" w:cs="仿宋_GB2312"/>
          <w:bCs/>
          <w:color w:val="auto"/>
          <w:szCs w:val="21"/>
          <w:highlight w:val="none"/>
          <w:u w:val="single"/>
        </w:rPr>
      </w:pPr>
      <w:r>
        <w:rPr>
          <w:rFonts w:hint="eastAsia" w:ascii="仿宋_GB2312" w:hAnsi="仿宋_GB2312" w:eastAsia="仿宋_GB2312" w:cs="仿宋_GB2312"/>
          <w:color w:val="auto"/>
          <w:szCs w:val="21"/>
          <w:highlight w:val="none"/>
        </w:rPr>
        <w:t>地点：辽宁政府采购网。</w:t>
      </w:r>
    </w:p>
    <w:p w14:paraId="78C8BE8F">
      <w:pPr>
        <w:adjustRightInd w:val="0"/>
        <w:snapToGrid w:val="0"/>
        <w:spacing w:line="360" w:lineRule="auto"/>
        <w:rPr>
          <w:rFonts w:ascii="仿宋_GB2312" w:hAnsi="仿宋_GB2312" w:eastAsia="仿宋_GB2312" w:cs="仿宋_GB2312"/>
          <w:b/>
          <w:bCs/>
          <w:color w:val="auto"/>
          <w:szCs w:val="21"/>
          <w:highlight w:val="none"/>
        </w:rPr>
      </w:pPr>
      <w:bookmarkStart w:id="19" w:name="_Toc35393794"/>
      <w:bookmarkStart w:id="20" w:name="_Toc35393625"/>
      <w:bookmarkStart w:id="21" w:name="_Toc28359007"/>
      <w:bookmarkStart w:id="22" w:name="_Toc28359084"/>
      <w:r>
        <w:rPr>
          <w:rFonts w:hint="eastAsia" w:ascii="仿宋_GB2312" w:hAnsi="仿宋_GB2312" w:eastAsia="仿宋_GB2312" w:cs="仿宋_GB2312"/>
          <w:b/>
          <w:bCs/>
          <w:color w:val="auto"/>
          <w:szCs w:val="21"/>
          <w:highlight w:val="none"/>
        </w:rPr>
        <w:t>六、公告期限</w:t>
      </w:r>
      <w:bookmarkEnd w:id="19"/>
      <w:bookmarkEnd w:id="20"/>
      <w:bookmarkEnd w:id="21"/>
      <w:bookmarkEnd w:id="22"/>
    </w:p>
    <w:p w14:paraId="07BAFF0F">
      <w:pPr>
        <w:adjustRightInd w:val="0"/>
        <w:snapToGri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自本公告发布之日起5个工作日</w:t>
      </w:r>
    </w:p>
    <w:p w14:paraId="55A676AB">
      <w:pPr>
        <w:keepNext/>
        <w:keepLines/>
        <w:adjustRightInd w:val="0"/>
        <w:snapToGrid w:val="0"/>
        <w:spacing w:line="360" w:lineRule="auto"/>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七、质疑与投诉</w:t>
      </w:r>
    </w:p>
    <w:p w14:paraId="08C69387">
      <w:pPr>
        <w:widowControl/>
        <w:adjustRightInd w:val="0"/>
        <w:snapToGrid w:val="0"/>
        <w:spacing w:line="360" w:lineRule="auto"/>
        <w:ind w:firstLine="539"/>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供应商认为自己的权益受到损害的，可以在知道或者应知其权益受到损害之日起七个工作日内，向采购代理机构或采购人提出质疑。</w:t>
      </w:r>
    </w:p>
    <w:p w14:paraId="7456D28A">
      <w:pPr>
        <w:widowControl/>
        <w:adjustRightInd w:val="0"/>
        <w:snapToGrid w:val="0"/>
        <w:spacing w:line="360" w:lineRule="auto"/>
        <w:ind w:firstLine="48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1、接收质疑函方式：线上或书面纸质质疑函。</w:t>
      </w:r>
    </w:p>
    <w:p w14:paraId="6457C770">
      <w:pPr>
        <w:widowControl/>
        <w:adjustRightInd w:val="0"/>
        <w:snapToGrid w:val="0"/>
        <w:spacing w:line="360" w:lineRule="auto"/>
        <w:ind w:firstLine="48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2、质疑函内容、格式：应符合《政府采购质疑和投诉办法》相关规定和财政部制定的《政府采购质疑函范本》格式，详见辽宁政府采购网。</w:t>
      </w:r>
    </w:p>
    <w:p w14:paraId="2BCA5FCF">
      <w:pPr>
        <w:widowControl/>
        <w:adjustRightInd w:val="0"/>
        <w:snapToGrid w:val="0"/>
        <w:spacing w:line="360" w:lineRule="auto"/>
        <w:ind w:firstLine="48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质疑供应商对采购人、采购代理机构的答复不满意，或者采购人、采购代理机构未在规定时间内作出答复的，可以在答复期满后15个工作日内向本级财政部门提起投诉。</w:t>
      </w:r>
    </w:p>
    <w:p w14:paraId="790C92E0">
      <w:pPr>
        <w:keepNext/>
        <w:keepLines/>
        <w:adjustRightInd w:val="0"/>
        <w:snapToGrid w:val="0"/>
        <w:spacing w:line="360" w:lineRule="auto"/>
        <w:rPr>
          <w:rFonts w:ascii="仿宋_GB2312" w:hAnsi="仿宋_GB2312" w:eastAsia="仿宋_GB2312" w:cs="仿宋_GB2312"/>
          <w:b/>
          <w:color w:val="auto"/>
          <w:szCs w:val="21"/>
          <w:highlight w:val="none"/>
        </w:rPr>
      </w:pPr>
      <w:bookmarkStart w:id="23" w:name="_Toc35393795"/>
      <w:bookmarkStart w:id="24" w:name="_Toc35393626"/>
      <w:r>
        <w:rPr>
          <w:rFonts w:hint="eastAsia" w:ascii="仿宋_GB2312" w:hAnsi="仿宋_GB2312" w:eastAsia="仿宋_GB2312" w:cs="仿宋_GB2312"/>
          <w:b/>
          <w:color w:val="auto"/>
          <w:szCs w:val="21"/>
          <w:highlight w:val="none"/>
        </w:rPr>
        <w:t>八、其他补充事宜</w:t>
      </w:r>
      <w:bookmarkEnd w:id="23"/>
      <w:bookmarkEnd w:id="24"/>
    </w:p>
    <w:p w14:paraId="247A31A7">
      <w:pPr>
        <w:adjustRightInd w:val="0"/>
        <w:snapToGrid w:val="0"/>
        <w:spacing w:line="360" w:lineRule="auto"/>
        <w:ind w:firstLine="420" w:firstLine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1.因目前全省推广政府采购电子招投标业务，投标人需自行办理政府采购CA数字证书并学习电子投标文件制作教程，系统操作问题请咨询技术支持电话（400-128-8588），CA 办理问题请咨询CA认证机构。CA办理成功的供应商须在网上进行投标报名，如未报名将不允许参与本项目投标，报名成功后用CA操作网上电子投标等相关事宜（包括在电子投标环节填写报价、上传文件等），操作教学详见（辽宁政府采购网：http://www.ccgp-liaoning.gov.cn/portalindex.do?method=getPubInfoViewOpen&amp;infoId=31adcfa21750bd6d482-5dfd），如未按视频教学操作将导致投标文件无效。</w:t>
      </w:r>
    </w:p>
    <w:p w14:paraId="05EE828B">
      <w:pPr>
        <w:adjustRightInd w:val="0"/>
        <w:snapToGrid w:val="0"/>
        <w:spacing w:line="360" w:lineRule="auto"/>
        <w:ind w:firstLine="420" w:firstLine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2.投标人应认真学习辽宁政府采购网电子文件制作指南，并按照招标文件和电子评审系统要求进行投标（响应）信息填报、电子文件编制、盖章或电子签章等工作。对于使用电子签章的，投标人应在辽宁政府采购网 CA 认证平台下载签章工具或向 CA 认证机构索要电子签章工具，对电子文件进行签章。电子文件中存在图片较多或内存较大等情况，需使用特殊工具对电子文件进行调整的，应在系统中认真核对调整后的电子文件，确保文件真实有效，清晰可辨，避免影响评审活动。投标人因自身操作问题导致的一切不良后果由投标人自行负责。（具体规定详见《关于启用政府采购数字认证和电子招投标业务有关事宜的通知》（辽财采【2020】298号）。</w:t>
      </w:r>
    </w:p>
    <w:p w14:paraId="0493232D">
      <w:pPr>
        <w:adjustRightInd w:val="0"/>
        <w:snapToGrid w:val="0"/>
        <w:spacing w:line="360" w:lineRule="auto"/>
        <w:ind w:firstLine="420" w:firstLine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3.投标文件递交方式采用线上递交,如因投标人自身原因导致未线上递交投标文件的按照无效投标处理。</w:t>
      </w:r>
    </w:p>
    <w:p w14:paraId="07FBE345">
      <w:pPr>
        <w:adjustRightInd w:val="0"/>
        <w:snapToGrid w:val="0"/>
        <w:spacing w:line="360" w:lineRule="auto"/>
        <w:ind w:firstLine="420" w:firstLine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4.请投标人自行准备电脑设备并下载好对应的CA认证证书，于提交投标文件截止时间（开标时间）起自行解密，解密时限为30分钟。</w:t>
      </w:r>
    </w:p>
    <w:p w14:paraId="706B8EAB">
      <w:pPr>
        <w:adjustRightInd w:val="0"/>
        <w:snapToGrid w:val="0"/>
        <w:spacing w:line="360" w:lineRule="auto"/>
        <w:ind w:firstLine="420" w:firstLine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5.投标人在电子评审活动中出现以下情形的，按如下规定进行处理：</w:t>
      </w:r>
    </w:p>
    <w:p w14:paraId="18C5EEFA">
      <w:pPr>
        <w:adjustRightInd w:val="0"/>
        <w:snapToGrid w:val="0"/>
        <w:spacing w:line="360" w:lineRule="auto"/>
        <w:ind w:firstLine="420" w:firstLine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（1）因投标人或其自用设备原因造成投标文件未在规定时间内进行解密的；</w:t>
      </w:r>
    </w:p>
    <w:p w14:paraId="518EE659">
      <w:pPr>
        <w:adjustRightInd w:val="0"/>
        <w:snapToGrid w:val="0"/>
        <w:spacing w:line="360" w:lineRule="auto"/>
        <w:ind w:firstLine="420" w:firstLine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（2）因投标人或其自用设备原因造成的未在规定时间内前上传文件的；</w:t>
      </w:r>
    </w:p>
    <w:p w14:paraId="29CA0DAE">
      <w:pPr>
        <w:adjustRightInd w:val="0"/>
        <w:snapToGrid w:val="0"/>
        <w:spacing w:line="360" w:lineRule="auto"/>
        <w:ind w:firstLine="420" w:firstLine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（3）因投标人原因未对文件校验造成信息缺失、文件内容或格式不正确以及备份文件不符合要求等问题影响评审的。</w:t>
      </w:r>
    </w:p>
    <w:p w14:paraId="17AAB5C4">
      <w:pPr>
        <w:adjustRightInd w:val="0"/>
        <w:snapToGrid w:val="0"/>
        <w:spacing w:line="360" w:lineRule="auto"/>
        <w:ind w:firstLine="420" w:firstLine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出现前款（1）（2）情形的，视为放弃投标；出现前款（3）情形的，由投标人自行承担相应责任。</w:t>
      </w:r>
    </w:p>
    <w:p w14:paraId="6777C855">
      <w:pPr>
        <w:adjustRightInd w:val="0"/>
        <w:snapToGrid w:val="0"/>
        <w:spacing w:line="360" w:lineRule="auto"/>
        <w:ind w:firstLine="420" w:firstLine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6.因本项目为不见面开标，各投标人须在投标文件的“法定代表人（或非法人组织负责人）授权委托书”中明确本项目的项目联系人及联系电话（建议包含手机及座机号码），并注意电话来电，以便重要事宜的通知。若因联系电话错误、关机、无法接通等无法联系到投标人，投标人自行承担相应后果。</w:t>
      </w:r>
    </w:p>
    <w:p w14:paraId="5EAA4D14">
      <w:pPr>
        <w:adjustRightInd w:val="0"/>
        <w:snapToGrid w:val="0"/>
        <w:spacing w:line="360" w:lineRule="auto"/>
        <w:ind w:firstLine="420" w:firstLineChars="200"/>
        <w:rPr>
          <w:rFonts w:ascii="仿宋_GB2312" w:hAnsi="仿宋_GB2312" w:eastAsia="仿宋_GB2312" w:cs="仿宋_GB2312"/>
          <w:bCs/>
          <w:color w:val="auto"/>
          <w:szCs w:val="21"/>
          <w:highlight w:val="none"/>
        </w:rPr>
      </w:pPr>
      <w:bookmarkStart w:id="25" w:name="_Toc28359008"/>
      <w:bookmarkStart w:id="26" w:name="_Toc35393627"/>
      <w:bookmarkStart w:id="27" w:name="_Toc28359085"/>
      <w:bookmarkStart w:id="28" w:name="_Toc35393796"/>
      <w:r>
        <w:rPr>
          <w:rFonts w:hint="eastAsia" w:ascii="仿宋_GB2312" w:hAnsi="仿宋_GB2312" w:eastAsia="仿宋_GB2312" w:cs="仿宋_GB2312"/>
          <w:b/>
          <w:color w:val="auto"/>
          <w:szCs w:val="21"/>
          <w:highlight w:val="none"/>
        </w:rPr>
        <w:t>7.本招标项目以包为基本投标单位，投标人可以投一包或多包，兼投兼中。</w:t>
      </w:r>
    </w:p>
    <w:p w14:paraId="61F12127">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九、对本次招标提出询问，请按以下方式联系。</w:t>
      </w:r>
      <w:bookmarkEnd w:id="25"/>
      <w:bookmarkEnd w:id="26"/>
      <w:bookmarkEnd w:id="27"/>
      <w:bookmarkEnd w:id="28"/>
    </w:p>
    <w:p w14:paraId="35828466">
      <w:pPr>
        <w:adjustRightInd w:val="0"/>
        <w:snapToGrid w:val="0"/>
        <w:spacing w:line="360" w:lineRule="auto"/>
        <w:ind w:left="495" w:firstLine="210" w:firstLineChars="1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1.采购人信息</w:t>
      </w:r>
    </w:p>
    <w:p w14:paraId="6D38519F">
      <w:pPr>
        <w:widowControl/>
        <w:adjustRightInd w:val="0"/>
        <w:snapToGrid w:val="0"/>
        <w:spacing w:line="360" w:lineRule="auto"/>
        <w:ind w:firstLine="613" w:firstLineChars="292"/>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名称：</w:t>
      </w:r>
      <w:r>
        <w:rPr>
          <w:rFonts w:hint="eastAsia" w:ascii="仿宋_GB2312" w:hAnsi="仿宋_GB2312" w:eastAsia="仿宋_GB2312" w:cs="仿宋_GB2312"/>
          <w:color w:val="auto"/>
          <w:szCs w:val="21"/>
          <w:highlight w:val="none"/>
          <w:u w:val="single"/>
        </w:rPr>
        <w:t>大连医科大学</w:t>
      </w:r>
    </w:p>
    <w:p w14:paraId="77E8F083">
      <w:pPr>
        <w:widowControl/>
        <w:adjustRightInd w:val="0"/>
        <w:snapToGrid w:val="0"/>
        <w:spacing w:line="360" w:lineRule="auto"/>
        <w:ind w:firstLine="613" w:firstLineChars="292"/>
        <w:jc w:val="left"/>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kern w:val="0"/>
          <w:szCs w:val="21"/>
          <w:highlight w:val="none"/>
        </w:rPr>
        <w:t>地址：</w:t>
      </w:r>
      <w:r>
        <w:rPr>
          <w:rFonts w:hint="eastAsia" w:ascii="仿宋_GB2312" w:hAnsi="仿宋_GB2312" w:eastAsia="仿宋_GB2312" w:cs="仿宋_GB2312"/>
          <w:color w:val="auto"/>
          <w:szCs w:val="21"/>
          <w:highlight w:val="none"/>
          <w:u w:val="single"/>
        </w:rPr>
        <w:t>辽宁省大连市旅顺南路西段9号</w:t>
      </w:r>
    </w:p>
    <w:p w14:paraId="170AE18F">
      <w:pPr>
        <w:widowControl/>
        <w:adjustRightInd w:val="0"/>
        <w:snapToGrid w:val="0"/>
        <w:spacing w:line="360" w:lineRule="auto"/>
        <w:ind w:firstLine="613" w:firstLineChars="292"/>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联系方式：</w:t>
      </w:r>
      <w:r>
        <w:rPr>
          <w:rFonts w:hint="eastAsia" w:ascii="仿宋_GB2312" w:hAnsi="仿宋_GB2312" w:eastAsia="仿宋_GB2312" w:cs="仿宋_GB2312"/>
          <w:color w:val="auto"/>
          <w:szCs w:val="21"/>
          <w:highlight w:val="none"/>
          <w:u w:val="single"/>
        </w:rPr>
        <w:t>0411-86110096</w:t>
      </w:r>
    </w:p>
    <w:p w14:paraId="7D49D983">
      <w:pPr>
        <w:adjustRightInd w:val="0"/>
        <w:snapToGrid w:val="0"/>
        <w:spacing w:line="360" w:lineRule="auto"/>
        <w:ind w:left="495" w:firstLine="210" w:firstLineChars="1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2.采购代理机构信息</w:t>
      </w:r>
    </w:p>
    <w:p w14:paraId="1A0BD5EF">
      <w:pPr>
        <w:adjustRightInd w:val="0"/>
        <w:snapToGrid w:val="0"/>
        <w:spacing w:line="360" w:lineRule="auto"/>
        <w:ind w:firstLine="630" w:firstLineChars="3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名称：</w:t>
      </w:r>
      <w:r>
        <w:rPr>
          <w:rFonts w:hint="eastAsia" w:ascii="仿宋_GB2312" w:hAnsi="仿宋_GB2312" w:eastAsia="仿宋_GB2312" w:cs="仿宋_GB2312"/>
          <w:bCs/>
          <w:color w:val="auto"/>
          <w:szCs w:val="21"/>
          <w:highlight w:val="none"/>
          <w:u w:val="single"/>
        </w:rPr>
        <w:t>通利晟信管理咨询有限公司</w:t>
      </w:r>
    </w:p>
    <w:p w14:paraId="399132C7">
      <w:pPr>
        <w:adjustRightInd w:val="0"/>
        <w:snapToGrid w:val="0"/>
        <w:spacing w:line="360" w:lineRule="auto"/>
        <w:ind w:firstLine="630" w:firstLineChars="300"/>
        <w:rPr>
          <w:rFonts w:ascii="仿宋_GB2312" w:hAnsi="仿宋_GB2312" w:eastAsia="仿宋_GB2312" w:cs="仿宋_GB2312"/>
          <w:color w:val="auto"/>
          <w:szCs w:val="21"/>
          <w:highlight w:val="none"/>
          <w:u w:val="single"/>
        </w:rPr>
      </w:pPr>
      <w:r>
        <w:rPr>
          <w:rFonts w:hint="eastAsia" w:ascii="仿宋_GB2312" w:hAnsi="仿宋_GB2312" w:eastAsia="仿宋_GB2312" w:cs="仿宋_GB2312"/>
          <w:bCs/>
          <w:color w:val="auto"/>
          <w:szCs w:val="21"/>
          <w:highlight w:val="none"/>
        </w:rPr>
        <w:t>地址：</w:t>
      </w:r>
      <w:r>
        <w:rPr>
          <w:rFonts w:hint="eastAsia" w:ascii="仿宋_GB2312" w:hAnsi="仿宋_GB2312" w:eastAsia="仿宋_GB2312" w:cs="仿宋_GB2312"/>
          <w:color w:val="auto"/>
          <w:szCs w:val="21"/>
          <w:highlight w:val="none"/>
          <w:u w:val="single"/>
        </w:rPr>
        <w:t>大连市沙河口区万岁街135号</w:t>
      </w:r>
    </w:p>
    <w:p w14:paraId="05F6B5FF">
      <w:pPr>
        <w:adjustRightInd w:val="0"/>
        <w:snapToGrid w:val="0"/>
        <w:spacing w:line="360" w:lineRule="auto"/>
        <w:ind w:firstLine="630" w:firstLineChars="300"/>
        <w:rPr>
          <w:rFonts w:ascii="仿宋_GB2312" w:hAnsi="仿宋_GB2312" w:eastAsia="仿宋_GB2312" w:cs="仿宋_GB2312"/>
          <w:color w:val="auto"/>
          <w:szCs w:val="21"/>
          <w:highlight w:val="none"/>
          <w:u w:val="single"/>
        </w:rPr>
      </w:pPr>
      <w:r>
        <w:rPr>
          <w:rFonts w:hint="eastAsia" w:ascii="仿宋_GB2312" w:hAnsi="仿宋_GB2312" w:eastAsia="仿宋_GB2312" w:cs="仿宋_GB2312"/>
          <w:bCs/>
          <w:color w:val="auto"/>
          <w:szCs w:val="21"/>
          <w:highlight w:val="none"/>
        </w:rPr>
        <w:t>联系方式：</w:t>
      </w:r>
      <w:r>
        <w:rPr>
          <w:rFonts w:hint="eastAsia" w:ascii="仿宋_GB2312" w:hAnsi="仿宋_GB2312" w:eastAsia="仿宋_GB2312" w:cs="仿宋_GB2312"/>
          <w:color w:val="auto"/>
          <w:szCs w:val="21"/>
          <w:highlight w:val="none"/>
          <w:u w:val="single"/>
        </w:rPr>
        <w:t>0411-84350112、84651726</w:t>
      </w:r>
    </w:p>
    <w:p w14:paraId="49377626">
      <w:pPr>
        <w:adjustRightInd w:val="0"/>
        <w:snapToGrid w:val="0"/>
        <w:spacing w:line="360" w:lineRule="auto"/>
        <w:ind w:firstLine="630" w:firstLineChars="3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邮箱地址：</w:t>
      </w:r>
      <w:r>
        <w:rPr>
          <w:rFonts w:hint="eastAsia" w:ascii="仿宋_GB2312" w:hAnsi="仿宋_GB2312" w:eastAsia="仿宋_GB2312" w:cs="仿宋_GB2312"/>
          <w:color w:val="auto"/>
          <w:szCs w:val="21"/>
          <w:highlight w:val="none"/>
          <w:u w:val="single"/>
        </w:rPr>
        <w:fldChar w:fldCharType="begin"/>
      </w:r>
      <w:r>
        <w:rPr>
          <w:rFonts w:hint="eastAsia" w:ascii="仿宋_GB2312" w:hAnsi="仿宋_GB2312" w:eastAsia="仿宋_GB2312" w:cs="仿宋_GB2312"/>
          <w:color w:val="auto"/>
          <w:szCs w:val="21"/>
          <w:highlight w:val="none"/>
          <w:u w:val="single"/>
        </w:rPr>
        <w:instrText xml:space="preserve"> HYPERLINK "mailto:tongli_dl@163.com" </w:instrText>
      </w:r>
      <w:r>
        <w:rPr>
          <w:rFonts w:hint="eastAsia" w:ascii="仿宋_GB2312" w:hAnsi="仿宋_GB2312" w:eastAsia="仿宋_GB2312" w:cs="仿宋_GB2312"/>
          <w:color w:val="auto"/>
          <w:szCs w:val="21"/>
          <w:highlight w:val="none"/>
          <w:u w:val="single"/>
        </w:rPr>
        <w:fldChar w:fldCharType="separate"/>
      </w:r>
      <w:r>
        <w:rPr>
          <w:rStyle w:val="26"/>
          <w:rFonts w:hint="eastAsia" w:ascii="仿宋_GB2312" w:hAnsi="仿宋_GB2312" w:eastAsia="仿宋_GB2312" w:cs="仿宋_GB2312"/>
          <w:color w:val="auto"/>
          <w:szCs w:val="21"/>
          <w:highlight w:val="none"/>
        </w:rPr>
        <w:t>tongli_dl@163.com</w:t>
      </w:r>
      <w:r>
        <w:rPr>
          <w:rFonts w:hint="eastAsia" w:ascii="仿宋_GB2312" w:hAnsi="仿宋_GB2312" w:eastAsia="仿宋_GB2312" w:cs="仿宋_GB2312"/>
          <w:color w:val="auto"/>
          <w:szCs w:val="21"/>
          <w:highlight w:val="none"/>
          <w:u w:val="single"/>
        </w:rPr>
        <w:fldChar w:fldCharType="end"/>
      </w:r>
    </w:p>
    <w:p w14:paraId="3796139F">
      <w:pPr>
        <w:adjustRightInd w:val="0"/>
        <w:snapToGrid w:val="0"/>
        <w:spacing w:line="360" w:lineRule="auto"/>
        <w:ind w:firstLine="630" w:firstLineChars="3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开户行：</w:t>
      </w:r>
      <w:r>
        <w:rPr>
          <w:rFonts w:hint="eastAsia" w:ascii="仿宋_GB2312" w:hAnsi="仿宋_GB2312" w:eastAsia="仿宋_GB2312" w:cs="仿宋_GB2312"/>
          <w:color w:val="auto"/>
          <w:szCs w:val="21"/>
          <w:highlight w:val="none"/>
          <w:u w:val="single"/>
        </w:rPr>
        <w:t>中信银行大连沙河口支行（仅限代理服务费及标书费）</w:t>
      </w:r>
    </w:p>
    <w:p w14:paraId="57397A23">
      <w:pPr>
        <w:adjustRightInd w:val="0"/>
        <w:snapToGrid w:val="0"/>
        <w:spacing w:line="360" w:lineRule="auto"/>
        <w:ind w:firstLine="630" w:firstLineChars="3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账户名称：</w:t>
      </w:r>
      <w:r>
        <w:rPr>
          <w:rFonts w:hint="eastAsia" w:ascii="仿宋_GB2312" w:hAnsi="仿宋_GB2312" w:eastAsia="仿宋_GB2312" w:cs="仿宋_GB2312"/>
          <w:color w:val="auto"/>
          <w:szCs w:val="21"/>
          <w:highlight w:val="none"/>
          <w:u w:val="single"/>
        </w:rPr>
        <w:t>通利晟信管理咨询有限公司</w:t>
      </w:r>
    </w:p>
    <w:p w14:paraId="3437D851">
      <w:pPr>
        <w:adjustRightInd w:val="0"/>
        <w:snapToGrid w:val="0"/>
        <w:spacing w:line="360" w:lineRule="auto"/>
        <w:ind w:firstLine="630" w:firstLineChars="3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账号：</w:t>
      </w:r>
      <w:r>
        <w:rPr>
          <w:rFonts w:hint="eastAsia" w:ascii="仿宋_GB2312" w:hAnsi="仿宋_GB2312" w:eastAsia="仿宋_GB2312" w:cs="仿宋_GB2312"/>
          <w:color w:val="auto"/>
          <w:szCs w:val="21"/>
          <w:highlight w:val="none"/>
          <w:u w:val="single"/>
        </w:rPr>
        <w:t>7212910182600212195</w:t>
      </w:r>
    </w:p>
    <w:p w14:paraId="7CD9AF43">
      <w:pPr>
        <w:adjustRightInd w:val="0"/>
        <w:snapToGrid w:val="0"/>
        <w:spacing w:line="360" w:lineRule="auto"/>
        <w:ind w:left="495" w:firstLine="210" w:firstLineChars="1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3.项目联系方式</w:t>
      </w:r>
    </w:p>
    <w:p w14:paraId="7555DA86">
      <w:pPr>
        <w:adjustRightInd w:val="0"/>
        <w:snapToGrid w:val="0"/>
        <w:spacing w:line="360" w:lineRule="auto"/>
        <w:ind w:left="495" w:firstLine="210" w:firstLineChars="10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项目联系人：</w:t>
      </w:r>
      <w:r>
        <w:rPr>
          <w:rFonts w:hint="eastAsia" w:ascii="仿宋_GB2312" w:hAnsi="仿宋_GB2312" w:eastAsia="仿宋_GB2312" w:cs="仿宋_GB2312"/>
          <w:color w:val="auto"/>
          <w:szCs w:val="21"/>
          <w:highlight w:val="none"/>
          <w:u w:val="single"/>
        </w:rPr>
        <w:t>吴靖、张筱鑫</w:t>
      </w:r>
    </w:p>
    <w:p w14:paraId="583CB3E1">
      <w:pPr>
        <w:adjustRightInd w:val="0"/>
        <w:snapToGrid w:val="0"/>
        <w:spacing w:line="360" w:lineRule="auto"/>
        <w:ind w:left="495" w:firstLine="210" w:firstLineChars="1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电　话：</w:t>
      </w:r>
      <w:r>
        <w:rPr>
          <w:rFonts w:hint="eastAsia" w:ascii="仿宋_GB2312" w:hAnsi="仿宋_GB2312" w:eastAsia="仿宋_GB2312" w:cs="仿宋_GB2312"/>
          <w:color w:val="auto"/>
          <w:szCs w:val="21"/>
          <w:highlight w:val="none"/>
          <w:u w:val="single"/>
        </w:rPr>
        <w:t>0411-84350112、84651726</w:t>
      </w:r>
    </w:p>
    <w:p w14:paraId="53E930BC">
      <w:pPr>
        <w:rPr>
          <w:rFonts w:ascii="仿宋_GB2312" w:hAnsi="仿宋_GB2312" w:eastAsia="仿宋_GB2312" w:cs="仿宋_GB2312"/>
          <w:color w:val="auto"/>
          <w:highlight w:val="none"/>
        </w:rPr>
      </w:pPr>
    </w:p>
    <w:p w14:paraId="16428718">
      <w:pPr>
        <w:pStyle w:val="2"/>
        <w:snapToGrid w:val="0"/>
        <w:spacing w:before="312" w:beforeLines="100" w:after="312" w:afterLines="100" w:line="360" w:lineRule="auto"/>
        <w:rPr>
          <w:rFonts w:ascii="仿宋_GB2312" w:hAnsi="仿宋_GB2312" w:eastAsia="仿宋_GB2312" w:cs="仿宋_GB2312"/>
          <w:color w:val="auto"/>
          <w:highlight w:val="none"/>
        </w:rPr>
      </w:pPr>
      <w:bookmarkStart w:id="29" w:name="_Toc9614"/>
      <w:bookmarkStart w:id="30" w:name="_Toc26518_WPSOffice_Level1"/>
      <w:r>
        <w:rPr>
          <w:rFonts w:hint="eastAsia" w:ascii="仿宋_GB2312" w:hAnsi="仿宋_GB2312" w:eastAsia="仿宋_GB2312" w:cs="仿宋_GB2312"/>
          <w:color w:val="auto"/>
          <w:highlight w:val="none"/>
        </w:rPr>
        <w:br w:type="page"/>
      </w:r>
      <w:r>
        <w:rPr>
          <w:rFonts w:hint="eastAsia" w:ascii="仿宋_GB2312" w:hAnsi="仿宋_GB2312" w:eastAsia="仿宋_GB2312" w:cs="仿宋_GB2312"/>
          <w:color w:val="auto"/>
          <w:highlight w:val="none"/>
        </w:rPr>
        <w:t>第一章 投标人须知</w:t>
      </w:r>
      <w:bookmarkEnd w:id="29"/>
      <w:bookmarkEnd w:id="30"/>
    </w:p>
    <w:p w14:paraId="423B872D">
      <w:pPr>
        <w:pStyle w:val="3"/>
        <w:adjustRightInd w:val="0"/>
        <w:snapToGrid w:val="0"/>
        <w:spacing w:before="0" w:after="0" w:line="360" w:lineRule="auto"/>
        <w:rPr>
          <w:rFonts w:ascii="仿宋_GB2312" w:hAnsi="仿宋_GB2312" w:eastAsia="仿宋_GB2312" w:cs="仿宋_GB2312"/>
          <w:color w:val="auto"/>
          <w:sz w:val="32"/>
          <w:szCs w:val="36"/>
          <w:highlight w:val="none"/>
        </w:rPr>
      </w:pPr>
      <w:bookmarkStart w:id="31" w:name="_Toc18613_WPSOffice_Level2"/>
      <w:r>
        <w:rPr>
          <w:rFonts w:hint="eastAsia" w:ascii="仿宋_GB2312" w:hAnsi="仿宋_GB2312" w:eastAsia="仿宋_GB2312" w:cs="仿宋_GB2312"/>
          <w:color w:val="auto"/>
          <w:sz w:val="32"/>
          <w:szCs w:val="36"/>
          <w:highlight w:val="none"/>
        </w:rPr>
        <w:t>一 投标人须知表</w:t>
      </w:r>
      <w:bookmarkEnd w:id="31"/>
    </w:p>
    <w:tbl>
      <w:tblPr>
        <w:tblStyle w:val="22"/>
        <w:tblW w:w="8656" w:type="dxa"/>
        <w:tblInd w:w="0" w:type="dxa"/>
        <w:tblLayout w:type="fixed"/>
        <w:tblCellMar>
          <w:top w:w="0" w:type="dxa"/>
          <w:left w:w="108" w:type="dxa"/>
          <w:bottom w:w="0" w:type="dxa"/>
          <w:right w:w="108" w:type="dxa"/>
        </w:tblCellMar>
      </w:tblPr>
      <w:tblGrid>
        <w:gridCol w:w="852"/>
        <w:gridCol w:w="1917"/>
        <w:gridCol w:w="5887"/>
      </w:tblGrid>
      <w:tr w14:paraId="136845C7">
        <w:tblPrEx>
          <w:tblCellMar>
            <w:top w:w="0" w:type="dxa"/>
            <w:left w:w="108" w:type="dxa"/>
            <w:bottom w:w="0" w:type="dxa"/>
            <w:right w:w="108" w:type="dxa"/>
          </w:tblCellMar>
        </w:tblPrEx>
        <w:trPr>
          <w:trHeight w:val="542" w:hRule="atLeast"/>
          <w:tblHeader/>
        </w:trPr>
        <w:tc>
          <w:tcPr>
            <w:tcW w:w="852" w:type="dxa"/>
            <w:tcBorders>
              <w:top w:val="single" w:color="auto" w:sz="4" w:space="0"/>
              <w:left w:val="single" w:color="auto" w:sz="4" w:space="0"/>
              <w:bottom w:val="single" w:color="auto" w:sz="4" w:space="0"/>
              <w:right w:val="single" w:color="auto" w:sz="4" w:space="0"/>
            </w:tcBorders>
            <w:vAlign w:val="center"/>
          </w:tcPr>
          <w:p w14:paraId="32621AC7">
            <w:pPr>
              <w:widowControl/>
              <w:jc w:val="center"/>
              <w:rPr>
                <w:rFonts w:ascii="仿宋_GB2312" w:hAnsi="仿宋_GB2312" w:eastAsia="仿宋_GB2312" w:cs="仿宋_GB2312"/>
                <w:color w:val="auto"/>
                <w:kern w:val="0"/>
                <w:szCs w:val="21"/>
                <w:highlight w:val="none"/>
              </w:rPr>
            </w:pPr>
            <w:bookmarkStart w:id="32" w:name="招标项目基本内容及要求：Block"/>
            <w:bookmarkEnd w:id="32"/>
            <w:bookmarkStart w:id="33" w:name="sys_招标项目基本内容及要求其他：Block"/>
            <w:bookmarkEnd w:id="33"/>
            <w:bookmarkStart w:id="34" w:name="sys_招标项目基本内容及要求：Block"/>
            <w:bookmarkEnd w:id="34"/>
            <w:bookmarkStart w:id="35" w:name="招标项目基本内容及要求其他：Block"/>
            <w:bookmarkEnd w:id="35"/>
            <w:r>
              <w:rPr>
                <w:rFonts w:hint="eastAsia" w:ascii="仿宋_GB2312" w:hAnsi="仿宋_GB2312" w:eastAsia="仿宋_GB2312" w:cs="仿宋_GB2312"/>
                <w:color w:val="auto"/>
                <w:kern w:val="0"/>
                <w:szCs w:val="21"/>
                <w:highlight w:val="none"/>
              </w:rPr>
              <w:t>条款号</w:t>
            </w:r>
          </w:p>
        </w:tc>
        <w:tc>
          <w:tcPr>
            <w:tcW w:w="1917" w:type="dxa"/>
            <w:tcBorders>
              <w:top w:val="single" w:color="auto" w:sz="4" w:space="0"/>
              <w:left w:val="single" w:color="auto" w:sz="4" w:space="0"/>
              <w:bottom w:val="single" w:color="auto" w:sz="4" w:space="0"/>
              <w:right w:val="single" w:color="auto" w:sz="4" w:space="0"/>
            </w:tcBorders>
            <w:vAlign w:val="center"/>
          </w:tcPr>
          <w:p w14:paraId="249A6CF7">
            <w:pPr>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项   目</w:t>
            </w:r>
          </w:p>
        </w:tc>
        <w:tc>
          <w:tcPr>
            <w:tcW w:w="5887" w:type="dxa"/>
            <w:tcBorders>
              <w:top w:val="single" w:color="auto" w:sz="4" w:space="0"/>
              <w:left w:val="single" w:color="auto" w:sz="4" w:space="0"/>
              <w:bottom w:val="single" w:color="auto" w:sz="4" w:space="0"/>
              <w:right w:val="single" w:color="auto" w:sz="4" w:space="0"/>
            </w:tcBorders>
            <w:vAlign w:val="center"/>
          </w:tcPr>
          <w:p w14:paraId="2DFE0393">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内     容</w:t>
            </w:r>
          </w:p>
        </w:tc>
      </w:tr>
      <w:tr w14:paraId="0C41F958">
        <w:tblPrEx>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vAlign w:val="center"/>
          </w:tcPr>
          <w:p w14:paraId="4E4E9231">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1.1</w:t>
            </w:r>
          </w:p>
        </w:tc>
        <w:tc>
          <w:tcPr>
            <w:tcW w:w="1917" w:type="dxa"/>
            <w:tcBorders>
              <w:top w:val="single" w:color="auto" w:sz="4" w:space="0"/>
              <w:left w:val="single" w:color="auto" w:sz="4" w:space="0"/>
              <w:bottom w:val="single" w:color="auto" w:sz="4" w:space="0"/>
              <w:right w:val="single" w:color="auto" w:sz="4" w:space="0"/>
            </w:tcBorders>
            <w:vAlign w:val="center"/>
          </w:tcPr>
          <w:p w14:paraId="673F8E98">
            <w:pPr>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采购人</w:t>
            </w:r>
          </w:p>
        </w:tc>
        <w:tc>
          <w:tcPr>
            <w:tcW w:w="5887" w:type="dxa"/>
            <w:tcBorders>
              <w:top w:val="single" w:color="auto" w:sz="4" w:space="0"/>
              <w:left w:val="single" w:color="auto" w:sz="4" w:space="0"/>
              <w:bottom w:val="single" w:color="auto" w:sz="4" w:space="0"/>
              <w:right w:val="single" w:color="auto" w:sz="4" w:space="0"/>
            </w:tcBorders>
            <w:vAlign w:val="center"/>
          </w:tcPr>
          <w:p w14:paraId="438340DB">
            <w:pPr>
              <w:widowControl/>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名  称：大连医科大学</w:t>
            </w:r>
          </w:p>
          <w:p w14:paraId="2C7A66AE">
            <w:pPr>
              <w:widowControl/>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地  址：辽宁省大连市旅顺南路西段9号</w:t>
            </w:r>
          </w:p>
          <w:p w14:paraId="6ED71A0C">
            <w:pPr>
              <w:widowControl/>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联系人：郭老师</w:t>
            </w:r>
          </w:p>
          <w:p w14:paraId="0E131670">
            <w:pPr>
              <w:widowControl/>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电  话：0411-86110096</w:t>
            </w:r>
          </w:p>
        </w:tc>
      </w:tr>
      <w:tr w14:paraId="110BC547">
        <w:tblPrEx>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vAlign w:val="center"/>
          </w:tcPr>
          <w:p w14:paraId="6A81AC2A">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1.2</w:t>
            </w:r>
          </w:p>
        </w:tc>
        <w:tc>
          <w:tcPr>
            <w:tcW w:w="1917" w:type="dxa"/>
            <w:tcBorders>
              <w:top w:val="single" w:color="auto" w:sz="4" w:space="0"/>
              <w:left w:val="single" w:color="auto" w:sz="4" w:space="0"/>
              <w:bottom w:val="single" w:color="auto" w:sz="4" w:space="0"/>
              <w:right w:val="single" w:color="auto" w:sz="4" w:space="0"/>
            </w:tcBorders>
            <w:vAlign w:val="center"/>
          </w:tcPr>
          <w:p w14:paraId="30D78F02">
            <w:pPr>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采购代理机构</w:t>
            </w:r>
          </w:p>
        </w:tc>
        <w:tc>
          <w:tcPr>
            <w:tcW w:w="5887" w:type="dxa"/>
            <w:tcBorders>
              <w:top w:val="single" w:color="auto" w:sz="4" w:space="0"/>
              <w:left w:val="single" w:color="auto" w:sz="4" w:space="0"/>
              <w:bottom w:val="single" w:color="auto" w:sz="4" w:space="0"/>
              <w:right w:val="single" w:color="auto" w:sz="4" w:space="0"/>
            </w:tcBorders>
            <w:vAlign w:val="center"/>
          </w:tcPr>
          <w:p w14:paraId="69551D20">
            <w:pPr>
              <w:widowControl/>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名  称：通利晟信管理咨询有限公司</w:t>
            </w:r>
          </w:p>
          <w:p w14:paraId="7FA07BAE">
            <w:pPr>
              <w:widowControl/>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地  址：大连市沙河口区万岁街135号</w:t>
            </w:r>
          </w:p>
          <w:p w14:paraId="6C30AD78">
            <w:pPr>
              <w:widowControl/>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联系人：吴靖、张筱鑫</w:t>
            </w:r>
          </w:p>
          <w:p w14:paraId="1C2968C2">
            <w:pPr>
              <w:widowControl/>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电  话：0411-84350112、84651726</w:t>
            </w:r>
          </w:p>
        </w:tc>
      </w:tr>
      <w:tr w14:paraId="1CF502C1">
        <w:tblPrEx>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vAlign w:val="center"/>
          </w:tcPr>
          <w:p w14:paraId="5C9DF772">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1.3.4</w:t>
            </w:r>
          </w:p>
        </w:tc>
        <w:tc>
          <w:tcPr>
            <w:tcW w:w="1917" w:type="dxa"/>
            <w:tcBorders>
              <w:top w:val="single" w:color="auto" w:sz="4" w:space="0"/>
              <w:left w:val="single" w:color="auto" w:sz="4" w:space="0"/>
              <w:bottom w:val="single" w:color="auto" w:sz="4" w:space="0"/>
              <w:right w:val="single" w:color="auto" w:sz="4" w:space="0"/>
            </w:tcBorders>
            <w:vAlign w:val="center"/>
          </w:tcPr>
          <w:p w14:paraId="19A9C219">
            <w:pPr>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合格供应商还要满足的其它资格条件</w:t>
            </w:r>
          </w:p>
        </w:tc>
        <w:tc>
          <w:tcPr>
            <w:tcW w:w="5887" w:type="dxa"/>
            <w:tcBorders>
              <w:top w:val="single" w:color="auto" w:sz="4" w:space="0"/>
              <w:left w:val="single" w:color="auto" w:sz="4" w:space="0"/>
              <w:bottom w:val="single" w:color="auto" w:sz="4" w:space="0"/>
              <w:right w:val="single" w:color="auto" w:sz="4" w:space="0"/>
            </w:tcBorders>
            <w:vAlign w:val="center"/>
          </w:tcPr>
          <w:p w14:paraId="6F5799B2">
            <w:pPr>
              <w:widowControl/>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递交投标文件截止时间前一个工作日至资格审查的期间内，被“信用中国”列入失信被执行人、重大税收违法案件当事人名单，被“中国政府采购网”列入政府采购严重违法失信行为记录名单的不得参加本采购项目。</w:t>
            </w:r>
          </w:p>
        </w:tc>
      </w:tr>
      <w:tr w14:paraId="31B1FDA4">
        <w:tblPrEx>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vAlign w:val="center"/>
          </w:tcPr>
          <w:p w14:paraId="1C7787B1">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1.3.5</w:t>
            </w:r>
          </w:p>
        </w:tc>
        <w:tc>
          <w:tcPr>
            <w:tcW w:w="1917" w:type="dxa"/>
            <w:tcBorders>
              <w:top w:val="single" w:color="auto" w:sz="4" w:space="0"/>
              <w:left w:val="single" w:color="auto" w:sz="4" w:space="0"/>
              <w:bottom w:val="single" w:color="auto" w:sz="4" w:space="0"/>
              <w:right w:val="single" w:color="auto" w:sz="4" w:space="0"/>
            </w:tcBorders>
            <w:vAlign w:val="center"/>
          </w:tcPr>
          <w:p w14:paraId="2C60F95C">
            <w:pPr>
              <w:tabs>
                <w:tab w:val="left" w:pos="1425"/>
              </w:tabs>
              <w:jc w:val="cente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是否允许采购进口产品</w:t>
            </w:r>
          </w:p>
        </w:tc>
        <w:tc>
          <w:tcPr>
            <w:tcW w:w="5887" w:type="dxa"/>
            <w:tcBorders>
              <w:top w:val="single" w:color="auto" w:sz="4" w:space="0"/>
              <w:left w:val="single" w:color="auto" w:sz="4" w:space="0"/>
              <w:bottom w:val="single" w:color="auto" w:sz="4" w:space="0"/>
              <w:right w:val="single" w:color="auto" w:sz="4" w:space="0"/>
            </w:tcBorders>
            <w:vAlign w:val="center"/>
          </w:tcPr>
          <w:p w14:paraId="2B36D217">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是，</w:t>
            </w:r>
          </w:p>
          <w:p w14:paraId="35598AC5">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color w:val="auto"/>
                <w:highlight w:val="none"/>
              </w:rPr>
              <w:sym w:font="Wingdings 2" w:char="0052"/>
            </w:r>
            <w:r>
              <w:rPr>
                <w:rFonts w:hint="eastAsia" w:ascii="仿宋_GB2312" w:hAnsi="仿宋_GB2312" w:eastAsia="仿宋_GB2312" w:cs="仿宋_GB2312"/>
                <w:color w:val="auto"/>
                <w:kern w:val="0"/>
                <w:szCs w:val="21"/>
                <w:highlight w:val="none"/>
              </w:rPr>
              <w:t>否</w:t>
            </w:r>
          </w:p>
        </w:tc>
      </w:tr>
      <w:tr w14:paraId="7FF7DCC1">
        <w:tblPrEx>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vAlign w:val="center"/>
          </w:tcPr>
          <w:p w14:paraId="7D778CB1">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1.3.6</w:t>
            </w:r>
          </w:p>
        </w:tc>
        <w:tc>
          <w:tcPr>
            <w:tcW w:w="1917" w:type="dxa"/>
            <w:tcBorders>
              <w:top w:val="single" w:color="auto" w:sz="4" w:space="0"/>
              <w:left w:val="single" w:color="auto" w:sz="4" w:space="0"/>
              <w:bottom w:val="single" w:color="auto" w:sz="4" w:space="0"/>
              <w:right w:val="single" w:color="auto" w:sz="4" w:space="0"/>
            </w:tcBorders>
            <w:vAlign w:val="center"/>
          </w:tcPr>
          <w:p w14:paraId="0F8DBB01">
            <w:pPr>
              <w:tabs>
                <w:tab w:val="left" w:pos="1425"/>
              </w:tabs>
              <w:jc w:val="cente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color w:val="auto"/>
                <w:kern w:val="0"/>
                <w:szCs w:val="21"/>
                <w:highlight w:val="none"/>
              </w:rPr>
              <w:t>是否为专门面向</w:t>
            </w:r>
            <w:r>
              <w:rPr>
                <w:rFonts w:hint="eastAsia" w:ascii="仿宋_GB2312" w:hAnsi="仿宋_GB2312" w:eastAsia="仿宋_GB2312" w:cs="仿宋_GB2312"/>
                <w:color w:val="auto"/>
                <w:szCs w:val="21"/>
                <w:highlight w:val="none"/>
              </w:rPr>
              <w:t>中小企业</w:t>
            </w:r>
            <w:r>
              <w:rPr>
                <w:rFonts w:hint="eastAsia" w:ascii="仿宋_GB2312" w:hAnsi="仿宋_GB2312" w:eastAsia="仿宋_GB2312" w:cs="仿宋_GB2312"/>
                <w:color w:val="auto"/>
                <w:kern w:val="0"/>
                <w:szCs w:val="21"/>
                <w:highlight w:val="none"/>
              </w:rPr>
              <w:t>采购</w:t>
            </w:r>
          </w:p>
        </w:tc>
        <w:tc>
          <w:tcPr>
            <w:tcW w:w="5887" w:type="dxa"/>
            <w:tcBorders>
              <w:top w:val="single" w:color="auto" w:sz="4" w:space="0"/>
              <w:left w:val="single" w:color="auto" w:sz="4" w:space="0"/>
              <w:bottom w:val="single" w:color="auto" w:sz="4" w:space="0"/>
              <w:right w:val="single" w:color="auto" w:sz="4" w:space="0"/>
            </w:tcBorders>
            <w:vAlign w:val="center"/>
          </w:tcPr>
          <w:p w14:paraId="0702AE91">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2" w:char="0052"/>
            </w:r>
            <w:r>
              <w:rPr>
                <w:rFonts w:hint="eastAsia" w:ascii="仿宋_GB2312" w:hAnsi="仿宋_GB2312" w:eastAsia="仿宋_GB2312" w:cs="仿宋_GB2312"/>
                <w:color w:val="auto"/>
                <w:kern w:val="0"/>
                <w:szCs w:val="21"/>
                <w:highlight w:val="none"/>
              </w:rPr>
              <w:t>是,</w:t>
            </w:r>
          </w:p>
          <w:p w14:paraId="0FD4CDA3">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highlight w:val="none"/>
              </w:rPr>
              <w:sym w:font="Wingdings 2" w:char="00A3"/>
            </w:r>
            <w:r>
              <w:rPr>
                <w:rFonts w:hint="eastAsia" w:ascii="仿宋_GB2312" w:hAnsi="仿宋_GB2312" w:eastAsia="仿宋_GB2312" w:cs="仿宋_GB2312"/>
                <w:color w:val="auto"/>
                <w:kern w:val="0"/>
                <w:szCs w:val="21"/>
                <w:highlight w:val="none"/>
              </w:rPr>
              <w:t>否</w:t>
            </w:r>
          </w:p>
          <w:p w14:paraId="5F0EE67F">
            <w:pPr>
              <w:widowControl/>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本项目所属行业:</w:t>
            </w:r>
          </w:p>
          <w:p w14:paraId="407BB6AA">
            <w:pPr>
              <w:widowControl/>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设备产品属于工业</w:t>
            </w:r>
          </w:p>
          <w:p w14:paraId="43DAF68A">
            <w:pPr>
              <w:widowControl/>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软件产品属于软件和信息技术服务业</w:t>
            </w:r>
          </w:p>
          <w:p w14:paraId="3D226FDD">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工业行业划型标准为：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D8B2DF1">
            <w:pPr>
              <w:rPr>
                <w:color w:val="auto"/>
                <w:highlight w:val="none"/>
              </w:rPr>
            </w:pPr>
            <w:r>
              <w:rPr>
                <w:rFonts w:hint="eastAsia" w:ascii="仿宋_GB2312" w:hAnsi="仿宋_GB2312" w:eastAsia="仿宋_GB2312" w:cs="仿宋_GB2312"/>
                <w:color w:val="auto"/>
                <w:szCs w:val="21"/>
                <w:highlight w:val="none"/>
              </w:rPr>
              <w:t>软件和信息技术服务业划型标准为：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14:paraId="7F5429F8">
        <w:tblPrEx>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vAlign w:val="center"/>
          </w:tcPr>
          <w:p w14:paraId="39476A20">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1.3.7</w:t>
            </w:r>
          </w:p>
        </w:tc>
        <w:tc>
          <w:tcPr>
            <w:tcW w:w="1917" w:type="dxa"/>
            <w:tcBorders>
              <w:top w:val="single" w:color="auto" w:sz="4" w:space="0"/>
              <w:left w:val="single" w:color="auto" w:sz="4" w:space="0"/>
              <w:bottom w:val="single" w:color="auto" w:sz="4" w:space="0"/>
              <w:right w:val="single" w:color="auto" w:sz="4" w:space="0"/>
            </w:tcBorders>
            <w:vAlign w:val="center"/>
          </w:tcPr>
          <w:p w14:paraId="1419E8B7">
            <w:pPr>
              <w:tabs>
                <w:tab w:val="left" w:pos="1425"/>
              </w:tabs>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是否有政府强制采购的节能产品</w:t>
            </w:r>
          </w:p>
        </w:tc>
        <w:tc>
          <w:tcPr>
            <w:tcW w:w="5887" w:type="dxa"/>
            <w:tcBorders>
              <w:top w:val="single" w:color="auto" w:sz="4" w:space="0"/>
              <w:left w:val="single" w:color="auto" w:sz="4" w:space="0"/>
              <w:bottom w:val="single" w:color="auto" w:sz="4" w:space="0"/>
              <w:right w:val="single" w:color="auto" w:sz="4" w:space="0"/>
            </w:tcBorders>
            <w:vAlign w:val="center"/>
          </w:tcPr>
          <w:p w14:paraId="76176667">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有</w:t>
            </w:r>
          </w:p>
          <w:p w14:paraId="4CCDB8A9">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highlight w:val="none"/>
              </w:rPr>
              <w:sym w:font="Wingdings 2" w:char="0052"/>
            </w:r>
            <w:r>
              <w:rPr>
                <w:rFonts w:hint="eastAsia" w:ascii="仿宋_GB2312" w:hAnsi="仿宋_GB2312" w:eastAsia="仿宋_GB2312" w:cs="仿宋_GB2312"/>
                <w:color w:val="auto"/>
                <w:kern w:val="0"/>
                <w:szCs w:val="21"/>
                <w:highlight w:val="none"/>
              </w:rPr>
              <w:t xml:space="preserve">没有 </w:t>
            </w:r>
          </w:p>
        </w:tc>
      </w:tr>
      <w:tr w14:paraId="6FF0A46E">
        <w:tblPrEx>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vAlign w:val="center"/>
          </w:tcPr>
          <w:p w14:paraId="1B227199">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1.4</w:t>
            </w:r>
          </w:p>
        </w:tc>
        <w:tc>
          <w:tcPr>
            <w:tcW w:w="1917" w:type="dxa"/>
            <w:tcBorders>
              <w:top w:val="single" w:color="auto" w:sz="4" w:space="0"/>
              <w:left w:val="single" w:color="auto" w:sz="4" w:space="0"/>
              <w:bottom w:val="single" w:color="auto" w:sz="4" w:space="0"/>
              <w:right w:val="single" w:color="auto" w:sz="4" w:space="0"/>
            </w:tcBorders>
            <w:vAlign w:val="center"/>
          </w:tcPr>
          <w:p w14:paraId="69E08A14">
            <w:pPr>
              <w:tabs>
                <w:tab w:val="left" w:pos="1425"/>
              </w:tabs>
              <w:jc w:val="center"/>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Cs/>
                <w:color w:val="auto"/>
                <w:kern w:val="0"/>
                <w:szCs w:val="21"/>
                <w:highlight w:val="none"/>
              </w:rPr>
              <w:t>是否允许联合体投标</w:t>
            </w:r>
          </w:p>
        </w:tc>
        <w:tc>
          <w:tcPr>
            <w:tcW w:w="5887" w:type="dxa"/>
            <w:tcBorders>
              <w:top w:val="single" w:color="auto" w:sz="4" w:space="0"/>
              <w:left w:val="single" w:color="auto" w:sz="4" w:space="0"/>
              <w:bottom w:val="single" w:color="auto" w:sz="4" w:space="0"/>
              <w:right w:val="single" w:color="auto" w:sz="4" w:space="0"/>
            </w:tcBorders>
            <w:vAlign w:val="center"/>
          </w:tcPr>
          <w:p w14:paraId="4B25CC2F">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是</w:t>
            </w:r>
          </w:p>
          <w:p w14:paraId="7A3EE232">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highlight w:val="none"/>
              </w:rPr>
              <w:sym w:font="Wingdings 2" w:char="0052"/>
            </w:r>
            <w:r>
              <w:rPr>
                <w:rFonts w:hint="eastAsia" w:ascii="仿宋_GB2312" w:hAnsi="仿宋_GB2312" w:eastAsia="仿宋_GB2312" w:cs="仿宋_GB2312"/>
                <w:color w:val="auto"/>
                <w:kern w:val="0"/>
                <w:szCs w:val="21"/>
                <w:highlight w:val="none"/>
              </w:rPr>
              <w:t>否</w:t>
            </w:r>
          </w:p>
        </w:tc>
      </w:tr>
      <w:tr w14:paraId="134BC1F3">
        <w:tblPrEx>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vAlign w:val="center"/>
          </w:tcPr>
          <w:p w14:paraId="13ED55B1">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1.4.8</w:t>
            </w:r>
          </w:p>
        </w:tc>
        <w:tc>
          <w:tcPr>
            <w:tcW w:w="1917" w:type="dxa"/>
            <w:tcBorders>
              <w:top w:val="single" w:color="auto" w:sz="4" w:space="0"/>
              <w:left w:val="single" w:color="auto" w:sz="4" w:space="0"/>
              <w:bottom w:val="single" w:color="auto" w:sz="4" w:space="0"/>
              <w:right w:val="single" w:color="auto" w:sz="4" w:space="0"/>
            </w:tcBorders>
            <w:vAlign w:val="center"/>
          </w:tcPr>
          <w:p w14:paraId="33681A49">
            <w:pPr>
              <w:tabs>
                <w:tab w:val="left" w:pos="1425"/>
              </w:tabs>
              <w:jc w:val="cente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联合体投标的其他资格要求</w:t>
            </w:r>
          </w:p>
        </w:tc>
        <w:tc>
          <w:tcPr>
            <w:tcW w:w="5887" w:type="dxa"/>
            <w:tcBorders>
              <w:top w:val="single" w:color="auto" w:sz="4" w:space="0"/>
              <w:left w:val="single" w:color="auto" w:sz="4" w:space="0"/>
              <w:bottom w:val="single" w:color="auto" w:sz="4" w:space="0"/>
              <w:right w:val="single" w:color="auto" w:sz="4" w:space="0"/>
            </w:tcBorders>
            <w:vAlign w:val="center"/>
          </w:tcPr>
          <w:p w14:paraId="0AA0E343">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不采用。</w:t>
            </w:r>
          </w:p>
        </w:tc>
      </w:tr>
      <w:tr w14:paraId="6B2C4DAB">
        <w:tblPrEx>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vAlign w:val="center"/>
          </w:tcPr>
          <w:p w14:paraId="7F674EAD">
            <w:pPr>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2.2</w:t>
            </w:r>
          </w:p>
        </w:tc>
        <w:tc>
          <w:tcPr>
            <w:tcW w:w="1917" w:type="dxa"/>
            <w:tcBorders>
              <w:top w:val="single" w:color="auto" w:sz="4" w:space="0"/>
              <w:left w:val="single" w:color="auto" w:sz="4" w:space="0"/>
              <w:bottom w:val="single" w:color="auto" w:sz="4" w:space="0"/>
              <w:right w:val="single" w:color="auto" w:sz="4" w:space="0"/>
            </w:tcBorders>
            <w:vAlign w:val="center"/>
          </w:tcPr>
          <w:p w14:paraId="25D3CC17">
            <w:pPr>
              <w:jc w:val="cente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color w:val="auto"/>
                <w:kern w:val="0"/>
                <w:szCs w:val="21"/>
                <w:highlight w:val="none"/>
              </w:rPr>
              <w:t>项目预算金额、最高限价</w:t>
            </w:r>
          </w:p>
        </w:tc>
        <w:tc>
          <w:tcPr>
            <w:tcW w:w="5887" w:type="dxa"/>
            <w:tcBorders>
              <w:top w:val="single" w:color="auto" w:sz="4" w:space="0"/>
              <w:left w:val="single" w:color="auto" w:sz="4" w:space="0"/>
              <w:bottom w:val="single" w:color="auto" w:sz="4" w:space="0"/>
              <w:right w:val="single" w:color="auto" w:sz="4" w:space="0"/>
            </w:tcBorders>
            <w:vAlign w:val="center"/>
          </w:tcPr>
          <w:p w14:paraId="59253B9A">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包组编号：001</w:t>
            </w:r>
          </w:p>
          <w:p w14:paraId="1A49B1F2">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预算金额：</w:t>
            </w:r>
            <w:r>
              <w:rPr>
                <w:rFonts w:hint="eastAsia" w:ascii="仿宋_GB2312" w:hAnsi="仿宋_GB2312" w:eastAsia="仿宋_GB2312" w:cs="仿宋_GB2312"/>
                <w:bCs/>
                <w:color w:val="auto"/>
                <w:kern w:val="0"/>
                <w:szCs w:val="21"/>
                <w:highlight w:val="none"/>
                <w:lang w:eastAsia="zh-CN"/>
              </w:rPr>
              <w:t>673000</w:t>
            </w:r>
            <w:r>
              <w:rPr>
                <w:rFonts w:hint="eastAsia" w:ascii="仿宋_GB2312" w:hAnsi="仿宋_GB2312" w:eastAsia="仿宋_GB2312" w:cs="仿宋_GB2312"/>
                <w:bCs/>
                <w:color w:val="auto"/>
                <w:kern w:val="0"/>
                <w:szCs w:val="21"/>
                <w:highlight w:val="none"/>
              </w:rPr>
              <w:t>元</w:t>
            </w:r>
          </w:p>
          <w:p w14:paraId="5E181E41">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最高限价：</w:t>
            </w:r>
            <w:r>
              <w:rPr>
                <w:rFonts w:hint="eastAsia" w:ascii="仿宋_GB2312" w:hAnsi="仿宋_GB2312" w:eastAsia="仿宋_GB2312" w:cs="仿宋_GB2312"/>
                <w:bCs/>
                <w:color w:val="auto"/>
                <w:kern w:val="0"/>
                <w:szCs w:val="21"/>
                <w:highlight w:val="none"/>
                <w:lang w:eastAsia="zh-CN"/>
              </w:rPr>
              <w:t>673000</w:t>
            </w:r>
            <w:r>
              <w:rPr>
                <w:rFonts w:hint="eastAsia" w:ascii="仿宋_GB2312" w:hAnsi="仿宋_GB2312" w:eastAsia="仿宋_GB2312" w:cs="仿宋_GB2312"/>
                <w:bCs/>
                <w:color w:val="auto"/>
                <w:kern w:val="0"/>
                <w:szCs w:val="21"/>
                <w:highlight w:val="none"/>
              </w:rPr>
              <w:t>元（本项目设有单价最高限价（详见第三章 货物需求），投标人所报单价报价不得超过单价最高限价，否则视为无效投标）</w:t>
            </w:r>
          </w:p>
          <w:p w14:paraId="747422C3">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包组编号：003</w:t>
            </w:r>
          </w:p>
          <w:p w14:paraId="78D9599A">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预算金额：416000元</w:t>
            </w:r>
          </w:p>
          <w:p w14:paraId="416A6887">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最高限价：416000元（本项目设有单价最高限价（详见第三章 货物需求），投标人所报单价报价不得超过单价最高限价，否则视为无效投标）</w:t>
            </w:r>
          </w:p>
        </w:tc>
      </w:tr>
      <w:tr w14:paraId="18EAE147">
        <w:tblPrEx>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vAlign w:val="center"/>
          </w:tcPr>
          <w:p w14:paraId="20613946">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4</w:t>
            </w:r>
          </w:p>
        </w:tc>
        <w:tc>
          <w:tcPr>
            <w:tcW w:w="1917" w:type="dxa"/>
            <w:tcBorders>
              <w:top w:val="single" w:color="auto" w:sz="4" w:space="0"/>
              <w:left w:val="single" w:color="auto" w:sz="4" w:space="0"/>
              <w:bottom w:val="single" w:color="auto" w:sz="4" w:space="0"/>
              <w:right w:val="single" w:color="auto" w:sz="4" w:space="0"/>
            </w:tcBorders>
            <w:vAlign w:val="center"/>
          </w:tcPr>
          <w:p w14:paraId="239C1F56">
            <w:pPr>
              <w:tabs>
                <w:tab w:val="left" w:pos="1425"/>
              </w:tabs>
              <w:jc w:val="cente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计量单位</w:t>
            </w:r>
          </w:p>
        </w:tc>
        <w:tc>
          <w:tcPr>
            <w:tcW w:w="5887" w:type="dxa"/>
            <w:tcBorders>
              <w:top w:val="single" w:color="auto" w:sz="4" w:space="0"/>
              <w:left w:val="single" w:color="auto" w:sz="4" w:space="0"/>
              <w:bottom w:val="single" w:color="auto" w:sz="4" w:space="0"/>
              <w:right w:val="single" w:color="auto" w:sz="4" w:space="0"/>
            </w:tcBorders>
            <w:vAlign w:val="center"/>
          </w:tcPr>
          <w:p w14:paraId="1FA58C9B">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color w:val="auto"/>
                <w:highlight w:val="none"/>
              </w:rPr>
              <w:sym w:font="Wingdings 2" w:char="0052"/>
            </w:r>
            <w:r>
              <w:rPr>
                <w:rFonts w:hint="eastAsia" w:ascii="仿宋_GB2312" w:hAnsi="仿宋_GB2312" w:eastAsia="仿宋_GB2312" w:cs="仿宋_GB2312"/>
                <w:bCs/>
                <w:color w:val="auto"/>
                <w:kern w:val="0"/>
                <w:szCs w:val="21"/>
                <w:highlight w:val="none"/>
              </w:rPr>
              <w:t>中华人民共和国法定计量单位</w:t>
            </w:r>
          </w:p>
          <w:p w14:paraId="31F0BD96">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sym w:font="Wingdings 2" w:char="00A3"/>
            </w:r>
            <w:r>
              <w:rPr>
                <w:rFonts w:hint="eastAsia" w:ascii="仿宋_GB2312" w:hAnsi="仿宋_GB2312" w:eastAsia="仿宋_GB2312" w:cs="仿宋_GB2312"/>
                <w:bCs/>
                <w:color w:val="auto"/>
                <w:kern w:val="0"/>
                <w:szCs w:val="21"/>
                <w:highlight w:val="none"/>
              </w:rPr>
              <w:t>其他：</w:t>
            </w:r>
            <w:r>
              <w:rPr>
                <w:rFonts w:hint="eastAsia" w:ascii="仿宋_GB2312" w:hAnsi="仿宋_GB2312" w:eastAsia="仿宋_GB2312" w:cs="仿宋_GB2312"/>
                <w:bCs/>
                <w:color w:val="auto"/>
                <w:kern w:val="0"/>
                <w:szCs w:val="21"/>
                <w:highlight w:val="none"/>
                <w:u w:val="single"/>
              </w:rPr>
              <w:t xml:space="preserve">             </w:t>
            </w:r>
          </w:p>
        </w:tc>
      </w:tr>
      <w:tr w14:paraId="52A41C71">
        <w:tblPrEx>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vAlign w:val="center"/>
          </w:tcPr>
          <w:p w14:paraId="25AACA5B">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6.1</w:t>
            </w:r>
          </w:p>
        </w:tc>
        <w:tc>
          <w:tcPr>
            <w:tcW w:w="1917" w:type="dxa"/>
            <w:tcBorders>
              <w:top w:val="single" w:color="auto" w:sz="4" w:space="0"/>
              <w:left w:val="single" w:color="auto" w:sz="4" w:space="0"/>
              <w:bottom w:val="single" w:color="auto" w:sz="4" w:space="0"/>
              <w:right w:val="single" w:color="auto" w:sz="4" w:space="0"/>
            </w:tcBorders>
            <w:vAlign w:val="center"/>
          </w:tcPr>
          <w:p w14:paraId="0ABE92FB">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t>现场考察、开标前答疑会</w:t>
            </w:r>
          </w:p>
        </w:tc>
        <w:tc>
          <w:tcPr>
            <w:tcW w:w="5887" w:type="dxa"/>
            <w:tcBorders>
              <w:top w:val="single" w:color="auto" w:sz="4" w:space="0"/>
              <w:left w:val="single" w:color="auto" w:sz="4" w:space="0"/>
              <w:bottom w:val="single" w:color="auto" w:sz="4" w:space="0"/>
              <w:right w:val="single" w:color="auto" w:sz="4" w:space="0"/>
            </w:tcBorders>
            <w:vAlign w:val="center"/>
          </w:tcPr>
          <w:p w14:paraId="3B618411">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highlight w:val="none"/>
              </w:rPr>
              <w:sym w:font="Wingdings 2" w:char="0052"/>
            </w:r>
            <w:r>
              <w:rPr>
                <w:rFonts w:hint="eastAsia" w:ascii="仿宋_GB2312" w:hAnsi="仿宋_GB2312" w:eastAsia="仿宋_GB2312" w:cs="仿宋_GB2312"/>
                <w:color w:val="auto"/>
                <w:kern w:val="0"/>
                <w:szCs w:val="21"/>
                <w:highlight w:val="none"/>
              </w:rPr>
              <w:t>不组织</w:t>
            </w:r>
          </w:p>
          <w:p w14:paraId="53356E5B">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组织，时  间：</w:t>
            </w:r>
            <w:r>
              <w:rPr>
                <w:rFonts w:hint="eastAsia" w:ascii="仿宋_GB2312" w:hAnsi="仿宋_GB2312" w:eastAsia="仿宋_GB2312" w:cs="仿宋_GB2312"/>
                <w:bCs/>
                <w:color w:val="auto"/>
                <w:kern w:val="0"/>
                <w:szCs w:val="21"/>
                <w:highlight w:val="none"/>
                <w:u w:val="single"/>
              </w:rPr>
              <w:t xml:space="preserve">         </w:t>
            </w:r>
          </w:p>
          <w:p w14:paraId="4F627AC1">
            <w:pPr>
              <w:widowControl/>
              <w:ind w:left="-105" w:leftChars="-50" w:firstLine="949" w:firstLineChars="452"/>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地  点：</w:t>
            </w:r>
            <w:r>
              <w:rPr>
                <w:rFonts w:hint="eastAsia" w:ascii="仿宋_GB2312" w:hAnsi="仿宋_GB2312" w:eastAsia="仿宋_GB2312" w:cs="仿宋_GB2312"/>
                <w:bCs/>
                <w:color w:val="auto"/>
                <w:kern w:val="0"/>
                <w:szCs w:val="21"/>
                <w:highlight w:val="none"/>
                <w:u w:val="single"/>
              </w:rPr>
              <w:t xml:space="preserve">         </w:t>
            </w:r>
          </w:p>
          <w:p w14:paraId="5AB983FF">
            <w:pPr>
              <w:ind w:left="-105" w:leftChars="-50" w:firstLine="949" w:firstLineChars="452"/>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联系人：</w:t>
            </w:r>
            <w:r>
              <w:rPr>
                <w:rFonts w:hint="eastAsia" w:ascii="仿宋_GB2312" w:hAnsi="仿宋_GB2312" w:eastAsia="仿宋_GB2312" w:cs="仿宋_GB2312"/>
                <w:bCs/>
                <w:color w:val="auto"/>
                <w:kern w:val="0"/>
                <w:szCs w:val="21"/>
                <w:highlight w:val="none"/>
                <w:u w:val="single"/>
              </w:rPr>
              <w:t xml:space="preserve">         </w:t>
            </w:r>
          </w:p>
          <w:p w14:paraId="16979AD4">
            <w:pPr>
              <w:ind w:left="-105" w:leftChars="-50" w:firstLine="949" w:firstLineChars="452"/>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电  话：</w:t>
            </w:r>
            <w:r>
              <w:rPr>
                <w:rFonts w:hint="eastAsia" w:ascii="仿宋_GB2312" w:hAnsi="仿宋_GB2312" w:eastAsia="仿宋_GB2312" w:cs="仿宋_GB2312"/>
                <w:bCs/>
                <w:color w:val="auto"/>
                <w:kern w:val="0"/>
                <w:szCs w:val="21"/>
                <w:highlight w:val="none"/>
                <w:u w:val="single"/>
              </w:rPr>
              <w:t xml:space="preserve">         </w:t>
            </w:r>
          </w:p>
          <w:p w14:paraId="71E06FBD">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组织，招标文件提供期限截止后以书面形式通知。</w:t>
            </w:r>
          </w:p>
        </w:tc>
      </w:tr>
      <w:tr w14:paraId="0F20229C">
        <w:tblPrEx>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vAlign w:val="center"/>
          </w:tcPr>
          <w:p w14:paraId="59D7F678">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10.3</w:t>
            </w:r>
          </w:p>
        </w:tc>
        <w:tc>
          <w:tcPr>
            <w:tcW w:w="1917" w:type="dxa"/>
            <w:tcBorders>
              <w:top w:val="single" w:color="auto" w:sz="4" w:space="0"/>
              <w:left w:val="single" w:color="auto" w:sz="4" w:space="0"/>
              <w:bottom w:val="single" w:color="auto" w:sz="4" w:space="0"/>
              <w:right w:val="single" w:color="auto" w:sz="4" w:space="0"/>
            </w:tcBorders>
            <w:vAlign w:val="center"/>
          </w:tcPr>
          <w:p w14:paraId="77D2EF1D">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核心产品</w:t>
            </w:r>
          </w:p>
        </w:tc>
        <w:tc>
          <w:tcPr>
            <w:tcW w:w="5887" w:type="dxa"/>
            <w:tcBorders>
              <w:top w:val="single" w:color="auto" w:sz="4" w:space="0"/>
              <w:left w:val="single" w:color="auto" w:sz="4" w:space="0"/>
              <w:bottom w:val="single" w:color="auto" w:sz="4" w:space="0"/>
              <w:right w:val="single" w:color="auto" w:sz="4" w:space="0"/>
            </w:tcBorders>
            <w:vAlign w:val="center"/>
          </w:tcPr>
          <w:p w14:paraId="7BBD6609">
            <w:pPr>
              <w:widowControl/>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001包：多功能酶标仪</w:t>
            </w:r>
          </w:p>
          <w:p w14:paraId="31B13E5A">
            <w:pPr>
              <w:widowControl/>
              <w:rPr>
                <w:color w:val="auto"/>
                <w:highlight w:val="none"/>
              </w:rPr>
            </w:pPr>
            <w:r>
              <w:rPr>
                <w:rFonts w:hint="eastAsia" w:ascii="仿宋_GB2312" w:hAnsi="仿宋_GB2312" w:eastAsia="仿宋_GB2312" w:cs="仿宋_GB2312"/>
                <w:color w:val="auto"/>
                <w:kern w:val="0"/>
                <w:szCs w:val="21"/>
                <w:highlight w:val="none"/>
              </w:rPr>
              <w:t>003包：口腔临床模拟教学实习系统</w:t>
            </w:r>
          </w:p>
        </w:tc>
      </w:tr>
      <w:tr w14:paraId="5AC26353">
        <w:tblPrEx>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vAlign w:val="center"/>
          </w:tcPr>
          <w:p w14:paraId="35F9BEEF">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11.3</w:t>
            </w:r>
          </w:p>
        </w:tc>
        <w:tc>
          <w:tcPr>
            <w:tcW w:w="1917" w:type="dxa"/>
            <w:tcBorders>
              <w:top w:val="single" w:color="auto" w:sz="4" w:space="0"/>
              <w:left w:val="single" w:color="auto" w:sz="4" w:space="0"/>
              <w:bottom w:val="single" w:color="auto" w:sz="4" w:space="0"/>
              <w:right w:val="single" w:color="auto" w:sz="4" w:space="0"/>
            </w:tcBorders>
            <w:vAlign w:val="center"/>
          </w:tcPr>
          <w:p w14:paraId="365C14E6">
            <w:pPr>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样品或演示</w:t>
            </w:r>
          </w:p>
        </w:tc>
        <w:tc>
          <w:tcPr>
            <w:tcW w:w="5887" w:type="dxa"/>
            <w:tcBorders>
              <w:top w:val="single" w:color="auto" w:sz="4" w:space="0"/>
              <w:left w:val="single" w:color="auto" w:sz="4" w:space="0"/>
              <w:bottom w:val="single" w:color="auto" w:sz="4" w:space="0"/>
              <w:right w:val="single" w:color="auto" w:sz="4" w:space="0"/>
            </w:tcBorders>
            <w:vAlign w:val="center"/>
          </w:tcPr>
          <w:p w14:paraId="5D6261C6">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highlight w:val="none"/>
              </w:rPr>
              <w:sym w:font="Wingdings 2" w:char="0052"/>
            </w:r>
            <w:r>
              <w:rPr>
                <w:rFonts w:hint="eastAsia" w:ascii="仿宋_GB2312" w:hAnsi="仿宋_GB2312" w:eastAsia="仿宋_GB2312" w:cs="仿宋_GB2312"/>
                <w:color w:val="auto"/>
                <w:kern w:val="0"/>
                <w:szCs w:val="21"/>
                <w:highlight w:val="none"/>
              </w:rPr>
              <w:t>不需要</w:t>
            </w:r>
            <w:r>
              <w:rPr>
                <w:rFonts w:hint="eastAsia" w:ascii="仿宋_GB2312" w:hAnsi="仿宋_GB2312" w:eastAsia="仿宋_GB2312" w:cs="仿宋_GB2312"/>
                <w:bCs/>
                <w:color w:val="auto"/>
                <w:kern w:val="0"/>
                <w:szCs w:val="21"/>
                <w:highlight w:val="none"/>
              </w:rPr>
              <w:t>提供样品</w:t>
            </w:r>
          </w:p>
          <w:p w14:paraId="71C188E1">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需要</w:t>
            </w:r>
            <w:r>
              <w:rPr>
                <w:rFonts w:hint="eastAsia" w:ascii="仿宋_GB2312" w:hAnsi="仿宋_GB2312" w:eastAsia="仿宋_GB2312" w:cs="仿宋_GB2312"/>
                <w:bCs/>
                <w:color w:val="auto"/>
                <w:kern w:val="0"/>
                <w:szCs w:val="21"/>
                <w:highlight w:val="none"/>
              </w:rPr>
              <w:t>提供样品</w:t>
            </w:r>
          </w:p>
          <w:p w14:paraId="144E2B21">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bCs/>
                <w:color w:val="auto"/>
                <w:kern w:val="0"/>
                <w:szCs w:val="21"/>
                <w:highlight w:val="none"/>
              </w:rPr>
              <w:t xml:space="preserve">  </w:t>
            </w:r>
            <w:r>
              <w:rPr>
                <w:rFonts w:hint="eastAsia" w:ascii="仿宋_GB2312" w:hAnsi="仿宋_GB2312" w:eastAsia="仿宋_GB2312" w:cs="仿宋_GB2312"/>
                <w:color w:val="auto"/>
                <w:kern w:val="0"/>
                <w:szCs w:val="21"/>
                <w:highlight w:val="none"/>
              </w:rPr>
              <w:t>1、递交样品的截止时间：</w:t>
            </w:r>
            <w:r>
              <w:rPr>
                <w:rFonts w:hint="eastAsia" w:ascii="仿宋_GB2312" w:hAnsi="仿宋_GB2312" w:eastAsia="仿宋_GB2312" w:cs="仿宋_GB2312"/>
                <w:color w:val="auto"/>
                <w:kern w:val="0"/>
                <w:szCs w:val="21"/>
                <w:highlight w:val="none"/>
                <w:u w:val="single"/>
              </w:rPr>
              <w:t xml:space="preserve">   </w:t>
            </w:r>
            <w:r>
              <w:rPr>
                <w:rFonts w:hint="eastAsia" w:ascii="仿宋_GB2312" w:hAnsi="仿宋_GB2312" w:eastAsia="仿宋_GB2312" w:cs="仿宋_GB2312"/>
                <w:color w:val="auto"/>
                <w:kern w:val="0"/>
                <w:szCs w:val="21"/>
                <w:highlight w:val="none"/>
              </w:rPr>
              <w:t>年</w:t>
            </w:r>
            <w:r>
              <w:rPr>
                <w:rFonts w:hint="eastAsia" w:ascii="仿宋_GB2312" w:hAnsi="仿宋_GB2312" w:eastAsia="仿宋_GB2312" w:cs="仿宋_GB2312"/>
                <w:color w:val="auto"/>
                <w:kern w:val="0"/>
                <w:szCs w:val="21"/>
                <w:highlight w:val="none"/>
                <w:u w:val="single"/>
              </w:rPr>
              <w:t xml:space="preserve">  </w:t>
            </w:r>
            <w:r>
              <w:rPr>
                <w:rFonts w:hint="eastAsia" w:ascii="仿宋_GB2312" w:hAnsi="仿宋_GB2312" w:eastAsia="仿宋_GB2312" w:cs="仿宋_GB2312"/>
                <w:color w:val="auto"/>
                <w:kern w:val="0"/>
                <w:szCs w:val="21"/>
                <w:highlight w:val="none"/>
              </w:rPr>
              <w:t>月</w:t>
            </w:r>
            <w:r>
              <w:rPr>
                <w:rFonts w:hint="eastAsia" w:ascii="仿宋_GB2312" w:hAnsi="仿宋_GB2312" w:eastAsia="仿宋_GB2312" w:cs="仿宋_GB2312"/>
                <w:color w:val="auto"/>
                <w:kern w:val="0"/>
                <w:szCs w:val="21"/>
                <w:highlight w:val="none"/>
                <w:u w:val="single"/>
              </w:rPr>
              <w:t xml:space="preserve">  </w:t>
            </w:r>
            <w:r>
              <w:rPr>
                <w:rFonts w:hint="eastAsia" w:ascii="仿宋_GB2312" w:hAnsi="仿宋_GB2312" w:eastAsia="仿宋_GB2312" w:cs="仿宋_GB2312"/>
                <w:color w:val="auto"/>
                <w:kern w:val="0"/>
                <w:szCs w:val="21"/>
                <w:highlight w:val="none"/>
              </w:rPr>
              <w:t>日</w:t>
            </w:r>
            <w:r>
              <w:rPr>
                <w:rFonts w:hint="eastAsia" w:ascii="仿宋_GB2312" w:hAnsi="仿宋_GB2312" w:eastAsia="仿宋_GB2312" w:cs="仿宋_GB2312"/>
                <w:color w:val="auto"/>
                <w:kern w:val="0"/>
                <w:szCs w:val="21"/>
                <w:highlight w:val="none"/>
                <w:u w:val="single"/>
              </w:rPr>
              <w:t xml:space="preserve">   </w:t>
            </w:r>
            <w:r>
              <w:rPr>
                <w:rFonts w:hint="eastAsia" w:ascii="仿宋_GB2312" w:hAnsi="仿宋_GB2312" w:eastAsia="仿宋_GB2312" w:cs="仿宋_GB2312"/>
                <w:color w:val="auto"/>
                <w:kern w:val="0"/>
                <w:szCs w:val="21"/>
                <w:highlight w:val="none"/>
              </w:rPr>
              <w:t>时（北京时间）</w:t>
            </w:r>
          </w:p>
          <w:p w14:paraId="38CFE846">
            <w:pPr>
              <w:ind w:firstLine="525" w:firstLineChars="250"/>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递交样品地点：</w:t>
            </w:r>
            <w:r>
              <w:rPr>
                <w:rFonts w:hint="eastAsia" w:ascii="仿宋_GB2312" w:hAnsi="仿宋_GB2312" w:eastAsia="仿宋_GB2312" w:cs="仿宋_GB2312"/>
                <w:color w:val="auto"/>
                <w:kern w:val="0"/>
                <w:szCs w:val="21"/>
                <w:highlight w:val="none"/>
                <w:u w:val="single"/>
              </w:rPr>
              <w:t xml:space="preserve">                     </w:t>
            </w:r>
          </w:p>
          <w:p w14:paraId="08BA5C2B">
            <w:pPr>
              <w:ind w:firstLine="525" w:firstLineChars="250"/>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递交样品联系人：</w:t>
            </w:r>
            <w:r>
              <w:rPr>
                <w:rFonts w:hint="eastAsia" w:ascii="仿宋_GB2312" w:hAnsi="仿宋_GB2312" w:eastAsia="仿宋_GB2312" w:cs="仿宋_GB2312"/>
                <w:color w:val="auto"/>
                <w:kern w:val="0"/>
                <w:szCs w:val="21"/>
                <w:highlight w:val="none"/>
                <w:u w:val="single"/>
              </w:rPr>
              <w:t xml:space="preserve">                   </w:t>
            </w:r>
          </w:p>
          <w:p w14:paraId="5EC8DC8A">
            <w:pPr>
              <w:ind w:firstLine="525" w:firstLineChars="250"/>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递交样品联系电话：</w:t>
            </w:r>
            <w:r>
              <w:rPr>
                <w:rFonts w:hint="eastAsia" w:ascii="仿宋_GB2312" w:hAnsi="仿宋_GB2312" w:eastAsia="仿宋_GB2312" w:cs="仿宋_GB2312"/>
                <w:color w:val="auto"/>
                <w:kern w:val="0"/>
                <w:szCs w:val="21"/>
                <w:highlight w:val="none"/>
                <w:u w:val="single"/>
              </w:rPr>
              <w:t xml:space="preserve">                 </w:t>
            </w:r>
          </w:p>
          <w:p w14:paraId="2CCA11AF">
            <w:pPr>
              <w:ind w:firstLine="210" w:firstLineChars="1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2、样品制作的标准和要求：</w:t>
            </w:r>
            <w:r>
              <w:rPr>
                <w:rFonts w:hint="eastAsia" w:ascii="仿宋_GB2312" w:hAnsi="仿宋_GB2312" w:eastAsia="仿宋_GB2312" w:cs="仿宋_GB2312"/>
                <w:color w:val="auto"/>
                <w:kern w:val="0"/>
                <w:szCs w:val="21"/>
                <w:highlight w:val="none"/>
                <w:u w:val="single"/>
              </w:rPr>
              <w:t xml:space="preserve">             </w:t>
            </w:r>
          </w:p>
          <w:p w14:paraId="569ED0B9">
            <w:pPr>
              <w:ind w:firstLine="210" w:firstLineChars="1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3、随样品提交相关检测报告要求：</w:t>
            </w:r>
            <w:r>
              <w:rPr>
                <w:rFonts w:hint="eastAsia" w:ascii="仿宋_GB2312" w:hAnsi="仿宋_GB2312" w:eastAsia="仿宋_GB2312" w:cs="仿宋_GB2312"/>
                <w:color w:val="auto"/>
                <w:kern w:val="0"/>
                <w:szCs w:val="21"/>
                <w:highlight w:val="none"/>
                <w:u w:val="single"/>
              </w:rPr>
              <w:t xml:space="preserve">       </w:t>
            </w:r>
            <w:r>
              <w:rPr>
                <w:rFonts w:hint="eastAsia" w:ascii="仿宋_GB2312" w:hAnsi="仿宋_GB2312" w:eastAsia="仿宋_GB2312" w:cs="仿宋_GB2312"/>
                <w:color w:val="auto"/>
                <w:kern w:val="0"/>
                <w:szCs w:val="21"/>
                <w:highlight w:val="none"/>
              </w:rPr>
              <w:t xml:space="preserve"> </w:t>
            </w:r>
          </w:p>
          <w:p w14:paraId="7D622D10">
            <w:pPr>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（包含是否要求提供、检测机构要求、检测内容等）</w:t>
            </w:r>
          </w:p>
          <w:p w14:paraId="3DA5A039">
            <w:pPr>
              <w:ind w:firstLine="210" w:firstLineChars="1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4、样品的封存及退回：中标人的样品将由采购人进行保管、封存，并作为履约验收的参考。未中标的投标人提供的样品，应当由采购人进行保管、封存，中标公告之日起七个工作日后，由未中标人自行领回或经未中标人同意后自行处理。</w:t>
            </w:r>
          </w:p>
          <w:p w14:paraId="06A8BC96">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highlight w:val="none"/>
              </w:rPr>
              <w:sym w:font="Wingdings 2" w:char="0052"/>
            </w:r>
            <w:r>
              <w:rPr>
                <w:rFonts w:hint="eastAsia" w:ascii="仿宋_GB2312" w:hAnsi="仿宋_GB2312" w:eastAsia="仿宋_GB2312" w:cs="仿宋_GB2312"/>
                <w:color w:val="auto"/>
                <w:kern w:val="0"/>
                <w:szCs w:val="21"/>
                <w:highlight w:val="none"/>
              </w:rPr>
              <w:t>不</w:t>
            </w:r>
            <w:r>
              <w:rPr>
                <w:rFonts w:hint="eastAsia" w:ascii="仿宋_GB2312" w:hAnsi="仿宋_GB2312" w:eastAsia="仿宋_GB2312" w:cs="仿宋_GB2312"/>
                <w:bCs/>
                <w:color w:val="auto"/>
                <w:kern w:val="0"/>
                <w:szCs w:val="21"/>
                <w:highlight w:val="none"/>
              </w:rPr>
              <w:t>需要提供演示</w:t>
            </w:r>
          </w:p>
          <w:p w14:paraId="48BF81A1">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需要</w:t>
            </w:r>
            <w:r>
              <w:rPr>
                <w:rFonts w:hint="eastAsia" w:ascii="仿宋_GB2312" w:hAnsi="仿宋_GB2312" w:eastAsia="仿宋_GB2312" w:cs="仿宋_GB2312"/>
                <w:bCs/>
                <w:color w:val="auto"/>
                <w:kern w:val="0"/>
                <w:szCs w:val="21"/>
                <w:highlight w:val="none"/>
              </w:rPr>
              <w:t>提供演示</w:t>
            </w:r>
          </w:p>
          <w:p w14:paraId="07F1289B">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bCs/>
                <w:color w:val="auto"/>
                <w:kern w:val="0"/>
                <w:szCs w:val="21"/>
                <w:highlight w:val="none"/>
              </w:rPr>
              <w:t xml:space="preserve">  </w:t>
            </w:r>
            <w:r>
              <w:rPr>
                <w:rFonts w:hint="eastAsia" w:ascii="仿宋_GB2312" w:hAnsi="仿宋_GB2312" w:eastAsia="仿宋_GB2312" w:cs="仿宋_GB2312"/>
                <w:color w:val="auto"/>
                <w:kern w:val="0"/>
                <w:szCs w:val="21"/>
                <w:highlight w:val="none"/>
              </w:rPr>
              <w:t>1、演示时间：</w:t>
            </w:r>
            <w:r>
              <w:rPr>
                <w:rFonts w:hint="eastAsia" w:ascii="仿宋_GB2312" w:hAnsi="仿宋_GB2312" w:eastAsia="仿宋_GB2312" w:cs="仿宋_GB2312"/>
                <w:bCs/>
                <w:color w:val="auto"/>
                <w:kern w:val="0"/>
                <w:szCs w:val="21"/>
                <w:highlight w:val="none"/>
                <w:u w:val="single"/>
              </w:rPr>
              <w:t xml:space="preserve">                          </w:t>
            </w:r>
          </w:p>
          <w:p w14:paraId="286400A8">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 xml:space="preserve">     演示地点：</w:t>
            </w:r>
            <w:r>
              <w:rPr>
                <w:rFonts w:hint="eastAsia" w:ascii="仿宋_GB2312" w:hAnsi="仿宋_GB2312" w:eastAsia="仿宋_GB2312" w:cs="仿宋_GB2312"/>
                <w:bCs/>
                <w:color w:val="auto"/>
                <w:kern w:val="0"/>
                <w:szCs w:val="21"/>
                <w:highlight w:val="none"/>
                <w:u w:val="single"/>
              </w:rPr>
              <w:t xml:space="preserve">                          </w:t>
            </w:r>
          </w:p>
          <w:p w14:paraId="24F66488">
            <w:pPr>
              <w:ind w:firstLine="210" w:firstLineChars="1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 xml:space="preserve">   演示顺序：</w:t>
            </w:r>
            <w:r>
              <w:rPr>
                <w:rFonts w:hint="eastAsia" w:ascii="仿宋_GB2312" w:hAnsi="仿宋_GB2312" w:eastAsia="仿宋_GB2312" w:cs="仿宋_GB2312"/>
                <w:bCs/>
                <w:color w:val="auto"/>
                <w:kern w:val="0"/>
                <w:szCs w:val="21"/>
                <w:highlight w:val="none"/>
                <w:u w:val="single"/>
              </w:rPr>
              <w:t xml:space="preserve">                          </w:t>
            </w:r>
          </w:p>
          <w:p w14:paraId="5AA68FDE">
            <w:pPr>
              <w:ind w:firstLine="210" w:firstLineChars="1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2、演示要求：</w:t>
            </w:r>
            <w:r>
              <w:rPr>
                <w:rFonts w:hint="eastAsia" w:ascii="仿宋_GB2312" w:hAnsi="仿宋_GB2312" w:eastAsia="仿宋_GB2312" w:cs="仿宋_GB2312"/>
                <w:color w:val="auto"/>
                <w:kern w:val="0"/>
                <w:szCs w:val="21"/>
                <w:highlight w:val="none"/>
                <w:u w:val="single"/>
              </w:rPr>
              <w:t xml:space="preserve">                         </w:t>
            </w:r>
          </w:p>
        </w:tc>
      </w:tr>
      <w:tr w14:paraId="55679170">
        <w:tblPrEx>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vAlign w:val="center"/>
          </w:tcPr>
          <w:p w14:paraId="4A93A49F">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12.1</w:t>
            </w:r>
          </w:p>
        </w:tc>
        <w:tc>
          <w:tcPr>
            <w:tcW w:w="1917" w:type="dxa"/>
            <w:tcBorders>
              <w:top w:val="single" w:color="auto" w:sz="4" w:space="0"/>
              <w:left w:val="single" w:color="auto" w:sz="4" w:space="0"/>
              <w:bottom w:val="single" w:color="auto" w:sz="4" w:space="0"/>
              <w:right w:val="single" w:color="auto" w:sz="4" w:space="0"/>
            </w:tcBorders>
            <w:vAlign w:val="center"/>
          </w:tcPr>
          <w:p w14:paraId="638DF56D">
            <w:pPr>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投标报价货币要求</w:t>
            </w:r>
          </w:p>
        </w:tc>
        <w:tc>
          <w:tcPr>
            <w:tcW w:w="5887" w:type="dxa"/>
            <w:tcBorders>
              <w:top w:val="single" w:color="auto" w:sz="4" w:space="0"/>
              <w:left w:val="single" w:color="auto" w:sz="4" w:space="0"/>
              <w:bottom w:val="single" w:color="auto" w:sz="4" w:space="0"/>
              <w:right w:val="single" w:color="auto" w:sz="4" w:space="0"/>
            </w:tcBorders>
            <w:vAlign w:val="center"/>
          </w:tcPr>
          <w:p w14:paraId="5E4BBBEE">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2" w:char="0052"/>
            </w:r>
            <w:r>
              <w:rPr>
                <w:rFonts w:hint="eastAsia" w:ascii="仿宋_GB2312" w:hAnsi="仿宋_GB2312" w:eastAsia="仿宋_GB2312" w:cs="仿宋_GB2312"/>
                <w:color w:val="auto"/>
                <w:kern w:val="0"/>
                <w:szCs w:val="21"/>
                <w:highlight w:val="none"/>
              </w:rPr>
              <w:t>所有响应文件中均按</w:t>
            </w:r>
            <w:r>
              <w:rPr>
                <w:rFonts w:hint="eastAsia" w:ascii="仿宋_GB2312" w:hAnsi="仿宋_GB2312" w:eastAsia="仿宋_GB2312" w:cs="仿宋_GB2312"/>
                <w:color w:val="auto"/>
                <w:kern w:val="0"/>
                <w:szCs w:val="21"/>
                <w:highlight w:val="none"/>
                <w:u w:val="single"/>
              </w:rPr>
              <w:t>人民币</w:t>
            </w:r>
            <w:r>
              <w:rPr>
                <w:rFonts w:hint="eastAsia" w:ascii="仿宋_GB2312" w:hAnsi="仿宋_GB2312" w:eastAsia="仿宋_GB2312" w:cs="仿宋_GB2312"/>
                <w:color w:val="auto"/>
                <w:kern w:val="0"/>
                <w:szCs w:val="21"/>
                <w:highlight w:val="none"/>
              </w:rPr>
              <w:t>货币进行报价。</w:t>
            </w:r>
          </w:p>
          <w:p w14:paraId="0A81526E">
            <w:pPr>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highlight w:val="none"/>
              </w:rPr>
              <w:sym w:font="Wingdings 2" w:char="00A3"/>
            </w:r>
            <w:r>
              <w:rPr>
                <w:rFonts w:hint="eastAsia" w:ascii="仿宋_GB2312" w:hAnsi="仿宋_GB2312" w:eastAsia="仿宋_GB2312" w:cs="仿宋_GB2312"/>
                <w:color w:val="auto"/>
                <w:kern w:val="0"/>
                <w:szCs w:val="21"/>
                <w:highlight w:val="none"/>
              </w:rPr>
              <w:t>其它：</w:t>
            </w:r>
          </w:p>
        </w:tc>
      </w:tr>
      <w:tr w14:paraId="280D3649">
        <w:tblPrEx>
          <w:tblCellMar>
            <w:top w:w="0" w:type="dxa"/>
            <w:left w:w="108" w:type="dxa"/>
            <w:bottom w:w="0" w:type="dxa"/>
            <w:right w:w="108" w:type="dxa"/>
          </w:tblCellMar>
        </w:tblPrEx>
        <w:tc>
          <w:tcPr>
            <w:tcW w:w="852" w:type="dxa"/>
            <w:tcBorders>
              <w:top w:val="single" w:color="auto" w:sz="4" w:space="0"/>
              <w:left w:val="single" w:color="auto" w:sz="8" w:space="0"/>
              <w:bottom w:val="single" w:color="auto" w:sz="8" w:space="0"/>
              <w:right w:val="single" w:color="auto" w:sz="4" w:space="0"/>
            </w:tcBorders>
            <w:vAlign w:val="center"/>
          </w:tcPr>
          <w:p w14:paraId="2F283C9C">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13.1</w:t>
            </w:r>
          </w:p>
        </w:tc>
        <w:tc>
          <w:tcPr>
            <w:tcW w:w="1917" w:type="dxa"/>
            <w:tcBorders>
              <w:top w:val="single" w:color="auto" w:sz="4" w:space="0"/>
              <w:left w:val="single" w:color="auto" w:sz="4" w:space="0"/>
              <w:bottom w:val="single" w:color="auto" w:sz="8" w:space="0"/>
              <w:right w:val="single" w:color="auto" w:sz="8" w:space="0"/>
            </w:tcBorders>
            <w:vAlign w:val="center"/>
          </w:tcPr>
          <w:p w14:paraId="00BAB406">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投标保证金</w:t>
            </w:r>
          </w:p>
        </w:tc>
        <w:tc>
          <w:tcPr>
            <w:tcW w:w="5887" w:type="dxa"/>
            <w:tcBorders>
              <w:top w:val="single" w:color="auto" w:sz="4" w:space="0"/>
              <w:left w:val="nil"/>
              <w:bottom w:val="single" w:color="auto" w:sz="8" w:space="0"/>
              <w:right w:val="single" w:color="auto" w:sz="8" w:space="0"/>
            </w:tcBorders>
            <w:vAlign w:val="center"/>
          </w:tcPr>
          <w:p w14:paraId="471712D6">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t>不采用</w:t>
            </w:r>
          </w:p>
        </w:tc>
      </w:tr>
      <w:tr w14:paraId="6B8AF2B8">
        <w:tblPrEx>
          <w:tblCellMar>
            <w:top w:w="0" w:type="dxa"/>
            <w:left w:w="108" w:type="dxa"/>
            <w:bottom w:w="0" w:type="dxa"/>
            <w:right w:w="108" w:type="dxa"/>
          </w:tblCellMar>
        </w:tblPrEx>
        <w:tc>
          <w:tcPr>
            <w:tcW w:w="852" w:type="dxa"/>
            <w:tcBorders>
              <w:top w:val="single" w:color="auto" w:sz="4" w:space="0"/>
              <w:left w:val="single" w:color="auto" w:sz="8" w:space="0"/>
              <w:bottom w:val="single" w:color="auto" w:sz="8" w:space="0"/>
              <w:right w:val="single" w:color="auto" w:sz="4" w:space="0"/>
            </w:tcBorders>
            <w:vAlign w:val="center"/>
          </w:tcPr>
          <w:p w14:paraId="6B767BCB">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15.1</w:t>
            </w:r>
          </w:p>
        </w:tc>
        <w:tc>
          <w:tcPr>
            <w:tcW w:w="1917" w:type="dxa"/>
            <w:tcBorders>
              <w:top w:val="single" w:color="auto" w:sz="4" w:space="0"/>
              <w:left w:val="single" w:color="auto" w:sz="4" w:space="0"/>
              <w:bottom w:val="single" w:color="auto" w:sz="8" w:space="0"/>
              <w:right w:val="single" w:color="auto" w:sz="8" w:space="0"/>
            </w:tcBorders>
            <w:vAlign w:val="center"/>
          </w:tcPr>
          <w:p w14:paraId="2A128C44">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投标有效期</w:t>
            </w:r>
          </w:p>
        </w:tc>
        <w:tc>
          <w:tcPr>
            <w:tcW w:w="5887" w:type="dxa"/>
            <w:tcBorders>
              <w:top w:val="single" w:color="auto" w:sz="4" w:space="0"/>
              <w:left w:val="nil"/>
              <w:bottom w:val="single" w:color="auto" w:sz="8" w:space="0"/>
              <w:right w:val="single" w:color="auto" w:sz="8" w:space="0"/>
            </w:tcBorders>
            <w:vAlign w:val="center"/>
          </w:tcPr>
          <w:p w14:paraId="0C9CA039">
            <w:pPr>
              <w:pStyle w:val="1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u w:val="single"/>
              </w:rPr>
              <w:t xml:space="preserve">  90  </w:t>
            </w:r>
            <w:r>
              <w:rPr>
                <w:rFonts w:hint="eastAsia" w:ascii="仿宋_GB2312" w:hAnsi="仿宋_GB2312" w:eastAsia="仿宋_GB2312" w:cs="仿宋_GB2312"/>
                <w:color w:val="auto"/>
                <w:kern w:val="0"/>
                <w:szCs w:val="21"/>
                <w:highlight w:val="none"/>
              </w:rPr>
              <w:t>日历日</w:t>
            </w:r>
          </w:p>
        </w:tc>
      </w:tr>
      <w:tr w14:paraId="395D64F4">
        <w:tblPrEx>
          <w:tblCellMar>
            <w:top w:w="0" w:type="dxa"/>
            <w:left w:w="108" w:type="dxa"/>
            <w:bottom w:w="0" w:type="dxa"/>
            <w:right w:w="108" w:type="dxa"/>
          </w:tblCellMar>
        </w:tblPrEx>
        <w:tc>
          <w:tcPr>
            <w:tcW w:w="852" w:type="dxa"/>
            <w:tcBorders>
              <w:top w:val="nil"/>
              <w:left w:val="single" w:color="auto" w:sz="8" w:space="0"/>
              <w:bottom w:val="single" w:color="auto" w:sz="4" w:space="0"/>
              <w:right w:val="single" w:color="auto" w:sz="4" w:space="0"/>
            </w:tcBorders>
            <w:vAlign w:val="center"/>
          </w:tcPr>
          <w:p w14:paraId="35FE9C4E">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16.1</w:t>
            </w:r>
          </w:p>
        </w:tc>
        <w:tc>
          <w:tcPr>
            <w:tcW w:w="1917" w:type="dxa"/>
            <w:tcBorders>
              <w:top w:val="nil"/>
              <w:left w:val="single" w:color="auto" w:sz="4" w:space="0"/>
              <w:bottom w:val="single" w:color="auto" w:sz="4" w:space="0"/>
              <w:right w:val="single" w:color="auto" w:sz="8" w:space="0"/>
            </w:tcBorders>
            <w:vAlign w:val="center"/>
          </w:tcPr>
          <w:p w14:paraId="00406936">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投标文件及电子文档份数</w:t>
            </w:r>
          </w:p>
        </w:tc>
        <w:tc>
          <w:tcPr>
            <w:tcW w:w="5887" w:type="dxa"/>
            <w:tcBorders>
              <w:top w:val="nil"/>
              <w:left w:val="nil"/>
              <w:bottom w:val="single" w:color="auto" w:sz="4" w:space="0"/>
              <w:right w:val="single" w:color="auto" w:sz="8" w:space="0"/>
            </w:tcBorders>
            <w:vAlign w:val="center"/>
          </w:tcPr>
          <w:p w14:paraId="321BB4A9">
            <w:pPr>
              <w:widowControl/>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按招标文件要求在辽宁政府采购网上传</w:t>
            </w:r>
          </w:p>
        </w:tc>
      </w:tr>
      <w:tr w14:paraId="442BFF1F">
        <w:tblPrEx>
          <w:tblCellMar>
            <w:top w:w="0" w:type="dxa"/>
            <w:left w:w="108" w:type="dxa"/>
            <w:bottom w:w="0" w:type="dxa"/>
            <w:right w:w="108" w:type="dxa"/>
          </w:tblCellMar>
        </w:tblPrEx>
        <w:tc>
          <w:tcPr>
            <w:tcW w:w="852" w:type="dxa"/>
            <w:tcBorders>
              <w:top w:val="nil"/>
              <w:left w:val="single" w:color="auto" w:sz="8" w:space="0"/>
              <w:bottom w:val="single" w:color="auto" w:sz="4" w:space="0"/>
              <w:right w:val="single" w:color="auto" w:sz="4" w:space="0"/>
            </w:tcBorders>
            <w:vAlign w:val="center"/>
          </w:tcPr>
          <w:p w14:paraId="7C83395F">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18.1</w:t>
            </w:r>
          </w:p>
        </w:tc>
        <w:tc>
          <w:tcPr>
            <w:tcW w:w="1917" w:type="dxa"/>
            <w:tcBorders>
              <w:top w:val="nil"/>
              <w:left w:val="single" w:color="auto" w:sz="4" w:space="0"/>
              <w:bottom w:val="single" w:color="auto" w:sz="4" w:space="0"/>
              <w:right w:val="single" w:color="auto" w:sz="8" w:space="0"/>
            </w:tcBorders>
            <w:vAlign w:val="center"/>
          </w:tcPr>
          <w:p w14:paraId="7EF15239">
            <w:pPr>
              <w:widowControl/>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递交投标文件截止时间、地点</w:t>
            </w:r>
          </w:p>
        </w:tc>
        <w:tc>
          <w:tcPr>
            <w:tcW w:w="5887" w:type="dxa"/>
            <w:tcBorders>
              <w:top w:val="nil"/>
              <w:left w:val="nil"/>
              <w:bottom w:val="single" w:color="auto" w:sz="4" w:space="0"/>
              <w:right w:val="single" w:color="auto" w:sz="8" w:space="0"/>
            </w:tcBorders>
            <w:vAlign w:val="center"/>
          </w:tcPr>
          <w:p w14:paraId="2372FDE7">
            <w:pPr>
              <w:widowControl/>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详见招标公告，以招标公告规定时间、地点为准。</w:t>
            </w:r>
          </w:p>
        </w:tc>
      </w:tr>
      <w:tr w14:paraId="584A53A7">
        <w:tblPrEx>
          <w:tblCellMar>
            <w:top w:w="0" w:type="dxa"/>
            <w:left w:w="108" w:type="dxa"/>
            <w:bottom w:w="0" w:type="dxa"/>
            <w:right w:w="108" w:type="dxa"/>
          </w:tblCellMar>
        </w:tblPrEx>
        <w:tc>
          <w:tcPr>
            <w:tcW w:w="852" w:type="dxa"/>
            <w:tcBorders>
              <w:top w:val="nil"/>
              <w:left w:val="single" w:color="auto" w:sz="8" w:space="0"/>
              <w:bottom w:val="single" w:color="auto" w:sz="4" w:space="0"/>
              <w:right w:val="single" w:color="auto" w:sz="4" w:space="0"/>
            </w:tcBorders>
            <w:vAlign w:val="center"/>
          </w:tcPr>
          <w:p w14:paraId="6C55FA2A">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20.1</w:t>
            </w:r>
          </w:p>
        </w:tc>
        <w:tc>
          <w:tcPr>
            <w:tcW w:w="1917" w:type="dxa"/>
            <w:tcBorders>
              <w:top w:val="nil"/>
              <w:left w:val="single" w:color="auto" w:sz="4" w:space="0"/>
              <w:bottom w:val="single" w:color="auto" w:sz="4" w:space="0"/>
              <w:right w:val="single" w:color="auto" w:sz="8" w:space="0"/>
            </w:tcBorders>
            <w:vAlign w:val="center"/>
          </w:tcPr>
          <w:p w14:paraId="49341580">
            <w:pPr>
              <w:widowControl/>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开标时间、地点</w:t>
            </w:r>
          </w:p>
        </w:tc>
        <w:tc>
          <w:tcPr>
            <w:tcW w:w="5887" w:type="dxa"/>
            <w:tcBorders>
              <w:top w:val="nil"/>
              <w:left w:val="nil"/>
              <w:bottom w:val="single" w:color="auto" w:sz="4" w:space="0"/>
              <w:right w:val="single" w:color="auto" w:sz="8" w:space="0"/>
            </w:tcBorders>
            <w:vAlign w:val="center"/>
          </w:tcPr>
          <w:p w14:paraId="07ECE590">
            <w:pPr>
              <w:widowControl/>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详见招标公告，以招标公告规定时间、地点为准。</w:t>
            </w:r>
          </w:p>
        </w:tc>
      </w:tr>
      <w:tr w14:paraId="799910C0">
        <w:tblPrEx>
          <w:tblCellMar>
            <w:top w:w="0" w:type="dxa"/>
            <w:left w:w="108" w:type="dxa"/>
            <w:bottom w:w="0" w:type="dxa"/>
            <w:right w:w="108" w:type="dxa"/>
          </w:tblCellMar>
        </w:tblPrEx>
        <w:tc>
          <w:tcPr>
            <w:tcW w:w="852" w:type="dxa"/>
            <w:tcBorders>
              <w:top w:val="nil"/>
              <w:left w:val="single" w:color="auto" w:sz="8" w:space="0"/>
              <w:bottom w:val="single" w:color="auto" w:sz="4" w:space="0"/>
              <w:right w:val="single" w:color="auto" w:sz="4" w:space="0"/>
            </w:tcBorders>
            <w:vAlign w:val="center"/>
          </w:tcPr>
          <w:p w14:paraId="22DF2343">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21</w:t>
            </w:r>
          </w:p>
        </w:tc>
        <w:tc>
          <w:tcPr>
            <w:tcW w:w="1917" w:type="dxa"/>
            <w:tcBorders>
              <w:top w:val="nil"/>
              <w:left w:val="single" w:color="auto" w:sz="4" w:space="0"/>
              <w:bottom w:val="single" w:color="auto" w:sz="4" w:space="0"/>
              <w:right w:val="single" w:color="auto" w:sz="8" w:space="0"/>
            </w:tcBorders>
            <w:vAlign w:val="center"/>
          </w:tcPr>
          <w:p w14:paraId="6FE2AB29">
            <w:pPr>
              <w:widowControl/>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评标委员会组成</w:t>
            </w:r>
          </w:p>
        </w:tc>
        <w:tc>
          <w:tcPr>
            <w:tcW w:w="5887" w:type="dxa"/>
            <w:tcBorders>
              <w:top w:val="nil"/>
              <w:left w:val="nil"/>
              <w:bottom w:val="single" w:color="auto" w:sz="4" w:space="0"/>
              <w:right w:val="single" w:color="auto" w:sz="8" w:space="0"/>
            </w:tcBorders>
            <w:vAlign w:val="center"/>
          </w:tcPr>
          <w:p w14:paraId="7033E68C">
            <w:pPr>
              <w:widowControl/>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评标委员会由采购人代表</w:t>
            </w:r>
            <w:r>
              <w:rPr>
                <w:rFonts w:hint="eastAsia" w:ascii="仿宋_GB2312" w:hAnsi="仿宋_GB2312" w:eastAsia="仿宋_GB2312" w:cs="仿宋_GB2312"/>
                <w:color w:val="auto"/>
                <w:szCs w:val="21"/>
                <w:highlight w:val="none"/>
                <w:u w:val="single"/>
              </w:rPr>
              <w:t>1</w:t>
            </w:r>
            <w:r>
              <w:rPr>
                <w:rFonts w:hint="eastAsia" w:ascii="仿宋_GB2312" w:hAnsi="仿宋_GB2312" w:eastAsia="仿宋_GB2312" w:cs="仿宋_GB2312"/>
                <w:color w:val="auto"/>
                <w:szCs w:val="21"/>
                <w:highlight w:val="none"/>
              </w:rPr>
              <w:t>人，评审专家</w:t>
            </w:r>
            <w:r>
              <w:rPr>
                <w:rFonts w:hint="eastAsia" w:ascii="仿宋_GB2312" w:hAnsi="仿宋_GB2312" w:eastAsia="仿宋_GB2312" w:cs="仿宋_GB2312"/>
                <w:color w:val="auto"/>
                <w:szCs w:val="21"/>
                <w:highlight w:val="none"/>
                <w:u w:val="single"/>
              </w:rPr>
              <w:t>4</w:t>
            </w:r>
            <w:r>
              <w:rPr>
                <w:rFonts w:hint="eastAsia" w:ascii="仿宋_GB2312" w:hAnsi="仿宋_GB2312" w:eastAsia="仿宋_GB2312" w:cs="仿宋_GB2312"/>
                <w:color w:val="auto"/>
                <w:szCs w:val="21"/>
                <w:highlight w:val="none"/>
              </w:rPr>
              <w:t>人组成，共</w:t>
            </w:r>
            <w:r>
              <w:rPr>
                <w:rFonts w:hint="eastAsia" w:ascii="仿宋_GB2312" w:hAnsi="仿宋_GB2312" w:eastAsia="仿宋_GB2312" w:cs="仿宋_GB2312"/>
                <w:color w:val="auto"/>
                <w:szCs w:val="21"/>
                <w:highlight w:val="none"/>
                <w:u w:val="single"/>
              </w:rPr>
              <w:t>5</w:t>
            </w:r>
            <w:r>
              <w:rPr>
                <w:rFonts w:hint="eastAsia" w:ascii="仿宋_GB2312" w:hAnsi="仿宋_GB2312" w:eastAsia="仿宋_GB2312" w:cs="仿宋_GB2312"/>
                <w:color w:val="auto"/>
                <w:szCs w:val="21"/>
                <w:highlight w:val="none"/>
              </w:rPr>
              <w:t xml:space="preserve">人。 </w:t>
            </w:r>
          </w:p>
        </w:tc>
      </w:tr>
      <w:tr w14:paraId="134C8997">
        <w:tblPrEx>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vAlign w:val="center"/>
          </w:tcPr>
          <w:p w14:paraId="1CC326EC">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25.1</w:t>
            </w:r>
          </w:p>
        </w:tc>
        <w:tc>
          <w:tcPr>
            <w:tcW w:w="1917" w:type="dxa"/>
            <w:tcBorders>
              <w:top w:val="single" w:color="auto" w:sz="4" w:space="0"/>
              <w:left w:val="single" w:color="auto" w:sz="4" w:space="0"/>
              <w:bottom w:val="single" w:color="auto" w:sz="4" w:space="0"/>
              <w:right w:val="single" w:color="auto" w:sz="4" w:space="0"/>
            </w:tcBorders>
            <w:vAlign w:val="center"/>
          </w:tcPr>
          <w:p w14:paraId="6D485BB7">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样品的评审方法以及评审标准</w:t>
            </w:r>
          </w:p>
          <w:p w14:paraId="487E5D5D">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演示的评审方法及评审标准</w:t>
            </w:r>
          </w:p>
        </w:tc>
        <w:tc>
          <w:tcPr>
            <w:tcW w:w="5887" w:type="dxa"/>
            <w:tcBorders>
              <w:top w:val="single" w:color="auto" w:sz="4" w:space="0"/>
              <w:left w:val="single" w:color="auto" w:sz="4" w:space="0"/>
              <w:bottom w:val="single" w:color="auto" w:sz="4" w:space="0"/>
              <w:right w:val="single" w:color="auto" w:sz="4" w:space="0"/>
            </w:tcBorders>
            <w:vAlign w:val="center"/>
          </w:tcPr>
          <w:p w14:paraId="7E70B38F">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bCs/>
                <w:color w:val="auto"/>
                <w:kern w:val="0"/>
                <w:szCs w:val="21"/>
                <w:highlight w:val="none"/>
              </w:rPr>
              <w:t>样品：</w:t>
            </w:r>
          </w:p>
          <w:p w14:paraId="73FC725A">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1、样品评审方法：</w:t>
            </w:r>
            <w:r>
              <w:rPr>
                <w:rFonts w:hint="eastAsia" w:ascii="仿宋_GB2312" w:hAnsi="仿宋_GB2312" w:eastAsia="仿宋_GB2312" w:cs="仿宋_GB2312"/>
                <w:color w:val="auto"/>
                <w:kern w:val="0"/>
                <w:szCs w:val="21"/>
                <w:highlight w:val="none"/>
                <w:u w:val="single"/>
              </w:rPr>
              <w:t xml:space="preserve">              </w:t>
            </w:r>
          </w:p>
          <w:p w14:paraId="46443514">
            <w:pPr>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2、样品评审标准：</w:t>
            </w:r>
            <w:r>
              <w:rPr>
                <w:rFonts w:hint="eastAsia" w:ascii="仿宋_GB2312" w:hAnsi="仿宋_GB2312" w:eastAsia="仿宋_GB2312" w:cs="仿宋_GB2312"/>
                <w:color w:val="auto"/>
                <w:kern w:val="0"/>
                <w:szCs w:val="21"/>
                <w:highlight w:val="none"/>
                <w:u w:val="single"/>
              </w:rPr>
              <w:t xml:space="preserve">              </w:t>
            </w:r>
          </w:p>
          <w:p w14:paraId="5696250D">
            <w:pPr>
              <w:rPr>
                <w:rFonts w:ascii="仿宋_GB2312" w:hAnsi="仿宋_GB2312" w:eastAsia="仿宋_GB2312" w:cs="仿宋_GB2312"/>
                <w:color w:val="auto"/>
                <w:kern w:val="0"/>
                <w:szCs w:val="21"/>
                <w:highlight w:val="none"/>
                <w:u w:val="single"/>
              </w:rPr>
            </w:pPr>
          </w:p>
          <w:p w14:paraId="34D55C71">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演示：</w:t>
            </w:r>
          </w:p>
          <w:p w14:paraId="482B95A7">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1、演示评审方法：</w:t>
            </w:r>
            <w:r>
              <w:rPr>
                <w:rFonts w:hint="eastAsia" w:ascii="仿宋_GB2312" w:hAnsi="仿宋_GB2312" w:eastAsia="仿宋_GB2312" w:cs="仿宋_GB2312"/>
                <w:color w:val="auto"/>
                <w:kern w:val="0"/>
                <w:szCs w:val="21"/>
                <w:highlight w:val="none"/>
                <w:u w:val="single"/>
              </w:rPr>
              <w:t xml:space="preserve">              </w:t>
            </w:r>
          </w:p>
          <w:p w14:paraId="0D4D39E3">
            <w:pPr>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2、演示评审标准：</w:t>
            </w:r>
            <w:r>
              <w:rPr>
                <w:rFonts w:hint="eastAsia" w:ascii="仿宋_GB2312" w:hAnsi="仿宋_GB2312" w:eastAsia="仿宋_GB2312" w:cs="仿宋_GB2312"/>
                <w:color w:val="auto"/>
                <w:kern w:val="0"/>
                <w:szCs w:val="21"/>
                <w:highlight w:val="none"/>
                <w:u w:val="single"/>
              </w:rPr>
              <w:t xml:space="preserve">              </w:t>
            </w:r>
          </w:p>
        </w:tc>
      </w:tr>
      <w:tr w14:paraId="0949F2C0">
        <w:tblPrEx>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vAlign w:val="center"/>
          </w:tcPr>
          <w:p w14:paraId="1A3AC657">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27.2</w:t>
            </w:r>
          </w:p>
        </w:tc>
        <w:tc>
          <w:tcPr>
            <w:tcW w:w="1917" w:type="dxa"/>
            <w:tcBorders>
              <w:top w:val="single" w:color="auto" w:sz="4" w:space="0"/>
              <w:left w:val="single" w:color="auto" w:sz="4" w:space="0"/>
              <w:bottom w:val="single" w:color="auto" w:sz="4" w:space="0"/>
              <w:right w:val="single" w:color="auto" w:sz="4" w:space="0"/>
            </w:tcBorders>
            <w:vAlign w:val="center"/>
          </w:tcPr>
          <w:p w14:paraId="14AB6E43">
            <w:pPr>
              <w:widowControl/>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评标办法</w:t>
            </w:r>
          </w:p>
        </w:tc>
        <w:tc>
          <w:tcPr>
            <w:tcW w:w="5887" w:type="dxa"/>
            <w:tcBorders>
              <w:top w:val="single" w:color="auto" w:sz="4" w:space="0"/>
              <w:left w:val="single" w:color="auto" w:sz="4" w:space="0"/>
              <w:bottom w:val="single" w:color="auto" w:sz="4" w:space="0"/>
              <w:right w:val="single" w:color="auto" w:sz="4" w:space="0"/>
            </w:tcBorders>
            <w:vAlign w:val="center"/>
          </w:tcPr>
          <w:p w14:paraId="59561022">
            <w:pPr>
              <w:widowControl/>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highlight w:val="none"/>
              </w:rPr>
              <w:sym w:font="Wingdings 2" w:char="0052"/>
            </w:r>
            <w:r>
              <w:rPr>
                <w:rFonts w:hint="eastAsia" w:ascii="仿宋_GB2312" w:hAnsi="仿宋_GB2312" w:eastAsia="仿宋_GB2312" w:cs="仿宋_GB2312"/>
                <w:color w:val="auto"/>
                <w:szCs w:val="21"/>
                <w:highlight w:val="none"/>
              </w:rPr>
              <w:t>综合评分法</w:t>
            </w:r>
          </w:p>
          <w:p w14:paraId="69310D64">
            <w:pPr>
              <w:widowControl/>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sym w:font="Wingdings 2" w:char="00A3"/>
            </w:r>
            <w:r>
              <w:rPr>
                <w:rFonts w:hint="eastAsia" w:ascii="仿宋_GB2312" w:hAnsi="仿宋_GB2312" w:eastAsia="仿宋_GB2312" w:cs="仿宋_GB2312"/>
                <w:color w:val="auto"/>
                <w:szCs w:val="21"/>
                <w:highlight w:val="none"/>
              </w:rPr>
              <w:t xml:space="preserve">最低评标价法 </w:t>
            </w:r>
          </w:p>
        </w:tc>
      </w:tr>
      <w:tr w14:paraId="5EE02C67">
        <w:tblPrEx>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vAlign w:val="center"/>
          </w:tcPr>
          <w:p w14:paraId="2874E0E2">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29.2</w:t>
            </w:r>
          </w:p>
        </w:tc>
        <w:tc>
          <w:tcPr>
            <w:tcW w:w="1917" w:type="dxa"/>
            <w:tcBorders>
              <w:top w:val="single" w:color="auto" w:sz="4" w:space="0"/>
              <w:left w:val="single" w:color="auto" w:sz="4" w:space="0"/>
              <w:bottom w:val="single" w:color="auto" w:sz="4" w:space="0"/>
              <w:right w:val="single" w:color="auto" w:sz="4" w:space="0"/>
            </w:tcBorders>
            <w:vAlign w:val="center"/>
          </w:tcPr>
          <w:p w14:paraId="1A5C1682">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推荐中标候选人的数量</w:t>
            </w:r>
          </w:p>
        </w:tc>
        <w:tc>
          <w:tcPr>
            <w:tcW w:w="5887" w:type="dxa"/>
            <w:tcBorders>
              <w:top w:val="single" w:color="auto" w:sz="4" w:space="0"/>
              <w:left w:val="single" w:color="auto" w:sz="4" w:space="0"/>
              <w:bottom w:val="single" w:color="auto" w:sz="4" w:space="0"/>
              <w:right w:val="single" w:color="auto" w:sz="4" w:space="0"/>
            </w:tcBorders>
            <w:vAlign w:val="center"/>
          </w:tcPr>
          <w:p w14:paraId="6C6887DB">
            <w:pPr>
              <w:widowControl/>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u w:val="single"/>
              </w:rPr>
              <w:t>每个包3家</w:t>
            </w:r>
          </w:p>
        </w:tc>
      </w:tr>
      <w:tr w14:paraId="49584FF2">
        <w:tblPrEx>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vAlign w:val="center"/>
          </w:tcPr>
          <w:p w14:paraId="788C1057">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31</w:t>
            </w:r>
          </w:p>
        </w:tc>
        <w:tc>
          <w:tcPr>
            <w:tcW w:w="1917" w:type="dxa"/>
            <w:tcBorders>
              <w:top w:val="single" w:color="auto" w:sz="4" w:space="0"/>
              <w:left w:val="single" w:color="auto" w:sz="4" w:space="0"/>
              <w:bottom w:val="single" w:color="auto" w:sz="4" w:space="0"/>
              <w:right w:val="single" w:color="auto" w:sz="4" w:space="0"/>
            </w:tcBorders>
            <w:vAlign w:val="center"/>
          </w:tcPr>
          <w:p w14:paraId="263AB380">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确定中标人的方式</w:t>
            </w:r>
          </w:p>
        </w:tc>
        <w:tc>
          <w:tcPr>
            <w:tcW w:w="5887" w:type="dxa"/>
            <w:tcBorders>
              <w:top w:val="single" w:color="auto" w:sz="4" w:space="0"/>
              <w:left w:val="single" w:color="auto" w:sz="4" w:space="0"/>
              <w:bottom w:val="single" w:color="auto" w:sz="4" w:space="0"/>
              <w:right w:val="single" w:color="auto" w:sz="4" w:space="0"/>
            </w:tcBorders>
            <w:vAlign w:val="center"/>
          </w:tcPr>
          <w:p w14:paraId="23C2FB4C">
            <w:pPr>
              <w:widowControl/>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中标人数量：</w:t>
            </w:r>
            <w:r>
              <w:rPr>
                <w:rFonts w:hint="eastAsia" w:ascii="仿宋_GB2312" w:hAnsi="仿宋_GB2312" w:eastAsia="仿宋_GB2312" w:cs="仿宋_GB2312"/>
                <w:color w:val="auto"/>
                <w:kern w:val="0"/>
                <w:szCs w:val="21"/>
                <w:highlight w:val="none"/>
                <w:u w:val="single"/>
              </w:rPr>
              <w:t>每个包1家</w:t>
            </w:r>
          </w:p>
          <w:p w14:paraId="56FA1DF2">
            <w:pPr>
              <w:widowControl/>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采购人委托评标委员会直接确定中标人</w:t>
            </w:r>
          </w:p>
          <w:p w14:paraId="584A48D1">
            <w:pPr>
              <w:widowControl/>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highlight w:val="none"/>
              </w:rPr>
              <w:sym w:font="Wingdings 2" w:char="0052"/>
            </w:r>
            <w:r>
              <w:rPr>
                <w:rFonts w:hint="eastAsia" w:ascii="仿宋_GB2312" w:hAnsi="仿宋_GB2312" w:eastAsia="仿宋_GB2312" w:cs="仿宋_GB2312"/>
                <w:color w:val="auto"/>
                <w:kern w:val="0"/>
                <w:szCs w:val="21"/>
                <w:highlight w:val="none"/>
              </w:rPr>
              <w:t>采购人确定中标人</w:t>
            </w:r>
          </w:p>
          <w:p w14:paraId="2FA0774B">
            <w:pPr>
              <w:adjustRightInd w:val="0"/>
              <w:snapToGrid w:val="0"/>
              <w:rPr>
                <w:color w:val="auto"/>
                <w:highlight w:val="none"/>
              </w:rPr>
            </w:pPr>
            <w:r>
              <w:rPr>
                <w:rFonts w:hint="eastAsia" w:ascii="仿宋_GB2312" w:hAnsi="仿宋_GB2312" w:eastAsia="仿宋_GB2312" w:cs="仿宋_GB2312"/>
                <w:b/>
                <w:bCs/>
                <w:color w:val="auto"/>
                <w:szCs w:val="21"/>
                <w:highlight w:val="none"/>
              </w:rPr>
              <w:t>注：本招标项目以包为基本投标单位，投标人可以投一包或多包，兼投兼中。</w:t>
            </w:r>
          </w:p>
        </w:tc>
      </w:tr>
      <w:tr w14:paraId="6B8630AB">
        <w:tblPrEx>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vAlign w:val="center"/>
          </w:tcPr>
          <w:p w14:paraId="290B1B37">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35.1</w:t>
            </w:r>
          </w:p>
        </w:tc>
        <w:tc>
          <w:tcPr>
            <w:tcW w:w="1917" w:type="dxa"/>
            <w:tcBorders>
              <w:top w:val="single" w:color="auto" w:sz="4" w:space="0"/>
              <w:left w:val="single" w:color="auto" w:sz="4" w:space="0"/>
              <w:bottom w:val="single" w:color="auto" w:sz="4" w:space="0"/>
              <w:right w:val="single" w:color="auto" w:sz="4" w:space="0"/>
            </w:tcBorders>
            <w:vAlign w:val="center"/>
          </w:tcPr>
          <w:p w14:paraId="781346B7">
            <w:pPr>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履约保证金</w:t>
            </w:r>
          </w:p>
        </w:tc>
        <w:tc>
          <w:tcPr>
            <w:tcW w:w="5887" w:type="dxa"/>
            <w:tcBorders>
              <w:top w:val="single" w:color="auto" w:sz="4" w:space="0"/>
              <w:left w:val="single" w:color="auto" w:sz="4" w:space="0"/>
              <w:bottom w:val="single" w:color="auto" w:sz="4" w:space="0"/>
              <w:right w:val="single" w:color="auto" w:sz="4" w:space="0"/>
            </w:tcBorders>
            <w:vAlign w:val="center"/>
          </w:tcPr>
          <w:p w14:paraId="34B63A5B">
            <w:pPr>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highlight w:val="none"/>
              </w:rPr>
              <w:sym w:font="Wingdings 2" w:char="0052"/>
            </w:r>
            <w:r>
              <w:rPr>
                <w:rFonts w:hint="eastAsia" w:ascii="仿宋_GB2312" w:hAnsi="仿宋_GB2312" w:eastAsia="仿宋_GB2312" w:cs="仿宋_GB2312"/>
                <w:color w:val="auto"/>
                <w:szCs w:val="21"/>
                <w:highlight w:val="none"/>
              </w:rPr>
              <w:t>本项目不收取履约保证金</w:t>
            </w:r>
          </w:p>
          <w:p w14:paraId="3FB0E5FC">
            <w:pPr>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sym w:font="Wingdings 2" w:char="00A3"/>
            </w:r>
            <w:r>
              <w:rPr>
                <w:rFonts w:hint="eastAsia" w:ascii="仿宋_GB2312" w:hAnsi="仿宋_GB2312" w:eastAsia="仿宋_GB2312" w:cs="仿宋_GB2312"/>
                <w:color w:val="auto"/>
                <w:szCs w:val="21"/>
                <w:highlight w:val="none"/>
              </w:rPr>
              <w:t>本项目收取履约保证金</w:t>
            </w:r>
          </w:p>
          <w:p w14:paraId="4252377C">
            <w:pPr>
              <w:ind w:firstLine="210" w:firstLineChars="1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履约保证金金额：</w:t>
            </w:r>
            <w:r>
              <w:rPr>
                <w:rFonts w:hint="eastAsia" w:ascii="仿宋_GB2312" w:hAnsi="仿宋_GB2312" w:eastAsia="仿宋_GB2312" w:cs="仿宋_GB2312"/>
                <w:color w:val="auto"/>
                <w:kern w:val="0"/>
                <w:szCs w:val="21"/>
                <w:highlight w:val="none"/>
                <w:u w:val="single"/>
              </w:rPr>
              <w:t xml:space="preserve">                 </w:t>
            </w:r>
          </w:p>
          <w:p w14:paraId="789F0853">
            <w:pPr>
              <w:ind w:firstLine="210" w:firstLineChars="1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履约保证金递交时间：</w:t>
            </w:r>
            <w:r>
              <w:rPr>
                <w:rFonts w:hint="eastAsia" w:ascii="仿宋_GB2312" w:hAnsi="仿宋_GB2312" w:eastAsia="仿宋_GB2312" w:cs="仿宋_GB2312"/>
                <w:color w:val="auto"/>
                <w:kern w:val="0"/>
                <w:szCs w:val="21"/>
                <w:highlight w:val="none"/>
                <w:u w:val="single"/>
              </w:rPr>
              <w:t xml:space="preserve">                  </w:t>
            </w:r>
          </w:p>
          <w:p w14:paraId="0C8A25E1">
            <w:pPr>
              <w:ind w:firstLine="210" w:firstLineChars="1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履约保证金递交方式：</w:t>
            </w: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szCs w:val="21"/>
                <w:highlight w:val="none"/>
              </w:rPr>
              <w:t xml:space="preserve">保函   </w:t>
            </w: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szCs w:val="21"/>
                <w:highlight w:val="none"/>
              </w:rPr>
              <w:t xml:space="preserve">支票  </w:t>
            </w: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szCs w:val="21"/>
                <w:highlight w:val="none"/>
              </w:rPr>
              <w:t>电汇</w:t>
            </w:r>
          </w:p>
          <w:p w14:paraId="7219D15B">
            <w:pPr>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账户信息：</w:t>
            </w:r>
          </w:p>
          <w:p w14:paraId="63F85817">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开 户 名：</w:t>
            </w:r>
            <w:r>
              <w:rPr>
                <w:rFonts w:hint="eastAsia" w:ascii="仿宋_GB2312" w:hAnsi="仿宋_GB2312" w:eastAsia="仿宋_GB2312" w:cs="仿宋_GB2312"/>
                <w:color w:val="auto"/>
                <w:kern w:val="0"/>
                <w:szCs w:val="21"/>
                <w:highlight w:val="none"/>
                <w:u w:val="single"/>
              </w:rPr>
              <w:t xml:space="preserve">            </w:t>
            </w:r>
          </w:p>
          <w:p w14:paraId="5C48BE25">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开 户 行：</w:t>
            </w:r>
            <w:r>
              <w:rPr>
                <w:rFonts w:hint="eastAsia" w:ascii="仿宋_GB2312" w:hAnsi="仿宋_GB2312" w:eastAsia="仿宋_GB2312" w:cs="仿宋_GB2312"/>
                <w:color w:val="auto"/>
                <w:kern w:val="0"/>
                <w:szCs w:val="21"/>
                <w:highlight w:val="none"/>
                <w:u w:val="single"/>
              </w:rPr>
              <w:t xml:space="preserve">            </w:t>
            </w:r>
          </w:p>
          <w:p w14:paraId="2B867A9C">
            <w:pPr>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账    号：</w:t>
            </w:r>
            <w:r>
              <w:rPr>
                <w:rFonts w:hint="eastAsia" w:ascii="仿宋_GB2312" w:hAnsi="仿宋_GB2312" w:eastAsia="仿宋_GB2312" w:cs="仿宋_GB2312"/>
                <w:color w:val="auto"/>
                <w:kern w:val="0"/>
                <w:szCs w:val="21"/>
                <w:highlight w:val="none"/>
                <w:u w:val="single"/>
              </w:rPr>
              <w:t xml:space="preserve">            </w:t>
            </w:r>
          </w:p>
          <w:p w14:paraId="4D7F493A">
            <w:pPr>
              <w:ind w:firstLine="210" w:firstLineChars="1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履约保证金退还时间及规定：</w:t>
            </w:r>
            <w:r>
              <w:rPr>
                <w:rFonts w:hint="eastAsia" w:ascii="仿宋_GB2312" w:hAnsi="仿宋_GB2312" w:eastAsia="仿宋_GB2312" w:cs="仿宋_GB2312"/>
                <w:color w:val="auto"/>
                <w:kern w:val="0"/>
                <w:szCs w:val="21"/>
                <w:highlight w:val="none"/>
                <w:u w:val="single"/>
              </w:rPr>
              <w:t xml:space="preserve">                          </w:t>
            </w:r>
          </w:p>
          <w:p w14:paraId="10412BA2">
            <w:pPr>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b/>
                <w:bCs/>
                <w:color w:val="auto"/>
                <w:szCs w:val="21"/>
                <w:highlight w:val="none"/>
              </w:rPr>
              <w:t>（注：财政部门鼓励采用保函的方式递交履约保证金，具体办理流程参阅辽宁政府采购网）</w:t>
            </w:r>
          </w:p>
        </w:tc>
      </w:tr>
      <w:tr w14:paraId="7A9BE4D0">
        <w:tblPrEx>
          <w:tblCellMar>
            <w:top w:w="0" w:type="dxa"/>
            <w:left w:w="108" w:type="dxa"/>
            <w:bottom w:w="0" w:type="dxa"/>
            <w:right w:w="108" w:type="dxa"/>
          </w:tblCellMar>
        </w:tblPrEx>
        <w:tc>
          <w:tcPr>
            <w:tcW w:w="852" w:type="dxa"/>
            <w:tcBorders>
              <w:top w:val="nil"/>
              <w:left w:val="single" w:color="auto" w:sz="8" w:space="0"/>
              <w:bottom w:val="single" w:color="auto" w:sz="8" w:space="0"/>
              <w:right w:val="single" w:color="auto" w:sz="4" w:space="0"/>
            </w:tcBorders>
            <w:vAlign w:val="center"/>
          </w:tcPr>
          <w:p w14:paraId="7794EAD8">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36</w:t>
            </w:r>
          </w:p>
        </w:tc>
        <w:tc>
          <w:tcPr>
            <w:tcW w:w="1917" w:type="dxa"/>
            <w:tcBorders>
              <w:top w:val="nil"/>
              <w:left w:val="single" w:color="auto" w:sz="4" w:space="0"/>
              <w:bottom w:val="single" w:color="auto" w:sz="8" w:space="0"/>
              <w:right w:val="single" w:color="auto" w:sz="8" w:space="0"/>
            </w:tcBorders>
            <w:vAlign w:val="center"/>
          </w:tcPr>
          <w:p w14:paraId="329446E6">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采购代理服务费</w:t>
            </w:r>
          </w:p>
        </w:tc>
        <w:tc>
          <w:tcPr>
            <w:tcW w:w="5887" w:type="dxa"/>
            <w:tcBorders>
              <w:top w:val="nil"/>
              <w:left w:val="nil"/>
              <w:bottom w:val="single" w:color="auto" w:sz="8" w:space="0"/>
              <w:right w:val="single" w:color="auto" w:sz="8" w:space="0"/>
            </w:tcBorders>
            <w:vAlign w:val="center"/>
          </w:tcPr>
          <w:p w14:paraId="63B9DB75">
            <w:pPr>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sym w:font="Wingdings 2" w:char="00A3"/>
            </w:r>
            <w:r>
              <w:rPr>
                <w:rFonts w:hint="eastAsia" w:ascii="仿宋_GB2312" w:hAnsi="仿宋_GB2312" w:eastAsia="仿宋_GB2312" w:cs="仿宋_GB2312"/>
                <w:color w:val="auto"/>
                <w:szCs w:val="21"/>
                <w:highlight w:val="none"/>
              </w:rPr>
              <w:t>本项目不收取</w:t>
            </w:r>
            <w:r>
              <w:rPr>
                <w:rFonts w:hint="eastAsia" w:ascii="仿宋_GB2312" w:hAnsi="仿宋_GB2312" w:eastAsia="仿宋_GB2312" w:cs="仿宋_GB2312"/>
                <w:color w:val="auto"/>
                <w:kern w:val="0"/>
                <w:szCs w:val="21"/>
                <w:highlight w:val="none"/>
              </w:rPr>
              <w:t>采购代理服务费</w:t>
            </w:r>
          </w:p>
          <w:p w14:paraId="6AB81C6C">
            <w:pPr>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highlight w:val="none"/>
              </w:rPr>
              <w:sym w:font="Wingdings 2" w:char="0052"/>
            </w:r>
            <w:r>
              <w:rPr>
                <w:rFonts w:hint="eastAsia" w:ascii="仿宋_GB2312" w:hAnsi="仿宋_GB2312" w:eastAsia="仿宋_GB2312" w:cs="仿宋_GB2312"/>
                <w:color w:val="auto"/>
                <w:szCs w:val="21"/>
                <w:highlight w:val="none"/>
              </w:rPr>
              <w:t>本项目收取</w:t>
            </w:r>
            <w:r>
              <w:rPr>
                <w:rFonts w:hint="eastAsia" w:ascii="仿宋_GB2312" w:hAnsi="仿宋_GB2312" w:eastAsia="仿宋_GB2312" w:cs="仿宋_GB2312"/>
                <w:color w:val="auto"/>
                <w:kern w:val="0"/>
                <w:szCs w:val="21"/>
                <w:highlight w:val="none"/>
              </w:rPr>
              <w:t>采购代理服务费</w:t>
            </w:r>
          </w:p>
          <w:p w14:paraId="5660058A">
            <w:pPr>
              <w:widowControl/>
              <w:ind w:firstLine="210" w:firstLineChars="1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本项目采购代理服务费由</w:t>
            </w:r>
            <w:r>
              <w:rPr>
                <w:rFonts w:hint="eastAsia" w:ascii="仿宋_GB2312" w:hAnsi="仿宋_GB2312" w:eastAsia="仿宋_GB2312" w:cs="仿宋_GB2312"/>
                <w:color w:val="auto"/>
                <w:kern w:val="0"/>
                <w:szCs w:val="21"/>
                <w:highlight w:val="none"/>
                <w:u w:val="single"/>
              </w:rPr>
              <w:t>中标人</w:t>
            </w:r>
            <w:r>
              <w:rPr>
                <w:rFonts w:hint="eastAsia" w:ascii="仿宋_GB2312" w:hAnsi="仿宋_GB2312" w:eastAsia="仿宋_GB2312" w:cs="仿宋_GB2312"/>
                <w:color w:val="auto"/>
                <w:kern w:val="0"/>
                <w:szCs w:val="21"/>
                <w:highlight w:val="none"/>
              </w:rPr>
              <w:t>向采购代理机构予以支付。</w:t>
            </w:r>
          </w:p>
          <w:tbl>
            <w:tblPr>
              <w:tblStyle w:val="22"/>
              <w:tblW w:w="57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88"/>
              <w:gridCol w:w="1134"/>
              <w:gridCol w:w="1134"/>
              <w:gridCol w:w="1275"/>
            </w:tblGrid>
            <w:tr w14:paraId="28596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trPr>
              <w:tc>
                <w:tcPr>
                  <w:tcW w:w="2188" w:type="dxa"/>
                  <w:tcBorders>
                    <w:top w:val="single" w:color="auto" w:sz="4" w:space="0"/>
                    <w:left w:val="single" w:color="auto" w:sz="4" w:space="0"/>
                    <w:bottom w:val="single" w:color="auto" w:sz="4" w:space="0"/>
                    <w:right w:val="single" w:color="auto" w:sz="4" w:space="0"/>
                  </w:tcBorders>
                  <w:vAlign w:val="center"/>
                </w:tcPr>
                <w:p w14:paraId="46781F92">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mc:AlternateContent>
                      <mc:Choice Requires="wpg">
                        <w:drawing>
                          <wp:anchor distT="0" distB="0" distL="114300" distR="114300" simplePos="0" relativeHeight="251660288" behindDoc="0" locked="0" layoutInCell="1" allowOverlap="1">
                            <wp:simplePos x="0" y="0"/>
                            <wp:positionH relativeFrom="column">
                              <wp:posOffset>635</wp:posOffset>
                            </wp:positionH>
                            <wp:positionV relativeFrom="paragraph">
                              <wp:posOffset>10160</wp:posOffset>
                            </wp:positionV>
                            <wp:extent cx="1339850" cy="742315"/>
                            <wp:effectExtent l="2540" t="4445" r="3810" b="15240"/>
                            <wp:wrapNone/>
                            <wp:docPr id="18" name="组合 2"/>
                            <wp:cNvGraphicFramePr/>
                            <a:graphic xmlns:a="http://schemas.openxmlformats.org/drawingml/2006/main">
                              <a:graphicData uri="http://schemas.microsoft.com/office/word/2010/wordprocessingGroup">
                                <wpg:wgp>
                                  <wpg:cNvGrpSpPr/>
                                  <wpg:grpSpPr>
                                    <a:xfrm>
                                      <a:off x="0" y="0"/>
                                      <a:ext cx="1339850" cy="742315"/>
                                      <a:chOff x="0" y="0"/>
                                      <a:chExt cx="2534" cy="1169"/>
                                    </a:xfrm>
                                  </wpg:grpSpPr>
                                  <wps:wsp>
                                    <wps:cNvPr id="2" name="__TH_L134"/>
                                    <wps:cNvCnPr/>
                                    <wps:spPr>
                                      <a:xfrm>
                                        <a:off x="0" y="0"/>
                                        <a:ext cx="2534" cy="585"/>
                                      </a:xfrm>
                                      <a:prstGeom prst="line">
                                        <a:avLst/>
                                      </a:prstGeom>
                                      <a:ln w="6350" cap="flat" cmpd="sng">
                                        <a:solidFill>
                                          <a:srgbClr val="000000"/>
                                        </a:solidFill>
                                        <a:prstDash val="solid"/>
                                        <a:headEnd type="none" w="med" len="med"/>
                                        <a:tailEnd type="none" w="med" len="med"/>
                                      </a:ln>
                                    </wps:spPr>
                                    <wps:bodyPr/>
                                  </wps:wsp>
                                  <wps:wsp>
                                    <wps:cNvPr id="3" name="__TH_L135"/>
                                    <wps:cNvCnPr/>
                                    <wps:spPr>
                                      <a:xfrm>
                                        <a:off x="0" y="0"/>
                                        <a:ext cx="2534" cy="1169"/>
                                      </a:xfrm>
                                      <a:prstGeom prst="line">
                                        <a:avLst/>
                                      </a:prstGeom>
                                      <a:ln w="6350" cap="flat" cmpd="sng">
                                        <a:solidFill>
                                          <a:srgbClr val="000000"/>
                                        </a:solidFill>
                                        <a:prstDash val="solid"/>
                                        <a:headEnd type="none" w="med" len="med"/>
                                        <a:tailEnd type="none" w="med" len="med"/>
                                      </a:ln>
                                    </wps:spPr>
                                    <wps:bodyPr/>
                                  </wps:wsp>
                                  <wps:wsp>
                                    <wps:cNvPr id="4" name="__TH_B11136"/>
                                    <wps:cNvSpPr txBox="1"/>
                                    <wps:spPr>
                                      <a:xfrm>
                                        <a:off x="1081" y="0"/>
                                        <a:ext cx="253" cy="263"/>
                                      </a:xfrm>
                                      <a:prstGeom prst="rect">
                                        <a:avLst/>
                                      </a:prstGeom>
                                      <a:noFill/>
                                      <a:ln>
                                        <a:noFill/>
                                      </a:ln>
                                    </wps:spPr>
                                    <wps:txbx>
                                      <w:txbxContent>
                                        <w:p w14:paraId="47D68992">
                                          <w:pPr>
                                            <w:snapToGrid w:val="0"/>
                                          </w:pPr>
                                          <w:r>
                                            <w:rPr>
                                              <w:rFonts w:hint="eastAsia"/>
                                            </w:rPr>
                                            <w:t>招</w:t>
                                          </w:r>
                                        </w:p>
                                      </w:txbxContent>
                                    </wps:txbx>
                                    <wps:bodyPr wrap="square" lIns="0" tIns="0" rIns="0" bIns="0" upright="1"/>
                                  </wps:wsp>
                                  <wps:wsp>
                                    <wps:cNvPr id="5" name="__TH_B12137"/>
                                    <wps:cNvSpPr txBox="1"/>
                                    <wps:spPr>
                                      <a:xfrm>
                                        <a:off x="1424" y="33"/>
                                        <a:ext cx="253" cy="263"/>
                                      </a:xfrm>
                                      <a:prstGeom prst="rect">
                                        <a:avLst/>
                                      </a:prstGeom>
                                      <a:noFill/>
                                      <a:ln>
                                        <a:noFill/>
                                      </a:ln>
                                    </wps:spPr>
                                    <wps:txbx>
                                      <w:txbxContent>
                                        <w:p w14:paraId="68932BA1">
                                          <w:pPr>
                                            <w:snapToGrid w:val="0"/>
                                          </w:pPr>
                                          <w:r>
                                            <w:rPr>
                                              <w:rFonts w:hint="eastAsia"/>
                                            </w:rPr>
                                            <w:t>标</w:t>
                                          </w:r>
                                        </w:p>
                                      </w:txbxContent>
                                    </wps:txbx>
                                    <wps:bodyPr wrap="square" lIns="0" tIns="0" rIns="0" bIns="0" upright="1"/>
                                  </wps:wsp>
                                  <wps:wsp>
                                    <wps:cNvPr id="6" name="__TH_B13138"/>
                                    <wps:cNvSpPr txBox="1"/>
                                    <wps:spPr>
                                      <a:xfrm>
                                        <a:off x="1767" y="73"/>
                                        <a:ext cx="253" cy="262"/>
                                      </a:xfrm>
                                      <a:prstGeom prst="rect">
                                        <a:avLst/>
                                      </a:prstGeom>
                                      <a:noFill/>
                                      <a:ln>
                                        <a:noFill/>
                                      </a:ln>
                                    </wps:spPr>
                                    <wps:txbx>
                                      <w:txbxContent>
                                        <w:p w14:paraId="6114EDE9">
                                          <w:pPr>
                                            <w:snapToGrid w:val="0"/>
                                          </w:pPr>
                                          <w:r>
                                            <w:rPr>
                                              <w:rFonts w:hint="eastAsia"/>
                                            </w:rPr>
                                            <w:t>类</w:t>
                                          </w:r>
                                        </w:p>
                                      </w:txbxContent>
                                    </wps:txbx>
                                    <wps:bodyPr wrap="square" lIns="0" tIns="0" rIns="0" bIns="0" upright="1"/>
                                  </wps:wsp>
                                  <wps:wsp>
                                    <wps:cNvPr id="7" name="__TH_B14139"/>
                                    <wps:cNvSpPr txBox="1"/>
                                    <wps:spPr>
                                      <a:xfrm>
                                        <a:off x="2110" y="112"/>
                                        <a:ext cx="253" cy="263"/>
                                      </a:xfrm>
                                      <a:prstGeom prst="rect">
                                        <a:avLst/>
                                      </a:prstGeom>
                                      <a:noFill/>
                                      <a:ln>
                                        <a:noFill/>
                                      </a:ln>
                                    </wps:spPr>
                                    <wps:txbx>
                                      <w:txbxContent>
                                        <w:p w14:paraId="4154E91E">
                                          <w:pPr>
                                            <w:snapToGrid w:val="0"/>
                                          </w:pPr>
                                          <w:r>
                                            <w:rPr>
                                              <w:rFonts w:hint="eastAsia"/>
                                            </w:rPr>
                                            <w:t>别</w:t>
                                          </w:r>
                                        </w:p>
                                      </w:txbxContent>
                                    </wps:txbx>
                                    <wps:bodyPr wrap="square" lIns="0" tIns="0" rIns="0" bIns="0" upright="1"/>
                                  </wps:wsp>
                                  <wps:wsp>
                                    <wps:cNvPr id="8" name="__TH_B21140"/>
                                    <wps:cNvSpPr txBox="1"/>
                                    <wps:spPr>
                                      <a:xfrm>
                                        <a:off x="1323" y="355"/>
                                        <a:ext cx="214" cy="262"/>
                                      </a:xfrm>
                                      <a:prstGeom prst="rect">
                                        <a:avLst/>
                                      </a:prstGeom>
                                      <a:noFill/>
                                      <a:ln>
                                        <a:noFill/>
                                      </a:ln>
                                    </wps:spPr>
                                    <wps:txbx>
                                      <w:txbxContent>
                                        <w:p w14:paraId="69EE27EC">
                                          <w:pPr>
                                            <w:snapToGrid w:val="0"/>
                                          </w:pPr>
                                          <w:r>
                                            <w:rPr>
                                              <w:rFonts w:hint="eastAsia"/>
                                            </w:rPr>
                                            <w:t>费</w:t>
                                          </w:r>
                                        </w:p>
                                      </w:txbxContent>
                                    </wps:txbx>
                                    <wps:bodyPr wrap="square" lIns="0" tIns="0" rIns="0" bIns="0" upright="1"/>
                                  </wps:wsp>
                                  <wps:wsp>
                                    <wps:cNvPr id="9" name="__TH_B22141"/>
                                    <wps:cNvSpPr txBox="1"/>
                                    <wps:spPr>
                                      <a:xfrm>
                                        <a:off x="1987" y="591"/>
                                        <a:ext cx="253" cy="263"/>
                                      </a:xfrm>
                                      <a:prstGeom prst="rect">
                                        <a:avLst/>
                                      </a:prstGeom>
                                      <a:noFill/>
                                      <a:ln>
                                        <a:noFill/>
                                      </a:ln>
                                    </wps:spPr>
                                    <wps:txbx>
                                      <w:txbxContent>
                                        <w:p w14:paraId="0175E885">
                                          <w:pPr>
                                            <w:snapToGrid w:val="0"/>
                                          </w:pPr>
                                          <w:r>
                                            <w:rPr>
                                              <w:rFonts w:hint="eastAsia"/>
                                            </w:rPr>
                                            <w:t>率</w:t>
                                          </w:r>
                                        </w:p>
                                      </w:txbxContent>
                                    </wps:txbx>
                                    <wps:bodyPr wrap="square" lIns="0" tIns="0" rIns="0" bIns="0" upright="1"/>
                                  </wps:wsp>
                                  <wps:wsp>
                                    <wps:cNvPr id="10" name="__TH_B31142"/>
                                    <wps:cNvSpPr txBox="1"/>
                                    <wps:spPr>
                                      <a:xfrm>
                                        <a:off x="128" y="506"/>
                                        <a:ext cx="253" cy="263"/>
                                      </a:xfrm>
                                      <a:prstGeom prst="rect">
                                        <a:avLst/>
                                      </a:prstGeom>
                                      <a:noFill/>
                                      <a:ln>
                                        <a:noFill/>
                                      </a:ln>
                                    </wps:spPr>
                                    <wps:txbx>
                                      <w:txbxContent>
                                        <w:p w14:paraId="567C842B">
                                          <w:pPr>
                                            <w:snapToGrid w:val="0"/>
                                          </w:pPr>
                                          <w:r>
                                            <w:rPr>
                                              <w:rFonts w:hint="eastAsia"/>
                                            </w:rPr>
                                            <w:t>中</w:t>
                                          </w:r>
                                        </w:p>
                                      </w:txbxContent>
                                    </wps:txbx>
                                    <wps:bodyPr wrap="square" lIns="0" tIns="0" rIns="0" bIns="0" upright="1"/>
                                  </wps:wsp>
                                  <wps:wsp>
                                    <wps:cNvPr id="11" name="__TH_B32143"/>
                                    <wps:cNvSpPr txBox="1"/>
                                    <wps:spPr>
                                      <a:xfrm>
                                        <a:off x="375" y="563"/>
                                        <a:ext cx="253" cy="263"/>
                                      </a:xfrm>
                                      <a:prstGeom prst="rect">
                                        <a:avLst/>
                                      </a:prstGeom>
                                      <a:noFill/>
                                      <a:ln>
                                        <a:noFill/>
                                      </a:ln>
                                    </wps:spPr>
                                    <wps:txbx>
                                      <w:txbxContent>
                                        <w:p w14:paraId="200AB728">
                                          <w:pPr>
                                            <w:snapToGrid w:val="0"/>
                                          </w:pPr>
                                          <w:r>
                                            <w:rPr>
                                              <w:rFonts w:hint="eastAsia"/>
                                            </w:rPr>
                                            <w:t>标</w:t>
                                          </w:r>
                                        </w:p>
                                      </w:txbxContent>
                                    </wps:txbx>
                                    <wps:bodyPr wrap="square" lIns="0" tIns="0" rIns="0" bIns="0" upright="1"/>
                                  </wps:wsp>
                                  <wps:wsp>
                                    <wps:cNvPr id="12" name="__TH_B33144"/>
                                    <wps:cNvSpPr txBox="1"/>
                                    <wps:spPr>
                                      <a:xfrm>
                                        <a:off x="622" y="620"/>
                                        <a:ext cx="252" cy="263"/>
                                      </a:xfrm>
                                      <a:prstGeom prst="rect">
                                        <a:avLst/>
                                      </a:prstGeom>
                                      <a:noFill/>
                                      <a:ln>
                                        <a:noFill/>
                                      </a:ln>
                                    </wps:spPr>
                                    <wps:txbx>
                                      <w:txbxContent>
                                        <w:p w14:paraId="76664E42">
                                          <w:pPr>
                                            <w:snapToGrid w:val="0"/>
                                          </w:pPr>
                                          <w:r>
                                            <w:rPr>
                                              <w:rFonts w:hint="eastAsia"/>
                                            </w:rPr>
                                            <w:t>金</w:t>
                                          </w:r>
                                        </w:p>
                                      </w:txbxContent>
                                    </wps:txbx>
                                    <wps:bodyPr wrap="square" lIns="0" tIns="0" rIns="0" bIns="0" upright="1"/>
                                  </wps:wsp>
                                  <wps:wsp>
                                    <wps:cNvPr id="13" name="__TH_B34145"/>
                                    <wps:cNvSpPr txBox="1"/>
                                    <wps:spPr>
                                      <a:xfrm>
                                        <a:off x="869" y="677"/>
                                        <a:ext cx="252" cy="263"/>
                                      </a:xfrm>
                                      <a:prstGeom prst="rect">
                                        <a:avLst/>
                                      </a:prstGeom>
                                      <a:noFill/>
                                      <a:ln>
                                        <a:noFill/>
                                      </a:ln>
                                    </wps:spPr>
                                    <wps:txbx>
                                      <w:txbxContent>
                                        <w:p w14:paraId="64B08874">
                                          <w:pPr>
                                            <w:snapToGrid w:val="0"/>
                                          </w:pPr>
                                          <w:r>
                                            <w:rPr>
                                              <w:rFonts w:hint="eastAsia"/>
                                            </w:rPr>
                                            <w:t>额</w:t>
                                          </w:r>
                                        </w:p>
                                      </w:txbxContent>
                                    </wps:txbx>
                                    <wps:bodyPr wrap="square" lIns="0" tIns="0" rIns="0" bIns="0" upright="1"/>
                                  </wps:wsp>
                                  <wps:wsp>
                                    <wps:cNvPr id="14" name="__TH_B35146"/>
                                    <wps:cNvSpPr txBox="1"/>
                                    <wps:spPr>
                                      <a:xfrm>
                                        <a:off x="1115" y="734"/>
                                        <a:ext cx="253" cy="262"/>
                                      </a:xfrm>
                                      <a:prstGeom prst="rect">
                                        <a:avLst/>
                                      </a:prstGeom>
                                      <a:noFill/>
                                      <a:ln>
                                        <a:noFill/>
                                      </a:ln>
                                    </wps:spPr>
                                    <wps:txbx>
                                      <w:txbxContent>
                                        <w:p w14:paraId="1FEC6220">
                                          <w:pPr>
                                            <w:snapToGrid w:val="0"/>
                                          </w:pPr>
                                          <w:r>
                                            <w:rPr>
                                              <w:rFonts w:hint="eastAsia"/>
                                            </w:rPr>
                                            <w:t>（</w:t>
                                          </w:r>
                                        </w:p>
                                      </w:txbxContent>
                                    </wps:txbx>
                                    <wps:bodyPr wrap="square" lIns="0" tIns="0" rIns="0" bIns="0" upright="1"/>
                                  </wps:wsp>
                                  <wps:wsp>
                                    <wps:cNvPr id="15" name="__TH_B36147"/>
                                    <wps:cNvSpPr txBox="1"/>
                                    <wps:spPr>
                                      <a:xfrm>
                                        <a:off x="1362" y="791"/>
                                        <a:ext cx="253" cy="262"/>
                                      </a:xfrm>
                                      <a:prstGeom prst="rect">
                                        <a:avLst/>
                                      </a:prstGeom>
                                      <a:noFill/>
                                      <a:ln>
                                        <a:noFill/>
                                      </a:ln>
                                    </wps:spPr>
                                    <wps:txbx>
                                      <w:txbxContent>
                                        <w:p w14:paraId="5470DBF7">
                                          <w:pPr>
                                            <w:snapToGrid w:val="0"/>
                                          </w:pPr>
                                          <w:r>
                                            <w:rPr>
                                              <w:rFonts w:hint="eastAsia"/>
                                            </w:rPr>
                                            <w:t>万</w:t>
                                          </w:r>
                                        </w:p>
                                      </w:txbxContent>
                                    </wps:txbx>
                                    <wps:bodyPr wrap="square" lIns="0" tIns="0" rIns="0" bIns="0" upright="1"/>
                                  </wps:wsp>
                                  <wps:wsp>
                                    <wps:cNvPr id="16" name="__TH_B37148"/>
                                    <wps:cNvSpPr txBox="1"/>
                                    <wps:spPr>
                                      <a:xfrm>
                                        <a:off x="1633" y="848"/>
                                        <a:ext cx="204" cy="262"/>
                                      </a:xfrm>
                                      <a:prstGeom prst="rect">
                                        <a:avLst/>
                                      </a:prstGeom>
                                      <a:noFill/>
                                      <a:ln>
                                        <a:noFill/>
                                      </a:ln>
                                    </wps:spPr>
                                    <wps:txbx>
                                      <w:txbxContent>
                                        <w:p w14:paraId="502BD153">
                                          <w:pPr>
                                            <w:snapToGrid w:val="0"/>
                                          </w:pPr>
                                          <w:r>
                                            <w:rPr>
                                              <w:rFonts w:hint="eastAsia"/>
                                            </w:rPr>
                                            <w:t>元</w:t>
                                          </w:r>
                                        </w:p>
                                      </w:txbxContent>
                                    </wps:txbx>
                                    <wps:bodyPr wrap="square" lIns="0" tIns="0" rIns="0" bIns="0" upright="1"/>
                                  </wps:wsp>
                                  <wps:wsp>
                                    <wps:cNvPr id="17" name="__TH_B38149"/>
                                    <wps:cNvSpPr txBox="1"/>
                                    <wps:spPr>
                                      <a:xfrm>
                                        <a:off x="1951" y="905"/>
                                        <a:ext cx="62" cy="262"/>
                                      </a:xfrm>
                                      <a:prstGeom prst="rect">
                                        <a:avLst/>
                                      </a:prstGeom>
                                      <a:noFill/>
                                      <a:ln>
                                        <a:noFill/>
                                      </a:ln>
                                    </wps:spPr>
                                    <wps:txbx>
                                      <w:txbxContent>
                                        <w:p w14:paraId="233AB6E2">
                                          <w:pPr>
                                            <w:snapToGrid w:val="0"/>
                                          </w:pPr>
                                          <w:r>
                                            <w:rPr>
                                              <w:rFonts w:hint="eastAsia"/>
                                            </w:rPr>
                                            <w:t>）</w:t>
                                          </w:r>
                                        </w:p>
                                      </w:txbxContent>
                                    </wps:txbx>
                                    <wps:bodyPr wrap="square" lIns="0" tIns="0" rIns="0" bIns="0" upright="1"/>
                                  </wps:wsp>
                                </wpg:wgp>
                              </a:graphicData>
                            </a:graphic>
                          </wp:anchor>
                        </w:drawing>
                      </mc:Choice>
                      <mc:Fallback>
                        <w:pict>
                          <v:group id="组合 2" o:spid="_x0000_s1026" o:spt="203" style="position:absolute;left:0pt;margin-left:0.05pt;margin-top:0.8pt;height:58.45pt;width:105.5pt;z-index:251660288;mso-width-relative:page;mso-height-relative:page;" coordsize="2534,1169" o:gfxdata="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">
                            <o:lock v:ext="edit" aspectratio="f"/>
                            <v:line id="__TH_L134" o:spid="_x0000_s1026" o:spt="20" style="position:absolute;left:0;top:0;height:585;width:2534;" filled="f" stroked="t" coordsize="21600,21600" o:gfxdata="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r1ZYKugAAANoA&#10;AAAPAAAAAAAAAAEAIAAAACIAAABkcnMvZG93bnJldi54bWxQSwECFAAUAAAACACHTuJAMy8FnjsA&#10;AAA5AAAAEAAAAAAAAAABACAAAAAJAQAAZHJzL3NoYXBleG1sLnhtbFBLBQYAAAAABgAGAFsBAACz&#10;AwAAAAA=&#10;">
                              <v:fill on="f" focussize="0,0"/>
                              <v:stroke weight="0.5pt" color="#000000" joinstyle="round"/>
                              <v:imagedata o:title=""/>
                              <o:lock v:ext="edit" aspectratio="f"/>
                            </v:line>
                            <v:line id="__TH_L135" o:spid="_x0000_s1026" o:spt="20" style="position:absolute;left:0;top:0;height:1169;width:2534;" filled="f" stroked="t" coordsize="21600,21600" o:gfxdata="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JkzkbsAAADa&#10;AAAADwAAAAAAAAABACAAAAAiAAAAZHJzL2Rvd25yZXYueG1sUEsBAhQAFAAAAAgAh07iQDMvBZ47&#10;AAAAOQAAABAAAAAAAAAAAQAgAAAACgEAAGRycy9zaGFwZXhtbC54bWxQSwUGAAAAAAYABgBbAQAA&#10;tAMAAAAA&#10;">
                              <v:fill on="f" focussize="0,0"/>
                              <v:stroke weight="0.5pt" color="#000000" joinstyle="round"/>
                              <v:imagedata o:title=""/>
                              <o:lock v:ext="edit" aspectratio="f"/>
                            </v:line>
                            <v:shape id="__TH_B11136" o:spid="_x0000_s1026" o:spt="202" type="#_x0000_t202" style="position:absolute;left:1081;top:0;height:263;width:253;" filled="f" stroked="f" coordsize="21600,21600" o:gfxdata="UEsDBAoAAAAAAIdO4kAAAAAAAAAAAAAAAAAEAAAAZHJzL1BLAwQUAAAACACHTuJAcQBg570AAADa&#10;AAAADwAAAGRycy9kb3ducmV2LnhtbEWPQWsCMRSE70L/Q3gFb5pYR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xAGDn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47D68992">
                                    <w:pPr>
                                      <w:snapToGrid w:val="0"/>
                                    </w:pPr>
                                    <w:r>
                                      <w:rPr>
                                        <w:rFonts w:hint="eastAsia"/>
                                      </w:rPr>
                                      <w:t>招</w:t>
                                    </w:r>
                                  </w:p>
                                </w:txbxContent>
                              </v:textbox>
                            </v:shape>
                            <v:shape id="__TH_B12137" o:spid="_x0000_s1026" o:spt="202" type="#_x0000_t202" style="position:absolute;left:1424;top:33;height:263;width:253;" filled="f" stroked="f" coordsize="21600,21600" o:gfxdata="UEsDBAoAAAAAAIdO4kAAAAAAAAAAAAAAAAAEAAAAZHJzL1BLAwQUAAAACACHTuJAHkzFfL0AAADa&#10;AAAADwAAAGRycy9kb3ducmV2LnhtbEWPQWsCMRSE70L/Q3gFb5pYU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TMV8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68932BA1">
                                    <w:pPr>
                                      <w:snapToGrid w:val="0"/>
                                    </w:pPr>
                                    <w:r>
                                      <w:rPr>
                                        <w:rFonts w:hint="eastAsia"/>
                                      </w:rPr>
                                      <w:t>标</w:t>
                                    </w:r>
                                  </w:p>
                                </w:txbxContent>
                              </v:textbox>
                            </v:shape>
                            <v:shape id="__TH_B13138" o:spid="_x0000_s1026" o:spt="202" type="#_x0000_t202" style="position:absolute;left:1767;top:73;height:262;width:253;" filled="f" stroked="f" coordsize="21600,21600" o:gfxdata="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nlsL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6114EDE9">
                                    <w:pPr>
                                      <w:snapToGrid w:val="0"/>
                                    </w:pPr>
                                    <w:r>
                                      <w:rPr>
                                        <w:rFonts w:hint="eastAsia"/>
                                      </w:rPr>
                                      <w:t>类</w:t>
                                    </w:r>
                                  </w:p>
                                </w:txbxContent>
                              </v:textbox>
                            </v:shape>
                            <v:shape id="__TH_B14139" o:spid="_x0000_s1026" o:spt="202" type="#_x0000_t202" style="position:absolute;left:2110;top:112;height:263;width:253;" filled="f" stroked="f" coordsize="21600,21600" o:gfxdata="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dL+kL4A&#10;AADa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4154E91E">
                                    <w:pPr>
                                      <w:snapToGrid w:val="0"/>
                                    </w:pPr>
                                    <w:r>
                                      <w:rPr>
                                        <w:rFonts w:hint="eastAsia"/>
                                      </w:rPr>
                                      <w:t>别</w:t>
                                    </w:r>
                                  </w:p>
                                </w:txbxContent>
                              </v:textbox>
                            </v:shape>
                            <v:shape id="__TH_B21140" o:spid="_x0000_s1026" o:spt="202" type="#_x0000_t202" style="position:absolute;left:1323;top:355;height:262;width:214;" filled="f" stroked="f" coordsize="21600,21600" o:gfxdata="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BNauK5AAAA2gAA&#10;AA8AAAAAAAAAAQAgAAAAIgAAAGRycy9kb3ducmV2LnhtbFBLAQIUABQAAAAIAIdO4kAzLwWeOwAA&#10;ADkAAAAQAAAAAAAAAAEAIAAAAAgBAABkcnMvc2hhcGV4bWwueG1sUEsFBgAAAAAGAAYAWwEAALID&#10;AAAAAA==&#10;">
                              <v:fill on="f" focussize="0,0"/>
                              <v:stroke on="f"/>
                              <v:imagedata o:title=""/>
                              <o:lock v:ext="edit" aspectratio="f"/>
                              <v:textbox inset="0mm,0mm,0mm,0mm">
                                <w:txbxContent>
                                  <w:p w14:paraId="69EE27EC">
                                    <w:pPr>
                                      <w:snapToGrid w:val="0"/>
                                    </w:pPr>
                                    <w:r>
                                      <w:rPr>
                                        <w:rFonts w:hint="eastAsia"/>
                                      </w:rPr>
                                      <w:t>费</w:t>
                                    </w:r>
                                  </w:p>
                                </w:txbxContent>
                              </v:textbox>
                            </v:shape>
                            <v:shape id="__TH_B22141" o:spid="_x0000_s1026" o:spt="202" type="#_x0000_t202" style="position:absolute;left:1987;top:591;height:263;width:253;" filled="f" stroked="f" coordsize="21600,21600" o:gfxdata="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fAc95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0175E885">
                                    <w:pPr>
                                      <w:snapToGrid w:val="0"/>
                                    </w:pPr>
                                    <w:r>
                                      <w:rPr>
                                        <w:rFonts w:hint="eastAsia"/>
                                      </w:rPr>
                                      <w:t>率</w:t>
                                    </w:r>
                                  </w:p>
                                </w:txbxContent>
                              </v:textbox>
                            </v:shape>
                            <v:shape id="__TH_B31142" o:spid="_x0000_s1026" o:spt="202" type="#_x0000_t202" style="position:absolute;left:128;top:506;height:263;width:253;" filled="f" stroked="f" coordsize="21600,21600" o:gfxdata="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grxu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567C842B">
                                    <w:pPr>
                                      <w:snapToGrid w:val="0"/>
                                    </w:pPr>
                                    <w:r>
                                      <w:rPr>
                                        <w:rFonts w:hint="eastAsia"/>
                                      </w:rPr>
                                      <w:t>中</w:t>
                                    </w:r>
                                  </w:p>
                                </w:txbxContent>
                              </v:textbox>
                            </v:shape>
                            <v:shape id="__TH_B32143" o:spid="_x0000_s1026" o:spt="202" type="#_x0000_t202" style="position:absolute;left:375;top:563;height:263;width:253;" filled="f" stroked="f" coordsize="21600,21600" o:gfxdata="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UZUI7sAAADb&#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200AB728">
                                    <w:pPr>
                                      <w:snapToGrid w:val="0"/>
                                    </w:pPr>
                                    <w:r>
                                      <w:rPr>
                                        <w:rFonts w:hint="eastAsia"/>
                                      </w:rPr>
                                      <w:t>标</w:t>
                                    </w:r>
                                  </w:p>
                                </w:txbxContent>
                              </v:textbox>
                            </v:shape>
                            <v:shape id="__TH_B33144" o:spid="_x0000_s1026" o:spt="202" type="#_x0000_t202" style="position:absolute;left:622;top:620;height:263;width:252;" filled="f" stroked="f" coordsize="21600,21600" o:gfxdata="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WUylS8AAAA&#10;2w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76664E42">
                                    <w:pPr>
                                      <w:snapToGrid w:val="0"/>
                                    </w:pPr>
                                    <w:r>
                                      <w:rPr>
                                        <w:rFonts w:hint="eastAsia"/>
                                      </w:rPr>
                                      <w:t>金</w:t>
                                    </w:r>
                                  </w:p>
                                </w:txbxContent>
                              </v:textbox>
                            </v:shape>
                            <v:shape id="__TH_B34145" o:spid="_x0000_s1026" o:spt="202" type="#_x0000_t202" style="position:absolute;left:869;top:677;height:263;width:252;" filled="f" stroked="f" coordsize="21600,21600" o:gfxdata="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rYb8+8AAAA&#10;2w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64B08874">
                                    <w:pPr>
                                      <w:snapToGrid w:val="0"/>
                                    </w:pPr>
                                    <w:r>
                                      <w:rPr>
                                        <w:rFonts w:hint="eastAsia"/>
                                      </w:rPr>
                                      <w:t>额</w:t>
                                    </w:r>
                                  </w:p>
                                </w:txbxContent>
                              </v:textbox>
                            </v:shape>
                            <v:shape id="__TH_B35146" o:spid="_x0000_s1026" o:spt="202" type="#_x0000_t202" style="position:absolute;left:1115;top:734;height:262;width:253;" filled="f" stroked="f" coordsize="21600,21600" o:gfxdata="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Ux97u8AAAA&#10;2w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1FEC6220">
                                    <w:pPr>
                                      <w:snapToGrid w:val="0"/>
                                    </w:pPr>
                                    <w:r>
                                      <w:rPr>
                                        <w:rFonts w:hint="eastAsia"/>
                                      </w:rPr>
                                      <w:t>（</w:t>
                                    </w:r>
                                  </w:p>
                                </w:txbxContent>
                              </v:textbox>
                            </v:shape>
                            <v:shape id="__TH_B36147" o:spid="_x0000_s1026" o:spt="202" type="#_x0000_t202" style="position:absolute;left:1362;top:791;height:262;width:253;" filled="f" stroked="f" coordsize="21600,21600" o:gfxdata="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p9UiC8AAAA&#10;2w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5470DBF7">
                                    <w:pPr>
                                      <w:snapToGrid w:val="0"/>
                                    </w:pPr>
                                    <w:r>
                                      <w:rPr>
                                        <w:rFonts w:hint="eastAsia"/>
                                      </w:rPr>
                                      <w:t>万</w:t>
                                    </w:r>
                                  </w:p>
                                </w:txbxContent>
                              </v:textbox>
                            </v:shape>
                            <v:shape id="__TH_B37148" o:spid="_x0000_s1026" o:spt="202" type="#_x0000_t202" style="position:absolute;left:1633;top:848;height:262;width:204;" filled="f" stroked="f" coordsize="21600,21600" o:gfxdata="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qvzFe8AAAA&#10;2w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502BD153">
                                    <w:pPr>
                                      <w:snapToGrid w:val="0"/>
                                    </w:pPr>
                                    <w:r>
                                      <w:rPr>
                                        <w:rFonts w:hint="eastAsia"/>
                                      </w:rPr>
                                      <w:t>元</w:t>
                                    </w:r>
                                  </w:p>
                                </w:txbxContent>
                              </v:textbox>
                            </v:shape>
                            <v:shape id="__TH_B38149" o:spid="_x0000_s1026" o:spt="202" type="#_x0000_t202" style="position:absolute;left:1951;top:905;height:262;width:62;" filled="f" stroked="f" coordsize="21600,21600" o:gfxdata="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Xjacy8AAAA&#10;2w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233AB6E2">
                                    <w:pPr>
                                      <w:snapToGrid w:val="0"/>
                                    </w:pPr>
                                    <w:r>
                                      <w:rPr>
                                        <w:rFonts w:hint="eastAsia"/>
                                      </w:rPr>
                                      <w:t>）</w:t>
                                    </w:r>
                                  </w:p>
                                </w:txbxContent>
                              </v:textbox>
                            </v:shape>
                          </v:group>
                        </w:pict>
                      </mc:Fallback>
                    </mc:AlternateContent>
                  </w:r>
                </w:p>
              </w:tc>
              <w:tc>
                <w:tcPr>
                  <w:tcW w:w="1134" w:type="dxa"/>
                  <w:tcBorders>
                    <w:top w:val="single" w:color="auto" w:sz="4" w:space="0"/>
                    <w:left w:val="single" w:color="auto" w:sz="4" w:space="0"/>
                    <w:bottom w:val="single" w:color="auto" w:sz="4" w:space="0"/>
                    <w:right w:val="single" w:color="auto" w:sz="4" w:space="0"/>
                  </w:tcBorders>
                  <w:vAlign w:val="center"/>
                </w:tcPr>
                <w:p w14:paraId="567BC3E7">
                  <w:pPr>
                    <w:adjustRightInd w:val="0"/>
                    <w:snapToGrid w:val="0"/>
                    <w:spacing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货物招标</w:t>
                  </w:r>
                </w:p>
              </w:tc>
              <w:tc>
                <w:tcPr>
                  <w:tcW w:w="1134" w:type="dxa"/>
                  <w:tcBorders>
                    <w:top w:val="single" w:color="auto" w:sz="4" w:space="0"/>
                    <w:left w:val="single" w:color="auto" w:sz="4" w:space="0"/>
                    <w:bottom w:val="single" w:color="auto" w:sz="4" w:space="0"/>
                    <w:right w:val="single" w:color="auto" w:sz="4" w:space="0"/>
                  </w:tcBorders>
                  <w:vAlign w:val="center"/>
                </w:tcPr>
                <w:p w14:paraId="392792BA">
                  <w:pPr>
                    <w:adjustRightInd w:val="0"/>
                    <w:snapToGrid w:val="0"/>
                    <w:spacing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服务招标</w:t>
                  </w:r>
                </w:p>
              </w:tc>
              <w:tc>
                <w:tcPr>
                  <w:tcW w:w="1275" w:type="dxa"/>
                  <w:tcBorders>
                    <w:top w:val="single" w:color="auto" w:sz="4" w:space="0"/>
                    <w:left w:val="single" w:color="auto" w:sz="4" w:space="0"/>
                    <w:bottom w:val="single" w:color="auto" w:sz="4" w:space="0"/>
                    <w:right w:val="single" w:color="auto" w:sz="4" w:space="0"/>
                  </w:tcBorders>
                  <w:vAlign w:val="center"/>
                </w:tcPr>
                <w:p w14:paraId="131F9006">
                  <w:pPr>
                    <w:tabs>
                      <w:tab w:val="left" w:pos="672"/>
                    </w:tabs>
                    <w:adjustRightInd w:val="0"/>
                    <w:snapToGrid w:val="0"/>
                    <w:spacing w:line="360" w:lineRule="auto"/>
                    <w:ind w:right="96" w:rightChars="46"/>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工程招标</w:t>
                  </w:r>
                </w:p>
              </w:tc>
            </w:tr>
            <w:tr w14:paraId="70D1D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trPr>
              <w:tc>
                <w:tcPr>
                  <w:tcW w:w="2188" w:type="dxa"/>
                  <w:tcBorders>
                    <w:top w:val="single" w:color="auto" w:sz="4" w:space="0"/>
                    <w:left w:val="single" w:color="auto" w:sz="4" w:space="0"/>
                    <w:bottom w:val="single" w:color="auto" w:sz="4" w:space="0"/>
                    <w:right w:val="single" w:color="auto" w:sz="4" w:space="0"/>
                  </w:tcBorders>
                  <w:vAlign w:val="center"/>
                </w:tcPr>
                <w:p w14:paraId="2166CAFD">
                  <w:pPr>
                    <w:adjustRightInd w:val="0"/>
                    <w:snapToGrid w:val="0"/>
                    <w:spacing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100以下</w:t>
                  </w:r>
                </w:p>
              </w:tc>
              <w:tc>
                <w:tcPr>
                  <w:tcW w:w="1134" w:type="dxa"/>
                  <w:tcBorders>
                    <w:top w:val="single" w:color="auto" w:sz="4" w:space="0"/>
                    <w:left w:val="single" w:color="auto" w:sz="4" w:space="0"/>
                    <w:bottom w:val="single" w:color="auto" w:sz="4" w:space="0"/>
                    <w:right w:val="single" w:color="auto" w:sz="4" w:space="0"/>
                  </w:tcBorders>
                  <w:vAlign w:val="center"/>
                </w:tcPr>
                <w:p w14:paraId="5A977D12">
                  <w:pPr>
                    <w:pStyle w:val="17"/>
                    <w:pBdr>
                      <w:bottom w:val="none" w:color="auto" w:sz="0" w:space="0"/>
                    </w:pBdr>
                    <w:tabs>
                      <w:tab w:val="left" w:pos="420"/>
                    </w:tabs>
                    <w:adjustRightInd w:val="0"/>
                    <w:spacing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1.5%</w:t>
                  </w:r>
                </w:p>
              </w:tc>
              <w:tc>
                <w:tcPr>
                  <w:tcW w:w="1134" w:type="dxa"/>
                  <w:tcBorders>
                    <w:top w:val="single" w:color="auto" w:sz="4" w:space="0"/>
                    <w:left w:val="single" w:color="auto" w:sz="4" w:space="0"/>
                    <w:bottom w:val="single" w:color="auto" w:sz="4" w:space="0"/>
                    <w:right w:val="single" w:color="auto" w:sz="4" w:space="0"/>
                  </w:tcBorders>
                  <w:vAlign w:val="center"/>
                </w:tcPr>
                <w:p w14:paraId="24C239ED">
                  <w:pPr>
                    <w:adjustRightInd w:val="0"/>
                    <w:snapToGrid w:val="0"/>
                    <w:spacing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1.5%</w:t>
                  </w:r>
                </w:p>
              </w:tc>
              <w:tc>
                <w:tcPr>
                  <w:tcW w:w="1275" w:type="dxa"/>
                  <w:tcBorders>
                    <w:top w:val="single" w:color="auto" w:sz="4" w:space="0"/>
                    <w:left w:val="single" w:color="auto" w:sz="4" w:space="0"/>
                    <w:bottom w:val="single" w:color="auto" w:sz="4" w:space="0"/>
                    <w:right w:val="single" w:color="auto" w:sz="4" w:space="0"/>
                  </w:tcBorders>
                  <w:vAlign w:val="center"/>
                </w:tcPr>
                <w:p w14:paraId="6AC8E932">
                  <w:pPr>
                    <w:adjustRightInd w:val="0"/>
                    <w:snapToGrid w:val="0"/>
                    <w:spacing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1.0%</w:t>
                  </w:r>
                </w:p>
              </w:tc>
            </w:tr>
            <w:tr w14:paraId="27F63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trPr>
              <w:tc>
                <w:tcPr>
                  <w:tcW w:w="2188" w:type="dxa"/>
                  <w:tcBorders>
                    <w:top w:val="single" w:color="auto" w:sz="4" w:space="0"/>
                    <w:left w:val="single" w:color="auto" w:sz="4" w:space="0"/>
                    <w:bottom w:val="single" w:color="auto" w:sz="4" w:space="0"/>
                    <w:right w:val="single" w:color="auto" w:sz="4" w:space="0"/>
                  </w:tcBorders>
                  <w:vAlign w:val="center"/>
                </w:tcPr>
                <w:p w14:paraId="2AA6CB2F">
                  <w:pPr>
                    <w:adjustRightInd w:val="0"/>
                    <w:snapToGrid w:val="0"/>
                    <w:spacing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100--500</w:t>
                  </w:r>
                </w:p>
              </w:tc>
              <w:tc>
                <w:tcPr>
                  <w:tcW w:w="1134" w:type="dxa"/>
                  <w:tcBorders>
                    <w:top w:val="single" w:color="auto" w:sz="4" w:space="0"/>
                    <w:left w:val="single" w:color="auto" w:sz="4" w:space="0"/>
                    <w:bottom w:val="single" w:color="auto" w:sz="4" w:space="0"/>
                    <w:right w:val="single" w:color="auto" w:sz="4" w:space="0"/>
                  </w:tcBorders>
                  <w:vAlign w:val="center"/>
                </w:tcPr>
                <w:p w14:paraId="3F48BEE7">
                  <w:pPr>
                    <w:adjustRightInd w:val="0"/>
                    <w:snapToGrid w:val="0"/>
                    <w:spacing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1.1%</w:t>
                  </w:r>
                </w:p>
              </w:tc>
              <w:tc>
                <w:tcPr>
                  <w:tcW w:w="1134" w:type="dxa"/>
                  <w:tcBorders>
                    <w:top w:val="single" w:color="auto" w:sz="4" w:space="0"/>
                    <w:left w:val="single" w:color="auto" w:sz="4" w:space="0"/>
                    <w:bottom w:val="single" w:color="auto" w:sz="4" w:space="0"/>
                    <w:right w:val="single" w:color="auto" w:sz="4" w:space="0"/>
                  </w:tcBorders>
                  <w:vAlign w:val="center"/>
                </w:tcPr>
                <w:p w14:paraId="24F05E38">
                  <w:pPr>
                    <w:adjustRightInd w:val="0"/>
                    <w:snapToGrid w:val="0"/>
                    <w:spacing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0.8%</w:t>
                  </w:r>
                </w:p>
              </w:tc>
              <w:tc>
                <w:tcPr>
                  <w:tcW w:w="1275" w:type="dxa"/>
                  <w:tcBorders>
                    <w:top w:val="single" w:color="auto" w:sz="4" w:space="0"/>
                    <w:left w:val="single" w:color="auto" w:sz="4" w:space="0"/>
                    <w:bottom w:val="single" w:color="auto" w:sz="4" w:space="0"/>
                    <w:right w:val="single" w:color="auto" w:sz="4" w:space="0"/>
                  </w:tcBorders>
                  <w:vAlign w:val="center"/>
                </w:tcPr>
                <w:p w14:paraId="6E5F07DB">
                  <w:pPr>
                    <w:adjustRightInd w:val="0"/>
                    <w:snapToGrid w:val="0"/>
                    <w:spacing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0.7%</w:t>
                  </w:r>
                </w:p>
              </w:tc>
            </w:tr>
          </w:tbl>
          <w:p w14:paraId="2B4C4D78">
            <w:pPr>
              <w:widowControl/>
              <w:ind w:firstLine="630" w:firstLineChars="3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注：招标代理服务收费按差额定率累进法计算。例如：某货物招标代理业务中选金额为500万元，计算招标代理服务收费额如下：</w:t>
            </w:r>
          </w:p>
          <w:p w14:paraId="1E0CE273">
            <w:pPr>
              <w:widowControl/>
              <w:ind w:firstLine="630" w:firstLineChars="3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100万元×1.5％＝1.5万元</w:t>
            </w:r>
          </w:p>
          <w:p w14:paraId="5E32DAAE">
            <w:pPr>
              <w:widowControl/>
              <w:ind w:firstLine="630" w:firstLineChars="3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（500-100）万元×1.1％＝4.4万元</w:t>
            </w:r>
          </w:p>
          <w:p w14:paraId="7807D705">
            <w:pPr>
              <w:widowControl/>
              <w:ind w:firstLine="630" w:firstLineChars="3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合计收费：1.5+4.4＝5.9（万元）</w:t>
            </w:r>
          </w:p>
          <w:p w14:paraId="6371B393">
            <w:pPr>
              <w:widowControl/>
              <w:ind w:firstLine="210" w:firstLineChars="1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支付标准：</w:t>
            </w:r>
            <w:r>
              <w:rPr>
                <w:rFonts w:hint="eastAsia" w:ascii="仿宋_GB2312" w:hAnsi="仿宋_GB2312" w:eastAsia="仿宋_GB2312" w:cs="仿宋_GB2312"/>
                <w:color w:val="auto"/>
                <w:kern w:val="0"/>
                <w:szCs w:val="21"/>
                <w:highlight w:val="none"/>
                <w:u w:val="single"/>
              </w:rPr>
              <w:t>按货物招标标准的70%收取</w:t>
            </w:r>
          </w:p>
          <w:p w14:paraId="657D4BB5">
            <w:pPr>
              <w:widowControl/>
              <w:ind w:firstLine="210" w:firstLineChars="1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支付形式：</w:t>
            </w:r>
            <w:r>
              <w:rPr>
                <w:rFonts w:hint="eastAsia" w:ascii="仿宋_GB2312" w:hAnsi="仿宋_GB2312" w:eastAsia="仿宋_GB2312" w:cs="仿宋_GB2312"/>
                <w:color w:val="auto"/>
                <w:kern w:val="0"/>
                <w:szCs w:val="21"/>
                <w:highlight w:val="none"/>
                <w:u w:val="single"/>
              </w:rPr>
              <w:t>现金、转账、支票均可</w:t>
            </w:r>
          </w:p>
          <w:p w14:paraId="54845103">
            <w:pPr>
              <w:widowControl/>
              <w:ind w:firstLine="210" w:firstLineChars="1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支付时间：</w:t>
            </w:r>
            <w:r>
              <w:rPr>
                <w:rFonts w:hint="eastAsia" w:ascii="仿宋_GB2312" w:hAnsi="仿宋_GB2312" w:eastAsia="仿宋_GB2312" w:cs="仿宋_GB2312"/>
                <w:color w:val="auto"/>
                <w:kern w:val="0"/>
                <w:szCs w:val="21"/>
                <w:highlight w:val="none"/>
                <w:u w:val="single"/>
              </w:rPr>
              <w:t>领取中标通知书时缴纳</w:t>
            </w:r>
          </w:p>
        </w:tc>
      </w:tr>
      <w:tr w14:paraId="14B4CD94">
        <w:tblPrEx>
          <w:tblCellMar>
            <w:top w:w="0" w:type="dxa"/>
            <w:left w:w="108" w:type="dxa"/>
            <w:bottom w:w="0" w:type="dxa"/>
            <w:right w:w="108" w:type="dxa"/>
          </w:tblCellMar>
        </w:tblPrEx>
        <w:tc>
          <w:tcPr>
            <w:tcW w:w="852" w:type="dxa"/>
            <w:tcBorders>
              <w:top w:val="single" w:color="auto" w:sz="4" w:space="0"/>
              <w:left w:val="single" w:color="auto" w:sz="8" w:space="0"/>
              <w:bottom w:val="single" w:color="auto" w:sz="4" w:space="0"/>
              <w:right w:val="single" w:color="auto" w:sz="4" w:space="0"/>
            </w:tcBorders>
            <w:vAlign w:val="center"/>
          </w:tcPr>
          <w:p w14:paraId="25D93944">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39.3</w:t>
            </w:r>
          </w:p>
        </w:tc>
        <w:tc>
          <w:tcPr>
            <w:tcW w:w="1917" w:type="dxa"/>
            <w:tcBorders>
              <w:top w:val="single" w:color="auto" w:sz="4" w:space="0"/>
              <w:left w:val="single" w:color="auto" w:sz="4" w:space="0"/>
              <w:bottom w:val="single" w:color="auto" w:sz="4" w:space="0"/>
              <w:right w:val="single" w:color="auto" w:sz="8" w:space="0"/>
            </w:tcBorders>
            <w:vAlign w:val="center"/>
          </w:tcPr>
          <w:p w14:paraId="3B11837C">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质疑</w:t>
            </w:r>
          </w:p>
        </w:tc>
        <w:tc>
          <w:tcPr>
            <w:tcW w:w="5887" w:type="dxa"/>
            <w:tcBorders>
              <w:top w:val="single" w:color="auto" w:sz="4" w:space="0"/>
              <w:left w:val="nil"/>
              <w:bottom w:val="single" w:color="auto" w:sz="4" w:space="0"/>
              <w:right w:val="single" w:color="auto" w:sz="8" w:space="0"/>
            </w:tcBorders>
            <w:vAlign w:val="center"/>
          </w:tcPr>
          <w:p w14:paraId="71AB8B70">
            <w:pPr>
              <w:widowControl/>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一、投标人认为自己的权益受到损害的，可以在知道或者应知其权益受到损害之日起七个工作日内，向采购代理机构提出质疑。</w:t>
            </w:r>
          </w:p>
          <w:p w14:paraId="6CD6D9EF">
            <w:pPr>
              <w:widowControl/>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1、接收质疑函的方式：接收加盖单位公章的线上或书面质疑函。</w:t>
            </w:r>
          </w:p>
          <w:p w14:paraId="63B066A3">
            <w:pPr>
              <w:widowControl/>
              <w:ind w:firstLine="420" w:firstLineChars="200"/>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szCs w:val="21"/>
                <w:highlight w:val="none"/>
              </w:rPr>
              <w:t>联系单位：</w:t>
            </w:r>
            <w:r>
              <w:rPr>
                <w:rFonts w:hint="eastAsia" w:ascii="仿宋_GB2312" w:hAnsi="仿宋_GB2312" w:eastAsia="仿宋_GB2312" w:cs="仿宋_GB2312"/>
                <w:color w:val="auto"/>
                <w:kern w:val="0"/>
                <w:szCs w:val="21"/>
                <w:highlight w:val="none"/>
                <w:u w:val="single"/>
              </w:rPr>
              <w:t>通利晟信管理咨询有限公司。</w:t>
            </w:r>
          </w:p>
          <w:p w14:paraId="44CF0187">
            <w:pPr>
              <w:widowControl/>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联 系 人：</w:t>
            </w:r>
            <w:r>
              <w:rPr>
                <w:rFonts w:hint="eastAsia" w:ascii="仿宋_GB2312" w:hAnsi="仿宋_GB2312" w:eastAsia="仿宋_GB2312" w:cs="仿宋_GB2312"/>
                <w:color w:val="auto"/>
                <w:kern w:val="0"/>
                <w:szCs w:val="21"/>
                <w:highlight w:val="none"/>
                <w:u w:val="single"/>
              </w:rPr>
              <w:t>吴靖。</w:t>
            </w:r>
          </w:p>
          <w:p w14:paraId="1B7B81ED">
            <w:pPr>
              <w:widowControl/>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联系电话：</w:t>
            </w:r>
            <w:r>
              <w:rPr>
                <w:rFonts w:hint="eastAsia" w:ascii="仿宋_GB2312" w:hAnsi="仿宋_GB2312" w:eastAsia="仿宋_GB2312" w:cs="仿宋_GB2312"/>
                <w:color w:val="auto"/>
                <w:kern w:val="0"/>
                <w:szCs w:val="21"/>
                <w:highlight w:val="none"/>
                <w:u w:val="single"/>
              </w:rPr>
              <w:t>0411-84350112。</w:t>
            </w:r>
          </w:p>
          <w:p w14:paraId="4C803F9A">
            <w:pPr>
              <w:widowControl/>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通讯地址：</w:t>
            </w:r>
            <w:r>
              <w:rPr>
                <w:rFonts w:hint="eastAsia" w:ascii="仿宋_GB2312" w:hAnsi="仿宋_GB2312" w:eastAsia="仿宋_GB2312" w:cs="仿宋_GB2312"/>
                <w:color w:val="auto"/>
                <w:kern w:val="0"/>
                <w:szCs w:val="21"/>
                <w:highlight w:val="none"/>
                <w:u w:val="single"/>
              </w:rPr>
              <w:t>大连市沙河口区万岁街135号。</w:t>
            </w:r>
          </w:p>
          <w:p w14:paraId="2C1EBE17">
            <w:pPr>
              <w:widowControl/>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2、质疑函的内容、格式：应符合《政府采购质疑和投诉办法》相关规定和财政部门制定的《政府采购质疑函范本》格式。</w:t>
            </w:r>
          </w:p>
          <w:p w14:paraId="45FB1246">
            <w:pPr>
              <w:pStyle w:val="1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二、投标人应在法定质疑期内一次性针对同一采购程序环节提出质疑，否则针对再次提出质疑将不予接收。（采购程序环节分为：</w:t>
            </w:r>
            <w:r>
              <w:rPr>
                <w:rFonts w:hint="eastAsia" w:ascii="仿宋_GB2312" w:hAnsi="仿宋_GB2312" w:eastAsia="仿宋_GB2312" w:cs="仿宋_GB2312"/>
                <w:color w:val="auto"/>
                <w:kern w:val="0"/>
                <w:szCs w:val="21"/>
                <w:highlight w:val="none"/>
              </w:rPr>
              <w:t>招标</w:t>
            </w:r>
            <w:r>
              <w:rPr>
                <w:rFonts w:hint="eastAsia" w:ascii="仿宋_GB2312" w:hAnsi="仿宋_GB2312" w:eastAsia="仿宋_GB2312" w:cs="仿宋_GB2312"/>
                <w:color w:val="auto"/>
                <w:szCs w:val="21"/>
                <w:highlight w:val="none"/>
              </w:rPr>
              <w:t>公告、招标文件、招标过程、中标结果）</w:t>
            </w:r>
          </w:p>
        </w:tc>
      </w:tr>
    </w:tbl>
    <w:p w14:paraId="710D3F9F">
      <w:pP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3注：表格中“</w:t>
      </w:r>
      <w:r>
        <w:rPr>
          <w:rFonts w:hint="eastAsia" w:ascii="仿宋_GB2312" w:hAnsi="仿宋_GB2312" w:eastAsia="仿宋_GB2312" w:cs="仿宋_GB2312"/>
          <w:color w:val="auto"/>
          <w:highlight w:val="none"/>
        </w:rPr>
        <w:sym w:font="Wingdings 2" w:char="0052"/>
      </w:r>
      <w:r>
        <w:rPr>
          <w:rFonts w:hint="eastAsia" w:ascii="仿宋_GB2312" w:hAnsi="仿宋_GB2312" w:eastAsia="仿宋_GB2312" w:cs="仿宋_GB2312"/>
          <w:color w:val="auto"/>
          <w:highlight w:val="none"/>
        </w:rPr>
        <w:t>”项或“■”项为被选中项。</w:t>
      </w:r>
    </w:p>
    <w:p w14:paraId="52358ED7">
      <w:pPr>
        <w:pStyle w:val="3"/>
        <w:adjustRightInd w:val="0"/>
        <w:snapToGrid w:val="0"/>
        <w:spacing w:before="0" w:after="0" w:line="360" w:lineRule="auto"/>
        <w:rPr>
          <w:rFonts w:ascii="仿宋_GB2312" w:hAnsi="仿宋_GB2312" w:eastAsia="仿宋_GB2312" w:cs="仿宋_GB2312"/>
          <w:color w:val="auto"/>
          <w:sz w:val="32"/>
          <w:szCs w:val="36"/>
          <w:highlight w:val="none"/>
        </w:rPr>
      </w:pPr>
      <w:r>
        <w:rPr>
          <w:rFonts w:hint="eastAsia" w:ascii="仿宋_GB2312" w:hAnsi="仿宋_GB2312" w:eastAsia="仿宋_GB2312" w:cs="仿宋_GB2312"/>
          <w:color w:val="auto"/>
          <w:sz w:val="21"/>
          <w:szCs w:val="21"/>
          <w:highlight w:val="none"/>
        </w:rPr>
        <w:br w:type="page"/>
      </w:r>
      <w:bookmarkStart w:id="36" w:name="_Toc30384_WPSOffice_Level2"/>
      <w:r>
        <w:rPr>
          <w:rFonts w:hint="eastAsia" w:ascii="仿宋_GB2312" w:hAnsi="仿宋_GB2312" w:eastAsia="仿宋_GB2312" w:cs="仿宋_GB2312"/>
          <w:color w:val="auto"/>
          <w:sz w:val="32"/>
          <w:szCs w:val="36"/>
          <w:highlight w:val="none"/>
        </w:rPr>
        <w:t>二 总则</w:t>
      </w:r>
      <w:bookmarkEnd w:id="36"/>
    </w:p>
    <w:p w14:paraId="482E8F94">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1.采购人、采购代理机构及投标人</w:t>
      </w:r>
    </w:p>
    <w:p w14:paraId="07526CF0">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1.1采购人：是指依法进行政府采购的国家机关、事业单位、团体组织。本项目采购人见投标人须知表1.1款。</w:t>
      </w:r>
    </w:p>
    <w:p w14:paraId="0FB0F895">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1.2采购代理机构：是指集中采购机构或从事采购代理业务的社会中介机构，本项目的采购代理机构见投标人须知表1.2款。</w:t>
      </w:r>
    </w:p>
    <w:p w14:paraId="20E18DB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★1.3投标人：是指向采购人提供货物、工程或者服务的法人、非法人组织或者自然人。本项目的投标人及其投标货物须满足以下条件：</w:t>
      </w:r>
    </w:p>
    <w:p w14:paraId="2A70518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1.3.1在中华人民共和国境内注册，能够独立承担民事责任，有生产或供应能力的本国供应商。</w:t>
      </w:r>
    </w:p>
    <w:p w14:paraId="770C324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1.3.2符合《中华人民共和国政府采购法》第二十二条关于供应商条件的规定，遵守本项目采购人本级和上级财政部门关于政府采购的有关规定。</w:t>
      </w:r>
    </w:p>
    <w:p w14:paraId="0F581942">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1.3.3以采购代理机构认可的方式获得了本项目的招标文件。</w:t>
      </w:r>
    </w:p>
    <w:p w14:paraId="48F9C186">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1.3.4符合投标人须知表1.3.4款中规定的资格条件。</w:t>
      </w:r>
    </w:p>
    <w:p w14:paraId="5F81CC8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14:paraId="29853796">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若投标人须知表1.3.5款中未写明允许采购进口产品，如投标人所投产品为进口产品，其投标将被认定为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5E98F07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1.3.6若投标人须知表1.3.6款中写明专门面向中小企业采购的，如投标人为非中小企业且所投产品为非中小企业产品，其投标将被认定为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3CC0B1A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1.3.7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2A6DED56">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★1.4如投标人须知表1.4款中允许联合体投标，对联合体规定如下：</w:t>
      </w:r>
    </w:p>
    <w:p w14:paraId="3C81A245">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1.4.1两个以上供应商可以组成一个投标联合体，以一个投标人的身份投标。</w:t>
      </w:r>
    </w:p>
    <w:p w14:paraId="1DCC8BC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1.4.2联合体各方均应符合《中华人民共和国政府采购法》第二十二条规定的条件。</w:t>
      </w:r>
    </w:p>
    <w:p w14:paraId="5F5A61D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1.4.3采购人根据采购项目对投标人的特殊要求，联合体中至少应当有一方符合相关规定。</w:t>
      </w:r>
    </w:p>
    <w:p w14:paraId="636E1A0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1.4.4联合体各方应签订共同投标协议，明确约定联合体各方承担的工作和相应的责任。</w:t>
      </w:r>
    </w:p>
    <w:p w14:paraId="45B690A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1.4.5大中型企业、其他自然人、法人或者非法人组织与小型、微型企业组成联合体共同参加投标，共同投标协议中应写明小型、微型企业的协议合同金额占到共同投标协议投标总金额的比例。</w:t>
      </w:r>
    </w:p>
    <w:p w14:paraId="2C6CF192">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1.4.6联合体中有同类资质的供应商按照联合体分工承担相同工作的，按照较低的资质等级确定联合体的资质等级。</w:t>
      </w:r>
    </w:p>
    <w:p w14:paraId="5B51863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1.4.7以联合体形式参加政府采购活动的，联合体各方不得再单独参加或者与其他供应商另外组成联合体参加本项目投标，否则相关投标将被认定为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310C2B4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（1）两个以上的自然人、法人或者其他组织可以组成一个联合体，以一个投标人的身份共同参加政府采购活动。</w:t>
      </w:r>
    </w:p>
    <w:p w14:paraId="03C87DD0">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（2）联合体中标的，联合体各方应共同与采购人签订采购合同，就采购合同约定的事项对采购人承担连带责任。</w:t>
      </w:r>
    </w:p>
    <w:p w14:paraId="260644B4">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1.4.8对联合体投标的其他资格要求见投标人须知表1.4.8款。</w:t>
      </w:r>
    </w:p>
    <w:p w14:paraId="0C1397D0">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★1.5单位负责人为同一人或者存在直接控股、管理关系的不同供应商，其相关投标将被认定为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3B87672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★1.6为本项目提供过整体设计、规范编制或者项目管理、监理、检测等服务的供应商，不得再参加本项目上述服务以外的其他采购活动，否则其投标将被认定为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476A182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★1.7投标人在投标过程中不得向采购人提供、给予任何有价值的物品，影响其正常决策行为。一经发现，其将被认定为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22FFCFC2">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2.资金来源</w:t>
      </w:r>
    </w:p>
    <w:p w14:paraId="30AD71AF">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2.1本项目的采购人已获得足以支付本次招标后所签订的合同项下的资金（包括财政性资金和本项目采购中无法与财政性资金分割的非财政性资金）。</w:t>
      </w:r>
    </w:p>
    <w:p w14:paraId="02CF5390">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w:t>
      </w:r>
      <w:r>
        <w:rPr>
          <w:rFonts w:hint="eastAsia" w:ascii="仿宋_GB2312" w:hAnsi="仿宋_GB2312" w:eastAsia="仿宋_GB2312" w:cs="仿宋_GB2312"/>
          <w:color w:val="auto"/>
          <w:szCs w:val="21"/>
          <w:highlight w:val="none"/>
        </w:rPr>
        <w:t>2.2项目预算金额和分项或分包最高限价见投标人须知表2.2款。</w:t>
      </w:r>
    </w:p>
    <w:p w14:paraId="261D5B74">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w:t>
      </w:r>
      <w:r>
        <w:rPr>
          <w:rFonts w:hint="eastAsia" w:ascii="仿宋_GB2312" w:hAnsi="仿宋_GB2312" w:eastAsia="仿宋_GB2312" w:cs="仿宋_GB2312"/>
          <w:color w:val="auto"/>
          <w:szCs w:val="21"/>
          <w:highlight w:val="none"/>
        </w:rPr>
        <w:t>2.3投标人报价超过招标文件规定的预算金额或者分项、分包最高限价的，其投标将被认定为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0365054B">
      <w:pPr>
        <w:adjustRightInd w:val="0"/>
        <w:snapToGrid w:val="0"/>
        <w:spacing w:line="360" w:lineRule="auto"/>
        <w:rPr>
          <w:rFonts w:ascii="仿宋_GB2312" w:hAnsi="仿宋_GB2312" w:eastAsia="仿宋_GB2312" w:cs="仿宋_GB2312"/>
          <w:b/>
          <w:bCs/>
          <w:color w:val="auto"/>
          <w:szCs w:val="21"/>
          <w:highlight w:val="none"/>
        </w:rPr>
      </w:pPr>
      <w:bookmarkStart w:id="37" w:name="_Toc266951048"/>
      <w:r>
        <w:rPr>
          <w:rFonts w:hint="eastAsia" w:ascii="仿宋_GB2312" w:hAnsi="仿宋_GB2312" w:eastAsia="仿宋_GB2312" w:cs="仿宋_GB2312"/>
          <w:b/>
          <w:bCs/>
          <w:color w:val="auto"/>
          <w:szCs w:val="21"/>
          <w:highlight w:val="none"/>
        </w:rPr>
        <w:t>3.语言文字</w:t>
      </w:r>
      <w:bookmarkEnd w:id="37"/>
    </w:p>
    <w:p w14:paraId="603F1C68">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除专用术语外，与投标有关的语言均使用中文。必要时专用术语应附有中文注释。对不同文字文本投标文件的解释发生异议的，以中文文本为准。</w:t>
      </w:r>
    </w:p>
    <w:p w14:paraId="034719E2">
      <w:pPr>
        <w:adjustRightInd w:val="0"/>
        <w:snapToGrid w:val="0"/>
        <w:spacing w:line="360" w:lineRule="auto"/>
        <w:rPr>
          <w:rFonts w:ascii="仿宋_GB2312" w:hAnsi="仿宋_GB2312" w:eastAsia="仿宋_GB2312" w:cs="仿宋_GB2312"/>
          <w:b/>
          <w:bCs/>
          <w:color w:val="auto"/>
          <w:szCs w:val="21"/>
          <w:highlight w:val="none"/>
        </w:rPr>
      </w:pPr>
      <w:bookmarkStart w:id="38" w:name="_1.8_计量单位"/>
      <w:bookmarkEnd w:id="38"/>
      <w:bookmarkStart w:id="39" w:name="_Toc266951049"/>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4.计量单位</w:t>
      </w:r>
      <w:bookmarkEnd w:id="39"/>
    </w:p>
    <w:p w14:paraId="3E918267">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除投标人须知表4款中有特殊要求外，投标文件中所使用的计量单位，应采用中华人民共和国法定计量单位。</w:t>
      </w:r>
    </w:p>
    <w:p w14:paraId="19008ED3">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5.投标费用</w:t>
      </w:r>
    </w:p>
    <w:p w14:paraId="7BC5E662">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不论投标的结果如何，投标人应承担所有与投标有关的费用。</w:t>
      </w:r>
    </w:p>
    <w:p w14:paraId="5F4455E8">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6.现场考察、开标前答疑会</w:t>
      </w:r>
    </w:p>
    <w:p w14:paraId="5A4CCA4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6.1</w:t>
      </w:r>
      <w:r>
        <w:rPr>
          <w:color w:val="auto"/>
          <w:highlight w:val="none"/>
        </w:rPr>
        <w:fldChar w:fldCharType="begin"/>
      </w:r>
      <w:r>
        <w:rPr>
          <w:color w:val="auto"/>
          <w:highlight w:val="none"/>
        </w:rPr>
        <w:instrText xml:space="preserve"> HYPERLINK \l "_踏勘现场" </w:instrText>
      </w:r>
      <w:r>
        <w:rPr>
          <w:color w:val="auto"/>
          <w:highlight w:val="none"/>
        </w:rPr>
        <w:fldChar w:fldCharType="separate"/>
      </w:r>
      <w:r>
        <w:rPr>
          <w:rFonts w:hint="eastAsia" w:ascii="仿宋_GB2312" w:hAnsi="仿宋_GB2312" w:eastAsia="仿宋_GB2312" w:cs="仿宋_GB2312"/>
          <w:color w:val="auto"/>
          <w:szCs w:val="21"/>
          <w:highlight w:val="none"/>
        </w:rPr>
        <w:t>投标人须知表</w:t>
      </w:r>
      <w:r>
        <w:rPr>
          <w:rFonts w:hint="eastAsia" w:ascii="仿宋_GB2312" w:hAnsi="仿宋_GB2312" w:eastAsia="仿宋_GB2312" w:cs="仿宋_GB2312"/>
          <w:color w:val="auto"/>
          <w:szCs w:val="21"/>
          <w:highlight w:val="none"/>
        </w:rPr>
        <w:fldChar w:fldCharType="end"/>
      </w:r>
      <w:r>
        <w:rPr>
          <w:rFonts w:hint="eastAsia" w:ascii="仿宋_GB2312" w:hAnsi="仿宋_GB2312" w:eastAsia="仿宋_GB2312" w:cs="仿宋_GB2312"/>
          <w:color w:val="auto"/>
          <w:szCs w:val="21"/>
          <w:highlight w:val="none"/>
        </w:rPr>
        <w:t>6.1款规定组织现场考察或开标前答疑会的，采购人按规定的时间、地点组织投标人现场考察或开标前答疑会，或者在领取招标文件期限截止后以书面形式通知所有获取招标文件的潜在投标人。</w:t>
      </w:r>
    </w:p>
    <w:p w14:paraId="5FCED224">
      <w:pPr>
        <w:adjustRightInd w:val="0"/>
        <w:snapToGrid w:val="0"/>
        <w:spacing w:line="360" w:lineRule="auto"/>
        <w:rPr>
          <w:rFonts w:ascii="仿宋_GB2312" w:hAnsi="仿宋_GB2312" w:eastAsia="仿宋_GB2312" w:cs="仿宋_GB2312"/>
          <w:b/>
          <w:bCs/>
          <w:color w:val="auto"/>
          <w:szCs w:val="21"/>
          <w:highlight w:val="none"/>
        </w:rPr>
      </w:pPr>
      <w:bookmarkStart w:id="40" w:name="_1.10_投标预备会"/>
      <w:bookmarkEnd w:id="40"/>
      <w:r>
        <w:rPr>
          <w:rFonts w:hint="eastAsia" w:ascii="仿宋_GB2312" w:hAnsi="仿宋_GB2312" w:eastAsia="仿宋_GB2312" w:cs="仿宋_GB2312"/>
          <w:color w:val="auto"/>
          <w:szCs w:val="21"/>
          <w:highlight w:val="none"/>
        </w:rPr>
        <w:t>6.2</w:t>
      </w:r>
      <w:r>
        <w:rPr>
          <w:rFonts w:hint="eastAsia" w:ascii="仿宋_GB2312" w:hAnsi="仿宋_GB2312" w:eastAsia="仿宋_GB2312" w:cs="仿宋_GB2312"/>
          <w:color w:val="auto"/>
          <w:kern w:val="0"/>
          <w:szCs w:val="21"/>
          <w:highlight w:val="none"/>
        </w:rPr>
        <w:t>由于未参加现场考察或标前答疑而导致对项目实际情况不了解，影响技术文件编制、</w:t>
      </w:r>
      <w:r>
        <w:rPr>
          <w:rFonts w:hint="eastAsia" w:ascii="仿宋_GB2312" w:hAnsi="仿宋_GB2312" w:eastAsia="仿宋_GB2312" w:cs="仿宋_GB2312"/>
          <w:color w:val="auto"/>
          <w:highlight w:val="none"/>
        </w:rPr>
        <w:fldChar w:fldCharType="begin"/>
      </w:r>
      <w:r>
        <w:rPr>
          <w:rFonts w:hint="eastAsia" w:ascii="仿宋_GB2312" w:hAnsi="仿宋_GB2312" w:eastAsia="仿宋_GB2312" w:cs="仿宋_GB2312"/>
          <w:color w:val="auto"/>
          <w:highlight w:val="none"/>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rFonts w:hint="eastAsia" w:ascii="仿宋_GB2312" w:hAnsi="仿宋_GB2312" w:eastAsia="仿宋_GB2312" w:cs="仿宋_GB2312"/>
          <w:color w:val="auto"/>
          <w:highlight w:val="none"/>
        </w:rPr>
        <w:fldChar w:fldCharType="separate"/>
      </w:r>
      <w:r>
        <w:rPr>
          <w:rFonts w:hint="eastAsia" w:ascii="仿宋_GB2312" w:hAnsi="仿宋_GB2312" w:eastAsia="仿宋_GB2312" w:cs="仿宋_GB2312"/>
          <w:color w:val="auto"/>
          <w:kern w:val="0"/>
          <w:szCs w:val="21"/>
          <w:highlight w:val="none"/>
        </w:rPr>
        <w:t>投标报价</w:t>
      </w:r>
      <w:r>
        <w:rPr>
          <w:rFonts w:hint="eastAsia" w:ascii="仿宋_GB2312" w:hAnsi="仿宋_GB2312" w:eastAsia="仿宋_GB2312" w:cs="仿宋_GB2312"/>
          <w:color w:val="auto"/>
          <w:kern w:val="0"/>
          <w:szCs w:val="21"/>
          <w:highlight w:val="none"/>
        </w:rPr>
        <w:fldChar w:fldCharType="end"/>
      </w:r>
      <w:r>
        <w:rPr>
          <w:rFonts w:hint="eastAsia" w:ascii="仿宋_GB2312" w:hAnsi="仿宋_GB2312" w:eastAsia="仿宋_GB2312" w:cs="仿宋_GB2312"/>
          <w:color w:val="auto"/>
          <w:kern w:val="0"/>
          <w:szCs w:val="21"/>
          <w:highlight w:val="none"/>
        </w:rPr>
        <w:t>准确性、综合因素响应不全面等问题的，由投标人自行承担相应后果。</w:t>
      </w:r>
    </w:p>
    <w:p w14:paraId="18AF7DA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6.3现场考察及参加标前答疑会所发生的费用及一切责任由投标人自行承担。</w:t>
      </w:r>
    </w:p>
    <w:p w14:paraId="22A14E9B">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7.适用法律</w:t>
      </w:r>
    </w:p>
    <w:p w14:paraId="4CB81681">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5EF52F2B">
      <w:pPr>
        <w:pStyle w:val="3"/>
        <w:rPr>
          <w:rFonts w:ascii="仿宋_GB2312" w:hAnsi="仿宋_GB2312" w:eastAsia="仿宋_GB2312" w:cs="仿宋_GB2312"/>
          <w:color w:val="auto"/>
          <w:sz w:val="32"/>
          <w:szCs w:val="28"/>
          <w:highlight w:val="none"/>
        </w:rPr>
      </w:pPr>
      <w:bookmarkStart w:id="41" w:name="_Toc10106_WPSOffice_Level2"/>
      <w:r>
        <w:rPr>
          <w:rFonts w:hint="eastAsia" w:ascii="仿宋_GB2312" w:hAnsi="仿宋_GB2312" w:eastAsia="仿宋_GB2312" w:cs="仿宋_GB2312"/>
          <w:color w:val="auto"/>
          <w:sz w:val="32"/>
          <w:szCs w:val="28"/>
          <w:highlight w:val="none"/>
        </w:rPr>
        <w:t>三 招标文件</w:t>
      </w:r>
      <w:bookmarkEnd w:id="41"/>
    </w:p>
    <w:p w14:paraId="144D109E">
      <w:pPr>
        <w:tabs>
          <w:tab w:val="left" w:pos="312"/>
        </w:tabs>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8.招标文件构成</w:t>
      </w:r>
    </w:p>
    <w:p w14:paraId="0CEA811D">
      <w:pPr>
        <w:adjustRightInd w:val="0"/>
        <w:snapToGrid w:val="0"/>
        <w:spacing w:line="360" w:lineRule="auto"/>
        <w:rPr>
          <w:rFonts w:ascii="仿宋_GB2312" w:hAnsi="仿宋_GB2312" w:eastAsia="仿宋_GB2312" w:cs="仿宋_GB2312"/>
          <w:color w:val="auto"/>
          <w:highlight w:val="none"/>
        </w:rPr>
      </w:pPr>
      <w:r>
        <w:rPr>
          <w:rFonts w:hint="eastAsia" w:ascii="仿宋_GB2312" w:hAnsi="仿宋_GB2312" w:eastAsia="仿宋_GB2312" w:cs="仿宋_GB2312"/>
          <w:color w:val="auto"/>
          <w:szCs w:val="21"/>
          <w:highlight w:val="none"/>
        </w:rPr>
        <w:t>招标</w:t>
      </w:r>
      <w:r>
        <w:rPr>
          <w:rFonts w:hint="eastAsia" w:ascii="仿宋_GB2312" w:hAnsi="仿宋_GB2312" w:eastAsia="仿宋_GB2312" w:cs="仿宋_GB2312"/>
          <w:color w:val="auto"/>
          <w:highlight w:val="none"/>
        </w:rPr>
        <w:t>文件内容如下:</w:t>
      </w:r>
    </w:p>
    <w:p w14:paraId="5E3FF6ED">
      <w:pPr>
        <w:adjustRightInd w:val="0"/>
        <w:snapToGrid w:val="0"/>
        <w:spacing w:line="360" w:lineRule="auto"/>
        <w:ind w:firstLine="420" w:firstLineChars="200"/>
        <w:rPr>
          <w:rFonts w:ascii="仿宋_GB2312" w:hAnsi="仿宋_GB2312" w:eastAsia="仿宋_GB2312" w:cs="仿宋_GB2312"/>
          <w:color w:val="auto"/>
          <w:highlight w:val="none"/>
        </w:rPr>
      </w:pPr>
      <w:r>
        <w:rPr>
          <w:rFonts w:hint="eastAsia" w:ascii="仿宋_GB2312" w:hAnsi="仿宋_GB2312" w:eastAsia="仿宋_GB2312" w:cs="仿宋_GB2312"/>
          <w:color w:val="auto"/>
          <w:kern w:val="0"/>
          <w:szCs w:val="21"/>
          <w:highlight w:val="none"/>
        </w:rPr>
        <w:t>招标</w:t>
      </w:r>
      <w:r>
        <w:rPr>
          <w:rFonts w:hint="eastAsia" w:ascii="仿宋_GB2312" w:hAnsi="仿宋_GB2312" w:eastAsia="仿宋_GB2312" w:cs="仿宋_GB2312"/>
          <w:color w:val="auto"/>
          <w:highlight w:val="none"/>
        </w:rPr>
        <w:t>公告</w:t>
      </w:r>
    </w:p>
    <w:p w14:paraId="555F62D4">
      <w:pPr>
        <w:numPr>
          <w:ilvl w:val="0"/>
          <w:numId w:val="2"/>
        </w:numPr>
        <w:adjustRightInd w:val="0"/>
        <w:snapToGrid w:val="0"/>
        <w:spacing w:line="360" w:lineRule="auto"/>
        <w:ind w:firstLine="420" w:firstLineChars="200"/>
        <w:rPr>
          <w:rFonts w:ascii="仿宋_GB2312" w:hAnsi="仿宋_GB2312" w:eastAsia="仿宋_GB2312" w:cs="仿宋_GB2312"/>
          <w:color w:val="auto"/>
          <w:highlight w:val="none"/>
        </w:rPr>
      </w:pPr>
      <w:bookmarkStart w:id="42" w:name="_Toc24604_WPSOffice_Level2"/>
      <w:bookmarkStart w:id="43" w:name="_Toc188_WPSOffice_Level2"/>
      <w:bookmarkStart w:id="44" w:name="_Toc25935_WPSOffice_Level2"/>
      <w:bookmarkStart w:id="45" w:name="_Toc4961_WPSOffice_Level2"/>
      <w:r>
        <w:rPr>
          <w:rFonts w:hint="eastAsia" w:ascii="仿宋_GB2312" w:hAnsi="仿宋_GB2312" w:eastAsia="仿宋_GB2312" w:cs="仿宋_GB2312"/>
          <w:color w:val="auto"/>
          <w:highlight w:val="none"/>
        </w:rPr>
        <w:t>投标人须知</w:t>
      </w:r>
      <w:bookmarkEnd w:id="42"/>
      <w:bookmarkEnd w:id="43"/>
      <w:bookmarkEnd w:id="44"/>
      <w:bookmarkEnd w:id="45"/>
    </w:p>
    <w:p w14:paraId="03DB346F">
      <w:pPr>
        <w:adjustRightInd w:val="0"/>
        <w:snapToGrid w:val="0"/>
        <w:spacing w:line="360" w:lineRule="auto"/>
        <w:ind w:firstLine="420" w:firstLineChars="200"/>
        <w:rPr>
          <w:rFonts w:ascii="仿宋_GB2312" w:hAnsi="仿宋_GB2312" w:eastAsia="仿宋_GB2312" w:cs="仿宋_GB2312"/>
          <w:color w:val="auto"/>
          <w:highlight w:val="none"/>
        </w:rPr>
      </w:pPr>
      <w:bookmarkStart w:id="46" w:name="_Toc31424_WPSOffice_Level2"/>
      <w:bookmarkStart w:id="47" w:name="_Toc13276_WPSOffice_Level2"/>
      <w:bookmarkStart w:id="48" w:name="_Toc2443_WPSOffice_Level2"/>
      <w:bookmarkStart w:id="49" w:name="_Toc32235_WPSOffice_Level2"/>
      <w:r>
        <w:rPr>
          <w:rFonts w:hint="eastAsia" w:ascii="仿宋_GB2312" w:hAnsi="仿宋_GB2312" w:eastAsia="仿宋_GB2312" w:cs="仿宋_GB2312"/>
          <w:color w:val="auto"/>
          <w:highlight w:val="none"/>
        </w:rPr>
        <w:t>第二章 投标文件内容及格式</w:t>
      </w:r>
      <w:bookmarkEnd w:id="46"/>
      <w:bookmarkEnd w:id="47"/>
      <w:bookmarkEnd w:id="48"/>
      <w:bookmarkEnd w:id="49"/>
    </w:p>
    <w:p w14:paraId="3CEFED27">
      <w:pPr>
        <w:adjustRightInd w:val="0"/>
        <w:snapToGrid w:val="0"/>
        <w:spacing w:line="360" w:lineRule="auto"/>
        <w:ind w:firstLine="420" w:firstLineChars="200"/>
        <w:rPr>
          <w:rFonts w:ascii="仿宋_GB2312" w:hAnsi="仿宋_GB2312" w:eastAsia="仿宋_GB2312" w:cs="仿宋_GB2312"/>
          <w:color w:val="auto"/>
          <w:highlight w:val="none"/>
        </w:rPr>
      </w:pPr>
      <w:bookmarkStart w:id="50" w:name="_Toc7005_WPSOffice_Level2"/>
      <w:bookmarkStart w:id="51" w:name="_Toc24836_WPSOffice_Level2"/>
      <w:bookmarkStart w:id="52" w:name="_Toc4416_WPSOffice_Level2"/>
      <w:bookmarkStart w:id="53" w:name="_Toc16269_WPSOffice_Level2"/>
      <w:r>
        <w:rPr>
          <w:rFonts w:hint="eastAsia" w:ascii="仿宋_GB2312" w:hAnsi="仿宋_GB2312" w:eastAsia="仿宋_GB2312" w:cs="仿宋_GB2312"/>
          <w:color w:val="auto"/>
          <w:highlight w:val="none"/>
        </w:rPr>
        <w:t>第三章 货物需求</w:t>
      </w:r>
      <w:bookmarkEnd w:id="50"/>
      <w:bookmarkEnd w:id="51"/>
      <w:bookmarkEnd w:id="52"/>
      <w:bookmarkEnd w:id="53"/>
    </w:p>
    <w:p w14:paraId="6FF7F8D5">
      <w:pPr>
        <w:adjustRightInd w:val="0"/>
        <w:snapToGrid w:val="0"/>
        <w:spacing w:line="360" w:lineRule="auto"/>
        <w:ind w:firstLine="420" w:firstLineChars="200"/>
        <w:rPr>
          <w:rFonts w:ascii="仿宋_GB2312" w:hAnsi="仿宋_GB2312" w:eastAsia="仿宋_GB2312" w:cs="仿宋_GB2312"/>
          <w:color w:val="auto"/>
          <w:highlight w:val="none"/>
        </w:rPr>
      </w:pPr>
      <w:bookmarkStart w:id="54" w:name="_Toc16119_WPSOffice_Level2"/>
      <w:bookmarkStart w:id="55" w:name="_Toc23459_WPSOffice_Level2"/>
      <w:bookmarkStart w:id="56" w:name="_Toc16294_WPSOffice_Level2"/>
      <w:bookmarkStart w:id="57" w:name="_Toc25382_WPSOffice_Level2"/>
      <w:r>
        <w:rPr>
          <w:rFonts w:hint="eastAsia" w:ascii="仿宋_GB2312" w:hAnsi="仿宋_GB2312" w:eastAsia="仿宋_GB2312" w:cs="仿宋_GB2312"/>
          <w:color w:val="auto"/>
          <w:highlight w:val="none"/>
        </w:rPr>
        <w:t>第四章 评标方法</w:t>
      </w:r>
      <w:bookmarkEnd w:id="54"/>
      <w:bookmarkEnd w:id="55"/>
      <w:bookmarkEnd w:id="56"/>
      <w:bookmarkEnd w:id="57"/>
    </w:p>
    <w:p w14:paraId="0191179E">
      <w:pPr>
        <w:adjustRightInd w:val="0"/>
        <w:snapToGrid w:val="0"/>
        <w:spacing w:line="360" w:lineRule="auto"/>
        <w:ind w:firstLine="420" w:firstLineChars="200"/>
        <w:rPr>
          <w:rFonts w:ascii="仿宋_GB2312" w:hAnsi="仿宋_GB2312" w:eastAsia="仿宋_GB2312" w:cs="仿宋_GB2312"/>
          <w:color w:val="auto"/>
          <w:highlight w:val="none"/>
        </w:rPr>
      </w:pPr>
      <w:bookmarkStart w:id="58" w:name="_Toc28106_WPSOffice_Level2"/>
      <w:bookmarkStart w:id="59" w:name="_Toc17794_WPSOffice_Level2"/>
      <w:bookmarkStart w:id="60" w:name="_Toc9629_WPSOffice_Level2"/>
      <w:bookmarkStart w:id="61" w:name="_Toc16368_WPSOffice_Level2"/>
      <w:r>
        <w:rPr>
          <w:rFonts w:hint="eastAsia" w:ascii="仿宋_GB2312" w:hAnsi="仿宋_GB2312" w:eastAsia="仿宋_GB2312" w:cs="仿宋_GB2312"/>
          <w:color w:val="auto"/>
          <w:highlight w:val="none"/>
        </w:rPr>
        <w:t>第五章 政府采购合同</w:t>
      </w:r>
      <w:bookmarkEnd w:id="58"/>
      <w:bookmarkEnd w:id="59"/>
      <w:bookmarkEnd w:id="60"/>
      <w:bookmarkEnd w:id="61"/>
      <w:r>
        <w:rPr>
          <w:rFonts w:hint="eastAsia" w:ascii="仿宋_GB2312" w:hAnsi="仿宋_GB2312" w:eastAsia="仿宋_GB2312" w:cs="仿宋_GB2312"/>
          <w:color w:val="auto"/>
          <w:highlight w:val="none"/>
        </w:rPr>
        <w:t>条款及格式</w:t>
      </w:r>
    </w:p>
    <w:p w14:paraId="29F2F94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★8.2投标人应认真阅读招标文件所有的事项、格式、条款等。如投标人没有按照招标文件要求提交资料，或者投标文件没有对招标文件做出实质性响应，可能导致其投标被认定为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5B868F13">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9.招标文件的澄清与修改</w:t>
      </w:r>
    </w:p>
    <w:p w14:paraId="4004E1B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14:paraId="4C3D40E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9.2澄清或者修改的内容为招标文件的组成部分，对所有招标文件的收受人具有约束力。投标人在收到上述通知后，应及时向采购代理机构回函确认。</w:t>
      </w:r>
    </w:p>
    <w:p w14:paraId="0B4A9983">
      <w:pPr>
        <w:pStyle w:val="3"/>
        <w:rPr>
          <w:rFonts w:ascii="仿宋_GB2312" w:hAnsi="仿宋_GB2312" w:eastAsia="仿宋_GB2312" w:cs="仿宋_GB2312"/>
          <w:color w:val="auto"/>
          <w:sz w:val="32"/>
          <w:szCs w:val="32"/>
          <w:highlight w:val="none"/>
        </w:rPr>
      </w:pPr>
      <w:bookmarkStart w:id="62" w:name="_Toc7415_WPSOffice_Level2"/>
      <w:r>
        <w:rPr>
          <w:rFonts w:hint="eastAsia" w:ascii="仿宋_GB2312" w:hAnsi="仿宋_GB2312" w:eastAsia="仿宋_GB2312" w:cs="仿宋_GB2312"/>
          <w:color w:val="auto"/>
          <w:sz w:val="32"/>
          <w:szCs w:val="32"/>
          <w:highlight w:val="none"/>
        </w:rPr>
        <w:t>四 投标文件的编制</w:t>
      </w:r>
      <w:bookmarkEnd w:id="62"/>
    </w:p>
    <w:p w14:paraId="78286C52">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10.投标范围</w:t>
      </w:r>
    </w:p>
    <w:p w14:paraId="0CCD2DE1">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10.1项目有分包的，投标人可对招标文件其中某一个分包或几个分包进行投标。</w:t>
      </w:r>
    </w:p>
    <w:p w14:paraId="0C188C41">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★10.2投标人应当对所投分包在招标文件中“货物需求”所列的所有货物内容进行投标，如仅响应分包中某一部分内容，其该包投标将被认定为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626585F4">
      <w:pPr>
        <w:pStyle w:val="10"/>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10.3如一个分包内包含多种产品的，采购人或采购代理机构将在投标人须知表10.3款中载明核心产品（非单一产品采购时，只能设一个核心产品），多家投标人提供的核心产品品牌相同的，按照第四章“评标办法”第4款“同一品牌产品”规定处理。</w:t>
      </w:r>
    </w:p>
    <w:p w14:paraId="4DFD2F9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10.4无论招标文件第三章货物需求中是否要求，投标人所投货物均应符合国家强制性标准。</w:t>
      </w:r>
    </w:p>
    <w:p w14:paraId="6CA1D11E">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11.投标文件构成</w:t>
      </w:r>
    </w:p>
    <w:p w14:paraId="0B8AFB7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★11.1投标人应完整地按招标文件提供的投标文件格式及要求编写投标文件。投标文件应包括资格证明文件、符合性证明文件、其它材料三部分。具体见第二章 投标文件内容及格式。</w:t>
      </w:r>
    </w:p>
    <w:p w14:paraId="22DD3FA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★11.2投标人应按招标文件提供的格式编写投标文件。招标文件提供标准格式的按标准格式填列，未提供标准格式的可自行拟定。</w:t>
      </w:r>
    </w:p>
    <w:p w14:paraId="08523DB7">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11.3 样品或演示要求详见投标人须知表11.3款。</w:t>
      </w:r>
    </w:p>
    <w:p w14:paraId="6617EED9">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12.投标报价</w:t>
      </w:r>
    </w:p>
    <w:p w14:paraId="18696F2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04E81AC7">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14:paraId="25C3343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12.3投标人应按招标文件要求在相关表格中标明投标货物及伴随服务的单价和总价，并由法定代表人（非法人组织的负责人）或其委托代理人签署。</w:t>
      </w:r>
    </w:p>
    <w:p w14:paraId="56EC39A8">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12.4投标人所报的各分项投标单价在合同履行过程中是固定不变的，不得以任何理由予以变更。任何包含价格调整要求的投标，其投标将被认定为</w:t>
      </w:r>
      <w:r>
        <w:rPr>
          <w:rFonts w:hint="eastAsia" w:ascii="仿宋_GB2312" w:hAnsi="仿宋_GB2312" w:eastAsia="仿宋_GB2312" w:cs="仿宋_GB2312"/>
          <w:b/>
          <w:bCs/>
          <w:color w:val="auto"/>
          <w:szCs w:val="21"/>
          <w:highlight w:val="none"/>
        </w:rPr>
        <w:t>投标无效。</w:t>
      </w:r>
    </w:p>
    <w:p w14:paraId="1600D66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12.5每种货物只能有一个投标报价。采购人不接受具有附加条件的报价。</w:t>
      </w:r>
    </w:p>
    <w:p w14:paraId="40702D59">
      <w:pPr>
        <w:adjustRightInd w:val="0"/>
        <w:snapToGrid w:val="0"/>
        <w:spacing w:line="360" w:lineRule="auto"/>
        <w:rPr>
          <w:rFonts w:ascii="仿宋_GB2312" w:hAnsi="仿宋_GB2312" w:eastAsia="仿宋_GB2312" w:cs="仿宋_GB2312"/>
          <w:color w:val="auto"/>
          <w:szCs w:val="21"/>
          <w:highlight w:val="none"/>
        </w:rPr>
      </w:pPr>
      <w:bookmarkStart w:id="63" w:name="_Toc22507_WPSOffice_Level2"/>
      <w:bookmarkStart w:id="64" w:name="_Toc31973_WPSOffice_Level2"/>
      <w:r>
        <w:rPr>
          <w:rFonts w:hint="eastAsia" w:ascii="仿宋_GB2312" w:hAnsi="仿宋_GB2312" w:eastAsia="仿宋_GB2312" w:cs="仿宋_GB2312"/>
          <w:color w:val="auto"/>
          <w:szCs w:val="21"/>
          <w:highlight w:val="none"/>
        </w:rPr>
        <w:t>12.6除非招标文件另有规定，报价原则上精确到小数点后两位。</w:t>
      </w:r>
      <w:bookmarkEnd w:id="63"/>
      <w:bookmarkEnd w:id="64"/>
    </w:p>
    <w:p w14:paraId="7DB7C7FF">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★13.投标保证金</w:t>
      </w:r>
    </w:p>
    <w:p w14:paraId="6ED04B5F">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13.1投标人应提交投标人须知表13.1款中规定的投标保证金，并作为其投标的一部分。</w:t>
      </w:r>
    </w:p>
    <w:p w14:paraId="59664090">
      <w:pPr>
        <w:adjustRightInd w:val="0"/>
        <w:snapToGrid w:val="0"/>
        <w:spacing w:line="360" w:lineRule="auto"/>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13.2投标保证金缴纳人、招标文件领取人、投标登记人和投标人必须为同一组织机构或联合体内不同成员单位，否则将视同未按招标文件规定交纳投标保证金。</w:t>
      </w:r>
    </w:p>
    <w:p w14:paraId="730CD3EE">
      <w:pPr>
        <w:adjustRightInd w:val="0"/>
        <w:snapToGrid w:val="0"/>
        <w:spacing w:line="360" w:lineRule="auto"/>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13.3投标人存在下列情形的，投标保证金不予退还：</w:t>
      </w:r>
    </w:p>
    <w:p w14:paraId="2A94FE66">
      <w:pPr>
        <w:adjustRightInd w:val="0"/>
        <w:snapToGrid w:val="0"/>
        <w:spacing w:line="360" w:lineRule="auto"/>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（1）在投标有效期内，投标人撤销投标的；</w:t>
      </w:r>
    </w:p>
    <w:p w14:paraId="743FBB67">
      <w:pPr>
        <w:adjustRightInd w:val="0"/>
        <w:snapToGrid w:val="0"/>
        <w:spacing w:line="360" w:lineRule="auto"/>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（2）中标后不按本须知第34款的规定与采购人签订合同的；</w:t>
      </w:r>
    </w:p>
    <w:p w14:paraId="233C5E6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（3）中标后不按本须知第35款的规定提交履约保证金的；</w:t>
      </w:r>
    </w:p>
    <w:p w14:paraId="517C5817">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（4）中标后不按本须知第36款的规定缴纳采购代理服务费的；</w:t>
      </w:r>
    </w:p>
    <w:p w14:paraId="596CCF5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（5）存在其他违法违规行为的。</w:t>
      </w:r>
    </w:p>
    <w:p w14:paraId="51439C0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13.4联合体投标的，可以由联合体中的一方或者共同提交投标保证金。以一方名义提交投标保证金的，对联合体各方均具有约束力。</w:t>
      </w:r>
    </w:p>
    <w:p w14:paraId="07AA95D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13.5投标保证金的退还</w:t>
      </w:r>
    </w:p>
    <w:p w14:paraId="0FEE5DF4">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13.5.1中标人应在与采购人签订合同之日起5个工作日内，及时联系保证金收受机构办理投标保证金退还手续。</w:t>
      </w:r>
    </w:p>
    <w:p w14:paraId="17EB44D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13.5.2未中标投标人的投标保证金将在中标通知书发出之日暨中标结果公告公布之日起5个工作日内无息退还。投标人应及时联系保证金收受机构办理退还投标保证金手续。</w:t>
      </w:r>
    </w:p>
    <w:p w14:paraId="12314DD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13.5.3投标人在投标截止时间前撤回已提交的投标文件的，投标人应自采购人或者采购代理机构收到投标人书面撤回通知之日起５个工作日内，及时联系保证金收受机构办理投标保证金退还手续。</w:t>
      </w:r>
    </w:p>
    <w:p w14:paraId="5EBB910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13.5.4 政府采购投标担保函不予退回。</w:t>
      </w:r>
    </w:p>
    <w:p w14:paraId="505A0FE7">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13.6 因投标人自身原因导致无法及时退还的，采购人或采购代理机构将不承担相应责任。</w:t>
      </w:r>
    </w:p>
    <w:p w14:paraId="2E19FF98">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14.证明投标标的的合格性和符合招标文件规定的技术文件</w:t>
      </w:r>
    </w:p>
    <w:p w14:paraId="5427B6DB">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14.1投标人应提交证明文件，证明其投标内容符合招标文件规定。该证明文件是投标文件的一部分。</w:t>
      </w:r>
    </w:p>
    <w:p w14:paraId="52543A37">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14.2上款所述的证明文件，可以是文字资料、图纸和数据，它包括：</w:t>
      </w:r>
    </w:p>
    <w:p w14:paraId="04BEE4B5">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（1）货物主要技术指标和性能的详细说明；</w:t>
      </w:r>
    </w:p>
    <w:p w14:paraId="3848331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（2）货物从采购人开始使用至招标文件规定的保质期内正常、连续地使用所必须的备件和专用工具清单，包括备件和专用工具的货源及现行价格；</w:t>
      </w:r>
    </w:p>
    <w:p w14:paraId="3630CAE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（3）对照招标文件技术规格，逐条说明所提供货物及伴随的工程和服务已对招标文件的技术规格做出了实质性的响应，或申明与技术规格条文的偏差和例外。</w:t>
      </w:r>
    </w:p>
    <w:p w14:paraId="54D4EA86">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15.投标有效期</w:t>
      </w:r>
    </w:p>
    <w:p w14:paraId="78F9E30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15.1投标应在投标人须知表15.1款中规定的投标有效期内保持有效。投标有效期不满足要求的投标，其投标将被认定为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6F8D15F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380DDAB9">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16.投标文件的签署及规定</w:t>
      </w:r>
    </w:p>
    <w:p w14:paraId="3A04FCE7">
      <w:pPr>
        <w:adjustRightInd w:val="0"/>
        <w:snapToGrid w:val="0"/>
        <w:spacing w:line="360" w:lineRule="auto"/>
        <w:rPr>
          <w:rFonts w:ascii="仿宋_GB2312" w:hAnsi="仿宋_GB2312" w:eastAsia="仿宋_GB2312" w:cs="仿宋_GB2312"/>
          <w:color w:val="auto"/>
          <w:szCs w:val="21"/>
          <w:highlight w:val="none"/>
        </w:rPr>
      </w:pPr>
      <w:bookmarkStart w:id="65" w:name="_Toc27725_WPSOffice_Level2"/>
      <w:r>
        <w:rPr>
          <w:rFonts w:hint="eastAsia" w:ascii="仿宋_GB2312" w:hAnsi="仿宋_GB2312" w:eastAsia="仿宋_GB2312" w:cs="仿宋_GB2312"/>
          <w:color w:val="auto"/>
          <w:szCs w:val="21"/>
          <w:highlight w:val="none"/>
        </w:rPr>
        <w:t>16.1投标人应按投标人须知表16.1款中的规定，准备和递交投标文件正本、副本和电子文档。</w:t>
      </w:r>
    </w:p>
    <w:p w14:paraId="570FAB3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★16.2每份投标文件封皮须清楚地标明“正本”或“副本”。若正本和副本不符，以正本为准。</w:t>
      </w:r>
    </w:p>
    <w:p w14:paraId="78217E3F">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16.3投标文件的正本需打印或用不褪色墨水书写，并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投标文件的副本可采用正本的复印件。</w:t>
      </w:r>
    </w:p>
    <w:p w14:paraId="59D0A8FA">
      <w:pPr>
        <w:pStyle w:val="3"/>
        <w:rPr>
          <w:rFonts w:ascii="仿宋_GB2312" w:hAnsi="仿宋_GB2312" w:eastAsia="仿宋_GB2312" w:cs="仿宋_GB2312"/>
          <w:color w:val="auto"/>
          <w:sz w:val="32"/>
          <w:szCs w:val="28"/>
          <w:highlight w:val="none"/>
        </w:rPr>
      </w:pPr>
      <w:r>
        <w:rPr>
          <w:rFonts w:hint="eastAsia" w:ascii="仿宋_GB2312" w:hAnsi="仿宋_GB2312" w:eastAsia="仿宋_GB2312" w:cs="仿宋_GB2312"/>
          <w:color w:val="auto"/>
          <w:sz w:val="32"/>
          <w:szCs w:val="28"/>
          <w:highlight w:val="none"/>
        </w:rPr>
        <w:t>五 投标文件的递交</w:t>
      </w:r>
      <w:bookmarkEnd w:id="65"/>
    </w:p>
    <w:p w14:paraId="69272C8E">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17.投标文件的密封和标记</w:t>
      </w:r>
    </w:p>
    <w:p w14:paraId="4FE5342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17.1投标人应将投标文件密封，将正本和所有的副本、电子文档密封，并进行包封。</w:t>
      </w:r>
    </w:p>
    <w:p w14:paraId="2B974567">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17.2所有包装封皮上均应：</w:t>
      </w:r>
    </w:p>
    <w:p w14:paraId="41FB64D7">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（1）注明项目名称、项目编号、包号、投标人名称。</w:t>
      </w:r>
    </w:p>
    <w:p w14:paraId="1AFAE40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（2）加盖投标人单位公章。</w:t>
      </w:r>
    </w:p>
    <w:p w14:paraId="0E215AB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17.3如果投标人未按上述要求密封，其投标文件将被</w:t>
      </w:r>
      <w:r>
        <w:rPr>
          <w:rFonts w:hint="eastAsia" w:ascii="仿宋_GB2312" w:hAnsi="仿宋_GB2312" w:eastAsia="仿宋_GB2312" w:cs="仿宋_GB2312"/>
          <w:b/>
          <w:bCs/>
          <w:color w:val="auto"/>
          <w:szCs w:val="21"/>
          <w:highlight w:val="none"/>
        </w:rPr>
        <w:t>拒绝接收</w:t>
      </w:r>
      <w:r>
        <w:rPr>
          <w:rFonts w:hint="eastAsia" w:ascii="仿宋_GB2312" w:hAnsi="仿宋_GB2312" w:eastAsia="仿宋_GB2312" w:cs="仿宋_GB2312"/>
          <w:color w:val="auto"/>
          <w:szCs w:val="21"/>
          <w:highlight w:val="none"/>
        </w:rPr>
        <w:t>。</w:t>
      </w:r>
    </w:p>
    <w:p w14:paraId="7D2868D6">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18.投标截止</w:t>
      </w:r>
    </w:p>
    <w:p w14:paraId="483083E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18.1投标人应在投标人须知表18.1中规定的递交投标文件截止时间前，将投标文件递交到投标人须知表18.1款中规定的地点。</w:t>
      </w:r>
    </w:p>
    <w:p w14:paraId="60F98B4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18.2采购人和采购代理机构有权按本须知的规定，延迟投标截止时间。在此情况下，采购人、采购代理机构和投标人受投标截止时间制约的所有权利和义务均应延长至新的截止时间。</w:t>
      </w:r>
    </w:p>
    <w:p w14:paraId="44BF5ED2">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19.投标文件的接收、修改与撤回</w:t>
      </w:r>
    </w:p>
    <w:p w14:paraId="5876206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19.1在投标截止时间后送达的投标文件，采购人和采购代理机构将</w:t>
      </w:r>
      <w:r>
        <w:rPr>
          <w:rFonts w:hint="eastAsia" w:ascii="仿宋_GB2312" w:hAnsi="仿宋_GB2312" w:eastAsia="仿宋_GB2312" w:cs="仿宋_GB2312"/>
          <w:b/>
          <w:bCs/>
          <w:color w:val="auto"/>
          <w:szCs w:val="21"/>
          <w:highlight w:val="none"/>
        </w:rPr>
        <w:t>拒绝接收</w:t>
      </w:r>
      <w:r>
        <w:rPr>
          <w:rFonts w:hint="eastAsia" w:ascii="仿宋_GB2312" w:hAnsi="仿宋_GB2312" w:eastAsia="仿宋_GB2312" w:cs="仿宋_GB2312"/>
          <w:color w:val="auto"/>
          <w:szCs w:val="21"/>
          <w:highlight w:val="none"/>
        </w:rPr>
        <w:t>。</w:t>
      </w:r>
    </w:p>
    <w:p w14:paraId="462C038B">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19.2采购人或者采购代理机构收到投标文件后，应当如实记载投标文件的送达时间和密封情况，并向投标人出具以下签收回执。</w:t>
      </w:r>
    </w:p>
    <w:p w14:paraId="1C11A802">
      <w:pPr>
        <w:adjustRightInd w:val="0"/>
        <w:snapToGrid w:val="0"/>
        <w:spacing w:line="360" w:lineRule="auto"/>
        <w:jc w:val="center"/>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接收投标文件回执单</w:t>
      </w:r>
    </w:p>
    <w:tbl>
      <w:tblPr>
        <w:tblStyle w:val="22"/>
        <w:tblW w:w="7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0"/>
        <w:gridCol w:w="5415"/>
      </w:tblGrid>
      <w:tr w14:paraId="5376B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2F6207E8">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项目编号</w:t>
            </w:r>
          </w:p>
        </w:tc>
        <w:tc>
          <w:tcPr>
            <w:tcW w:w="5415" w:type="dxa"/>
            <w:vAlign w:val="center"/>
          </w:tcPr>
          <w:p w14:paraId="304F0249">
            <w:pPr>
              <w:adjustRightInd w:val="0"/>
              <w:snapToGrid w:val="0"/>
              <w:jc w:val="center"/>
              <w:rPr>
                <w:rFonts w:ascii="仿宋_GB2312" w:hAnsi="仿宋_GB2312" w:eastAsia="仿宋_GB2312" w:cs="仿宋_GB2312"/>
                <w:color w:val="auto"/>
                <w:szCs w:val="21"/>
                <w:highlight w:val="none"/>
              </w:rPr>
            </w:pPr>
          </w:p>
        </w:tc>
      </w:tr>
      <w:tr w14:paraId="0C312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616E8872">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项目名称</w:t>
            </w:r>
          </w:p>
        </w:tc>
        <w:tc>
          <w:tcPr>
            <w:tcW w:w="5415" w:type="dxa"/>
            <w:vAlign w:val="center"/>
          </w:tcPr>
          <w:p w14:paraId="1E877017">
            <w:pPr>
              <w:adjustRightInd w:val="0"/>
              <w:snapToGrid w:val="0"/>
              <w:jc w:val="center"/>
              <w:rPr>
                <w:rFonts w:ascii="仿宋_GB2312" w:hAnsi="仿宋_GB2312" w:eastAsia="仿宋_GB2312" w:cs="仿宋_GB2312"/>
                <w:color w:val="auto"/>
                <w:szCs w:val="21"/>
                <w:highlight w:val="none"/>
              </w:rPr>
            </w:pPr>
          </w:p>
        </w:tc>
      </w:tr>
      <w:tr w14:paraId="4F1AB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53911909">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投标人名称</w:t>
            </w:r>
          </w:p>
        </w:tc>
        <w:tc>
          <w:tcPr>
            <w:tcW w:w="5415" w:type="dxa"/>
            <w:vAlign w:val="center"/>
          </w:tcPr>
          <w:p w14:paraId="507C4BFB">
            <w:pPr>
              <w:adjustRightInd w:val="0"/>
              <w:snapToGrid w:val="0"/>
              <w:jc w:val="center"/>
              <w:rPr>
                <w:rFonts w:ascii="仿宋_GB2312" w:hAnsi="仿宋_GB2312" w:eastAsia="仿宋_GB2312" w:cs="仿宋_GB2312"/>
                <w:color w:val="auto"/>
                <w:szCs w:val="21"/>
                <w:highlight w:val="none"/>
              </w:rPr>
            </w:pPr>
          </w:p>
        </w:tc>
      </w:tr>
      <w:tr w14:paraId="5E756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45FF6F48">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递交时间</w:t>
            </w:r>
          </w:p>
        </w:tc>
        <w:tc>
          <w:tcPr>
            <w:tcW w:w="5415" w:type="dxa"/>
            <w:vAlign w:val="center"/>
          </w:tcPr>
          <w:p w14:paraId="02ECC072">
            <w:pPr>
              <w:adjustRightInd w:val="0"/>
              <w:snapToGrid w:val="0"/>
              <w:jc w:val="center"/>
              <w:rPr>
                <w:rFonts w:ascii="仿宋_GB2312" w:hAnsi="仿宋_GB2312" w:eastAsia="仿宋_GB2312" w:cs="仿宋_GB2312"/>
                <w:color w:val="auto"/>
                <w:szCs w:val="21"/>
                <w:highlight w:val="none"/>
              </w:rPr>
            </w:pPr>
          </w:p>
        </w:tc>
      </w:tr>
      <w:tr w14:paraId="16C25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5E2E3EA0">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接收单位</w:t>
            </w:r>
          </w:p>
        </w:tc>
        <w:tc>
          <w:tcPr>
            <w:tcW w:w="5415" w:type="dxa"/>
            <w:vAlign w:val="center"/>
          </w:tcPr>
          <w:p w14:paraId="596CE1D4">
            <w:pPr>
              <w:adjustRightInd w:val="0"/>
              <w:snapToGrid w:val="0"/>
              <w:jc w:val="center"/>
              <w:rPr>
                <w:rFonts w:ascii="仿宋_GB2312" w:hAnsi="仿宋_GB2312" w:eastAsia="仿宋_GB2312" w:cs="仿宋_GB2312"/>
                <w:color w:val="auto"/>
                <w:szCs w:val="21"/>
                <w:highlight w:val="none"/>
              </w:rPr>
            </w:pPr>
          </w:p>
        </w:tc>
      </w:tr>
      <w:tr w14:paraId="29B82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1650" w:type="dxa"/>
            <w:vAlign w:val="center"/>
          </w:tcPr>
          <w:p w14:paraId="291FC5A4">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接收人签字</w:t>
            </w:r>
          </w:p>
        </w:tc>
        <w:tc>
          <w:tcPr>
            <w:tcW w:w="5415" w:type="dxa"/>
            <w:vAlign w:val="center"/>
          </w:tcPr>
          <w:p w14:paraId="0A25A9E9">
            <w:pPr>
              <w:adjustRightInd w:val="0"/>
              <w:snapToGrid w:val="0"/>
              <w:jc w:val="center"/>
              <w:rPr>
                <w:rFonts w:ascii="仿宋_GB2312" w:hAnsi="仿宋_GB2312" w:eastAsia="仿宋_GB2312" w:cs="仿宋_GB2312"/>
                <w:color w:val="auto"/>
                <w:szCs w:val="21"/>
                <w:highlight w:val="none"/>
              </w:rPr>
            </w:pPr>
          </w:p>
        </w:tc>
      </w:tr>
    </w:tbl>
    <w:p w14:paraId="53C2038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19.3递交投标文件以后，如果投标人要进行修改或撤回投标，须提出书面申请并在投标截止时间前送达开标地点，投标人对投标文件的修改或撤回通知应按本须知规定编制、密封、标记。采购人和采购代理机构将予以接收，并视为投标文件的组成部分。否则，修改后的投标文件或撤回行为无效。</w:t>
      </w:r>
    </w:p>
    <w:p w14:paraId="5CBEFAE7">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19.4在投标截止时间之后，投标人不得对其投标文件做任何修改。</w:t>
      </w:r>
    </w:p>
    <w:p w14:paraId="3393C986">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19.5采购人和采购代理机构对所接收并当众宣读投标内容的投标文件概不退回。</w:t>
      </w:r>
    </w:p>
    <w:p w14:paraId="419DA39B">
      <w:pPr>
        <w:pStyle w:val="3"/>
        <w:rPr>
          <w:rFonts w:ascii="仿宋_GB2312" w:hAnsi="仿宋_GB2312" w:eastAsia="仿宋_GB2312" w:cs="仿宋_GB2312"/>
          <w:color w:val="auto"/>
          <w:sz w:val="32"/>
          <w:szCs w:val="28"/>
          <w:highlight w:val="none"/>
        </w:rPr>
      </w:pPr>
      <w:bookmarkStart w:id="66" w:name="_Toc988_WPSOffice_Level2"/>
      <w:r>
        <w:rPr>
          <w:rFonts w:hint="eastAsia" w:ascii="仿宋_GB2312" w:hAnsi="仿宋_GB2312" w:eastAsia="仿宋_GB2312" w:cs="仿宋_GB2312"/>
          <w:color w:val="auto"/>
          <w:sz w:val="32"/>
          <w:szCs w:val="28"/>
          <w:highlight w:val="none"/>
        </w:rPr>
        <w:t>六 开标及评标</w:t>
      </w:r>
      <w:bookmarkEnd w:id="66"/>
    </w:p>
    <w:p w14:paraId="101C8F4D">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20.开标</w:t>
      </w:r>
    </w:p>
    <w:p w14:paraId="355A078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20.1采购人和采购代理机构将按投标人须知表20.1款中规定的开标时间和地点组织公开开标并邀请所有投标人代表参加。</w:t>
      </w:r>
    </w:p>
    <w:p w14:paraId="3939675C">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投标人不足3家的，不得开标。评标委员会成员不得参加开标活动。</w:t>
      </w:r>
    </w:p>
    <w:p w14:paraId="523DC4E4">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20.2开标时，由投标人或其推选的代表检查投标文件的密封情况，经记录后，由采购人或采购代理机构当众拆封投标文件，宣读投标人名称、投标价格及招标文件规定的内容。对于投标人在投标截止时间前递交的投标声明，在开标时当众宣读，评标时有效。</w:t>
      </w:r>
    </w:p>
    <w:p w14:paraId="0E939DE0">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未宣读投标价格、价格折扣等实质内容，评标时不予承认。</w:t>
      </w:r>
    </w:p>
    <w:p w14:paraId="14184F1B">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20.3采购人或采购代理机构将对开标过程进行记录，由参加开标的各投标人代表和相关工作人员签字确认，并存档备查。投标人未参加开标或未签字确认的，视同认可开标结果。</w:t>
      </w:r>
    </w:p>
    <w:p w14:paraId="40584945">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20.4投标人代表对开标过程和开标记录有疑义，以及认为采购人、采购代理机构相关工作人员有需要回避的情形的，应当场提出询问或者回避申请。</w:t>
      </w:r>
    </w:p>
    <w:p w14:paraId="4B1901C0">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21.组建评标委员会</w:t>
      </w:r>
    </w:p>
    <w:p w14:paraId="107646B0">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按照《中华人民共和国政府采购法》、《中华人民共和国政府采购法实施条例》有关规定依法组建评标委员会，负责本项目评标工作。本项目评标委员会组成详见投标人须知表21款。</w:t>
      </w:r>
    </w:p>
    <w:p w14:paraId="22F464D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22.资格审查</w:t>
      </w:r>
    </w:p>
    <w:p w14:paraId="42740FC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；通过资格审查的投标人不足3家的，不得评标。</w:t>
      </w:r>
    </w:p>
    <w:p w14:paraId="08619A35">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22.2采购人或采购代理机构将在递交投标文件截止时间前一个工作日至资格审查结束前查询投标人的信用记录。投标人存在不良信用记录的，其投标将被认定为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058967D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22.2.1不良信用记录指：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14:paraId="72ABBDC3">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以联合体形式参加投标的，联合体任何成员存在以上不良信用记录的，联合体投标将被认定为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472BC9B0">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22.2.2查询及记录方式：采购人或采购代理机构经办人将查询网页打印并存档备查。投标人不良信用记录以采购人或采购代理机构查询结果为准。</w:t>
      </w:r>
    </w:p>
    <w:p w14:paraId="2CFC54C9">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在本招标文件规定的查询时间之后，网站信息发生的任何变更均不再作为评标依据。</w:t>
      </w:r>
    </w:p>
    <w:p w14:paraId="25649236">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投标人自行提供的与网站信息不一致的其他证明材料亦不作为资格审查依据。</w:t>
      </w:r>
    </w:p>
    <w:p w14:paraId="01D1C7FD">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23.符合性审查</w:t>
      </w:r>
    </w:p>
    <w:p w14:paraId="49DFF6C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；通过符合性审查的投标人数量不足3家的，不得作进一步的比较和评价。</w:t>
      </w:r>
    </w:p>
    <w:p w14:paraId="61CD2F4E">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24.投标文件的澄清</w:t>
      </w:r>
    </w:p>
    <w:p w14:paraId="479505C5">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500B9B62">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24.2投标人的澄清、说明或补正将作为投标文件的一部分。</w:t>
      </w:r>
    </w:p>
    <w:p w14:paraId="3CF44C2F">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24.3投标文件报价出现前后不一致的，按照下列规定修正：</w:t>
      </w:r>
    </w:p>
    <w:p w14:paraId="43EA402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（1）投标文件中开标一览表内容与投标文件中相应内容不一致的，以开标一览表为准；</w:t>
      </w:r>
    </w:p>
    <w:p w14:paraId="505A0FE4">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（2）大写金额和小写金额不一致的，以大写金额为准；</w:t>
      </w:r>
    </w:p>
    <w:p w14:paraId="625B5CC0">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（3）单价金额小数点或者百分比有明显错位的，以开标一览表的总价为准，并修改单价；</w:t>
      </w:r>
    </w:p>
    <w:p w14:paraId="17928490">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（4）总价金额与按单价汇总金额不一致的，以单价金额计算结果为准。</w:t>
      </w:r>
    </w:p>
    <w:p w14:paraId="224A20A8">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同时出现两种以上不一致的，按照前款规定的顺序修正。修正后的报价经投标人确认后产生约束力，投标人不确认的，其投标将被认定为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66E454D8">
      <w:pPr>
        <w:adjustRightInd w:val="0"/>
        <w:snapToGrid w:val="0"/>
        <w:spacing w:line="360" w:lineRule="auto"/>
        <w:rPr>
          <w:rFonts w:ascii="仿宋_GB2312" w:hAnsi="仿宋_GB2312" w:eastAsia="仿宋_GB2312" w:cs="仿宋_GB2312"/>
          <w:color w:val="auto"/>
          <w:highlight w:val="none"/>
        </w:rPr>
      </w:pPr>
      <w:r>
        <w:rPr>
          <w:rFonts w:hint="eastAsia" w:ascii="仿宋_GB2312" w:hAnsi="仿宋_GB2312" w:eastAsia="仿宋_GB2312" w:cs="仿宋_GB2312"/>
          <w:color w:val="auto"/>
          <w:szCs w:val="21"/>
          <w:highlight w:val="none"/>
        </w:rPr>
        <w:t>24.4</w:t>
      </w:r>
      <w:r>
        <w:rPr>
          <w:rFonts w:hint="eastAsia" w:ascii="仿宋_GB2312" w:hAnsi="仿宋_GB2312" w:eastAsia="仿宋_GB2312" w:cs="仿宋_GB2312"/>
          <w:b/>
          <w:bCs/>
          <w:color w:val="auto"/>
          <w:szCs w:val="21"/>
          <w:highlight w:val="none"/>
        </w:rPr>
        <w:t>评标委员会认为</w:t>
      </w:r>
      <w:r>
        <w:rPr>
          <w:rFonts w:hint="eastAsia" w:ascii="仿宋_GB2312" w:hAnsi="仿宋_GB2312" w:eastAsia="仿宋_GB2312" w:cs="仿宋_GB2312"/>
          <w:color w:val="auto"/>
          <w:szCs w:val="21"/>
          <w:highlight w:val="none"/>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仿宋_GB2312" w:hAnsi="仿宋_GB2312" w:eastAsia="仿宋_GB2312" w:cs="仿宋_GB2312"/>
          <w:b/>
          <w:bCs/>
          <w:color w:val="auto"/>
          <w:szCs w:val="21"/>
          <w:highlight w:val="none"/>
        </w:rPr>
        <w:t>无效投标</w:t>
      </w:r>
      <w:r>
        <w:rPr>
          <w:rFonts w:hint="eastAsia" w:ascii="仿宋_GB2312" w:hAnsi="仿宋_GB2312" w:eastAsia="仿宋_GB2312" w:cs="仿宋_GB2312"/>
          <w:color w:val="auto"/>
          <w:szCs w:val="21"/>
          <w:highlight w:val="none"/>
        </w:rPr>
        <w:t>处理。提交证明材料的合理时间按第四章 评标方法规定执行。</w:t>
      </w:r>
    </w:p>
    <w:p w14:paraId="2D5B0D76">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25样品及演示</w:t>
      </w:r>
    </w:p>
    <w:p w14:paraId="7877A98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25.1投标人须知表11.3款中要求投标人提供样品的，按照投标人须知表25.1款中样品的评审方法以及评审标准进行评审。</w:t>
      </w:r>
    </w:p>
    <w:p w14:paraId="6B63617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14:paraId="771C27B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25.3演示的评审方法以及评审标准具体内容见投标人须知表25.1款。</w:t>
      </w:r>
    </w:p>
    <w:p w14:paraId="131DB916">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26.投标无效</w:t>
      </w:r>
    </w:p>
    <w:p w14:paraId="43917CFB">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26.1在比较与评价之前，根据本须知的规定，评标委员会将审查每份投标文件是否实质上响应了招标文件的要求。</w:t>
      </w:r>
    </w:p>
    <w:p w14:paraId="4E309BBC">
      <w:pPr>
        <w:adjustRightInd w:val="0"/>
        <w:snapToGri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实质性要求是指招标文件中带有★号标识内容（包括本级及其下级编号中所有内容）等文字说明的要求。</w:t>
      </w:r>
    </w:p>
    <w:p w14:paraId="69C3D8C5">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t>对招标文件的实质性要求进行响应是指与招标文件中带有★号标识内容的文字说明、条款、条件和规格等要求相符。</w:t>
      </w:r>
    </w:p>
    <w:p w14:paraId="53E336A8">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如果投标文件没有对招标文件的实质性要求进行响应，将作为</w:t>
      </w:r>
      <w:r>
        <w:rPr>
          <w:rFonts w:hint="eastAsia" w:ascii="仿宋_GB2312" w:hAnsi="仿宋_GB2312" w:eastAsia="仿宋_GB2312" w:cs="仿宋_GB2312"/>
          <w:b/>
          <w:bCs/>
          <w:color w:val="auto"/>
          <w:szCs w:val="21"/>
          <w:highlight w:val="none"/>
        </w:rPr>
        <w:t>无效投标</w:t>
      </w:r>
      <w:r>
        <w:rPr>
          <w:rFonts w:hint="eastAsia" w:ascii="仿宋_GB2312" w:hAnsi="仿宋_GB2312" w:eastAsia="仿宋_GB2312" w:cs="仿宋_GB2312"/>
          <w:color w:val="auto"/>
          <w:szCs w:val="21"/>
          <w:highlight w:val="none"/>
        </w:rPr>
        <w:t>处理，投标人不得再对投标文件进行任何修正从而使其投标成为实质上响应的投标。</w:t>
      </w:r>
    </w:p>
    <w:p w14:paraId="0868353D">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评标委员会决定投标的响应性只根据招标文件要求、投标文件内容及财政主管部门指定媒体发布的相关信息。</w:t>
      </w:r>
    </w:p>
    <w:p w14:paraId="1B9DC3A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26.2如发现下列情况之一的，其投标将被认定为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21077C62">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（1）未按招标文件的规定提交投标保证金的；</w:t>
      </w:r>
    </w:p>
    <w:p w14:paraId="507E1D4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（2）未按照招标文件规定要求签署、盖章的；</w:t>
      </w:r>
    </w:p>
    <w:p w14:paraId="0C7622A0">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（3）投标人的报价超过了招标文件中规定的预算金额或者最高限价的；</w:t>
      </w:r>
    </w:p>
    <w:p w14:paraId="560B888B">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（4）不具备招标文件中规定的资格要求的；</w:t>
      </w:r>
    </w:p>
    <w:p w14:paraId="40B4046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（5）不符合法律、法规和招标文件中规定的其他实质性要求的。</w:t>
      </w:r>
    </w:p>
    <w:p w14:paraId="0365C3D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（6）与其他投标人串通投标，或者与采购人串通投标；</w:t>
      </w:r>
    </w:p>
    <w:p w14:paraId="73A066F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（7）评标委员会认为投标人的报价明显低于其他通过符合性审查投标人的报价，有可能影响履约的，且投标人未按照规定证明其报价合理性的；</w:t>
      </w:r>
    </w:p>
    <w:p w14:paraId="2A25AD6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（8）投标文件含有采购人不能接受的附加条件的；</w:t>
      </w:r>
    </w:p>
    <w:p w14:paraId="2FDE62C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（9）属于法律、法规和招标文件规定的其他投标无效情形；</w:t>
      </w:r>
    </w:p>
    <w:p w14:paraId="4B27412A">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27.比较与评价</w:t>
      </w:r>
    </w:p>
    <w:p w14:paraId="63422F91">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27.1经符合性审查合格的投标文件，评标委员会将根据招标文件确定的评标方法和标准，对其技术部分和商务部分作进一步的比较和评价。</w:t>
      </w:r>
    </w:p>
    <w:p w14:paraId="7ACB0D7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27.2评标严格按照招标文件的要求和条件进行。根据实际情况，在投标人须知表27.2款中规定采用下列一种评标方法，详细评标标准见第四章 评标方法。</w:t>
      </w:r>
    </w:p>
    <w:p w14:paraId="4BD4D53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（1）最低评标价法，是指投标文件满足招标文件全部实质性要求，且投标报价最低的投标人为中标候选人的评标方法。</w:t>
      </w:r>
    </w:p>
    <w:p w14:paraId="438D686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（2）综合评分法，是指投标文件满足招标文件全部实质性要求，且按照评审因素的量化指标评审得分最高的投标人为中标候选人的评标方法。</w:t>
      </w:r>
    </w:p>
    <w:p w14:paraId="58A4EF0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27.3根据</w:t>
      </w:r>
      <w:r>
        <w:rPr>
          <w:rFonts w:hint="eastAsia" w:ascii="仿宋_GB2312" w:hAnsi="仿宋_GB2312" w:eastAsia="仿宋_GB2312" w:cs="仿宋_GB2312"/>
          <w:color w:val="auto"/>
          <w:kern w:val="0"/>
          <w:szCs w:val="21"/>
          <w:highlight w:val="none"/>
        </w:rPr>
        <w:t>《政府采购促进中小企业发展管理办法》（财库﹝2020﹞46 号）</w:t>
      </w:r>
      <w:r>
        <w:rPr>
          <w:rFonts w:hint="eastAsia" w:ascii="仿宋_GB2312" w:hAnsi="仿宋_GB2312" w:eastAsia="仿宋_GB2312" w:cs="仿宋_GB2312"/>
          <w:color w:val="auto"/>
          <w:szCs w:val="21"/>
          <w:highlight w:val="none"/>
        </w:rPr>
        <w:t>、《财政部 司法部关于政府采购支持监狱企业发展有关问题的通知 》（财库〔2014〕68 号）和《三部门联合发布关于促进残疾人就业政府采购政策的通知》（财库〔2017〕141 号）的规定，对于非专门面向中小企业的项目，在满足价格扣除条件且在响应文件中提交了《中小企业声明函》等相关材料或省级以上监狱管理局、戒毒管理局（含新疆生产建设兵团）出具的属于监狱企业的证明文件的供应商，其响应报价扣除 6-10%后参与评审。具体详见第四章 评标方法。</w:t>
      </w:r>
    </w:p>
    <w:p w14:paraId="7B874D94">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14:paraId="1452ECA7">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27.5根据财政部、辽宁省财政厅相关规定，对于列入《创新产品和服务目录》内的产品、服务实施政府优先采购。具体优先采购办法详见第四章 评标方法。</w:t>
      </w:r>
    </w:p>
    <w:p w14:paraId="7DFEA4CB">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28.废标</w:t>
      </w:r>
    </w:p>
    <w:p w14:paraId="3AF6DF9B">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出现下列情形之一，将导致项目</w:t>
      </w:r>
      <w:r>
        <w:rPr>
          <w:rFonts w:hint="eastAsia" w:ascii="仿宋_GB2312" w:hAnsi="仿宋_GB2312" w:eastAsia="仿宋_GB2312" w:cs="仿宋_GB2312"/>
          <w:b/>
          <w:bCs/>
          <w:color w:val="auto"/>
          <w:szCs w:val="21"/>
          <w:highlight w:val="none"/>
        </w:rPr>
        <w:t>废标</w:t>
      </w:r>
      <w:r>
        <w:rPr>
          <w:rFonts w:hint="eastAsia" w:ascii="仿宋_GB2312" w:hAnsi="仿宋_GB2312" w:eastAsia="仿宋_GB2312" w:cs="仿宋_GB2312"/>
          <w:color w:val="auto"/>
          <w:szCs w:val="21"/>
          <w:highlight w:val="none"/>
        </w:rPr>
        <w:t>：</w:t>
      </w:r>
    </w:p>
    <w:p w14:paraId="2DB3541B">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（1）符合专业条件的投标人或者对招标文件做实质性响应的投标人不足3家；</w:t>
      </w:r>
    </w:p>
    <w:p w14:paraId="3DCD57C0">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（2）出现影响采购公正的违法、违规行为的；</w:t>
      </w:r>
    </w:p>
    <w:p w14:paraId="5A3C6B4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（3）投标人的报价均超过了采购预算或最高限价，采购人不能支付的；</w:t>
      </w:r>
    </w:p>
    <w:p w14:paraId="16C141E4">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（4）因重大变故，采购任务取消的。</w:t>
      </w:r>
    </w:p>
    <w:p w14:paraId="7AD88604">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29.中标候选人的推荐原则及标准</w:t>
      </w:r>
    </w:p>
    <w:p w14:paraId="0672436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29.1除第32条规定外，评标委员会将根据评标标准，对实质上响应招标文件的投标人按下列方法进行排序，推荐中标候选人：</w:t>
      </w:r>
    </w:p>
    <w:p w14:paraId="49098F96">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14:paraId="56BE5C35">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（2）采用综合评分法的，评标结果按评审后得分由高到低顺序排序。得分相同的，按第四章评标办法规定执行。</w:t>
      </w:r>
    </w:p>
    <w:p w14:paraId="6E8E0171">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29.2评标委员会将根据评标标准，按投标人须知表29.2款中规定的数量推荐中标候选人。</w:t>
      </w:r>
    </w:p>
    <w:p w14:paraId="33FCD245">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29.3因推荐中标候选人名单产生其他问题，由评标委员会集体研究处理。</w:t>
      </w:r>
    </w:p>
    <w:p w14:paraId="1FD47AC6">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30.保密原则</w:t>
      </w:r>
    </w:p>
    <w:p w14:paraId="510978A0">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30.1评标将在严格保密的情况下进行。</w:t>
      </w:r>
    </w:p>
    <w:p w14:paraId="652105F7">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30.2有关人员应当遵守评标工作纪律，不得泄露评审文件、评标情况和评标过程中获悉的国家秘密、商业秘密。</w:t>
      </w:r>
    </w:p>
    <w:p w14:paraId="01B923A2">
      <w:pPr>
        <w:pStyle w:val="3"/>
        <w:rPr>
          <w:rFonts w:ascii="仿宋_GB2312" w:hAnsi="仿宋_GB2312" w:eastAsia="仿宋_GB2312" w:cs="仿宋_GB2312"/>
          <w:color w:val="auto"/>
          <w:sz w:val="32"/>
          <w:szCs w:val="28"/>
          <w:highlight w:val="none"/>
        </w:rPr>
      </w:pPr>
      <w:bookmarkStart w:id="67" w:name="_Toc4544_WPSOffice_Level2"/>
      <w:r>
        <w:rPr>
          <w:rFonts w:hint="eastAsia" w:ascii="仿宋_GB2312" w:hAnsi="仿宋_GB2312" w:eastAsia="仿宋_GB2312" w:cs="仿宋_GB2312"/>
          <w:color w:val="auto"/>
          <w:sz w:val="32"/>
          <w:szCs w:val="28"/>
          <w:highlight w:val="none"/>
        </w:rPr>
        <w:t>七 确定中标</w:t>
      </w:r>
      <w:bookmarkEnd w:id="67"/>
    </w:p>
    <w:p w14:paraId="02846D00">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31.确定中标人</w:t>
      </w:r>
    </w:p>
    <w:p w14:paraId="66645A1B">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由采购人或者采购人委托评标委员会按照投标人须知表31中规定的方式确定中标人。</w:t>
      </w:r>
    </w:p>
    <w:p w14:paraId="160F679E">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采购人在收到评标报告5个工作日内未按评标报告推荐的中标候选人顺序确定中标人，又不能说明合法理由的，视同按评标报告推荐的顺序确定排名第一的中标候选人为中标人。</w:t>
      </w:r>
    </w:p>
    <w:p w14:paraId="723A89DD">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★32.采购任务取消</w:t>
      </w:r>
    </w:p>
    <w:p w14:paraId="6BB1FBDF">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因重大变故采购任务取消时，采购人有权拒绝任何供应商中标，且对受影响的投标人不承担任何责任。</w:t>
      </w:r>
    </w:p>
    <w:p w14:paraId="706EB56E">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33.中标通知书</w:t>
      </w:r>
    </w:p>
    <w:p w14:paraId="6854E36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33.1采购人或者采购代理机构应当自中标人确定之日起2个工作日内，在辽宁政府采购网及其地方分网媒体上公告中标结果。同时向中标人发出中标通知书。</w:t>
      </w:r>
    </w:p>
    <w:p w14:paraId="10BA8F7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33.2中标通知书是合同的组成部分。</w:t>
      </w:r>
    </w:p>
    <w:p w14:paraId="4A6C7D2F">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34.签订合同</w:t>
      </w:r>
    </w:p>
    <w:p w14:paraId="409BF6F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34.1中标人应当自发出中标通知书之日起 30 日内，与采购人签订书面合同。</w:t>
      </w:r>
    </w:p>
    <w:p w14:paraId="2BCBCD65">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7A0C7F97">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34.3 中标人拒绝与采购人签订合同的，采购人可以按照评标报告推荐的中标候选人名单排序，确定下一中标候选人为中标人，也可以重新开展政府采购活动。</w:t>
      </w:r>
    </w:p>
    <w:p w14:paraId="7EFA8BF5">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35.履约保证金</w:t>
      </w:r>
    </w:p>
    <w:p w14:paraId="790DC67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35.1中标人应按照投标人须知表35.1款规定向采购人缴纳履约保证金。</w:t>
      </w:r>
    </w:p>
    <w:p w14:paraId="074462E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35.2如果中标人没有按照上述履约保证金的规定执行，将视为拒绝签订合同并放弃中标资格，中标人的投标保证金将不予退还。在此情况下，采购人可确定下一中标候选人为中标人，也可以重新开展采购活动。</w:t>
      </w:r>
    </w:p>
    <w:p w14:paraId="19E38CD2">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36.采购代理服务费</w:t>
      </w:r>
    </w:p>
    <w:p w14:paraId="5C9929A2">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中标人须按照投标须知表36款规定，向采购代理机构支付采购代理服务费。</w:t>
      </w:r>
    </w:p>
    <w:p w14:paraId="36394B4F">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37.廉洁自律规定</w:t>
      </w:r>
    </w:p>
    <w:p w14:paraId="7ED8E7CB">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37.1采购代理机构工作人员不得以不正当手段获取政府采购代理业务，不得与采购人、投标人恶意串通操纵政府采购活动。</w:t>
      </w:r>
    </w:p>
    <w:p w14:paraId="55A1C4D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37.2采购代理机构工作人员不得接受采购人或者投标人组织的宴请、旅游、娱乐，不得收受礼品、现金、有价证券等，不得向采购人或者投标人报销应当由个人承担的费用。</w:t>
      </w:r>
    </w:p>
    <w:p w14:paraId="1B9FE3E2">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38.人员回避</w:t>
      </w:r>
    </w:p>
    <w:p w14:paraId="25F728BE">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投标人认为采购人及其相关人员有法律法规所列与其他投标人有利害关系的，可以向采购人或采购代理机构书面提出回避申请，并说明理由。</w:t>
      </w:r>
    </w:p>
    <w:p w14:paraId="11F52919">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39.质疑与接收</w:t>
      </w:r>
    </w:p>
    <w:p w14:paraId="5D44AC7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5C4D296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39.2质疑投标人应按照财政部门制定的《政府采购质疑函范本》格式（详见辽宁政府采购网）和《政府采购质疑和投诉办法》的要求，在法定质疑期内以纸质形式提出质疑，针对同一采购程序环节的质疑应一次性提出。</w:t>
      </w:r>
    </w:p>
    <w:p w14:paraId="0F170B01">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超出法定质疑期的、重复提出的、分次提出的或内容、形式不符合《政府采购质疑和投诉办法》的，质疑投标人将依法承担不利后果。</w:t>
      </w:r>
    </w:p>
    <w:p w14:paraId="5D45BB6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39.3采购代理机构质疑函接收部门、联系电话和通讯地址, 见投标人须知表39.3款。</w:t>
      </w:r>
    </w:p>
    <w:p w14:paraId="08D2DD3D">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40.履约验收</w:t>
      </w:r>
    </w:p>
    <w:p w14:paraId="3D3DEB19">
      <w:pPr>
        <w:adjustRightInd w:val="0"/>
        <w:snapToGrid w:val="0"/>
        <w:spacing w:line="360" w:lineRule="auto"/>
        <w:ind w:firstLine="420"/>
        <w:rPr>
          <w:rFonts w:ascii="仿宋_GB2312" w:hAnsi="仿宋_GB2312" w:eastAsia="仿宋_GB2312" w:cs="仿宋_GB2312"/>
          <w:b/>
          <w:color w:val="auto"/>
          <w:highlight w:val="none"/>
        </w:rPr>
        <w:sectPr>
          <w:footerReference r:id="rId4" w:type="default"/>
          <w:pgSz w:w="11906" w:h="16838"/>
          <w:pgMar w:top="1440" w:right="1800" w:bottom="1440" w:left="1800" w:header="851" w:footer="992" w:gutter="0"/>
          <w:cols w:space="720" w:num="1"/>
          <w:docGrid w:type="linesAndChars" w:linePitch="312" w:charSpace="0"/>
        </w:sectPr>
      </w:pPr>
      <w:r>
        <w:rPr>
          <w:rFonts w:hint="eastAsia" w:ascii="仿宋_GB2312" w:hAnsi="仿宋_GB2312" w:eastAsia="仿宋_GB2312" w:cs="仿宋_GB2312"/>
          <w:color w:val="auto"/>
          <w:szCs w:val="21"/>
          <w:highlight w:val="none"/>
        </w:rPr>
        <w:t>本项目采购人及其委托的采购代理机构将严格按照政府采购相关法律法规以及《辽宁省政府采购履约验收管理办法》（辽财采〔2017〕603号）的要求进行验收。</w:t>
      </w:r>
    </w:p>
    <w:p w14:paraId="5A275601">
      <w:pPr>
        <w:pStyle w:val="2"/>
        <w:adjustRightInd w:val="0"/>
        <w:snapToGrid w:val="0"/>
        <w:spacing w:before="0" w:after="0"/>
        <w:rPr>
          <w:rFonts w:ascii="仿宋_GB2312" w:hAnsi="仿宋_GB2312" w:eastAsia="仿宋_GB2312" w:cs="仿宋_GB2312"/>
          <w:color w:val="auto"/>
          <w:highlight w:val="none"/>
        </w:rPr>
      </w:pPr>
      <w:bookmarkStart w:id="68" w:name="_Toc6403"/>
      <w:bookmarkStart w:id="69" w:name="_Toc17725_WPSOffice_Level1"/>
      <w:r>
        <w:rPr>
          <w:rFonts w:hint="eastAsia" w:ascii="仿宋_GB2312" w:hAnsi="仿宋_GB2312" w:eastAsia="仿宋_GB2312" w:cs="仿宋_GB2312"/>
          <w:color w:val="auto"/>
          <w:highlight w:val="none"/>
        </w:rPr>
        <w:t>第二章 投标文件内容及格式</w:t>
      </w:r>
      <w:bookmarkEnd w:id="68"/>
      <w:bookmarkEnd w:id="69"/>
    </w:p>
    <w:p w14:paraId="446625A8">
      <w:pPr>
        <w:spacing w:before="159" w:beforeLines="50"/>
        <w:rPr>
          <w:rFonts w:ascii="仿宋_GB2312" w:hAnsi="仿宋_GB2312" w:eastAsia="仿宋_GB2312" w:cs="仿宋_GB2312"/>
          <w:b/>
          <w:color w:val="auto"/>
          <w:sz w:val="24"/>
          <w:highlight w:val="none"/>
        </w:rPr>
      </w:pPr>
      <w:bookmarkStart w:id="70" w:name="投标文件内容及格式：Block"/>
      <w:bookmarkEnd w:id="70"/>
      <w:bookmarkStart w:id="71" w:name="sys_投标文件内容及格式：Block"/>
      <w:bookmarkEnd w:id="71"/>
      <w:bookmarkStart w:id="72" w:name="_Toc2481_WPSOffice_Level2"/>
      <w:bookmarkStart w:id="73" w:name="_Toc1538_WPSOffice_Level2"/>
      <w:r>
        <w:rPr>
          <w:rFonts w:hint="eastAsia" w:ascii="仿宋_GB2312" w:hAnsi="仿宋_GB2312" w:eastAsia="仿宋_GB2312" w:cs="仿宋_GB2312"/>
          <w:b/>
          <w:color w:val="auto"/>
          <w:sz w:val="24"/>
          <w:highlight w:val="none"/>
        </w:rPr>
        <w:t>一、投标文件、电子文档的外封面、封口、封皮及目录</w:t>
      </w:r>
      <w:bookmarkEnd w:id="72"/>
      <w:bookmarkEnd w:id="73"/>
    </w:p>
    <w:tbl>
      <w:tblPr>
        <w:tblStyle w:val="22"/>
        <w:tblW w:w="8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76"/>
        <w:gridCol w:w="742"/>
      </w:tblGrid>
      <w:tr w14:paraId="7374D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677" w:type="dxa"/>
            <w:vAlign w:val="center"/>
          </w:tcPr>
          <w:p w14:paraId="410853AE">
            <w:pPr>
              <w:widowControl/>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序号</w:t>
            </w:r>
          </w:p>
        </w:tc>
        <w:tc>
          <w:tcPr>
            <w:tcW w:w="6976" w:type="dxa"/>
            <w:vAlign w:val="center"/>
          </w:tcPr>
          <w:p w14:paraId="43A7392E">
            <w:pPr>
              <w:widowControl/>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内容</w:t>
            </w:r>
          </w:p>
        </w:tc>
        <w:tc>
          <w:tcPr>
            <w:tcW w:w="742" w:type="dxa"/>
            <w:vAlign w:val="center"/>
          </w:tcPr>
          <w:p w14:paraId="698E4AB1">
            <w:pPr>
              <w:widowControl/>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格式</w:t>
            </w:r>
          </w:p>
        </w:tc>
      </w:tr>
      <w:tr w14:paraId="74C63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vAlign w:val="center"/>
          </w:tcPr>
          <w:p w14:paraId="29B2EF67">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w:t>
            </w:r>
          </w:p>
        </w:tc>
        <w:tc>
          <w:tcPr>
            <w:tcW w:w="6976" w:type="dxa"/>
            <w:vAlign w:val="center"/>
          </w:tcPr>
          <w:p w14:paraId="5B43912E">
            <w:pPr>
              <w:widowControl/>
              <w:adjustRightInd w:val="0"/>
              <w:snapToGrid w:val="0"/>
              <w:jc w:val="left"/>
              <w:rPr>
                <w:rFonts w:ascii="仿宋_GB2312" w:hAnsi="仿宋_GB2312" w:eastAsia="仿宋_GB2312" w:cs="仿宋_GB2312"/>
                <w:b/>
                <w:color w:val="auto"/>
                <w:kern w:val="0"/>
                <w:szCs w:val="21"/>
                <w:highlight w:val="none"/>
              </w:rPr>
            </w:pPr>
            <w:r>
              <w:rPr>
                <w:rFonts w:hint="eastAsia" w:ascii="仿宋_GB2312" w:hAnsi="仿宋_GB2312" w:eastAsia="仿宋_GB2312" w:cs="仿宋_GB2312"/>
                <w:color w:val="auto"/>
                <w:kern w:val="0"/>
                <w:szCs w:val="21"/>
                <w:highlight w:val="none"/>
              </w:rPr>
              <w:t>投标文件、电子文档的外封面及封口</w:t>
            </w:r>
          </w:p>
        </w:tc>
        <w:tc>
          <w:tcPr>
            <w:tcW w:w="742" w:type="dxa"/>
            <w:vAlign w:val="center"/>
          </w:tcPr>
          <w:p w14:paraId="6476B8F7">
            <w:pPr>
              <w:widowControl/>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w:t>
            </w:r>
          </w:p>
        </w:tc>
      </w:tr>
      <w:tr w14:paraId="41CBB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14:paraId="10DFBA4B">
            <w:pPr>
              <w:widowControl/>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w:t>
            </w:r>
          </w:p>
        </w:tc>
        <w:tc>
          <w:tcPr>
            <w:tcW w:w="6976" w:type="dxa"/>
            <w:vAlign w:val="center"/>
          </w:tcPr>
          <w:p w14:paraId="1E97CF74">
            <w:pPr>
              <w:widowControl/>
              <w:adjustRightInd w:val="0"/>
              <w:snapToGrid w:val="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投标文件的封皮</w:t>
            </w:r>
          </w:p>
        </w:tc>
        <w:tc>
          <w:tcPr>
            <w:tcW w:w="742" w:type="dxa"/>
            <w:vAlign w:val="center"/>
          </w:tcPr>
          <w:p w14:paraId="386A9C57">
            <w:pPr>
              <w:widowControl/>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w:t>
            </w:r>
          </w:p>
        </w:tc>
      </w:tr>
      <w:tr w14:paraId="15749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14:paraId="2C39904C">
            <w:pPr>
              <w:widowControl/>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3</w:t>
            </w:r>
          </w:p>
        </w:tc>
        <w:tc>
          <w:tcPr>
            <w:tcW w:w="6976" w:type="dxa"/>
            <w:vAlign w:val="center"/>
          </w:tcPr>
          <w:p w14:paraId="194C34EF">
            <w:pPr>
              <w:widowControl/>
              <w:adjustRightInd w:val="0"/>
              <w:snapToGrid w:val="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投标文件的目录</w:t>
            </w:r>
          </w:p>
        </w:tc>
        <w:tc>
          <w:tcPr>
            <w:tcW w:w="742" w:type="dxa"/>
            <w:vAlign w:val="center"/>
          </w:tcPr>
          <w:p w14:paraId="573D1C67">
            <w:pPr>
              <w:widowControl/>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3</w:t>
            </w:r>
          </w:p>
        </w:tc>
      </w:tr>
    </w:tbl>
    <w:p w14:paraId="416815AE">
      <w:pPr>
        <w:snapToGrid w:val="0"/>
        <w:spacing w:before="159" w:beforeLines="50"/>
        <w:rPr>
          <w:rFonts w:ascii="仿宋_GB2312" w:hAnsi="仿宋_GB2312" w:eastAsia="仿宋_GB2312" w:cs="仿宋_GB2312"/>
          <w:b/>
          <w:color w:val="auto"/>
          <w:sz w:val="24"/>
          <w:highlight w:val="none"/>
        </w:rPr>
      </w:pPr>
      <w:bookmarkStart w:id="74" w:name="_Toc31052_WPSOffice_Level2"/>
      <w:bookmarkStart w:id="75" w:name="_Toc1266_WPSOffice_Level2"/>
      <w:r>
        <w:rPr>
          <w:rFonts w:hint="eastAsia" w:ascii="仿宋_GB2312" w:hAnsi="仿宋_GB2312" w:eastAsia="仿宋_GB2312" w:cs="仿宋_GB2312"/>
          <w:b/>
          <w:color w:val="auto"/>
          <w:sz w:val="24"/>
          <w:highlight w:val="none"/>
        </w:rPr>
        <w:t>二、资格证明材料</w:t>
      </w:r>
      <w:bookmarkEnd w:id="74"/>
      <w:bookmarkEnd w:id="75"/>
      <w:r>
        <w:rPr>
          <w:rFonts w:hint="eastAsia" w:ascii="仿宋_GB2312" w:hAnsi="仿宋_GB2312" w:eastAsia="仿宋_GB2312" w:cs="仿宋_GB2312"/>
          <w:b/>
          <w:color w:val="auto"/>
          <w:sz w:val="24"/>
          <w:highlight w:val="none"/>
        </w:rPr>
        <w:t>（有一项不符合要求，不能进入下一阶段评审）</w:t>
      </w:r>
    </w:p>
    <w:tbl>
      <w:tblPr>
        <w:tblStyle w:val="22"/>
        <w:tblW w:w="8418" w:type="dxa"/>
        <w:jc w:val="center"/>
        <w:tblLayout w:type="fixed"/>
        <w:tblCellMar>
          <w:top w:w="0" w:type="dxa"/>
          <w:left w:w="0" w:type="dxa"/>
          <w:bottom w:w="0" w:type="dxa"/>
          <w:right w:w="0" w:type="dxa"/>
        </w:tblCellMar>
      </w:tblPr>
      <w:tblGrid>
        <w:gridCol w:w="671"/>
        <w:gridCol w:w="6992"/>
        <w:gridCol w:w="755"/>
      </w:tblGrid>
      <w:tr w14:paraId="089AEF71">
        <w:tblPrEx>
          <w:tblCellMar>
            <w:top w:w="0" w:type="dxa"/>
            <w:left w:w="0" w:type="dxa"/>
            <w:bottom w:w="0" w:type="dxa"/>
            <w:right w:w="0" w:type="dxa"/>
          </w:tblCellMar>
        </w:tblPrEx>
        <w:trPr>
          <w:trHeight w:val="539" w:hRule="atLeast"/>
          <w:tblHeader/>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7FF8496">
            <w:pPr>
              <w:adjustRightInd w:val="0"/>
              <w:snapToGrid w:val="0"/>
              <w:jc w:val="center"/>
              <w:rPr>
                <w:rFonts w:ascii="仿宋_GB2312" w:hAnsi="仿宋_GB2312" w:eastAsia="仿宋_GB2312" w:cs="仿宋_GB2312"/>
                <w:color w:val="auto"/>
                <w:szCs w:val="21"/>
                <w:highlight w:val="none"/>
              </w:rPr>
            </w:pPr>
            <w:bookmarkStart w:id="76" w:name="资格性证明材料：Document"/>
            <w:bookmarkStart w:id="77" w:name="sys_资格性证明材料：Document"/>
            <w:r>
              <w:rPr>
                <w:rFonts w:hint="eastAsia" w:ascii="仿宋_GB2312" w:hAnsi="仿宋_GB2312" w:eastAsia="仿宋_GB2312" w:cs="仿宋_GB2312"/>
                <w:color w:val="auto"/>
                <w:szCs w:val="21"/>
                <w:highlight w:val="none"/>
              </w:rPr>
              <w:t>序号</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1432223">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资格证明材料</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28EFD2D">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格式</w:t>
            </w:r>
          </w:p>
        </w:tc>
      </w:tr>
      <w:tr w14:paraId="357A7739">
        <w:tblPrEx>
          <w:tblCellMar>
            <w:top w:w="0" w:type="dxa"/>
            <w:left w:w="0" w:type="dxa"/>
            <w:bottom w:w="0" w:type="dxa"/>
            <w:right w:w="0" w:type="dxa"/>
          </w:tblCellMar>
        </w:tblPrEx>
        <w:trPr>
          <w:trHeight w:val="78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135D4A4">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10EFE0B">
            <w:pPr>
              <w:snapToGrid w:val="0"/>
              <w:jc w:val="left"/>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营业执照副本或事业单位法人证书或执业许可证等证明文件复印件或（须加盖单位公章）或自然人的身份证明复印件（自然人身份证明仅在自然人作为投标主体时适用）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BEBED70">
            <w:pPr>
              <w:snapToGrid w:val="0"/>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4-1</w:t>
            </w:r>
          </w:p>
        </w:tc>
      </w:tr>
      <w:tr w14:paraId="163BEC79">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858DE0A">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ADCA14C">
            <w:pPr>
              <w:widowControl/>
              <w:snapToGrid w:val="0"/>
              <w:jc w:val="left"/>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组织机构代码证副本（复印件，三证合一的不需提供）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AB45BB2">
            <w:pPr>
              <w:snapToGrid w:val="0"/>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4-2</w:t>
            </w:r>
          </w:p>
        </w:tc>
      </w:tr>
      <w:tr w14:paraId="7616414A">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19A5084">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36395F4">
            <w:pPr>
              <w:widowControl/>
              <w:snapToGrid w:val="0"/>
              <w:jc w:val="left"/>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税务登记证（复印件，三证合一的不需提供）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B761199">
            <w:pPr>
              <w:snapToGrid w:val="0"/>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4-3</w:t>
            </w:r>
          </w:p>
        </w:tc>
      </w:tr>
      <w:tr w14:paraId="206074D6">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787A8BED">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w:t>
            </w:r>
          </w:p>
        </w:tc>
        <w:tc>
          <w:tcPr>
            <w:tcW w:w="699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405FFF6D">
            <w:pPr>
              <w:widowControl/>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法定代表人（或非法人组织负责人）身份证明书原件（自然人投标的无需提供）</w:t>
            </w:r>
          </w:p>
        </w:tc>
        <w:tc>
          <w:tcPr>
            <w:tcW w:w="75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2DB071D5">
            <w:pPr>
              <w:snapToGrid w:val="0"/>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5</w:t>
            </w:r>
          </w:p>
        </w:tc>
      </w:tr>
      <w:tr w14:paraId="1A6291AA">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1A0E2EAA">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w:t>
            </w:r>
          </w:p>
        </w:tc>
        <w:tc>
          <w:tcPr>
            <w:tcW w:w="699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26AAD007">
            <w:pPr>
              <w:widowControl/>
              <w:snapToGrid w:val="0"/>
              <w:jc w:val="left"/>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法定代表人（或非法人组织</w:t>
            </w:r>
            <w:r>
              <w:rPr>
                <w:rFonts w:hint="eastAsia" w:ascii="仿宋_GB2312" w:hAnsi="仿宋_GB2312" w:eastAsia="仿宋_GB2312" w:cs="仿宋_GB2312"/>
                <w:color w:val="auto"/>
                <w:szCs w:val="21"/>
                <w:highlight w:val="none"/>
              </w:rPr>
              <w:t>负责人）</w:t>
            </w:r>
            <w:r>
              <w:rPr>
                <w:rFonts w:hint="eastAsia" w:ascii="仿宋_GB2312" w:hAnsi="仿宋_GB2312" w:eastAsia="仿宋_GB2312" w:cs="仿宋_GB2312"/>
                <w:color w:val="auto"/>
                <w:highlight w:val="none"/>
              </w:rPr>
              <w:t>授权委托书原件</w:t>
            </w:r>
            <w:r>
              <w:rPr>
                <w:rFonts w:hint="eastAsia" w:ascii="仿宋_GB2312" w:hAnsi="仿宋_GB2312" w:eastAsia="仿宋_GB2312" w:cs="仿宋_GB2312"/>
                <w:color w:val="auto"/>
                <w:szCs w:val="21"/>
                <w:highlight w:val="none"/>
              </w:rPr>
              <w:t>（授权委托人参加投标的须提供）</w:t>
            </w:r>
          </w:p>
        </w:tc>
        <w:tc>
          <w:tcPr>
            <w:tcW w:w="75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165742CE">
            <w:pPr>
              <w:snapToGrid w:val="0"/>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6</w:t>
            </w:r>
          </w:p>
        </w:tc>
      </w:tr>
      <w:tr w14:paraId="157C8D3A">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4862C283">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w:t>
            </w:r>
          </w:p>
        </w:tc>
        <w:tc>
          <w:tcPr>
            <w:tcW w:w="699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7759DD38">
            <w:pPr>
              <w:widowControl/>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具有良好的商业信誉和健全的财务会计制度的承诺函</w:t>
            </w:r>
          </w:p>
        </w:tc>
        <w:tc>
          <w:tcPr>
            <w:tcW w:w="75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127031AB">
            <w:pPr>
              <w:snapToGrid w:val="0"/>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7-1</w:t>
            </w:r>
          </w:p>
        </w:tc>
      </w:tr>
      <w:tr w14:paraId="48ECFBA0">
        <w:tblPrEx>
          <w:tblCellMar>
            <w:top w:w="0" w:type="dxa"/>
            <w:left w:w="0" w:type="dxa"/>
            <w:bottom w:w="0" w:type="dxa"/>
            <w:right w:w="0" w:type="dxa"/>
          </w:tblCellMar>
        </w:tblPrEx>
        <w:trPr>
          <w:trHeight w:val="529" w:hRule="atLeast"/>
          <w:jc w:val="center"/>
        </w:trPr>
        <w:tc>
          <w:tcPr>
            <w:tcW w:w="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67197A0A">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7</w:t>
            </w:r>
          </w:p>
        </w:tc>
        <w:tc>
          <w:tcPr>
            <w:tcW w:w="699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4E832FC4">
            <w:pPr>
              <w:snapToGrid w:val="0"/>
              <w:jc w:val="left"/>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开标时间前六个月内任一个月的依法缴纳税收的缴款凭据复印件</w:t>
            </w:r>
          </w:p>
          <w:p w14:paraId="0251857B">
            <w:pPr>
              <w:snapToGrid w:val="0"/>
              <w:jc w:val="left"/>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（注：依法免税的供应商，应提供相关证明材料，包括相关法规要求原文及加盖单位公章的情况说明）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51AA48B6">
            <w:pPr>
              <w:snapToGrid w:val="0"/>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7-2</w:t>
            </w:r>
          </w:p>
        </w:tc>
      </w:tr>
      <w:tr w14:paraId="7B977935">
        <w:tblPrEx>
          <w:tblCellMar>
            <w:top w:w="0" w:type="dxa"/>
            <w:left w:w="0" w:type="dxa"/>
            <w:bottom w:w="0" w:type="dxa"/>
            <w:right w:w="0" w:type="dxa"/>
          </w:tblCellMar>
        </w:tblPrEx>
        <w:trPr>
          <w:trHeight w:val="77" w:hRule="atLeast"/>
          <w:jc w:val="center"/>
        </w:trPr>
        <w:tc>
          <w:tcPr>
            <w:tcW w:w="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26A693A1">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8</w:t>
            </w:r>
          </w:p>
        </w:tc>
        <w:tc>
          <w:tcPr>
            <w:tcW w:w="699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34F626B3">
            <w:pPr>
              <w:snapToGrid w:val="0"/>
              <w:jc w:val="left"/>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开标时间前六个月内任一个月的依法缴纳社会保障资金的缴款凭据复印件（注：依法不需要缴纳社会保障资金的供应商，应提供相关证明材料，包括相关法规要求原文及加盖单位公章的情况说明）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07E46B60">
            <w:pPr>
              <w:snapToGrid w:val="0"/>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7-3</w:t>
            </w:r>
          </w:p>
        </w:tc>
      </w:tr>
      <w:tr w14:paraId="0E96E8B4">
        <w:tblPrEx>
          <w:tblCellMar>
            <w:top w:w="0" w:type="dxa"/>
            <w:left w:w="0" w:type="dxa"/>
            <w:bottom w:w="0" w:type="dxa"/>
            <w:right w:w="0" w:type="dxa"/>
          </w:tblCellMar>
        </w:tblPrEx>
        <w:trPr>
          <w:trHeight w:val="464" w:hRule="atLeast"/>
          <w:jc w:val="center"/>
        </w:trPr>
        <w:tc>
          <w:tcPr>
            <w:tcW w:w="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1EE69A54">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9</w:t>
            </w:r>
          </w:p>
        </w:tc>
        <w:tc>
          <w:tcPr>
            <w:tcW w:w="699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6C3AE3B1">
            <w:pPr>
              <w:snapToGrid w:val="0"/>
              <w:jc w:val="left"/>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具备履行合同所必需的设备和专业技术能力声明函</w:t>
            </w:r>
          </w:p>
        </w:tc>
        <w:tc>
          <w:tcPr>
            <w:tcW w:w="75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132AB369">
            <w:pPr>
              <w:snapToGrid w:val="0"/>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7-4</w:t>
            </w:r>
          </w:p>
        </w:tc>
      </w:tr>
      <w:tr w14:paraId="2F016C2D">
        <w:tblPrEx>
          <w:tblCellMar>
            <w:top w:w="0" w:type="dxa"/>
            <w:left w:w="0" w:type="dxa"/>
            <w:bottom w:w="0" w:type="dxa"/>
            <w:right w:w="0" w:type="dxa"/>
          </w:tblCellMar>
        </w:tblPrEx>
        <w:trPr>
          <w:trHeight w:val="459" w:hRule="atLeast"/>
          <w:jc w:val="center"/>
        </w:trPr>
        <w:tc>
          <w:tcPr>
            <w:tcW w:w="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60A2AB6E">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10</w:t>
            </w:r>
          </w:p>
        </w:tc>
        <w:tc>
          <w:tcPr>
            <w:tcW w:w="699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11DE036B">
            <w:pPr>
              <w:snapToGrid w:val="0"/>
              <w:jc w:val="left"/>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参加政府采购活动前3年内在经营活动中没有重大违法记录的书面声明</w:t>
            </w:r>
          </w:p>
        </w:tc>
        <w:tc>
          <w:tcPr>
            <w:tcW w:w="75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37B7063D">
            <w:pPr>
              <w:snapToGrid w:val="0"/>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8</w:t>
            </w:r>
          </w:p>
        </w:tc>
      </w:tr>
      <w:tr w14:paraId="11EA238A">
        <w:tblPrEx>
          <w:tblCellMar>
            <w:top w:w="0" w:type="dxa"/>
            <w:left w:w="0" w:type="dxa"/>
            <w:bottom w:w="0" w:type="dxa"/>
            <w:right w:w="0" w:type="dxa"/>
          </w:tblCellMar>
        </w:tblPrEx>
        <w:trPr>
          <w:trHeight w:val="543" w:hRule="atLeast"/>
          <w:jc w:val="center"/>
        </w:trPr>
        <w:tc>
          <w:tcPr>
            <w:tcW w:w="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16A7D77E">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11</w:t>
            </w:r>
          </w:p>
        </w:tc>
        <w:tc>
          <w:tcPr>
            <w:tcW w:w="699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7B253CA4">
            <w:pPr>
              <w:snapToGrid w:val="0"/>
              <w:jc w:val="left"/>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《中小企业声明函》、监狱企业证明文件、残疾人福利性单位声明函</w:t>
            </w:r>
          </w:p>
        </w:tc>
        <w:tc>
          <w:tcPr>
            <w:tcW w:w="75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7349FC88">
            <w:pPr>
              <w:snapToGrid w:val="0"/>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9</w:t>
            </w:r>
          </w:p>
        </w:tc>
      </w:tr>
      <w:tr w14:paraId="4EEC2163">
        <w:tblPrEx>
          <w:tblCellMar>
            <w:top w:w="0" w:type="dxa"/>
            <w:left w:w="0" w:type="dxa"/>
            <w:bottom w:w="0" w:type="dxa"/>
            <w:right w:w="0" w:type="dxa"/>
          </w:tblCellMar>
        </w:tblPrEx>
        <w:trPr>
          <w:trHeight w:val="543"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1F0BC69">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12</w:t>
            </w:r>
          </w:p>
        </w:tc>
        <w:tc>
          <w:tcPr>
            <w:tcW w:w="699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478F1646">
            <w:pPr>
              <w:snapToGrid w:val="0"/>
              <w:jc w:val="left"/>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信用记录（</w:t>
            </w:r>
            <w:r>
              <w:rPr>
                <w:rFonts w:hint="eastAsia" w:ascii="仿宋_GB2312" w:hAnsi="仿宋_GB2312" w:eastAsia="仿宋_GB2312" w:cs="仿宋_GB2312"/>
                <w:color w:val="auto"/>
                <w:szCs w:val="21"/>
                <w:highlight w:val="none"/>
              </w:rPr>
              <w:t>招标人或采购代理机构将在资格审查期间内查询</w:t>
            </w:r>
            <w:r>
              <w:rPr>
                <w:rFonts w:hint="eastAsia" w:ascii="仿宋_GB2312" w:hAnsi="仿宋_GB2312" w:eastAsia="仿宋_GB2312" w:cs="仿宋_GB2312"/>
                <w:color w:val="auto"/>
                <w:highlight w:val="none"/>
              </w:rPr>
              <w:t>）</w:t>
            </w:r>
          </w:p>
        </w:tc>
        <w:tc>
          <w:tcPr>
            <w:tcW w:w="75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0E7B1D4A">
            <w:pPr>
              <w:snapToGrid w:val="0"/>
              <w:jc w:val="center"/>
              <w:rPr>
                <w:rFonts w:ascii="仿宋_GB2312" w:hAnsi="仿宋_GB2312" w:eastAsia="仿宋_GB2312" w:cs="仿宋_GB2312"/>
                <w:color w:val="auto"/>
                <w:highlight w:val="none"/>
              </w:rPr>
            </w:pPr>
          </w:p>
        </w:tc>
      </w:tr>
    </w:tbl>
    <w:p w14:paraId="5D449EA8">
      <w:pPr>
        <w:snapToGrid w:val="0"/>
        <w:spacing w:before="159" w:beforeLines="50"/>
        <w:rPr>
          <w:rFonts w:ascii="仿宋_GB2312" w:hAnsi="仿宋_GB2312" w:eastAsia="仿宋_GB2312" w:cs="仿宋_GB2312"/>
          <w:b/>
          <w:color w:val="auto"/>
          <w:sz w:val="24"/>
          <w:highlight w:val="none"/>
        </w:rPr>
      </w:pPr>
      <w:bookmarkStart w:id="78" w:name="_Toc25206_WPSOffice_Level2"/>
      <w:bookmarkStart w:id="79" w:name="_Toc22359_WPSOffice_Level2"/>
      <w:r>
        <w:rPr>
          <w:rFonts w:hint="eastAsia" w:ascii="仿宋_GB2312" w:hAnsi="仿宋_GB2312" w:eastAsia="仿宋_GB2312" w:cs="仿宋_GB2312"/>
          <w:b/>
          <w:color w:val="auto"/>
          <w:sz w:val="24"/>
          <w:highlight w:val="none"/>
        </w:rPr>
        <w:t>三、符合性证明材料</w:t>
      </w:r>
      <w:bookmarkEnd w:id="78"/>
      <w:bookmarkEnd w:id="79"/>
      <w:r>
        <w:rPr>
          <w:rFonts w:hint="eastAsia" w:ascii="仿宋_GB2312" w:hAnsi="仿宋_GB2312" w:eastAsia="仿宋_GB2312" w:cs="仿宋_GB2312"/>
          <w:b/>
          <w:color w:val="auto"/>
          <w:sz w:val="24"/>
          <w:highlight w:val="none"/>
        </w:rPr>
        <w:t>（有一项不符合要求，不能进入下一阶段评审）</w:t>
      </w:r>
    </w:p>
    <w:bookmarkEnd w:id="76"/>
    <w:bookmarkEnd w:id="77"/>
    <w:tbl>
      <w:tblPr>
        <w:tblStyle w:val="22"/>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6986"/>
        <w:gridCol w:w="756"/>
      </w:tblGrid>
      <w:tr w14:paraId="66660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667" w:type="dxa"/>
            <w:vAlign w:val="center"/>
          </w:tcPr>
          <w:p w14:paraId="638BB601">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序号</w:t>
            </w:r>
          </w:p>
        </w:tc>
        <w:tc>
          <w:tcPr>
            <w:tcW w:w="6986" w:type="dxa"/>
            <w:vAlign w:val="center"/>
          </w:tcPr>
          <w:p w14:paraId="310E0141">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符合性证明材料</w:t>
            </w:r>
          </w:p>
        </w:tc>
        <w:tc>
          <w:tcPr>
            <w:tcW w:w="756" w:type="dxa"/>
            <w:vAlign w:val="center"/>
          </w:tcPr>
          <w:p w14:paraId="28190997">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格式</w:t>
            </w:r>
          </w:p>
        </w:tc>
      </w:tr>
      <w:tr w14:paraId="553EC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6BE787FF">
            <w:pPr>
              <w:adjustRightInd w:val="0"/>
              <w:snapToGrid w:val="0"/>
              <w:jc w:val="center"/>
              <w:rPr>
                <w:rFonts w:ascii="仿宋_GB2312" w:hAnsi="仿宋_GB2312" w:eastAsia="仿宋_GB2312" w:cs="仿宋_GB2312"/>
                <w:color w:val="auto"/>
                <w:kern w:val="0"/>
                <w:sz w:val="20"/>
                <w:szCs w:val="21"/>
                <w:highlight w:val="none"/>
              </w:rPr>
            </w:pPr>
            <w:r>
              <w:rPr>
                <w:rFonts w:hint="eastAsia" w:ascii="仿宋_GB2312" w:hAnsi="仿宋_GB2312" w:eastAsia="仿宋_GB2312" w:cs="仿宋_GB2312"/>
                <w:color w:val="auto"/>
                <w:kern w:val="0"/>
                <w:sz w:val="20"/>
                <w:szCs w:val="21"/>
                <w:highlight w:val="none"/>
              </w:rPr>
              <w:t>1</w:t>
            </w:r>
          </w:p>
        </w:tc>
        <w:tc>
          <w:tcPr>
            <w:tcW w:w="6986" w:type="dxa"/>
            <w:vAlign w:val="center"/>
          </w:tcPr>
          <w:p w14:paraId="7CD9B7A5">
            <w:pPr>
              <w:rPr>
                <w:rFonts w:ascii="仿宋_GB2312" w:hAnsi="仿宋_GB2312" w:eastAsia="仿宋_GB2312" w:cs="仿宋_GB2312"/>
                <w:color w:val="auto"/>
                <w:kern w:val="0"/>
                <w:sz w:val="20"/>
                <w:szCs w:val="21"/>
                <w:highlight w:val="none"/>
              </w:rPr>
            </w:pPr>
            <w:r>
              <w:rPr>
                <w:rFonts w:hint="eastAsia" w:ascii="仿宋_GB2312" w:hAnsi="仿宋_GB2312" w:eastAsia="仿宋_GB2312" w:cs="仿宋_GB2312"/>
                <w:color w:val="auto"/>
                <w:kern w:val="0"/>
                <w:sz w:val="20"/>
                <w:szCs w:val="21"/>
                <w:highlight w:val="none"/>
              </w:rPr>
              <w:t>投标函</w:t>
            </w:r>
          </w:p>
        </w:tc>
        <w:tc>
          <w:tcPr>
            <w:tcW w:w="756" w:type="dxa"/>
            <w:vAlign w:val="center"/>
          </w:tcPr>
          <w:p w14:paraId="2DC184A9">
            <w:pPr>
              <w:jc w:val="center"/>
              <w:rPr>
                <w:rFonts w:ascii="仿宋_GB2312" w:hAnsi="仿宋_GB2312" w:eastAsia="仿宋_GB2312" w:cs="仿宋_GB2312"/>
                <w:color w:val="auto"/>
                <w:kern w:val="0"/>
                <w:sz w:val="20"/>
                <w:szCs w:val="21"/>
                <w:highlight w:val="none"/>
              </w:rPr>
            </w:pPr>
            <w:r>
              <w:rPr>
                <w:rFonts w:hint="eastAsia" w:ascii="仿宋_GB2312" w:hAnsi="仿宋_GB2312" w:eastAsia="仿宋_GB2312" w:cs="仿宋_GB2312"/>
                <w:color w:val="auto"/>
                <w:kern w:val="0"/>
                <w:sz w:val="20"/>
                <w:szCs w:val="21"/>
                <w:highlight w:val="none"/>
              </w:rPr>
              <w:t>10</w:t>
            </w:r>
          </w:p>
        </w:tc>
      </w:tr>
      <w:tr w14:paraId="28E77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749AD0AA">
            <w:pPr>
              <w:adjustRightInd w:val="0"/>
              <w:snapToGrid w:val="0"/>
              <w:jc w:val="center"/>
              <w:rPr>
                <w:rFonts w:ascii="仿宋_GB2312" w:hAnsi="仿宋_GB2312" w:eastAsia="仿宋_GB2312" w:cs="仿宋_GB2312"/>
                <w:color w:val="auto"/>
                <w:kern w:val="0"/>
                <w:sz w:val="20"/>
                <w:szCs w:val="21"/>
                <w:highlight w:val="none"/>
              </w:rPr>
            </w:pPr>
            <w:r>
              <w:rPr>
                <w:rFonts w:hint="eastAsia" w:ascii="仿宋_GB2312" w:hAnsi="仿宋_GB2312" w:eastAsia="仿宋_GB2312" w:cs="仿宋_GB2312"/>
                <w:color w:val="auto"/>
                <w:kern w:val="0"/>
                <w:sz w:val="20"/>
                <w:szCs w:val="21"/>
                <w:highlight w:val="none"/>
              </w:rPr>
              <w:t>2</w:t>
            </w:r>
          </w:p>
        </w:tc>
        <w:tc>
          <w:tcPr>
            <w:tcW w:w="6986" w:type="dxa"/>
            <w:shd w:val="clear" w:color="auto" w:fill="auto"/>
            <w:vAlign w:val="center"/>
          </w:tcPr>
          <w:p w14:paraId="6953747B">
            <w:pPr>
              <w:rPr>
                <w:rFonts w:ascii="仿宋_GB2312" w:hAnsi="仿宋_GB2312" w:eastAsia="仿宋_GB2312" w:cs="仿宋_GB2312"/>
                <w:color w:val="auto"/>
                <w:kern w:val="0"/>
                <w:sz w:val="20"/>
                <w:szCs w:val="21"/>
                <w:highlight w:val="none"/>
              </w:rPr>
            </w:pPr>
            <w:r>
              <w:rPr>
                <w:rFonts w:hint="eastAsia" w:ascii="仿宋_GB2312" w:hAnsi="仿宋_GB2312" w:eastAsia="仿宋_GB2312" w:cs="仿宋_GB2312"/>
                <w:color w:val="auto"/>
                <w:kern w:val="0"/>
                <w:sz w:val="20"/>
                <w:szCs w:val="21"/>
                <w:highlight w:val="none"/>
              </w:rPr>
              <w:t>开标一览表</w:t>
            </w:r>
          </w:p>
        </w:tc>
        <w:tc>
          <w:tcPr>
            <w:tcW w:w="756" w:type="dxa"/>
            <w:vAlign w:val="center"/>
          </w:tcPr>
          <w:p w14:paraId="3CD4A878">
            <w:pPr>
              <w:jc w:val="center"/>
              <w:rPr>
                <w:rFonts w:ascii="仿宋_GB2312" w:hAnsi="仿宋_GB2312" w:eastAsia="仿宋_GB2312" w:cs="仿宋_GB2312"/>
                <w:color w:val="auto"/>
                <w:kern w:val="0"/>
                <w:sz w:val="20"/>
                <w:szCs w:val="21"/>
                <w:highlight w:val="none"/>
              </w:rPr>
            </w:pPr>
            <w:r>
              <w:rPr>
                <w:rFonts w:hint="eastAsia" w:ascii="仿宋_GB2312" w:hAnsi="仿宋_GB2312" w:eastAsia="仿宋_GB2312" w:cs="仿宋_GB2312"/>
                <w:color w:val="auto"/>
                <w:kern w:val="0"/>
                <w:sz w:val="20"/>
                <w:szCs w:val="21"/>
                <w:highlight w:val="none"/>
              </w:rPr>
              <w:t>11</w:t>
            </w:r>
          </w:p>
        </w:tc>
      </w:tr>
      <w:tr w14:paraId="765C9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5D9A76C8">
            <w:pPr>
              <w:adjustRightInd w:val="0"/>
              <w:snapToGrid w:val="0"/>
              <w:jc w:val="center"/>
              <w:rPr>
                <w:rFonts w:ascii="仿宋_GB2312" w:hAnsi="仿宋_GB2312" w:eastAsia="仿宋_GB2312" w:cs="仿宋_GB2312"/>
                <w:color w:val="auto"/>
                <w:kern w:val="0"/>
                <w:sz w:val="20"/>
                <w:szCs w:val="21"/>
                <w:highlight w:val="none"/>
              </w:rPr>
            </w:pPr>
            <w:r>
              <w:rPr>
                <w:rFonts w:hint="eastAsia" w:ascii="仿宋_GB2312" w:hAnsi="仿宋_GB2312" w:eastAsia="仿宋_GB2312" w:cs="仿宋_GB2312"/>
                <w:color w:val="auto"/>
                <w:kern w:val="0"/>
                <w:sz w:val="20"/>
                <w:szCs w:val="21"/>
                <w:highlight w:val="none"/>
              </w:rPr>
              <w:t>3</w:t>
            </w:r>
          </w:p>
        </w:tc>
        <w:tc>
          <w:tcPr>
            <w:tcW w:w="6986" w:type="dxa"/>
            <w:shd w:val="clear" w:color="auto" w:fill="auto"/>
            <w:vAlign w:val="center"/>
          </w:tcPr>
          <w:p w14:paraId="4F7DBFBB">
            <w:pPr>
              <w:rPr>
                <w:rFonts w:ascii="仿宋_GB2312" w:hAnsi="仿宋_GB2312" w:eastAsia="仿宋_GB2312" w:cs="仿宋_GB2312"/>
                <w:color w:val="auto"/>
                <w:kern w:val="0"/>
                <w:sz w:val="20"/>
                <w:szCs w:val="21"/>
                <w:highlight w:val="none"/>
              </w:rPr>
            </w:pPr>
            <w:r>
              <w:rPr>
                <w:rFonts w:hint="eastAsia" w:ascii="仿宋_GB2312" w:hAnsi="仿宋_GB2312" w:eastAsia="仿宋_GB2312" w:cs="仿宋_GB2312"/>
                <w:color w:val="auto"/>
                <w:kern w:val="0"/>
                <w:sz w:val="20"/>
                <w:szCs w:val="21"/>
                <w:highlight w:val="none"/>
              </w:rPr>
              <w:t>分项报价表</w:t>
            </w:r>
          </w:p>
        </w:tc>
        <w:tc>
          <w:tcPr>
            <w:tcW w:w="756" w:type="dxa"/>
            <w:vAlign w:val="center"/>
          </w:tcPr>
          <w:p w14:paraId="4B42B382">
            <w:pPr>
              <w:jc w:val="center"/>
              <w:rPr>
                <w:rFonts w:ascii="仿宋_GB2312" w:hAnsi="仿宋_GB2312" w:eastAsia="仿宋_GB2312" w:cs="仿宋_GB2312"/>
                <w:color w:val="auto"/>
                <w:kern w:val="0"/>
                <w:sz w:val="20"/>
                <w:szCs w:val="21"/>
                <w:highlight w:val="none"/>
              </w:rPr>
            </w:pPr>
            <w:r>
              <w:rPr>
                <w:rFonts w:hint="eastAsia" w:ascii="仿宋_GB2312" w:hAnsi="仿宋_GB2312" w:eastAsia="仿宋_GB2312" w:cs="仿宋_GB2312"/>
                <w:color w:val="auto"/>
                <w:kern w:val="0"/>
                <w:sz w:val="20"/>
                <w:szCs w:val="21"/>
                <w:highlight w:val="none"/>
              </w:rPr>
              <w:t>12</w:t>
            </w:r>
          </w:p>
        </w:tc>
      </w:tr>
      <w:tr w14:paraId="72A3C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2562CC18">
            <w:pPr>
              <w:adjustRightInd w:val="0"/>
              <w:snapToGrid w:val="0"/>
              <w:jc w:val="center"/>
              <w:rPr>
                <w:rFonts w:ascii="仿宋_GB2312" w:hAnsi="仿宋_GB2312" w:eastAsia="仿宋_GB2312" w:cs="仿宋_GB2312"/>
                <w:color w:val="auto"/>
                <w:kern w:val="0"/>
                <w:sz w:val="20"/>
                <w:szCs w:val="21"/>
                <w:highlight w:val="none"/>
              </w:rPr>
            </w:pPr>
            <w:r>
              <w:rPr>
                <w:rFonts w:hint="eastAsia" w:ascii="仿宋_GB2312" w:hAnsi="仿宋_GB2312" w:eastAsia="仿宋_GB2312" w:cs="仿宋_GB2312"/>
                <w:color w:val="auto"/>
                <w:kern w:val="0"/>
                <w:sz w:val="20"/>
                <w:szCs w:val="21"/>
                <w:highlight w:val="none"/>
              </w:rPr>
              <w:t>4</w:t>
            </w:r>
          </w:p>
        </w:tc>
        <w:tc>
          <w:tcPr>
            <w:tcW w:w="6986" w:type="dxa"/>
            <w:shd w:val="clear" w:color="auto" w:fill="auto"/>
            <w:vAlign w:val="center"/>
          </w:tcPr>
          <w:p w14:paraId="53D203F4">
            <w:pPr>
              <w:rPr>
                <w:rFonts w:ascii="仿宋_GB2312" w:hAnsi="仿宋_GB2312" w:eastAsia="仿宋_GB2312" w:cs="仿宋_GB2312"/>
                <w:color w:val="auto"/>
                <w:kern w:val="0"/>
                <w:sz w:val="20"/>
                <w:szCs w:val="21"/>
                <w:highlight w:val="none"/>
              </w:rPr>
            </w:pPr>
            <w:r>
              <w:rPr>
                <w:rFonts w:hint="eastAsia" w:ascii="仿宋_GB2312" w:hAnsi="仿宋_GB2312" w:eastAsia="仿宋_GB2312" w:cs="仿宋_GB2312"/>
                <w:color w:val="auto"/>
                <w:kern w:val="0"/>
                <w:sz w:val="20"/>
                <w:szCs w:val="21"/>
                <w:highlight w:val="none"/>
              </w:rPr>
              <w:t>技术规格偏离表</w:t>
            </w:r>
          </w:p>
        </w:tc>
        <w:tc>
          <w:tcPr>
            <w:tcW w:w="756" w:type="dxa"/>
            <w:vAlign w:val="center"/>
          </w:tcPr>
          <w:p w14:paraId="101A04B6">
            <w:pPr>
              <w:jc w:val="center"/>
              <w:rPr>
                <w:rFonts w:ascii="仿宋_GB2312" w:hAnsi="仿宋_GB2312" w:eastAsia="仿宋_GB2312" w:cs="仿宋_GB2312"/>
                <w:color w:val="auto"/>
                <w:kern w:val="0"/>
                <w:sz w:val="20"/>
                <w:szCs w:val="21"/>
                <w:highlight w:val="none"/>
              </w:rPr>
            </w:pPr>
            <w:r>
              <w:rPr>
                <w:rFonts w:hint="eastAsia" w:ascii="仿宋_GB2312" w:hAnsi="仿宋_GB2312" w:eastAsia="仿宋_GB2312" w:cs="仿宋_GB2312"/>
                <w:color w:val="auto"/>
                <w:kern w:val="0"/>
                <w:sz w:val="20"/>
                <w:szCs w:val="21"/>
                <w:highlight w:val="none"/>
              </w:rPr>
              <w:t>13</w:t>
            </w:r>
          </w:p>
        </w:tc>
      </w:tr>
      <w:tr w14:paraId="0DA34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6C91ACF0">
            <w:pPr>
              <w:adjustRightInd w:val="0"/>
              <w:snapToGrid w:val="0"/>
              <w:jc w:val="center"/>
              <w:rPr>
                <w:rFonts w:ascii="仿宋_GB2312" w:hAnsi="仿宋_GB2312" w:eastAsia="仿宋_GB2312" w:cs="仿宋_GB2312"/>
                <w:color w:val="auto"/>
                <w:kern w:val="0"/>
                <w:sz w:val="20"/>
                <w:szCs w:val="21"/>
                <w:highlight w:val="none"/>
              </w:rPr>
            </w:pPr>
            <w:r>
              <w:rPr>
                <w:rFonts w:hint="eastAsia" w:ascii="仿宋_GB2312" w:hAnsi="仿宋_GB2312" w:eastAsia="仿宋_GB2312" w:cs="仿宋_GB2312"/>
                <w:color w:val="auto"/>
                <w:kern w:val="0"/>
                <w:sz w:val="20"/>
                <w:szCs w:val="21"/>
                <w:highlight w:val="none"/>
              </w:rPr>
              <w:t>5</w:t>
            </w:r>
          </w:p>
        </w:tc>
        <w:tc>
          <w:tcPr>
            <w:tcW w:w="6986" w:type="dxa"/>
            <w:shd w:val="clear" w:color="auto" w:fill="auto"/>
            <w:vAlign w:val="center"/>
          </w:tcPr>
          <w:p w14:paraId="6B53676F">
            <w:pPr>
              <w:rPr>
                <w:rFonts w:ascii="仿宋_GB2312" w:hAnsi="仿宋_GB2312" w:eastAsia="仿宋_GB2312" w:cs="仿宋_GB2312"/>
                <w:color w:val="auto"/>
                <w:kern w:val="0"/>
                <w:sz w:val="20"/>
                <w:szCs w:val="21"/>
                <w:highlight w:val="none"/>
              </w:rPr>
            </w:pPr>
            <w:r>
              <w:rPr>
                <w:rFonts w:hint="eastAsia" w:ascii="仿宋_GB2312" w:hAnsi="仿宋_GB2312" w:eastAsia="仿宋_GB2312" w:cs="仿宋_GB2312"/>
                <w:color w:val="auto"/>
                <w:kern w:val="0"/>
                <w:sz w:val="20"/>
                <w:szCs w:val="21"/>
                <w:highlight w:val="none"/>
              </w:rPr>
              <w:t>商务条款偏离表</w:t>
            </w:r>
          </w:p>
        </w:tc>
        <w:tc>
          <w:tcPr>
            <w:tcW w:w="756" w:type="dxa"/>
            <w:vAlign w:val="center"/>
          </w:tcPr>
          <w:p w14:paraId="5F502E2F">
            <w:pPr>
              <w:jc w:val="center"/>
              <w:rPr>
                <w:rFonts w:ascii="仿宋_GB2312" w:hAnsi="仿宋_GB2312" w:eastAsia="仿宋_GB2312" w:cs="仿宋_GB2312"/>
                <w:color w:val="auto"/>
                <w:kern w:val="0"/>
                <w:sz w:val="20"/>
                <w:szCs w:val="21"/>
                <w:highlight w:val="none"/>
              </w:rPr>
            </w:pPr>
            <w:r>
              <w:rPr>
                <w:rFonts w:hint="eastAsia" w:ascii="仿宋_GB2312" w:hAnsi="仿宋_GB2312" w:eastAsia="仿宋_GB2312" w:cs="仿宋_GB2312"/>
                <w:color w:val="auto"/>
                <w:kern w:val="0"/>
                <w:sz w:val="20"/>
                <w:szCs w:val="21"/>
                <w:highlight w:val="none"/>
              </w:rPr>
              <w:t>14</w:t>
            </w:r>
          </w:p>
        </w:tc>
      </w:tr>
      <w:tr w14:paraId="13DB8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7F170C8A">
            <w:pPr>
              <w:adjustRightInd w:val="0"/>
              <w:snapToGrid w:val="0"/>
              <w:jc w:val="center"/>
              <w:rPr>
                <w:rFonts w:ascii="仿宋_GB2312" w:hAnsi="仿宋_GB2312" w:eastAsia="仿宋_GB2312" w:cs="仿宋_GB2312"/>
                <w:color w:val="auto"/>
                <w:kern w:val="0"/>
                <w:sz w:val="20"/>
                <w:szCs w:val="21"/>
                <w:highlight w:val="none"/>
              </w:rPr>
            </w:pPr>
            <w:r>
              <w:rPr>
                <w:rFonts w:hint="eastAsia" w:ascii="仿宋_GB2312" w:hAnsi="仿宋_GB2312" w:eastAsia="仿宋_GB2312" w:cs="仿宋_GB2312"/>
                <w:color w:val="auto"/>
                <w:kern w:val="0"/>
                <w:sz w:val="20"/>
                <w:szCs w:val="21"/>
                <w:highlight w:val="none"/>
              </w:rPr>
              <w:t>6</w:t>
            </w:r>
          </w:p>
        </w:tc>
        <w:tc>
          <w:tcPr>
            <w:tcW w:w="6986" w:type="dxa"/>
            <w:shd w:val="clear" w:color="auto" w:fill="auto"/>
            <w:vAlign w:val="center"/>
          </w:tcPr>
          <w:p w14:paraId="32D90C64">
            <w:pPr>
              <w:rPr>
                <w:rFonts w:ascii="仿宋_GB2312" w:hAnsi="仿宋_GB2312" w:eastAsia="仿宋_GB2312" w:cs="仿宋_GB2312"/>
                <w:color w:val="auto"/>
                <w:kern w:val="0"/>
                <w:sz w:val="20"/>
                <w:szCs w:val="21"/>
                <w:highlight w:val="none"/>
              </w:rPr>
            </w:pPr>
            <w:r>
              <w:rPr>
                <w:rFonts w:hint="eastAsia" w:ascii="仿宋_GB2312" w:hAnsi="仿宋_GB2312" w:eastAsia="仿宋_GB2312" w:cs="仿宋_GB2312"/>
                <w:color w:val="auto"/>
                <w:kern w:val="0"/>
                <w:sz w:val="20"/>
                <w:szCs w:val="21"/>
                <w:highlight w:val="none"/>
              </w:rPr>
              <w:t>投标人关联单位说明</w:t>
            </w:r>
          </w:p>
        </w:tc>
        <w:tc>
          <w:tcPr>
            <w:tcW w:w="756" w:type="dxa"/>
            <w:vAlign w:val="center"/>
          </w:tcPr>
          <w:p w14:paraId="37961E56">
            <w:pPr>
              <w:jc w:val="center"/>
              <w:rPr>
                <w:rFonts w:ascii="仿宋_GB2312" w:hAnsi="仿宋_GB2312" w:eastAsia="仿宋_GB2312" w:cs="仿宋_GB2312"/>
                <w:color w:val="auto"/>
                <w:kern w:val="0"/>
                <w:sz w:val="20"/>
                <w:szCs w:val="21"/>
                <w:highlight w:val="none"/>
              </w:rPr>
            </w:pPr>
            <w:r>
              <w:rPr>
                <w:rFonts w:hint="eastAsia" w:ascii="仿宋_GB2312" w:hAnsi="仿宋_GB2312" w:eastAsia="仿宋_GB2312" w:cs="仿宋_GB2312"/>
                <w:color w:val="auto"/>
                <w:kern w:val="0"/>
                <w:sz w:val="20"/>
                <w:szCs w:val="21"/>
                <w:highlight w:val="none"/>
              </w:rPr>
              <w:t>15</w:t>
            </w:r>
          </w:p>
        </w:tc>
      </w:tr>
    </w:tbl>
    <w:p w14:paraId="16267BEF">
      <w:pPr>
        <w:snapToGrid w:val="0"/>
        <w:spacing w:before="159" w:beforeLines="50"/>
        <w:rPr>
          <w:rFonts w:ascii="仿宋_GB2312" w:hAnsi="仿宋_GB2312" w:eastAsia="仿宋_GB2312" w:cs="仿宋_GB2312"/>
          <w:b/>
          <w:color w:val="auto"/>
          <w:sz w:val="24"/>
          <w:highlight w:val="none"/>
        </w:rPr>
      </w:pPr>
      <w:bookmarkStart w:id="80" w:name="_Toc27769_WPSOffice_Level2"/>
      <w:bookmarkStart w:id="81" w:name="_Toc24432_WPSOffice_Level2"/>
      <w:r>
        <w:rPr>
          <w:rFonts w:hint="eastAsia" w:ascii="仿宋_GB2312" w:hAnsi="仿宋_GB2312" w:eastAsia="仿宋_GB2312" w:cs="仿宋_GB2312"/>
          <w:b/>
          <w:color w:val="auto"/>
          <w:sz w:val="24"/>
          <w:highlight w:val="none"/>
        </w:rPr>
        <w:t>四、其他材料</w:t>
      </w:r>
      <w:bookmarkEnd w:id="80"/>
      <w:bookmarkEnd w:id="81"/>
      <w:r>
        <w:rPr>
          <w:rFonts w:hint="eastAsia" w:ascii="仿宋_GB2312" w:hAnsi="仿宋_GB2312" w:eastAsia="仿宋_GB2312" w:cs="仿宋_GB2312"/>
          <w:b/>
          <w:color w:val="auto"/>
          <w:sz w:val="24"/>
          <w:highlight w:val="none"/>
        </w:rPr>
        <w:t>（如有，请提供；如未提供，投标文件不作无效处理）</w:t>
      </w:r>
    </w:p>
    <w:tbl>
      <w:tblPr>
        <w:tblStyle w:val="22"/>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6985"/>
        <w:gridCol w:w="756"/>
      </w:tblGrid>
      <w:tr w14:paraId="5C49C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blHeader/>
          <w:jc w:val="center"/>
        </w:trPr>
        <w:tc>
          <w:tcPr>
            <w:tcW w:w="668" w:type="dxa"/>
            <w:vAlign w:val="center"/>
          </w:tcPr>
          <w:p w14:paraId="0BABCEDA">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序号</w:t>
            </w:r>
          </w:p>
        </w:tc>
        <w:tc>
          <w:tcPr>
            <w:tcW w:w="6985" w:type="dxa"/>
            <w:vAlign w:val="center"/>
          </w:tcPr>
          <w:p w14:paraId="7702C2C7">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其他材料</w:t>
            </w:r>
          </w:p>
        </w:tc>
        <w:tc>
          <w:tcPr>
            <w:tcW w:w="756" w:type="dxa"/>
            <w:vAlign w:val="center"/>
          </w:tcPr>
          <w:p w14:paraId="79914220">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格式</w:t>
            </w:r>
          </w:p>
        </w:tc>
      </w:tr>
      <w:tr w14:paraId="45FE0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57C84BDB">
            <w:pPr>
              <w:jc w:val="center"/>
              <w:rPr>
                <w:rFonts w:ascii="仿宋_GB2312" w:hAnsi="仿宋_GB2312" w:eastAsia="仿宋_GB2312" w:cs="仿宋_GB2312"/>
                <w:color w:val="auto"/>
                <w:kern w:val="0"/>
                <w:sz w:val="20"/>
                <w:szCs w:val="21"/>
                <w:highlight w:val="none"/>
              </w:rPr>
            </w:pPr>
            <w:r>
              <w:rPr>
                <w:rFonts w:hint="eastAsia" w:ascii="仿宋_GB2312" w:hAnsi="仿宋_GB2312" w:eastAsia="仿宋_GB2312" w:cs="仿宋_GB2312"/>
                <w:color w:val="auto"/>
                <w:kern w:val="0"/>
                <w:sz w:val="20"/>
                <w:szCs w:val="21"/>
                <w:highlight w:val="none"/>
              </w:rPr>
              <w:t>1</w:t>
            </w:r>
          </w:p>
        </w:tc>
        <w:tc>
          <w:tcPr>
            <w:tcW w:w="6985" w:type="dxa"/>
            <w:vAlign w:val="center"/>
          </w:tcPr>
          <w:p w14:paraId="7F8A9C03">
            <w:pPr>
              <w:rPr>
                <w:rFonts w:ascii="仿宋_GB2312" w:hAnsi="仿宋_GB2312" w:eastAsia="仿宋_GB2312" w:cs="仿宋_GB2312"/>
                <w:color w:val="auto"/>
                <w:kern w:val="0"/>
                <w:sz w:val="20"/>
                <w:szCs w:val="21"/>
                <w:highlight w:val="none"/>
              </w:rPr>
            </w:pPr>
            <w:r>
              <w:rPr>
                <w:rFonts w:hint="eastAsia" w:ascii="仿宋_GB2312" w:hAnsi="仿宋_GB2312" w:eastAsia="仿宋_GB2312" w:cs="仿宋_GB2312"/>
                <w:color w:val="auto"/>
                <w:kern w:val="0"/>
                <w:sz w:val="20"/>
                <w:szCs w:val="21"/>
                <w:highlight w:val="none"/>
              </w:rPr>
              <w:t>政府采购节能产品、环境标志产品声明函及认证证明</w:t>
            </w:r>
          </w:p>
        </w:tc>
        <w:tc>
          <w:tcPr>
            <w:tcW w:w="756" w:type="dxa"/>
            <w:vAlign w:val="center"/>
          </w:tcPr>
          <w:p w14:paraId="7E1D7778">
            <w:pPr>
              <w:jc w:val="center"/>
              <w:rPr>
                <w:rFonts w:ascii="仿宋_GB2312" w:hAnsi="仿宋_GB2312" w:eastAsia="仿宋_GB2312" w:cs="仿宋_GB2312"/>
                <w:color w:val="auto"/>
                <w:kern w:val="0"/>
                <w:sz w:val="20"/>
                <w:szCs w:val="21"/>
                <w:highlight w:val="none"/>
              </w:rPr>
            </w:pPr>
            <w:r>
              <w:rPr>
                <w:rFonts w:hint="eastAsia" w:ascii="仿宋_GB2312" w:hAnsi="仿宋_GB2312" w:eastAsia="仿宋_GB2312" w:cs="仿宋_GB2312"/>
                <w:color w:val="auto"/>
                <w:kern w:val="0"/>
                <w:sz w:val="20"/>
                <w:szCs w:val="21"/>
                <w:highlight w:val="none"/>
              </w:rPr>
              <w:t>16</w:t>
            </w:r>
          </w:p>
        </w:tc>
      </w:tr>
      <w:tr w14:paraId="36FC5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25C343F5">
            <w:pPr>
              <w:jc w:val="center"/>
              <w:rPr>
                <w:rFonts w:hint="eastAsia" w:ascii="仿宋_GB2312" w:hAnsi="仿宋_GB2312" w:eastAsia="仿宋_GB2312" w:cs="仿宋_GB2312"/>
                <w:color w:val="auto"/>
                <w:kern w:val="0"/>
                <w:sz w:val="20"/>
                <w:szCs w:val="21"/>
                <w:highlight w:val="none"/>
                <w:lang w:val="en-US" w:eastAsia="zh-CN"/>
              </w:rPr>
            </w:pPr>
            <w:r>
              <w:rPr>
                <w:rFonts w:hint="eastAsia" w:ascii="仿宋_GB2312" w:hAnsi="仿宋_GB2312" w:eastAsia="仿宋_GB2312" w:cs="仿宋_GB2312"/>
                <w:color w:val="auto"/>
                <w:kern w:val="0"/>
                <w:sz w:val="20"/>
                <w:szCs w:val="21"/>
                <w:highlight w:val="none"/>
                <w:lang w:val="en-US" w:eastAsia="zh-CN"/>
              </w:rPr>
              <w:t>2</w:t>
            </w:r>
          </w:p>
        </w:tc>
        <w:tc>
          <w:tcPr>
            <w:tcW w:w="6985" w:type="dxa"/>
            <w:shd w:val="clear" w:color="auto" w:fill="auto"/>
            <w:vAlign w:val="center"/>
          </w:tcPr>
          <w:p w14:paraId="57A89026">
            <w:pPr>
              <w:rPr>
                <w:rFonts w:hint="eastAsia" w:ascii="仿宋_GB2312" w:hAnsi="仿宋_GB2312" w:eastAsia="仿宋_GB2312" w:cs="仿宋_GB2312"/>
                <w:color w:val="auto"/>
                <w:kern w:val="0"/>
                <w:sz w:val="20"/>
                <w:szCs w:val="21"/>
                <w:highlight w:val="none"/>
                <w:lang w:val="en-US" w:eastAsia="zh-CN" w:bidi="ar-SA"/>
              </w:rPr>
            </w:pPr>
            <w:r>
              <w:rPr>
                <w:rFonts w:hint="eastAsia" w:ascii="仿宋_GB2312" w:hAnsi="仿宋_GB2312" w:eastAsia="仿宋_GB2312" w:cs="仿宋_GB2312"/>
                <w:color w:val="auto"/>
                <w:kern w:val="0"/>
                <w:sz w:val="20"/>
                <w:szCs w:val="21"/>
                <w:highlight w:val="none"/>
              </w:rPr>
              <w:t>贫困地区农副产品声明函</w:t>
            </w:r>
          </w:p>
        </w:tc>
        <w:tc>
          <w:tcPr>
            <w:tcW w:w="756" w:type="dxa"/>
            <w:shd w:val="clear" w:color="auto" w:fill="auto"/>
            <w:vAlign w:val="center"/>
          </w:tcPr>
          <w:p w14:paraId="1FC30664">
            <w:pPr>
              <w:jc w:val="center"/>
              <w:rPr>
                <w:rFonts w:hint="eastAsia" w:ascii="仿宋_GB2312" w:hAnsi="仿宋_GB2312" w:eastAsia="仿宋_GB2312" w:cs="仿宋_GB2312"/>
                <w:color w:val="auto"/>
                <w:kern w:val="0"/>
                <w:sz w:val="20"/>
                <w:szCs w:val="21"/>
                <w:highlight w:val="none"/>
                <w:lang w:val="en-US" w:eastAsia="zh-CN" w:bidi="ar-SA"/>
              </w:rPr>
            </w:pPr>
            <w:r>
              <w:rPr>
                <w:rFonts w:hint="eastAsia" w:ascii="仿宋_GB2312" w:hAnsi="仿宋_GB2312" w:eastAsia="仿宋_GB2312" w:cs="仿宋_GB2312"/>
                <w:color w:val="auto"/>
                <w:kern w:val="0"/>
                <w:sz w:val="20"/>
                <w:szCs w:val="21"/>
                <w:highlight w:val="none"/>
              </w:rPr>
              <w:t>17</w:t>
            </w:r>
          </w:p>
        </w:tc>
      </w:tr>
      <w:tr w14:paraId="33FA7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2B534502">
            <w:pPr>
              <w:jc w:val="center"/>
              <w:rPr>
                <w:rFonts w:hint="eastAsia" w:ascii="仿宋_GB2312" w:hAnsi="仿宋_GB2312" w:eastAsia="仿宋_GB2312" w:cs="仿宋_GB2312"/>
                <w:color w:val="auto"/>
                <w:kern w:val="0"/>
                <w:sz w:val="20"/>
                <w:szCs w:val="21"/>
                <w:highlight w:val="none"/>
                <w:lang w:eastAsia="zh-CN"/>
              </w:rPr>
            </w:pPr>
            <w:r>
              <w:rPr>
                <w:rFonts w:hint="eastAsia" w:ascii="仿宋_GB2312" w:hAnsi="仿宋_GB2312" w:eastAsia="仿宋_GB2312" w:cs="仿宋_GB2312"/>
                <w:color w:val="auto"/>
                <w:kern w:val="0"/>
                <w:sz w:val="20"/>
                <w:szCs w:val="21"/>
                <w:highlight w:val="none"/>
                <w:lang w:val="en-US" w:eastAsia="zh-CN"/>
              </w:rPr>
              <w:t>3</w:t>
            </w:r>
          </w:p>
        </w:tc>
        <w:tc>
          <w:tcPr>
            <w:tcW w:w="6985" w:type="dxa"/>
            <w:vAlign w:val="center"/>
          </w:tcPr>
          <w:p w14:paraId="4F4324BB">
            <w:pPr>
              <w:rPr>
                <w:rFonts w:ascii="仿宋_GB2312" w:hAnsi="仿宋_GB2312" w:eastAsia="仿宋_GB2312" w:cs="仿宋_GB2312"/>
                <w:color w:val="auto"/>
                <w:kern w:val="0"/>
                <w:sz w:val="20"/>
                <w:szCs w:val="21"/>
                <w:highlight w:val="none"/>
              </w:rPr>
            </w:pPr>
            <w:r>
              <w:rPr>
                <w:rFonts w:hint="eastAsia" w:ascii="仿宋_GB2312" w:hAnsi="仿宋_GB2312" w:eastAsia="仿宋_GB2312" w:cs="仿宋_GB2312"/>
                <w:color w:val="auto"/>
                <w:kern w:val="0"/>
                <w:sz w:val="20"/>
                <w:szCs w:val="21"/>
                <w:highlight w:val="none"/>
              </w:rPr>
              <w:t>评分项对应材料</w:t>
            </w:r>
          </w:p>
        </w:tc>
        <w:tc>
          <w:tcPr>
            <w:tcW w:w="756" w:type="dxa"/>
            <w:vAlign w:val="center"/>
          </w:tcPr>
          <w:p w14:paraId="6CD7AD25">
            <w:pPr>
              <w:jc w:val="center"/>
              <w:rPr>
                <w:rFonts w:ascii="仿宋_GB2312" w:hAnsi="仿宋_GB2312" w:eastAsia="仿宋_GB2312" w:cs="仿宋_GB2312"/>
                <w:color w:val="auto"/>
                <w:kern w:val="0"/>
                <w:sz w:val="20"/>
                <w:szCs w:val="21"/>
                <w:highlight w:val="none"/>
              </w:rPr>
            </w:pPr>
            <w:r>
              <w:rPr>
                <w:rFonts w:hint="eastAsia" w:ascii="仿宋_GB2312" w:hAnsi="仿宋_GB2312" w:eastAsia="仿宋_GB2312" w:cs="仿宋_GB2312"/>
                <w:color w:val="auto"/>
                <w:kern w:val="0"/>
                <w:sz w:val="20"/>
                <w:szCs w:val="21"/>
                <w:highlight w:val="none"/>
              </w:rPr>
              <w:t>18</w:t>
            </w:r>
          </w:p>
        </w:tc>
      </w:tr>
      <w:tr w14:paraId="386FC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61D92623">
            <w:pPr>
              <w:jc w:val="center"/>
              <w:rPr>
                <w:rFonts w:hint="eastAsia" w:ascii="仿宋_GB2312" w:hAnsi="仿宋_GB2312" w:eastAsia="仿宋_GB2312" w:cs="仿宋_GB2312"/>
                <w:color w:val="auto"/>
                <w:kern w:val="0"/>
                <w:sz w:val="20"/>
                <w:szCs w:val="21"/>
                <w:highlight w:val="none"/>
                <w:lang w:eastAsia="zh-CN"/>
              </w:rPr>
            </w:pPr>
            <w:bookmarkStart w:id="82" w:name="_Toc24011_WPSOffice_Level2"/>
            <w:bookmarkStart w:id="83" w:name="_Toc23127_WPSOffice_Level2"/>
            <w:r>
              <w:rPr>
                <w:rFonts w:hint="eastAsia" w:ascii="仿宋_GB2312" w:hAnsi="仿宋_GB2312" w:eastAsia="仿宋_GB2312" w:cs="仿宋_GB2312"/>
                <w:color w:val="auto"/>
                <w:kern w:val="0"/>
                <w:sz w:val="20"/>
                <w:szCs w:val="21"/>
                <w:highlight w:val="none"/>
                <w:lang w:val="en-US" w:eastAsia="zh-CN"/>
              </w:rPr>
              <w:t>4</w:t>
            </w:r>
          </w:p>
        </w:tc>
        <w:tc>
          <w:tcPr>
            <w:tcW w:w="6985" w:type="dxa"/>
            <w:vAlign w:val="center"/>
          </w:tcPr>
          <w:p w14:paraId="77E8FAE5">
            <w:pPr>
              <w:rPr>
                <w:rFonts w:ascii="仿宋_GB2312" w:hAnsi="仿宋_GB2312" w:eastAsia="仿宋_GB2312" w:cs="仿宋_GB2312"/>
                <w:color w:val="auto"/>
                <w:kern w:val="0"/>
                <w:sz w:val="20"/>
                <w:szCs w:val="21"/>
                <w:highlight w:val="none"/>
              </w:rPr>
            </w:pPr>
            <w:r>
              <w:rPr>
                <w:rFonts w:hint="eastAsia" w:ascii="仿宋_GB2312" w:hAnsi="仿宋_GB2312" w:eastAsia="仿宋_GB2312" w:cs="仿宋_GB2312"/>
                <w:color w:val="auto"/>
                <w:kern w:val="0"/>
                <w:sz w:val="20"/>
                <w:szCs w:val="21"/>
                <w:highlight w:val="none"/>
              </w:rPr>
              <w:t>投标人认为有必要提供的其他材料</w:t>
            </w:r>
          </w:p>
        </w:tc>
        <w:tc>
          <w:tcPr>
            <w:tcW w:w="756" w:type="dxa"/>
            <w:vAlign w:val="center"/>
          </w:tcPr>
          <w:p w14:paraId="0E1E9B2B">
            <w:pPr>
              <w:jc w:val="center"/>
              <w:rPr>
                <w:rFonts w:ascii="仿宋_GB2312" w:hAnsi="仿宋_GB2312" w:eastAsia="仿宋_GB2312" w:cs="仿宋_GB2312"/>
                <w:color w:val="auto"/>
                <w:kern w:val="0"/>
                <w:sz w:val="20"/>
                <w:szCs w:val="21"/>
                <w:highlight w:val="none"/>
              </w:rPr>
            </w:pPr>
            <w:r>
              <w:rPr>
                <w:rFonts w:hint="eastAsia" w:ascii="仿宋_GB2312" w:hAnsi="仿宋_GB2312" w:eastAsia="仿宋_GB2312" w:cs="仿宋_GB2312"/>
                <w:color w:val="auto"/>
                <w:kern w:val="0"/>
                <w:sz w:val="20"/>
                <w:szCs w:val="21"/>
                <w:highlight w:val="none"/>
              </w:rPr>
              <w:t>19</w:t>
            </w:r>
          </w:p>
        </w:tc>
      </w:tr>
    </w:tbl>
    <w:p w14:paraId="53B430E9">
      <w:pPr>
        <w:adjustRightInd w:val="0"/>
        <w:snapToGrid w:val="0"/>
        <w:spacing w:line="360" w:lineRule="auto"/>
        <w:ind w:firstLine="480" w:firstLineChars="200"/>
        <w:rPr>
          <w:rFonts w:ascii="仿宋_GB2312" w:hAnsi="仿宋_GB2312" w:eastAsia="仿宋_GB2312" w:cs="仿宋_GB2312"/>
          <w:b/>
          <w:color w:val="auto"/>
          <w:sz w:val="24"/>
          <w:highlight w:val="none"/>
        </w:rPr>
      </w:pPr>
      <w:r>
        <w:rPr>
          <w:rFonts w:hint="eastAsia" w:ascii="仿宋_GB2312" w:hAnsi="仿宋_GB2312" w:eastAsia="仿宋_GB2312" w:cs="仿宋_GB2312"/>
          <w:b/>
          <w:color w:val="auto"/>
          <w:sz w:val="24"/>
          <w:highlight w:val="none"/>
        </w:rPr>
        <w:t>重要提示：</w:t>
      </w:r>
      <w:bookmarkEnd w:id="82"/>
      <w:bookmarkEnd w:id="83"/>
    </w:p>
    <w:p w14:paraId="5C926357">
      <w:pPr>
        <w:adjustRightInd w:val="0"/>
        <w:snapToGrid w:val="0"/>
        <w:spacing w:line="360" w:lineRule="auto"/>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1、投标人提供的证明材料，除需要投标人填报或有特殊说明外，均须按要求提供。</w:t>
      </w:r>
      <w:r>
        <w:rPr>
          <w:rFonts w:hint="eastAsia" w:ascii="仿宋_GB2312" w:hAnsi="仿宋_GB2312" w:eastAsia="仿宋_GB2312" w:cs="仿宋_GB2312"/>
          <w:b/>
          <w:bCs/>
          <w:color w:val="auto"/>
          <w:szCs w:val="21"/>
          <w:highlight w:val="none"/>
        </w:rPr>
        <w:t xml:space="preserve"> </w:t>
      </w:r>
    </w:p>
    <w:p w14:paraId="7A4C4952">
      <w:pPr>
        <w:adjustRightInd w:val="0"/>
        <w:snapToGrid w:val="0"/>
        <w:spacing w:line="360" w:lineRule="auto"/>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2、投标人在编制投标文件时，对于给定格式的文件内容，必须按照给定的标准格式进行填报；对于没有给定标准格式的文件内容，可以由投标人自行设计。</w:t>
      </w:r>
    </w:p>
    <w:p w14:paraId="2E0C5C06">
      <w:pPr>
        <w:adjustRightInd w:val="0"/>
        <w:snapToGrid w:val="0"/>
        <w:spacing w:line="360" w:lineRule="auto"/>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3、投标文件应用中文书写。投标文件中所附或所引用的材料不是中文时，应附中文译本，并加盖单位公章（自然人投标的，无需加盖单位公章，需要签字）。</w:t>
      </w:r>
    </w:p>
    <w:p w14:paraId="460D77EF">
      <w:pPr>
        <w:adjustRightInd w:val="0"/>
        <w:snapToGrid w:val="0"/>
        <w:spacing w:line="360" w:lineRule="auto"/>
        <w:ind w:firstLine="420" w:firstLineChars="200"/>
        <w:rPr>
          <w:rFonts w:ascii="仿宋_GB2312" w:hAnsi="仿宋_GB2312" w:eastAsia="仿宋_GB2312" w:cs="仿宋_GB2312"/>
          <w:color w:val="auto"/>
          <w:highlight w:val="none"/>
        </w:rPr>
      </w:pPr>
      <w:r>
        <w:rPr>
          <w:rFonts w:hint="eastAsia" w:ascii="仿宋_GB2312" w:hAnsi="仿宋_GB2312" w:eastAsia="仿宋_GB2312" w:cs="仿宋_GB2312"/>
          <w:color w:val="auto"/>
          <w:szCs w:val="21"/>
          <w:highlight w:val="none"/>
        </w:rPr>
        <w:t>4、</w:t>
      </w:r>
      <w:r>
        <w:rPr>
          <w:rFonts w:hint="eastAsia" w:ascii="仿宋_GB2312" w:hAnsi="仿宋_GB2312" w:eastAsia="仿宋_GB2312" w:cs="仿宋_GB2312"/>
          <w:b/>
          <w:bCs/>
          <w:color w:val="auto"/>
          <w:szCs w:val="21"/>
          <w:highlight w:val="none"/>
        </w:rPr>
        <w:t>“资格证明材料”</w:t>
      </w:r>
      <w:r>
        <w:rPr>
          <w:rFonts w:hint="eastAsia" w:ascii="仿宋_GB2312" w:hAnsi="仿宋_GB2312" w:eastAsia="仿宋_GB2312" w:cs="仿宋_GB2312"/>
          <w:color w:val="auto"/>
          <w:highlight w:val="none"/>
        </w:rPr>
        <w:t>所列内容即为采购项目的资格审查条件，有一项不符合要求，不能进入下一阶段评审。</w:t>
      </w:r>
    </w:p>
    <w:p w14:paraId="45FA88F6">
      <w:pPr>
        <w:adjustRightInd w:val="0"/>
        <w:snapToGrid w:val="0"/>
        <w:spacing w:line="360" w:lineRule="auto"/>
        <w:ind w:firstLine="420" w:firstLineChars="20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5、</w:t>
      </w:r>
      <w:r>
        <w:rPr>
          <w:rFonts w:hint="eastAsia" w:ascii="仿宋_GB2312" w:hAnsi="仿宋_GB2312" w:eastAsia="仿宋_GB2312" w:cs="仿宋_GB2312"/>
          <w:b/>
          <w:bCs/>
          <w:color w:val="auto"/>
          <w:szCs w:val="21"/>
          <w:highlight w:val="none"/>
        </w:rPr>
        <w:t>“符合性证明材料”</w:t>
      </w:r>
      <w:r>
        <w:rPr>
          <w:rFonts w:hint="eastAsia" w:ascii="仿宋_GB2312" w:hAnsi="仿宋_GB2312" w:eastAsia="仿宋_GB2312" w:cs="仿宋_GB2312"/>
          <w:color w:val="auto"/>
          <w:highlight w:val="none"/>
        </w:rPr>
        <w:t>所列内容即为采购项目的符合性审查条件，有一项不符合要求，不能进入下一阶段评审。</w:t>
      </w:r>
    </w:p>
    <w:p w14:paraId="64985C55">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highlight w:val="none"/>
        </w:rPr>
        <w:t>6、</w:t>
      </w:r>
      <w:r>
        <w:rPr>
          <w:rFonts w:hint="eastAsia" w:ascii="仿宋_GB2312" w:hAnsi="仿宋_GB2312" w:eastAsia="仿宋_GB2312" w:cs="仿宋_GB2312"/>
          <w:color w:val="auto"/>
          <w:szCs w:val="21"/>
          <w:highlight w:val="none"/>
        </w:rPr>
        <w:t>“其他材料”</w:t>
      </w:r>
    </w:p>
    <w:p w14:paraId="6FD173EE">
      <w:pPr>
        <w:adjustRightInd w:val="0"/>
        <w:snapToGri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（1）</w:t>
      </w:r>
      <w:r>
        <w:rPr>
          <w:rFonts w:hint="eastAsia" w:ascii="仿宋_GB2312" w:hAnsi="仿宋_GB2312" w:eastAsia="仿宋_GB2312" w:cs="仿宋_GB2312"/>
          <w:color w:val="auto"/>
          <w:kern w:val="0"/>
          <w:szCs w:val="21"/>
          <w:highlight w:val="none"/>
        </w:rPr>
        <w:t>综合评分法：</w:t>
      </w:r>
      <w:r>
        <w:rPr>
          <w:rFonts w:hint="eastAsia" w:ascii="仿宋_GB2312" w:hAnsi="仿宋_GB2312" w:eastAsia="仿宋_GB2312" w:cs="仿宋_GB2312"/>
          <w:color w:val="auto"/>
          <w:szCs w:val="21"/>
          <w:highlight w:val="none"/>
        </w:rPr>
        <w:t>投标人可就</w:t>
      </w:r>
      <w:r>
        <w:rPr>
          <w:rFonts w:hint="eastAsia" w:ascii="仿宋_GB2312" w:hAnsi="仿宋_GB2312" w:eastAsia="仿宋_GB2312" w:cs="仿宋_GB2312"/>
          <w:color w:val="auto"/>
          <w:kern w:val="0"/>
          <w:szCs w:val="21"/>
          <w:highlight w:val="none"/>
        </w:rPr>
        <w:t>招标文件要求以及评分细则中各项要求提供相应材料。</w:t>
      </w:r>
    </w:p>
    <w:p w14:paraId="2CC5E93C">
      <w:pPr>
        <w:adjustRightInd w:val="0"/>
        <w:snapToGri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（2）</w:t>
      </w:r>
      <w:r>
        <w:rPr>
          <w:rFonts w:hint="eastAsia" w:ascii="仿宋_GB2312" w:hAnsi="仿宋_GB2312" w:eastAsia="仿宋_GB2312" w:cs="仿宋_GB2312"/>
          <w:color w:val="auto"/>
          <w:kern w:val="0"/>
          <w:szCs w:val="21"/>
          <w:highlight w:val="none"/>
        </w:rPr>
        <w:t>最低评标价法：</w:t>
      </w:r>
      <w:r>
        <w:rPr>
          <w:rFonts w:hint="eastAsia" w:ascii="仿宋_GB2312" w:hAnsi="仿宋_GB2312" w:eastAsia="仿宋_GB2312" w:cs="仿宋_GB2312"/>
          <w:color w:val="auto"/>
          <w:szCs w:val="21"/>
          <w:highlight w:val="none"/>
        </w:rPr>
        <w:t>投标人可就</w:t>
      </w:r>
      <w:r>
        <w:rPr>
          <w:rFonts w:hint="eastAsia" w:ascii="仿宋_GB2312" w:hAnsi="仿宋_GB2312" w:eastAsia="仿宋_GB2312" w:cs="仿宋_GB2312"/>
          <w:color w:val="auto"/>
          <w:kern w:val="0"/>
          <w:szCs w:val="21"/>
          <w:highlight w:val="none"/>
        </w:rPr>
        <w:t>招标文件要求提供相应材料。</w:t>
      </w:r>
    </w:p>
    <w:p w14:paraId="2C075446">
      <w:pPr>
        <w:snapToGrid w:val="0"/>
        <w:spacing w:line="276" w:lineRule="auto"/>
        <w:ind w:firstLine="420" w:firstLineChars="200"/>
        <w:jc w:val="left"/>
        <w:rPr>
          <w:rFonts w:ascii="仿宋_GB2312" w:hAnsi="仿宋_GB2312" w:eastAsia="仿宋_GB2312" w:cs="仿宋_GB2312"/>
          <w:color w:val="auto"/>
          <w:szCs w:val="21"/>
          <w:highlight w:val="none"/>
        </w:rPr>
      </w:pPr>
    </w:p>
    <w:p w14:paraId="0C1898F7">
      <w:pPr>
        <w:pStyle w:val="3"/>
        <w:adjustRightInd w:val="0"/>
        <w:snapToGrid w:val="0"/>
        <w:spacing w:before="0" w:after="0" w:line="240" w:lineRule="auto"/>
        <w:jc w:val="left"/>
        <w:rPr>
          <w:rFonts w:ascii="仿宋_GB2312" w:hAnsi="仿宋_GB2312" w:eastAsia="仿宋_GB2312" w:cs="仿宋_GB2312"/>
          <w:color w:val="auto"/>
          <w:szCs w:val="28"/>
          <w:highlight w:val="none"/>
        </w:rPr>
      </w:pPr>
      <w:r>
        <w:rPr>
          <w:rFonts w:hint="eastAsia" w:ascii="仿宋_GB2312" w:hAnsi="仿宋_GB2312" w:eastAsia="仿宋_GB2312" w:cs="仿宋_GB2312"/>
          <w:color w:val="auto"/>
          <w:szCs w:val="28"/>
          <w:highlight w:val="none"/>
        </w:rPr>
        <w:br w:type="page"/>
      </w:r>
      <w:r>
        <w:rPr>
          <w:rFonts w:hint="eastAsia" w:ascii="仿宋_GB2312" w:hAnsi="仿宋_GB2312" w:eastAsia="仿宋_GB2312" w:cs="仿宋_GB2312"/>
          <w:color w:val="auto"/>
          <w:szCs w:val="28"/>
          <w:highlight w:val="none"/>
        </w:rPr>
        <w:t>格式1</w:t>
      </w:r>
    </w:p>
    <w:p w14:paraId="53058464">
      <w:pPr>
        <w:jc w:val="center"/>
        <w:rPr>
          <w:rFonts w:ascii="仿宋_GB2312" w:hAnsi="仿宋_GB2312" w:eastAsia="仿宋_GB2312" w:cs="仿宋_GB2312"/>
          <w:b/>
          <w:bCs/>
          <w:color w:val="auto"/>
          <w:sz w:val="32"/>
          <w:szCs w:val="32"/>
          <w:highlight w:val="none"/>
        </w:rPr>
      </w:pPr>
      <w:bookmarkStart w:id="84" w:name="_Toc26322_WPSOffice_Level2"/>
      <w:bookmarkStart w:id="85" w:name="_Toc21090_WPSOffice_Level2"/>
      <w:r>
        <w:rPr>
          <w:rFonts w:hint="eastAsia" w:ascii="仿宋_GB2312" w:hAnsi="仿宋_GB2312" w:eastAsia="仿宋_GB2312" w:cs="仿宋_GB2312"/>
          <w:b/>
          <w:bCs/>
          <w:color w:val="auto"/>
          <w:sz w:val="32"/>
          <w:szCs w:val="32"/>
          <w:highlight w:val="none"/>
        </w:rPr>
        <w:t>投标文件、电子文档外封面、封口格式</w:t>
      </w:r>
      <w:bookmarkEnd w:id="84"/>
      <w:bookmarkEnd w:id="85"/>
    </w:p>
    <w:p w14:paraId="5F7EA18D">
      <w:pPr>
        <w:rPr>
          <w:rFonts w:ascii="仿宋_GB2312" w:hAnsi="仿宋_GB2312" w:eastAsia="仿宋_GB2312" w:cs="仿宋_GB2312"/>
          <w:color w:val="auto"/>
          <w:highlight w:val="none"/>
        </w:rPr>
      </w:pPr>
      <w:r>
        <w:rPr>
          <w:rFonts w:hint="eastAsia" w:ascii="仿宋_GB2312" w:hAnsi="仿宋_GB2312" w:eastAsia="仿宋_GB2312" w:cs="仿宋_GB2312"/>
          <w:color w:val="auto"/>
          <w:sz w:val="28"/>
          <w:szCs w:val="28"/>
          <w:highlight w:val="none"/>
        </w:rPr>
        <w:t>封面格式：</w:t>
      </w:r>
    </w:p>
    <w:tbl>
      <w:tblPr>
        <w:tblStyle w:val="22"/>
        <w:tblW w:w="5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14:paraId="2B436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tcPr>
          <w:p w14:paraId="776DF9D6">
            <w:pPr>
              <w:jc w:val="center"/>
              <w:rPr>
                <w:rFonts w:ascii="仿宋_GB2312" w:hAnsi="仿宋_GB2312" w:eastAsia="仿宋_GB2312" w:cs="仿宋_GB2312"/>
                <w:b/>
                <w:bCs/>
                <w:color w:val="auto"/>
                <w:highlight w:val="none"/>
              </w:rPr>
            </w:pPr>
          </w:p>
          <w:p w14:paraId="54EBA4C9">
            <w:pPr>
              <w:jc w:val="center"/>
              <w:rPr>
                <w:rFonts w:ascii="仿宋_GB2312" w:hAnsi="仿宋_GB2312" w:eastAsia="仿宋_GB2312" w:cs="仿宋_GB2312"/>
                <w:b/>
                <w:bCs/>
                <w:color w:val="auto"/>
                <w:highlight w:val="none"/>
              </w:rPr>
            </w:pPr>
          </w:p>
          <w:p w14:paraId="07C93485">
            <w:pPr>
              <w:jc w:val="center"/>
              <w:rPr>
                <w:rFonts w:ascii="仿宋_GB2312" w:hAnsi="仿宋_GB2312" w:eastAsia="仿宋_GB2312" w:cs="仿宋_GB2312"/>
                <w:b/>
                <w:bCs/>
                <w:color w:val="auto"/>
                <w:highlight w:val="none"/>
              </w:rPr>
            </w:pPr>
          </w:p>
          <w:p w14:paraId="2F7BF999">
            <w:pPr>
              <w:jc w:val="center"/>
              <w:rPr>
                <w:rFonts w:ascii="仿宋_GB2312" w:hAnsi="仿宋_GB2312" w:eastAsia="仿宋_GB2312" w:cs="仿宋_GB2312"/>
                <w:b/>
                <w:bCs/>
                <w:color w:val="auto"/>
                <w:highlight w:val="none"/>
              </w:rPr>
            </w:pPr>
          </w:p>
          <w:p w14:paraId="5281BD25">
            <w:pPr>
              <w:jc w:val="center"/>
              <w:rPr>
                <w:rFonts w:ascii="仿宋_GB2312" w:hAnsi="仿宋_GB2312" w:eastAsia="仿宋_GB2312" w:cs="仿宋_GB2312"/>
                <w:b/>
                <w:bCs/>
                <w:color w:val="auto"/>
                <w:highlight w:val="none"/>
              </w:rPr>
            </w:pPr>
          </w:p>
          <w:p w14:paraId="3D50A537">
            <w:pPr>
              <w:jc w:val="center"/>
              <w:rPr>
                <w:rFonts w:ascii="仿宋_GB2312" w:hAnsi="仿宋_GB2312" w:eastAsia="仿宋_GB2312" w:cs="仿宋_GB2312"/>
                <w:b/>
                <w:bCs/>
                <w:color w:val="auto"/>
                <w:highlight w:val="none"/>
              </w:rPr>
            </w:pPr>
            <w:r>
              <w:rPr>
                <w:rFonts w:hint="eastAsia" w:ascii="仿宋_GB2312" w:hAnsi="仿宋_GB2312" w:eastAsia="仿宋_GB2312" w:cs="仿宋_GB2312"/>
                <w:b/>
                <w:bCs/>
                <w:color w:val="auto"/>
                <w:sz w:val="44"/>
                <w:szCs w:val="52"/>
                <w:highlight w:val="none"/>
              </w:rPr>
              <w:t>投标文件/电子文档</w:t>
            </w:r>
          </w:p>
          <w:p w14:paraId="62196DE1">
            <w:pPr>
              <w:jc w:val="left"/>
              <w:rPr>
                <w:rFonts w:ascii="仿宋_GB2312" w:hAnsi="仿宋_GB2312" w:eastAsia="仿宋_GB2312" w:cs="仿宋_GB2312"/>
                <w:color w:val="auto"/>
                <w:highlight w:val="none"/>
              </w:rPr>
            </w:pPr>
          </w:p>
          <w:p w14:paraId="2D28B6F1">
            <w:pPr>
              <w:jc w:val="left"/>
              <w:rPr>
                <w:rFonts w:ascii="仿宋_GB2312" w:hAnsi="仿宋_GB2312" w:eastAsia="仿宋_GB2312" w:cs="仿宋_GB2312"/>
                <w:color w:val="auto"/>
                <w:highlight w:val="none"/>
              </w:rPr>
            </w:pPr>
          </w:p>
          <w:p w14:paraId="14F2FA67">
            <w:pPr>
              <w:jc w:val="left"/>
              <w:rPr>
                <w:rFonts w:ascii="仿宋_GB2312" w:hAnsi="仿宋_GB2312" w:eastAsia="仿宋_GB2312" w:cs="仿宋_GB2312"/>
                <w:color w:val="auto"/>
                <w:highlight w:val="none"/>
              </w:rPr>
            </w:pPr>
          </w:p>
          <w:p w14:paraId="6ED5AA16">
            <w:pPr>
              <w:jc w:val="left"/>
              <w:rPr>
                <w:rFonts w:ascii="仿宋_GB2312" w:hAnsi="仿宋_GB2312" w:eastAsia="仿宋_GB2312" w:cs="仿宋_GB2312"/>
                <w:color w:val="auto"/>
                <w:highlight w:val="none"/>
              </w:rPr>
            </w:pPr>
          </w:p>
          <w:p w14:paraId="5516BE53">
            <w:pPr>
              <w:jc w:val="left"/>
              <w:rPr>
                <w:rFonts w:ascii="仿宋_GB2312" w:hAnsi="仿宋_GB2312" w:eastAsia="仿宋_GB2312" w:cs="仿宋_GB2312"/>
                <w:color w:val="auto"/>
                <w:highlight w:val="none"/>
              </w:rPr>
            </w:pPr>
          </w:p>
          <w:p w14:paraId="0455ED55">
            <w:pPr>
              <w:jc w:val="left"/>
              <w:rPr>
                <w:rFonts w:ascii="仿宋_GB2312" w:hAnsi="仿宋_GB2312" w:eastAsia="仿宋_GB2312" w:cs="仿宋_GB2312"/>
                <w:color w:val="auto"/>
                <w:highlight w:val="none"/>
              </w:rPr>
            </w:pPr>
          </w:p>
          <w:p w14:paraId="191DF530">
            <w:pPr>
              <w:jc w:val="left"/>
              <w:rPr>
                <w:rFonts w:ascii="仿宋_GB2312" w:hAnsi="仿宋_GB2312" w:eastAsia="仿宋_GB2312" w:cs="仿宋_GB2312"/>
                <w:color w:val="auto"/>
                <w:highlight w:val="none"/>
              </w:rPr>
            </w:pPr>
          </w:p>
          <w:p w14:paraId="4FF3D941">
            <w:pPr>
              <w:jc w:val="left"/>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所投包号：第  包</w:t>
            </w:r>
          </w:p>
          <w:p w14:paraId="14B75295">
            <w:pPr>
              <w:jc w:val="left"/>
              <w:rPr>
                <w:rFonts w:ascii="仿宋_GB2312" w:hAnsi="仿宋_GB2312" w:eastAsia="仿宋_GB2312" w:cs="仿宋_GB2312"/>
                <w:color w:val="auto"/>
                <w:highlight w:val="none"/>
              </w:rPr>
            </w:pPr>
          </w:p>
          <w:p w14:paraId="7EB939C5">
            <w:pPr>
              <w:jc w:val="left"/>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项目名称：</w:t>
            </w:r>
          </w:p>
          <w:p w14:paraId="0EAD143B">
            <w:pPr>
              <w:jc w:val="left"/>
              <w:rPr>
                <w:rFonts w:ascii="仿宋_GB2312" w:hAnsi="仿宋_GB2312" w:eastAsia="仿宋_GB2312" w:cs="仿宋_GB2312"/>
                <w:color w:val="auto"/>
                <w:highlight w:val="none"/>
              </w:rPr>
            </w:pPr>
          </w:p>
          <w:p w14:paraId="23A2BA8B">
            <w:pPr>
              <w:jc w:val="left"/>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项目编号：</w:t>
            </w:r>
          </w:p>
          <w:p w14:paraId="53CFF5BA">
            <w:pPr>
              <w:jc w:val="center"/>
              <w:rPr>
                <w:rFonts w:ascii="仿宋_GB2312" w:hAnsi="仿宋_GB2312" w:eastAsia="仿宋_GB2312" w:cs="仿宋_GB2312"/>
                <w:color w:val="auto"/>
                <w:highlight w:val="none"/>
              </w:rPr>
            </w:pPr>
          </w:p>
          <w:p w14:paraId="1AB3CC6E">
            <w:pPr>
              <w:jc w:val="center"/>
              <w:rPr>
                <w:rFonts w:ascii="仿宋_GB2312" w:hAnsi="仿宋_GB2312" w:eastAsia="仿宋_GB2312" w:cs="仿宋_GB2312"/>
                <w:color w:val="auto"/>
                <w:highlight w:val="none"/>
              </w:rPr>
            </w:pPr>
          </w:p>
          <w:p w14:paraId="7B468F64">
            <w:pPr>
              <w:jc w:val="center"/>
              <w:rPr>
                <w:rFonts w:ascii="仿宋_GB2312" w:hAnsi="仿宋_GB2312" w:eastAsia="仿宋_GB2312" w:cs="仿宋_GB2312"/>
                <w:color w:val="auto"/>
                <w:highlight w:val="none"/>
              </w:rPr>
            </w:pPr>
          </w:p>
          <w:p w14:paraId="071F5571">
            <w:pPr>
              <w:jc w:val="left"/>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投标人名称（加盖单位公章）</w:t>
            </w:r>
          </w:p>
        </w:tc>
      </w:tr>
    </w:tbl>
    <w:p w14:paraId="496BAB2B">
      <w:pPr>
        <w:rPr>
          <w:rFonts w:ascii="仿宋_GB2312" w:hAnsi="仿宋_GB2312" w:eastAsia="仿宋_GB2312" w:cs="仿宋_GB2312"/>
          <w:color w:val="auto"/>
          <w:highlight w:val="none"/>
        </w:rPr>
      </w:pPr>
    </w:p>
    <w:p w14:paraId="40A27A32">
      <w:pPr>
        <w:rPr>
          <w:rFonts w:ascii="仿宋_GB2312" w:hAnsi="仿宋_GB2312" w:eastAsia="仿宋_GB2312" w:cs="仿宋_GB2312"/>
          <w:color w:val="auto"/>
          <w:highlight w:val="none"/>
        </w:rPr>
      </w:pPr>
    </w:p>
    <w:p w14:paraId="285338D5">
      <w:pPr>
        <w:rPr>
          <w:rFonts w:ascii="仿宋_GB2312" w:hAnsi="仿宋_GB2312" w:eastAsia="仿宋_GB2312" w:cs="仿宋_GB2312"/>
          <w:color w:val="auto"/>
          <w:highlight w:val="none"/>
        </w:rPr>
      </w:pPr>
      <w:r>
        <w:rPr>
          <w:rFonts w:hint="eastAsia" w:ascii="仿宋_GB2312" w:hAnsi="仿宋_GB2312" w:eastAsia="仿宋_GB2312" w:cs="仿宋_GB2312"/>
          <w:color w:val="auto"/>
          <w:sz w:val="24"/>
          <w:szCs w:val="32"/>
          <w:highlight w:val="none"/>
        </w:rPr>
        <w:t>封口格式：</w:t>
      </w:r>
    </w:p>
    <w:tbl>
      <w:tblPr>
        <w:tblStyle w:val="22"/>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14:paraId="4B341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vAlign w:val="center"/>
          </w:tcPr>
          <w:p w14:paraId="41D63C50">
            <w:pPr>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——于   年  月  日   时之前不准启封（公章）——</w:t>
            </w:r>
          </w:p>
        </w:tc>
      </w:tr>
    </w:tbl>
    <w:p w14:paraId="50650C85">
      <w:pPr>
        <w:rPr>
          <w:rFonts w:ascii="仿宋_GB2312" w:hAnsi="仿宋_GB2312" w:eastAsia="仿宋_GB2312" w:cs="仿宋_GB2312"/>
          <w:color w:val="auto"/>
          <w:highlight w:val="none"/>
        </w:rPr>
      </w:pPr>
    </w:p>
    <w:p w14:paraId="1258308F">
      <w:pPr>
        <w:rPr>
          <w:rFonts w:ascii="仿宋_GB2312" w:hAnsi="仿宋_GB2312" w:eastAsia="仿宋_GB2312" w:cs="仿宋_GB2312"/>
          <w:color w:val="auto"/>
          <w:highlight w:val="none"/>
        </w:rPr>
      </w:pPr>
    </w:p>
    <w:p w14:paraId="7A87D04E">
      <w:pPr>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br w:type="page"/>
      </w:r>
    </w:p>
    <w:p w14:paraId="05C1E1F2">
      <w:pPr>
        <w:pStyle w:val="3"/>
        <w:adjustRightInd w:val="0"/>
        <w:snapToGrid w:val="0"/>
        <w:spacing w:before="0" w:after="0" w:line="240" w:lineRule="auto"/>
        <w:jc w:val="left"/>
        <w:rPr>
          <w:rFonts w:ascii="仿宋_GB2312" w:hAnsi="仿宋_GB2312" w:eastAsia="仿宋_GB2312" w:cs="仿宋_GB2312"/>
          <w:color w:val="auto"/>
          <w:szCs w:val="28"/>
          <w:highlight w:val="none"/>
        </w:rPr>
      </w:pPr>
      <w:r>
        <w:rPr>
          <w:rFonts w:hint="eastAsia" w:ascii="仿宋_GB2312" w:hAnsi="仿宋_GB2312" w:eastAsia="仿宋_GB2312" w:cs="仿宋_GB2312"/>
          <w:color w:val="auto"/>
          <w:szCs w:val="28"/>
          <w:highlight w:val="none"/>
        </w:rPr>
        <w:t>格式2</w:t>
      </w:r>
    </w:p>
    <w:p w14:paraId="5B115C93">
      <w:pPr>
        <w:jc w:val="center"/>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color w:val="auto"/>
          <w:sz w:val="32"/>
          <w:highlight w:val="none"/>
        </w:rPr>
        <mc:AlternateContent>
          <mc:Choice Requires="wps">
            <w:drawing>
              <wp:anchor distT="0" distB="0" distL="114300" distR="114300" simplePos="0" relativeHeight="251659264" behindDoc="0" locked="0" layoutInCell="1" allowOverlap="1">
                <wp:simplePos x="0" y="0"/>
                <wp:positionH relativeFrom="column">
                  <wp:posOffset>3878580</wp:posOffset>
                </wp:positionH>
                <wp:positionV relativeFrom="paragraph">
                  <wp:posOffset>361315</wp:posOffset>
                </wp:positionV>
                <wp:extent cx="1253490" cy="563245"/>
                <wp:effectExtent l="5080" t="4445" r="11430" b="16510"/>
                <wp:wrapNone/>
                <wp:docPr id="1"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7C7298C">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wps:txbx>
                      <wps:bodyPr wrap="square" upright="1"/>
                    </wps:wsp>
                  </a:graphicData>
                </a:graphic>
              </wp:anchor>
            </w:drawing>
          </mc:Choice>
          <mc:Fallback>
            <w:pict>
              <v:shape id="文本框 2" o:spid="_x0000_s1026" o:spt="202" type="#_x0000_t202" style="position:absolute;left:0pt;margin-left:305.4pt;margin-top:28.45pt;height:44.35pt;width:98.7pt;z-index:251659264;mso-width-relative:page;mso-height-relative:page;" fillcolor="#FFFFFF" filled="t" stroked="t"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DVdez7ZAAAACgEAAA8AAAAA&#10;AAAAAQAgAAAAIgAAAGRycy9kb3ducmV2LnhtbFBLAQIUABQAAAAIAIdO4kAzbLFlEwIAAEQEAAAO&#10;AAAAAAAAAAEAIAAAACgBAABkcnMvZTJvRG9jLnhtbFBLBQYAAAAABgAGAFkBAACtBQAAAAA=&#10;">
                <v:fill on="t" focussize="0,0"/>
                <v:stroke color="#000000" joinstyle="miter"/>
                <v:imagedata o:title=""/>
                <o:lock v:ext="edit" aspectratio="f"/>
                <v:textbox>
                  <w:txbxContent>
                    <w:p w14:paraId="37C7298C">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mc:Fallback>
        </mc:AlternateContent>
      </w:r>
      <w:r>
        <w:rPr>
          <w:rFonts w:hint="eastAsia" w:ascii="仿宋_GB2312" w:hAnsi="仿宋_GB2312" w:eastAsia="仿宋_GB2312" w:cs="仿宋_GB2312"/>
          <w:b/>
          <w:bCs/>
          <w:color w:val="auto"/>
          <w:sz w:val="32"/>
          <w:szCs w:val="32"/>
          <w:highlight w:val="none"/>
        </w:rPr>
        <w:t>投标文件的封皮</w:t>
      </w:r>
    </w:p>
    <w:p w14:paraId="792CF19E">
      <w:pPr>
        <w:rPr>
          <w:rFonts w:ascii="仿宋_GB2312" w:hAnsi="仿宋_GB2312" w:eastAsia="仿宋_GB2312" w:cs="仿宋_GB2312"/>
          <w:color w:val="auto"/>
          <w:highlight w:val="none"/>
        </w:rPr>
      </w:pPr>
    </w:p>
    <w:p w14:paraId="78B1CFF1">
      <w:pPr>
        <w:rPr>
          <w:rFonts w:ascii="仿宋_GB2312" w:hAnsi="仿宋_GB2312" w:eastAsia="仿宋_GB2312" w:cs="仿宋_GB2312"/>
          <w:color w:val="auto"/>
          <w:highlight w:val="none"/>
        </w:rPr>
      </w:pPr>
    </w:p>
    <w:p w14:paraId="7DDBB96B">
      <w:pPr>
        <w:rPr>
          <w:rFonts w:ascii="仿宋_GB2312" w:hAnsi="仿宋_GB2312" w:eastAsia="仿宋_GB2312" w:cs="仿宋_GB2312"/>
          <w:color w:val="auto"/>
          <w:highlight w:val="none"/>
        </w:rPr>
      </w:pPr>
    </w:p>
    <w:p w14:paraId="3BFBB26B">
      <w:pPr>
        <w:rPr>
          <w:rFonts w:ascii="仿宋_GB2312" w:hAnsi="仿宋_GB2312" w:eastAsia="仿宋_GB2312" w:cs="仿宋_GB2312"/>
          <w:color w:val="auto"/>
          <w:highlight w:val="none"/>
        </w:rPr>
      </w:pPr>
    </w:p>
    <w:p w14:paraId="43F9E135">
      <w:pPr>
        <w:rPr>
          <w:rFonts w:ascii="仿宋_GB2312" w:hAnsi="仿宋_GB2312" w:eastAsia="仿宋_GB2312" w:cs="仿宋_GB2312"/>
          <w:color w:val="auto"/>
          <w:highlight w:val="none"/>
        </w:rPr>
      </w:pPr>
    </w:p>
    <w:p w14:paraId="3E399437">
      <w:pPr>
        <w:rPr>
          <w:rFonts w:ascii="仿宋_GB2312" w:hAnsi="仿宋_GB2312" w:eastAsia="仿宋_GB2312" w:cs="仿宋_GB2312"/>
          <w:color w:val="auto"/>
          <w:highlight w:val="none"/>
        </w:rPr>
      </w:pPr>
    </w:p>
    <w:p w14:paraId="1A37F03C">
      <w:pPr>
        <w:rPr>
          <w:rFonts w:ascii="仿宋_GB2312" w:hAnsi="仿宋_GB2312" w:eastAsia="仿宋_GB2312" w:cs="仿宋_GB2312"/>
          <w:color w:val="auto"/>
          <w:highlight w:val="none"/>
        </w:rPr>
      </w:pPr>
    </w:p>
    <w:p w14:paraId="076043D7">
      <w:pPr>
        <w:rPr>
          <w:rFonts w:ascii="仿宋_GB2312" w:hAnsi="仿宋_GB2312" w:eastAsia="仿宋_GB2312" w:cs="仿宋_GB2312"/>
          <w:color w:val="auto"/>
          <w:highlight w:val="none"/>
        </w:rPr>
      </w:pPr>
    </w:p>
    <w:p w14:paraId="3463A5F2">
      <w:pPr>
        <w:rPr>
          <w:rFonts w:ascii="仿宋_GB2312" w:hAnsi="仿宋_GB2312" w:eastAsia="仿宋_GB2312" w:cs="仿宋_GB2312"/>
          <w:color w:val="auto"/>
          <w:highlight w:val="none"/>
        </w:rPr>
      </w:pPr>
    </w:p>
    <w:p w14:paraId="73E383F3">
      <w:pPr>
        <w:rPr>
          <w:rFonts w:ascii="仿宋_GB2312" w:hAnsi="仿宋_GB2312" w:eastAsia="仿宋_GB2312" w:cs="仿宋_GB2312"/>
          <w:color w:val="auto"/>
          <w:highlight w:val="none"/>
        </w:rPr>
      </w:pPr>
    </w:p>
    <w:p w14:paraId="447122C6">
      <w:pPr>
        <w:jc w:val="center"/>
        <w:rPr>
          <w:rFonts w:ascii="仿宋_GB2312" w:hAnsi="仿宋_GB2312" w:eastAsia="仿宋_GB2312" w:cs="仿宋_GB2312"/>
          <w:b/>
          <w:bCs/>
          <w:color w:val="auto"/>
          <w:sz w:val="52"/>
          <w:szCs w:val="52"/>
          <w:highlight w:val="none"/>
        </w:rPr>
      </w:pPr>
      <w:r>
        <w:rPr>
          <w:rFonts w:hint="eastAsia" w:ascii="仿宋_GB2312" w:hAnsi="仿宋_GB2312" w:eastAsia="仿宋_GB2312" w:cs="仿宋_GB2312"/>
          <w:b/>
          <w:bCs/>
          <w:color w:val="auto"/>
          <w:sz w:val="52"/>
          <w:szCs w:val="52"/>
          <w:highlight w:val="none"/>
        </w:rPr>
        <w:t>投  标  文  件</w:t>
      </w:r>
    </w:p>
    <w:p w14:paraId="0DB645EA">
      <w:pPr>
        <w:rPr>
          <w:rFonts w:ascii="仿宋_GB2312" w:hAnsi="仿宋_GB2312" w:eastAsia="仿宋_GB2312" w:cs="仿宋_GB2312"/>
          <w:color w:val="auto"/>
          <w:highlight w:val="none"/>
        </w:rPr>
      </w:pPr>
    </w:p>
    <w:p w14:paraId="1E6BD7B8">
      <w:pPr>
        <w:rPr>
          <w:rFonts w:ascii="仿宋_GB2312" w:hAnsi="仿宋_GB2312" w:eastAsia="仿宋_GB2312" w:cs="仿宋_GB2312"/>
          <w:color w:val="auto"/>
          <w:highlight w:val="none"/>
        </w:rPr>
      </w:pPr>
    </w:p>
    <w:p w14:paraId="102D7C53">
      <w:pPr>
        <w:rPr>
          <w:rFonts w:ascii="仿宋_GB2312" w:hAnsi="仿宋_GB2312" w:eastAsia="仿宋_GB2312" w:cs="仿宋_GB2312"/>
          <w:color w:val="auto"/>
          <w:highlight w:val="none"/>
        </w:rPr>
      </w:pPr>
    </w:p>
    <w:p w14:paraId="57034A31">
      <w:pPr>
        <w:rPr>
          <w:rFonts w:ascii="仿宋_GB2312" w:hAnsi="仿宋_GB2312" w:eastAsia="仿宋_GB2312" w:cs="仿宋_GB2312"/>
          <w:color w:val="auto"/>
          <w:sz w:val="28"/>
          <w:szCs w:val="28"/>
          <w:highlight w:val="none"/>
        </w:rPr>
      </w:pPr>
    </w:p>
    <w:p w14:paraId="37AB385F">
      <w:pPr>
        <w:rPr>
          <w:rFonts w:ascii="仿宋_GB2312" w:hAnsi="仿宋_GB2312" w:eastAsia="仿宋_GB2312" w:cs="仿宋_GB2312"/>
          <w:color w:val="auto"/>
          <w:sz w:val="28"/>
          <w:szCs w:val="28"/>
          <w:highlight w:val="none"/>
        </w:rPr>
      </w:pPr>
    </w:p>
    <w:p w14:paraId="7223723A">
      <w:pPr>
        <w:rPr>
          <w:rFonts w:ascii="仿宋_GB2312" w:hAnsi="仿宋_GB2312" w:eastAsia="仿宋_GB2312" w:cs="仿宋_GB2312"/>
          <w:color w:val="auto"/>
          <w:sz w:val="28"/>
          <w:szCs w:val="28"/>
          <w:highlight w:val="none"/>
        </w:rPr>
      </w:pPr>
    </w:p>
    <w:p w14:paraId="63475787">
      <w:pPr>
        <w:rPr>
          <w:rFonts w:ascii="仿宋_GB2312" w:hAnsi="仿宋_GB2312" w:eastAsia="仿宋_GB2312" w:cs="仿宋_GB2312"/>
          <w:color w:val="auto"/>
          <w:sz w:val="28"/>
          <w:szCs w:val="28"/>
          <w:highlight w:val="none"/>
        </w:rPr>
      </w:pPr>
    </w:p>
    <w:p w14:paraId="57D0F99F">
      <w:pPr>
        <w:rPr>
          <w:rFonts w:ascii="仿宋_GB2312" w:hAnsi="仿宋_GB2312" w:eastAsia="仿宋_GB2312" w:cs="仿宋_GB2312"/>
          <w:color w:val="auto"/>
          <w:sz w:val="28"/>
          <w:szCs w:val="28"/>
          <w:highlight w:val="none"/>
        </w:rPr>
      </w:pPr>
    </w:p>
    <w:p w14:paraId="732B9274">
      <w:pPr>
        <w:rPr>
          <w:rFonts w:ascii="仿宋_GB2312" w:hAnsi="仿宋_GB2312" w:eastAsia="仿宋_GB2312" w:cs="仿宋_GB2312"/>
          <w:color w:val="auto"/>
          <w:sz w:val="28"/>
          <w:szCs w:val="28"/>
          <w:highlight w:val="none"/>
        </w:rPr>
      </w:pPr>
    </w:p>
    <w:p w14:paraId="1098A651">
      <w:pPr>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所投包号：第  包</w:t>
      </w:r>
    </w:p>
    <w:p w14:paraId="673C2DF6">
      <w:pPr>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项目名称：</w:t>
      </w:r>
    </w:p>
    <w:p w14:paraId="128C05D5">
      <w:pPr>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项目编号：</w:t>
      </w:r>
    </w:p>
    <w:p w14:paraId="732207DF">
      <w:pPr>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投标人名称 ：</w:t>
      </w:r>
    </w:p>
    <w:p w14:paraId="068CCD57">
      <w:pPr>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br w:type="page"/>
      </w:r>
    </w:p>
    <w:p w14:paraId="286DBC61">
      <w:pPr>
        <w:pStyle w:val="3"/>
        <w:adjustRightInd w:val="0"/>
        <w:snapToGrid w:val="0"/>
        <w:spacing w:before="0" w:after="0" w:line="240" w:lineRule="auto"/>
        <w:jc w:val="left"/>
        <w:rPr>
          <w:rFonts w:ascii="仿宋_GB2312" w:hAnsi="仿宋_GB2312" w:eastAsia="仿宋_GB2312" w:cs="仿宋_GB2312"/>
          <w:color w:val="auto"/>
          <w:szCs w:val="28"/>
          <w:highlight w:val="none"/>
        </w:rPr>
      </w:pPr>
      <w:r>
        <w:rPr>
          <w:rFonts w:hint="eastAsia" w:ascii="仿宋_GB2312" w:hAnsi="仿宋_GB2312" w:eastAsia="仿宋_GB2312" w:cs="仿宋_GB2312"/>
          <w:color w:val="auto"/>
          <w:szCs w:val="28"/>
          <w:highlight w:val="none"/>
        </w:rPr>
        <w:t>格式3</w:t>
      </w:r>
    </w:p>
    <w:p w14:paraId="60981F74">
      <w:pPr>
        <w:spacing w:before="319" w:beforeLines="100" w:after="319" w:afterLines="100" w:line="360" w:lineRule="auto"/>
        <w:ind w:right="-21" w:rightChars="-10"/>
        <w:jc w:val="center"/>
        <w:rPr>
          <w:rFonts w:ascii="仿宋_GB2312" w:hAnsi="仿宋_GB2312" w:eastAsia="仿宋_GB2312" w:cs="仿宋_GB2312"/>
          <w:b/>
          <w:color w:val="auto"/>
          <w:sz w:val="32"/>
          <w:szCs w:val="32"/>
          <w:highlight w:val="none"/>
        </w:rPr>
      </w:pPr>
      <w:bookmarkStart w:id="86" w:name="_Toc21414_WPSOffice_Level2"/>
      <w:bookmarkStart w:id="87" w:name="_Toc2304_WPSOffice_Level2"/>
      <w:r>
        <w:rPr>
          <w:rFonts w:hint="eastAsia" w:ascii="仿宋_GB2312" w:hAnsi="仿宋_GB2312" w:eastAsia="仿宋_GB2312" w:cs="仿宋_GB2312"/>
          <w:b/>
          <w:color w:val="auto"/>
          <w:sz w:val="32"/>
          <w:szCs w:val="32"/>
          <w:highlight w:val="none"/>
        </w:rPr>
        <w:t>目  录</w:t>
      </w:r>
      <w:bookmarkEnd w:id="86"/>
      <w:bookmarkEnd w:id="87"/>
    </w:p>
    <w:p w14:paraId="522ACE07">
      <w:pPr>
        <w:rPr>
          <w:rFonts w:ascii="仿宋_GB2312" w:hAnsi="仿宋_GB2312" w:eastAsia="仿宋_GB2312" w:cs="仿宋_GB2312"/>
          <w:color w:val="auto"/>
          <w:highlight w:val="none"/>
        </w:rPr>
      </w:pPr>
      <w:bookmarkStart w:id="88" w:name="_Toc7636_WPSOffice_Level2"/>
      <w:bookmarkStart w:id="89" w:name="_Toc30940_WPSOffice_Level2"/>
      <w:r>
        <w:rPr>
          <w:rFonts w:hint="eastAsia" w:ascii="仿宋_GB2312" w:hAnsi="仿宋_GB2312" w:eastAsia="仿宋_GB2312" w:cs="仿宋_GB2312"/>
          <w:color w:val="auto"/>
          <w:highlight w:val="none"/>
        </w:rPr>
        <w:t>一、资格证明材料</w:t>
      </w:r>
      <w:bookmarkEnd w:id="88"/>
      <w:bookmarkEnd w:id="89"/>
    </w:p>
    <w:p w14:paraId="18E84F46">
      <w:pP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w:t>
      </w:r>
    </w:p>
    <w:p w14:paraId="27527431">
      <w:pPr>
        <w:rPr>
          <w:rFonts w:ascii="仿宋_GB2312" w:hAnsi="仿宋_GB2312" w:eastAsia="仿宋_GB2312" w:cs="仿宋_GB2312"/>
          <w:color w:val="auto"/>
          <w:highlight w:val="none"/>
        </w:rPr>
      </w:pPr>
      <w:bookmarkStart w:id="90" w:name="_Toc13950_WPSOffice_Level2"/>
      <w:bookmarkStart w:id="91" w:name="_Toc31702_WPSOffice_Level2"/>
      <w:r>
        <w:rPr>
          <w:rFonts w:hint="eastAsia" w:ascii="仿宋_GB2312" w:hAnsi="仿宋_GB2312" w:eastAsia="仿宋_GB2312" w:cs="仿宋_GB2312"/>
          <w:color w:val="auto"/>
          <w:highlight w:val="none"/>
        </w:rPr>
        <w:t>二、符合性证明材料</w:t>
      </w:r>
      <w:bookmarkEnd w:id="90"/>
      <w:bookmarkEnd w:id="91"/>
    </w:p>
    <w:p w14:paraId="4A2DC2D4">
      <w:pP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w:t>
      </w:r>
    </w:p>
    <w:p w14:paraId="5DE9774E">
      <w:pPr>
        <w:rPr>
          <w:rFonts w:ascii="仿宋_GB2312" w:hAnsi="仿宋_GB2312" w:eastAsia="仿宋_GB2312" w:cs="仿宋_GB2312"/>
          <w:color w:val="auto"/>
          <w:highlight w:val="none"/>
        </w:rPr>
      </w:pPr>
      <w:bookmarkStart w:id="92" w:name="_Toc9090_WPSOffice_Level2"/>
      <w:bookmarkStart w:id="93" w:name="_Toc14854_WPSOffice_Level2"/>
      <w:r>
        <w:rPr>
          <w:rFonts w:hint="eastAsia" w:ascii="仿宋_GB2312" w:hAnsi="仿宋_GB2312" w:eastAsia="仿宋_GB2312" w:cs="仿宋_GB2312"/>
          <w:color w:val="auto"/>
          <w:highlight w:val="none"/>
        </w:rPr>
        <w:t>三、其它材料</w:t>
      </w:r>
      <w:bookmarkEnd w:id="92"/>
      <w:bookmarkEnd w:id="93"/>
    </w:p>
    <w:p w14:paraId="2B67661C">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w:t>
      </w:r>
    </w:p>
    <w:p w14:paraId="704F2DCE">
      <w:pPr>
        <w:rPr>
          <w:rFonts w:ascii="仿宋_GB2312" w:hAnsi="仿宋_GB2312" w:eastAsia="仿宋_GB2312" w:cs="仿宋_GB2312"/>
          <w:color w:val="auto"/>
          <w:szCs w:val="21"/>
          <w:highlight w:val="none"/>
        </w:rPr>
      </w:pPr>
    </w:p>
    <w:p w14:paraId="6898C17C">
      <w:pPr>
        <w:rPr>
          <w:rFonts w:ascii="仿宋_GB2312" w:hAnsi="仿宋_GB2312" w:eastAsia="仿宋_GB2312" w:cs="仿宋_GB2312"/>
          <w:color w:val="auto"/>
          <w:szCs w:val="21"/>
          <w:highlight w:val="none"/>
        </w:rPr>
      </w:pPr>
    </w:p>
    <w:p w14:paraId="47D85639">
      <w:pPr>
        <w:rPr>
          <w:rFonts w:ascii="仿宋_GB2312" w:hAnsi="仿宋_GB2312" w:eastAsia="仿宋_GB2312" w:cs="仿宋_GB2312"/>
          <w:color w:val="auto"/>
          <w:szCs w:val="21"/>
          <w:highlight w:val="none"/>
        </w:rPr>
      </w:pPr>
    </w:p>
    <w:p w14:paraId="28E1CF33">
      <w:pPr>
        <w:adjustRightInd w:val="0"/>
        <w:snapToGrid w:val="0"/>
        <w:spacing w:line="360" w:lineRule="auto"/>
        <w:ind w:firstLine="420" w:firstLineChars="20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我单位的投标文件由资格证明材料、符合性证明材料和其它材料三部分组成，在此加盖单位公章并由法定代表人（或非法人组织负责人）或其授权委托人签字，保证投标文件中所有材料真实、有效。</w:t>
      </w:r>
    </w:p>
    <w:p w14:paraId="1AFB08C3">
      <w:pPr>
        <w:spacing w:line="360" w:lineRule="auto"/>
        <w:rPr>
          <w:rFonts w:ascii="仿宋_GB2312" w:hAnsi="仿宋_GB2312" w:eastAsia="仿宋_GB2312" w:cs="仿宋_GB2312"/>
          <w:color w:val="auto"/>
          <w:highlight w:val="none"/>
        </w:rPr>
      </w:pPr>
    </w:p>
    <w:p w14:paraId="40EE6858">
      <w:pPr>
        <w:rPr>
          <w:rFonts w:ascii="仿宋_GB2312" w:hAnsi="仿宋_GB2312" w:eastAsia="仿宋_GB2312" w:cs="仿宋_GB2312"/>
          <w:color w:val="auto"/>
          <w:highlight w:val="none"/>
        </w:rPr>
      </w:pPr>
    </w:p>
    <w:p w14:paraId="4DD7D53F">
      <w:pPr>
        <w:rPr>
          <w:rFonts w:ascii="仿宋_GB2312" w:hAnsi="仿宋_GB2312" w:eastAsia="仿宋_GB2312" w:cs="仿宋_GB2312"/>
          <w:color w:val="auto"/>
          <w:highlight w:val="none"/>
        </w:rPr>
      </w:pPr>
    </w:p>
    <w:p w14:paraId="13182012">
      <w:pPr>
        <w:rPr>
          <w:rFonts w:ascii="仿宋_GB2312" w:hAnsi="仿宋_GB2312" w:eastAsia="仿宋_GB2312" w:cs="仿宋_GB2312"/>
          <w:color w:val="auto"/>
          <w:highlight w:val="none"/>
        </w:rPr>
      </w:pPr>
    </w:p>
    <w:p w14:paraId="364C543A">
      <w:pPr>
        <w:spacing w:line="480" w:lineRule="auto"/>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投标人名称（加盖单位公章）：</w:t>
      </w:r>
      <w:r>
        <w:rPr>
          <w:rFonts w:hint="eastAsia" w:ascii="仿宋_GB2312" w:hAnsi="仿宋_GB2312" w:eastAsia="仿宋_GB2312" w:cs="仿宋_GB2312"/>
          <w:color w:val="auto"/>
          <w:highlight w:val="none"/>
          <w:u w:val="single"/>
        </w:rPr>
        <w:t xml:space="preserve">           </w:t>
      </w:r>
    </w:p>
    <w:p w14:paraId="0CB44ADC">
      <w:pPr>
        <w:spacing w:line="480" w:lineRule="auto"/>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法定代表人（或</w:t>
      </w:r>
      <w:r>
        <w:rPr>
          <w:rFonts w:hint="eastAsia" w:ascii="仿宋_GB2312" w:hAnsi="仿宋_GB2312" w:eastAsia="仿宋_GB2312" w:cs="仿宋_GB2312"/>
          <w:color w:val="auto"/>
          <w:szCs w:val="21"/>
          <w:highlight w:val="none"/>
        </w:rPr>
        <w:t>非法人组织负责人）或</w:t>
      </w:r>
      <w:r>
        <w:rPr>
          <w:rFonts w:hint="eastAsia" w:ascii="仿宋_GB2312" w:hAnsi="仿宋_GB2312" w:eastAsia="仿宋_GB2312" w:cs="仿宋_GB2312"/>
          <w:color w:val="auto"/>
          <w:highlight w:val="none"/>
        </w:rPr>
        <w:t>其授权委托人(签字或盖章)：</w:t>
      </w:r>
      <w:r>
        <w:rPr>
          <w:rFonts w:hint="eastAsia" w:ascii="仿宋_GB2312" w:hAnsi="仿宋_GB2312" w:eastAsia="仿宋_GB2312" w:cs="仿宋_GB2312"/>
          <w:color w:val="auto"/>
          <w:highlight w:val="none"/>
          <w:u w:val="single"/>
        </w:rPr>
        <w:t xml:space="preserve">           </w:t>
      </w:r>
    </w:p>
    <w:p w14:paraId="74D659D6">
      <w:pPr>
        <w:spacing w:line="480" w:lineRule="auto"/>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日期：</w:t>
      </w:r>
      <w:r>
        <w:rPr>
          <w:rFonts w:hint="eastAsia" w:ascii="仿宋_GB2312" w:hAnsi="仿宋_GB2312" w:eastAsia="仿宋_GB2312" w:cs="仿宋_GB2312"/>
          <w:color w:val="auto"/>
          <w:highlight w:val="none"/>
          <w:u w:val="single"/>
        </w:rPr>
        <w:t xml:space="preserve">                </w:t>
      </w:r>
    </w:p>
    <w:p w14:paraId="04E30DAF">
      <w:pPr>
        <w:pStyle w:val="3"/>
        <w:adjustRightInd w:val="0"/>
        <w:snapToGrid w:val="0"/>
        <w:spacing w:before="0" w:after="0" w:line="240" w:lineRule="auto"/>
        <w:jc w:val="left"/>
        <w:rPr>
          <w:rFonts w:ascii="仿宋_GB2312" w:hAnsi="仿宋_GB2312" w:eastAsia="仿宋_GB2312" w:cs="仿宋_GB2312"/>
          <w:color w:val="auto"/>
          <w:szCs w:val="28"/>
          <w:highlight w:val="none"/>
        </w:rPr>
      </w:pPr>
      <w:r>
        <w:rPr>
          <w:rFonts w:hint="eastAsia" w:ascii="仿宋_GB2312" w:hAnsi="仿宋_GB2312" w:eastAsia="仿宋_GB2312" w:cs="仿宋_GB2312"/>
          <w:color w:val="auto"/>
          <w:highlight w:val="none"/>
        </w:rPr>
        <w:br w:type="page"/>
      </w:r>
      <w:r>
        <w:rPr>
          <w:rFonts w:hint="eastAsia" w:ascii="仿宋_GB2312" w:hAnsi="仿宋_GB2312" w:eastAsia="仿宋_GB2312" w:cs="仿宋_GB2312"/>
          <w:color w:val="auto"/>
          <w:szCs w:val="28"/>
          <w:highlight w:val="none"/>
        </w:rPr>
        <w:t>格式4-1</w:t>
      </w:r>
    </w:p>
    <w:p w14:paraId="0C57DAFD">
      <w:pPr>
        <w:jc w:val="center"/>
        <w:rPr>
          <w:rFonts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营业执照副本或事业单位法人证书或执业许可证等证明文件复印件或自然人的身份证明复印件（自然人身份证明仅在自然人作为投标主体时适用）</w:t>
      </w:r>
    </w:p>
    <w:p w14:paraId="3EEEF817">
      <w:pPr>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color w:val="auto"/>
          <w:szCs w:val="28"/>
          <w:highlight w:val="none"/>
        </w:rPr>
        <w:br w:type="page"/>
      </w:r>
      <w:r>
        <w:rPr>
          <w:rFonts w:hint="eastAsia" w:ascii="仿宋_GB2312" w:hAnsi="仿宋_GB2312" w:eastAsia="仿宋_GB2312" w:cs="仿宋_GB2312"/>
          <w:b/>
          <w:bCs/>
          <w:color w:val="auto"/>
          <w:sz w:val="32"/>
          <w:szCs w:val="32"/>
          <w:highlight w:val="none"/>
        </w:rPr>
        <w:t>格式4-2</w:t>
      </w:r>
    </w:p>
    <w:p w14:paraId="0EEE4E2F">
      <w:pPr>
        <w:jc w:val="center"/>
        <w:rPr>
          <w:rFonts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组织机构代码证副本（复印件，三证合一的不需提供）</w:t>
      </w:r>
    </w:p>
    <w:p w14:paraId="751C6BAA">
      <w:pPr>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color w:val="auto"/>
          <w:szCs w:val="28"/>
          <w:highlight w:val="none"/>
        </w:rPr>
        <w:br w:type="page"/>
      </w:r>
      <w:r>
        <w:rPr>
          <w:rFonts w:hint="eastAsia" w:ascii="仿宋_GB2312" w:hAnsi="仿宋_GB2312" w:eastAsia="仿宋_GB2312" w:cs="仿宋_GB2312"/>
          <w:b/>
          <w:bCs/>
          <w:color w:val="auto"/>
          <w:sz w:val="32"/>
          <w:szCs w:val="32"/>
          <w:highlight w:val="none"/>
        </w:rPr>
        <w:t>格式4-3</w:t>
      </w:r>
    </w:p>
    <w:p w14:paraId="04C8733D">
      <w:pPr>
        <w:pStyle w:val="3"/>
        <w:adjustRightInd w:val="0"/>
        <w:snapToGrid w:val="0"/>
        <w:spacing w:before="0" w:after="0" w:line="240" w:lineRule="auto"/>
        <w:rPr>
          <w:rFonts w:ascii="仿宋_GB2312" w:hAnsi="仿宋_GB2312" w:eastAsia="仿宋_GB2312" w:cs="仿宋_GB2312"/>
          <w:color w:val="auto"/>
          <w:szCs w:val="28"/>
          <w:highlight w:val="none"/>
        </w:rPr>
      </w:pPr>
      <w:r>
        <w:rPr>
          <w:rFonts w:hint="eastAsia" w:ascii="仿宋_GB2312" w:hAnsi="仿宋_GB2312" w:eastAsia="仿宋_GB2312" w:cs="仿宋_GB2312"/>
          <w:color w:val="auto"/>
          <w:szCs w:val="28"/>
          <w:highlight w:val="none"/>
        </w:rPr>
        <w:t>税务登记证（复印件，三证合一的不需提供）</w:t>
      </w:r>
    </w:p>
    <w:p w14:paraId="0D0C5B0C">
      <w:pPr>
        <w:rPr>
          <w:rFonts w:ascii="仿宋_GB2312" w:hAnsi="仿宋_GB2312" w:eastAsia="仿宋_GB2312" w:cs="仿宋_GB2312"/>
          <w:color w:val="auto"/>
          <w:szCs w:val="28"/>
          <w:highlight w:val="none"/>
        </w:rPr>
      </w:pPr>
      <w:r>
        <w:rPr>
          <w:rFonts w:hint="eastAsia" w:ascii="仿宋_GB2312" w:hAnsi="仿宋_GB2312" w:eastAsia="仿宋_GB2312" w:cs="仿宋_GB2312"/>
          <w:color w:val="auto"/>
          <w:szCs w:val="28"/>
          <w:highlight w:val="none"/>
        </w:rPr>
        <w:br w:type="page"/>
      </w:r>
    </w:p>
    <w:p w14:paraId="4332A746">
      <w:pPr>
        <w:pStyle w:val="3"/>
        <w:adjustRightInd w:val="0"/>
        <w:snapToGrid w:val="0"/>
        <w:spacing w:before="0" w:after="0" w:line="240" w:lineRule="auto"/>
        <w:jc w:val="left"/>
        <w:rPr>
          <w:rFonts w:ascii="仿宋_GB2312" w:hAnsi="仿宋_GB2312" w:eastAsia="仿宋_GB2312" w:cs="仿宋_GB2312"/>
          <w:color w:val="auto"/>
          <w:szCs w:val="28"/>
          <w:highlight w:val="none"/>
        </w:rPr>
      </w:pPr>
      <w:r>
        <w:rPr>
          <w:rFonts w:hint="eastAsia" w:ascii="仿宋_GB2312" w:hAnsi="仿宋_GB2312" w:eastAsia="仿宋_GB2312" w:cs="仿宋_GB2312"/>
          <w:color w:val="auto"/>
          <w:szCs w:val="28"/>
          <w:highlight w:val="none"/>
        </w:rPr>
        <w:t>格式5</w:t>
      </w:r>
    </w:p>
    <w:p w14:paraId="0CA7ABB5">
      <w:pPr>
        <w:spacing w:before="319" w:beforeLines="100" w:after="319" w:afterLines="100" w:line="360" w:lineRule="auto"/>
        <w:ind w:right="-21" w:rightChars="-10"/>
        <w:jc w:val="center"/>
        <w:rPr>
          <w:rFonts w:ascii="仿宋_GB2312" w:hAnsi="仿宋_GB2312" w:eastAsia="仿宋_GB2312" w:cs="仿宋_GB2312"/>
          <w:b/>
          <w:color w:val="auto"/>
          <w:sz w:val="32"/>
          <w:szCs w:val="32"/>
          <w:highlight w:val="none"/>
        </w:rPr>
      </w:pPr>
      <w:bookmarkStart w:id="94" w:name="_Toc3401_WPSOffice_Level2"/>
      <w:bookmarkStart w:id="95" w:name="_Toc16924_WPSOffice_Level2"/>
      <w:r>
        <w:rPr>
          <w:rFonts w:hint="eastAsia" w:ascii="仿宋_GB2312" w:hAnsi="仿宋_GB2312" w:eastAsia="仿宋_GB2312" w:cs="仿宋_GB2312"/>
          <w:b/>
          <w:color w:val="auto"/>
          <w:sz w:val="32"/>
          <w:szCs w:val="32"/>
          <w:highlight w:val="none"/>
        </w:rPr>
        <w:t>法定代表人（或非法人组织负责人）身份证明书</w:t>
      </w:r>
      <w:bookmarkEnd w:id="94"/>
      <w:bookmarkEnd w:id="95"/>
    </w:p>
    <w:p w14:paraId="00DA7618">
      <w:pPr>
        <w:spacing w:line="360" w:lineRule="auto"/>
        <w:ind w:firstLine="840" w:firstLineChars="4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姓名：</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，性别：</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，出生日期：</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，现任职务：</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，系</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（投标人名称）的法定代表人（或非法人组织负责人）。</w:t>
      </w:r>
    </w:p>
    <w:p w14:paraId="396FECC0">
      <w:pPr>
        <w:rPr>
          <w:rFonts w:ascii="仿宋_GB2312" w:hAnsi="仿宋_GB2312" w:eastAsia="仿宋_GB2312" w:cs="仿宋_GB2312"/>
          <w:color w:val="auto"/>
          <w:szCs w:val="21"/>
          <w:highlight w:val="none"/>
        </w:rPr>
      </w:pPr>
    </w:p>
    <w:p w14:paraId="0582805B">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特此证明。</w:t>
      </w:r>
    </w:p>
    <w:p w14:paraId="2D9CF512">
      <w:pPr>
        <w:rPr>
          <w:rFonts w:ascii="仿宋_GB2312" w:hAnsi="仿宋_GB2312" w:eastAsia="仿宋_GB2312" w:cs="仿宋_GB2312"/>
          <w:color w:val="auto"/>
          <w:szCs w:val="21"/>
          <w:highlight w:val="none"/>
        </w:rPr>
      </w:pPr>
    </w:p>
    <w:p w14:paraId="096CECF6">
      <w:pPr>
        <w:rPr>
          <w:rFonts w:ascii="仿宋_GB2312" w:hAnsi="仿宋_GB2312" w:eastAsia="仿宋_GB2312" w:cs="仿宋_GB2312"/>
          <w:color w:val="auto"/>
          <w:szCs w:val="21"/>
          <w:highlight w:val="none"/>
        </w:rPr>
      </w:pPr>
    </w:p>
    <w:p w14:paraId="73584F05">
      <w:pPr>
        <w:rPr>
          <w:rFonts w:ascii="仿宋_GB2312" w:hAnsi="仿宋_GB2312" w:eastAsia="仿宋_GB2312" w:cs="仿宋_GB2312"/>
          <w:color w:val="auto"/>
          <w:szCs w:val="21"/>
          <w:highlight w:val="none"/>
        </w:rPr>
      </w:pPr>
    </w:p>
    <w:tbl>
      <w:tblPr>
        <w:tblStyle w:val="22"/>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5249E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557BC96B">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（※法定代表人（或非法人组织负责人）身份证正、反面复印件※）</w:t>
            </w:r>
          </w:p>
        </w:tc>
      </w:tr>
    </w:tbl>
    <w:p w14:paraId="115A52BF">
      <w:pPr>
        <w:rPr>
          <w:rFonts w:ascii="仿宋_GB2312" w:hAnsi="仿宋_GB2312" w:eastAsia="仿宋_GB2312" w:cs="仿宋_GB2312"/>
          <w:color w:val="auto"/>
          <w:szCs w:val="21"/>
          <w:highlight w:val="none"/>
        </w:rPr>
      </w:pPr>
    </w:p>
    <w:p w14:paraId="70D7E6AA">
      <w:pPr>
        <w:rPr>
          <w:rFonts w:ascii="仿宋_GB2312" w:hAnsi="仿宋_GB2312" w:eastAsia="仿宋_GB2312" w:cs="仿宋_GB2312"/>
          <w:color w:val="auto"/>
          <w:szCs w:val="21"/>
          <w:highlight w:val="none"/>
        </w:rPr>
      </w:pPr>
    </w:p>
    <w:p w14:paraId="13CB3D79">
      <w:pPr>
        <w:rPr>
          <w:rFonts w:ascii="仿宋_GB2312" w:hAnsi="仿宋_GB2312" w:eastAsia="仿宋_GB2312" w:cs="仿宋_GB2312"/>
          <w:color w:val="auto"/>
          <w:szCs w:val="21"/>
          <w:highlight w:val="none"/>
        </w:rPr>
      </w:pPr>
    </w:p>
    <w:p w14:paraId="7E2A1389">
      <w:pPr>
        <w:rPr>
          <w:rFonts w:ascii="仿宋_GB2312" w:hAnsi="仿宋_GB2312" w:eastAsia="仿宋_GB2312" w:cs="仿宋_GB2312"/>
          <w:color w:val="auto"/>
          <w:szCs w:val="21"/>
          <w:highlight w:val="none"/>
        </w:rPr>
      </w:pPr>
    </w:p>
    <w:p w14:paraId="1AB639DD">
      <w:pPr>
        <w:rPr>
          <w:rFonts w:ascii="仿宋_GB2312" w:hAnsi="仿宋_GB2312" w:eastAsia="仿宋_GB2312" w:cs="仿宋_GB2312"/>
          <w:color w:val="auto"/>
          <w:szCs w:val="21"/>
          <w:highlight w:val="none"/>
        </w:rPr>
      </w:pPr>
    </w:p>
    <w:p w14:paraId="7D40B1AC">
      <w:pPr>
        <w:rPr>
          <w:rFonts w:ascii="仿宋_GB2312" w:hAnsi="仿宋_GB2312" w:eastAsia="仿宋_GB2312" w:cs="仿宋_GB2312"/>
          <w:color w:val="auto"/>
          <w:szCs w:val="21"/>
          <w:highlight w:val="none"/>
        </w:rPr>
      </w:pPr>
    </w:p>
    <w:p w14:paraId="242C1A87">
      <w:pPr>
        <w:spacing w:line="480" w:lineRule="auto"/>
        <w:rPr>
          <w:rFonts w:ascii="仿宋_GB2312" w:hAnsi="仿宋_GB2312" w:eastAsia="仿宋_GB2312" w:cs="仿宋_GB2312"/>
          <w:color w:val="auto"/>
          <w:highlight w:val="none"/>
          <w:u w:val="single"/>
        </w:rPr>
      </w:pPr>
      <w:r>
        <w:rPr>
          <w:rFonts w:hint="eastAsia" w:ascii="仿宋_GB2312" w:hAnsi="仿宋_GB2312" w:eastAsia="仿宋_GB2312" w:cs="仿宋_GB2312"/>
          <w:color w:val="auto"/>
          <w:highlight w:val="none"/>
        </w:rPr>
        <w:t>投标人名称（加盖单位公章）：</w:t>
      </w:r>
      <w:r>
        <w:rPr>
          <w:rFonts w:hint="eastAsia" w:ascii="仿宋_GB2312" w:hAnsi="仿宋_GB2312" w:eastAsia="仿宋_GB2312" w:cs="仿宋_GB2312"/>
          <w:color w:val="auto"/>
          <w:highlight w:val="none"/>
          <w:u w:val="single"/>
        </w:rPr>
        <w:t xml:space="preserve">           </w:t>
      </w:r>
    </w:p>
    <w:p w14:paraId="061826E5">
      <w:pPr>
        <w:spacing w:line="480" w:lineRule="auto"/>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日期：</w:t>
      </w:r>
      <w:r>
        <w:rPr>
          <w:rFonts w:hint="eastAsia" w:ascii="仿宋_GB2312" w:hAnsi="仿宋_GB2312" w:eastAsia="仿宋_GB2312" w:cs="仿宋_GB2312"/>
          <w:color w:val="auto"/>
          <w:highlight w:val="none"/>
          <w:u w:val="single"/>
        </w:rPr>
        <w:t xml:space="preserve">                </w:t>
      </w:r>
    </w:p>
    <w:p w14:paraId="7503270E">
      <w:pPr>
        <w:rPr>
          <w:rFonts w:ascii="仿宋_GB2312" w:hAnsi="仿宋_GB2312" w:eastAsia="仿宋_GB2312" w:cs="仿宋_GB2312"/>
          <w:color w:val="auto"/>
          <w:highlight w:val="none"/>
        </w:rPr>
      </w:pPr>
    </w:p>
    <w:p w14:paraId="0EA80C32">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br w:type="page"/>
      </w:r>
    </w:p>
    <w:p w14:paraId="54EDBBF1">
      <w:pPr>
        <w:pStyle w:val="3"/>
        <w:adjustRightInd w:val="0"/>
        <w:snapToGrid w:val="0"/>
        <w:spacing w:before="0" w:after="0" w:line="240" w:lineRule="auto"/>
        <w:jc w:val="left"/>
        <w:rPr>
          <w:rFonts w:ascii="仿宋_GB2312" w:hAnsi="仿宋_GB2312" w:eastAsia="仿宋_GB2312" w:cs="仿宋_GB2312"/>
          <w:b w:val="0"/>
          <w:bCs/>
          <w:color w:val="auto"/>
          <w:sz w:val="32"/>
          <w:szCs w:val="32"/>
          <w:highlight w:val="none"/>
        </w:rPr>
      </w:pPr>
      <w:r>
        <w:rPr>
          <w:rFonts w:hint="eastAsia" w:ascii="仿宋_GB2312" w:hAnsi="仿宋_GB2312" w:eastAsia="仿宋_GB2312" w:cs="仿宋_GB2312"/>
          <w:color w:val="auto"/>
          <w:szCs w:val="28"/>
          <w:highlight w:val="none"/>
        </w:rPr>
        <w:t>格式</w:t>
      </w:r>
      <w:bookmarkStart w:id="96" w:name="_Toc21833_WPSOffice_Level2"/>
      <w:bookmarkStart w:id="97" w:name="_Toc122_WPSOffice_Level2"/>
      <w:r>
        <w:rPr>
          <w:rFonts w:hint="eastAsia" w:ascii="仿宋_GB2312" w:hAnsi="仿宋_GB2312" w:eastAsia="仿宋_GB2312" w:cs="仿宋_GB2312"/>
          <w:color w:val="auto"/>
          <w:szCs w:val="28"/>
          <w:highlight w:val="none"/>
        </w:rPr>
        <w:t>6</w:t>
      </w:r>
    </w:p>
    <w:p w14:paraId="01608809">
      <w:pPr>
        <w:spacing w:before="319" w:beforeLines="100" w:after="319" w:afterLines="100" w:line="360" w:lineRule="auto"/>
        <w:ind w:right="-21" w:rightChars="-10"/>
        <w:jc w:val="center"/>
        <w:rPr>
          <w:rFonts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法定代表人（或非法人组织负责人）授权委托书</w:t>
      </w:r>
      <w:bookmarkEnd w:id="96"/>
      <w:bookmarkEnd w:id="97"/>
    </w:p>
    <w:p w14:paraId="747C1E6D">
      <w:pPr>
        <w:spacing w:line="360" w:lineRule="auto"/>
        <w:ind w:firstLine="420" w:firstLineChars="20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单位名称：</w:t>
      </w:r>
      <w:r>
        <w:rPr>
          <w:rFonts w:hint="eastAsia" w:ascii="仿宋_GB2312" w:hAnsi="仿宋_GB2312" w:eastAsia="仿宋_GB2312" w:cs="仿宋_GB2312"/>
          <w:color w:val="auto"/>
          <w:szCs w:val="21"/>
          <w:highlight w:val="none"/>
          <w:u w:val="single"/>
        </w:rPr>
        <w:t xml:space="preserve">                </w:t>
      </w:r>
    </w:p>
    <w:p w14:paraId="3C101E91">
      <w:pPr>
        <w:spacing w:line="360" w:lineRule="auto"/>
        <w:ind w:firstLine="420" w:firstLineChars="20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法定代表人（或非法人组织负责人）姓名：</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 xml:space="preserve"> 身份证号码：</w:t>
      </w:r>
      <w:r>
        <w:rPr>
          <w:rFonts w:hint="eastAsia" w:ascii="仿宋_GB2312" w:hAnsi="仿宋_GB2312" w:eastAsia="仿宋_GB2312" w:cs="仿宋_GB2312"/>
          <w:color w:val="auto"/>
          <w:szCs w:val="21"/>
          <w:highlight w:val="none"/>
          <w:u w:val="single"/>
        </w:rPr>
        <w:t xml:space="preserve">         </w:t>
      </w:r>
    </w:p>
    <w:p w14:paraId="6EAB637C">
      <w:pPr>
        <w:tabs>
          <w:tab w:val="left" w:pos="5205"/>
        </w:tabs>
        <w:spacing w:line="360" w:lineRule="auto"/>
        <w:ind w:firstLine="420" w:firstLineChars="20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住所地：</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u w:val="single"/>
        </w:rPr>
        <w:tab/>
      </w:r>
    </w:p>
    <w:p w14:paraId="4BF875B1">
      <w:pPr>
        <w:spacing w:line="360" w:lineRule="auto"/>
        <w:ind w:firstLine="420" w:firstLineChars="20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授权</w:t>
      </w:r>
      <w:r>
        <w:rPr>
          <w:rFonts w:hint="eastAsia" w:ascii="仿宋_GB2312" w:hAnsi="仿宋_GB2312" w:eastAsia="仿宋_GB2312" w:cs="仿宋_GB2312"/>
          <w:color w:val="auto"/>
          <w:highlight w:val="none"/>
        </w:rPr>
        <w:t>委托</w:t>
      </w:r>
      <w:r>
        <w:rPr>
          <w:rFonts w:hint="eastAsia" w:ascii="仿宋_GB2312" w:hAnsi="仿宋_GB2312" w:eastAsia="仿宋_GB2312" w:cs="仿宋_GB2312"/>
          <w:color w:val="auto"/>
          <w:szCs w:val="21"/>
          <w:highlight w:val="none"/>
        </w:rPr>
        <w:t>人姓名：</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 xml:space="preserve">                   身份证号码：</w:t>
      </w:r>
      <w:r>
        <w:rPr>
          <w:rFonts w:hint="eastAsia" w:ascii="仿宋_GB2312" w:hAnsi="仿宋_GB2312" w:eastAsia="仿宋_GB2312" w:cs="仿宋_GB2312"/>
          <w:color w:val="auto"/>
          <w:szCs w:val="21"/>
          <w:highlight w:val="none"/>
          <w:u w:val="single"/>
        </w:rPr>
        <w:t xml:space="preserve">         </w:t>
      </w:r>
    </w:p>
    <w:p w14:paraId="19C71302">
      <w:pPr>
        <w:spacing w:line="360" w:lineRule="auto"/>
        <w:ind w:firstLine="420" w:firstLineChars="20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工作单位：</w:t>
      </w:r>
      <w:r>
        <w:rPr>
          <w:rFonts w:hint="eastAsia" w:ascii="仿宋_GB2312" w:hAnsi="仿宋_GB2312" w:eastAsia="仿宋_GB2312" w:cs="仿宋_GB2312"/>
          <w:color w:val="auto"/>
          <w:szCs w:val="21"/>
          <w:highlight w:val="none"/>
          <w:u w:val="single"/>
        </w:rPr>
        <w:t xml:space="preserve">                  </w:t>
      </w:r>
    </w:p>
    <w:p w14:paraId="7AE6D4BE">
      <w:pPr>
        <w:spacing w:line="360" w:lineRule="auto"/>
        <w:ind w:firstLine="420" w:firstLineChars="20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住址：</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 xml:space="preserve">                   电话：</w:t>
      </w:r>
      <w:r>
        <w:rPr>
          <w:rFonts w:hint="eastAsia" w:ascii="仿宋_GB2312" w:hAnsi="仿宋_GB2312" w:eastAsia="仿宋_GB2312" w:cs="仿宋_GB2312"/>
          <w:color w:val="auto"/>
          <w:szCs w:val="21"/>
          <w:highlight w:val="none"/>
          <w:u w:val="single"/>
        </w:rPr>
        <w:t xml:space="preserve">               </w:t>
      </w:r>
    </w:p>
    <w:p w14:paraId="2EF0356A">
      <w:pPr>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现委托</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就</w:t>
      </w:r>
      <w:r>
        <w:rPr>
          <w:rFonts w:hint="eastAsia" w:ascii="仿宋_GB2312" w:hAnsi="仿宋_GB2312" w:eastAsia="仿宋_GB2312" w:cs="仿宋_GB2312"/>
          <w:color w:val="auto"/>
          <w:szCs w:val="21"/>
          <w:highlight w:val="none"/>
          <w:u w:val="single"/>
        </w:rPr>
        <w:t>（项目编号、项目名称、包号）</w:t>
      </w:r>
      <w:r>
        <w:rPr>
          <w:rFonts w:hint="eastAsia" w:ascii="仿宋_GB2312" w:hAnsi="仿宋_GB2312" w:eastAsia="仿宋_GB2312" w:cs="仿宋_GB2312"/>
          <w:color w:val="auto"/>
          <w:szCs w:val="21"/>
          <w:highlight w:val="none"/>
        </w:rPr>
        <w:t>投标中，以我单位名义处理一切与之有关的事务。</w:t>
      </w:r>
    </w:p>
    <w:p w14:paraId="30FC96FB">
      <w:pPr>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本授权书于</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年</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月</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日签字或盖章生效，无转委托，特此声明。</w:t>
      </w:r>
    </w:p>
    <w:p w14:paraId="6B190D9A">
      <w:pPr>
        <w:spacing w:line="360" w:lineRule="auto"/>
        <w:rPr>
          <w:rFonts w:ascii="仿宋_GB2312" w:hAnsi="仿宋_GB2312" w:eastAsia="仿宋_GB2312" w:cs="仿宋_GB2312"/>
          <w:color w:val="auto"/>
          <w:szCs w:val="21"/>
          <w:highlight w:val="none"/>
        </w:rPr>
      </w:pPr>
    </w:p>
    <w:tbl>
      <w:tblPr>
        <w:tblStyle w:val="22"/>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20ED8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7F9994AD">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（※授权</w:t>
            </w:r>
            <w:r>
              <w:rPr>
                <w:rFonts w:hint="eastAsia" w:ascii="仿宋_GB2312" w:hAnsi="仿宋_GB2312" w:eastAsia="仿宋_GB2312" w:cs="仿宋_GB2312"/>
                <w:color w:val="auto"/>
                <w:highlight w:val="none"/>
              </w:rPr>
              <w:t>委托</w:t>
            </w:r>
            <w:r>
              <w:rPr>
                <w:rFonts w:hint="eastAsia" w:ascii="仿宋_GB2312" w:hAnsi="仿宋_GB2312" w:eastAsia="仿宋_GB2312" w:cs="仿宋_GB2312"/>
                <w:color w:val="auto"/>
                <w:szCs w:val="21"/>
                <w:highlight w:val="none"/>
              </w:rPr>
              <w:t>人身份证正、反面复印件※）</w:t>
            </w:r>
          </w:p>
        </w:tc>
      </w:tr>
    </w:tbl>
    <w:p w14:paraId="5CD49814">
      <w:pPr>
        <w:spacing w:line="360" w:lineRule="auto"/>
        <w:rPr>
          <w:rFonts w:ascii="仿宋_GB2312" w:hAnsi="仿宋_GB2312" w:eastAsia="仿宋_GB2312" w:cs="仿宋_GB2312"/>
          <w:color w:val="auto"/>
          <w:szCs w:val="21"/>
          <w:highlight w:val="none"/>
        </w:rPr>
      </w:pPr>
    </w:p>
    <w:p w14:paraId="3FD7386B">
      <w:pPr>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委托人（加盖单位公章）：</w:t>
      </w:r>
      <w:r>
        <w:rPr>
          <w:rFonts w:hint="eastAsia" w:ascii="仿宋_GB2312" w:hAnsi="仿宋_GB2312" w:eastAsia="仿宋_GB2312" w:cs="仿宋_GB2312"/>
          <w:color w:val="auto"/>
          <w:szCs w:val="21"/>
          <w:highlight w:val="none"/>
          <w:u w:val="single"/>
        </w:rPr>
        <w:t xml:space="preserve">              </w:t>
      </w:r>
    </w:p>
    <w:p w14:paraId="36C64826">
      <w:pPr>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法定代表人（或非法人组织负责人）（签字或盖章）：</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 xml:space="preserve"> </w:t>
      </w:r>
    </w:p>
    <w:p w14:paraId="2791AE5F">
      <w:pPr>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授权</w:t>
      </w:r>
      <w:r>
        <w:rPr>
          <w:rFonts w:hint="eastAsia" w:ascii="仿宋_GB2312" w:hAnsi="仿宋_GB2312" w:eastAsia="仿宋_GB2312" w:cs="仿宋_GB2312"/>
          <w:color w:val="auto"/>
          <w:highlight w:val="none"/>
        </w:rPr>
        <w:t>委托</w:t>
      </w:r>
      <w:r>
        <w:rPr>
          <w:rFonts w:hint="eastAsia" w:ascii="仿宋_GB2312" w:hAnsi="仿宋_GB2312" w:eastAsia="仿宋_GB2312" w:cs="仿宋_GB2312"/>
          <w:color w:val="auto"/>
          <w:szCs w:val="21"/>
          <w:highlight w:val="none"/>
        </w:rPr>
        <w:t>人（签字或盖章）：</w:t>
      </w:r>
      <w:r>
        <w:rPr>
          <w:rFonts w:hint="eastAsia" w:ascii="仿宋_GB2312" w:hAnsi="仿宋_GB2312" w:eastAsia="仿宋_GB2312" w:cs="仿宋_GB2312"/>
          <w:color w:val="auto"/>
          <w:szCs w:val="21"/>
          <w:highlight w:val="none"/>
          <w:u w:val="single"/>
        </w:rPr>
        <w:t xml:space="preserve">              </w:t>
      </w:r>
    </w:p>
    <w:p w14:paraId="67594496">
      <w:pPr>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详细通讯地址：</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 xml:space="preserve">      邮政编码 ：</w:t>
      </w:r>
      <w:r>
        <w:rPr>
          <w:rFonts w:hint="eastAsia" w:ascii="仿宋_GB2312" w:hAnsi="仿宋_GB2312" w:eastAsia="仿宋_GB2312" w:cs="仿宋_GB2312"/>
          <w:color w:val="auto"/>
          <w:szCs w:val="21"/>
          <w:highlight w:val="none"/>
          <w:u w:val="single"/>
        </w:rPr>
        <w:t xml:space="preserve">              </w:t>
      </w:r>
    </w:p>
    <w:p w14:paraId="5BD96269">
      <w:pPr>
        <w:spacing w:line="360" w:lineRule="auto"/>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传        真：</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 xml:space="preserve">      电     话：</w:t>
      </w:r>
      <w:r>
        <w:rPr>
          <w:rFonts w:hint="eastAsia" w:ascii="仿宋_GB2312" w:hAnsi="仿宋_GB2312" w:eastAsia="仿宋_GB2312" w:cs="仿宋_GB2312"/>
          <w:color w:val="auto"/>
          <w:szCs w:val="21"/>
          <w:highlight w:val="none"/>
          <w:u w:val="single"/>
        </w:rPr>
        <w:t xml:space="preserve">              </w:t>
      </w:r>
    </w:p>
    <w:p w14:paraId="6AAF28D3">
      <w:pPr>
        <w:spacing w:line="360" w:lineRule="auto"/>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日        期:</w:t>
      </w:r>
      <w:r>
        <w:rPr>
          <w:rFonts w:hint="eastAsia" w:ascii="仿宋_GB2312" w:hAnsi="仿宋_GB2312" w:eastAsia="仿宋_GB2312" w:cs="仿宋_GB2312"/>
          <w:color w:val="auto"/>
          <w:szCs w:val="21"/>
          <w:highlight w:val="none"/>
          <w:u w:val="single"/>
        </w:rPr>
        <w:t xml:space="preserve">                       </w:t>
      </w:r>
    </w:p>
    <w:p w14:paraId="1CCEAED5">
      <w:pPr>
        <w:rPr>
          <w:rFonts w:ascii="仿宋_GB2312" w:hAnsi="仿宋_GB2312" w:eastAsia="仿宋_GB2312" w:cs="仿宋_GB2312"/>
          <w:color w:val="auto"/>
          <w:szCs w:val="28"/>
          <w:highlight w:val="none"/>
        </w:rPr>
      </w:pPr>
      <w:r>
        <w:rPr>
          <w:rFonts w:hint="eastAsia" w:ascii="仿宋_GB2312" w:hAnsi="仿宋_GB2312" w:eastAsia="仿宋_GB2312" w:cs="仿宋_GB2312"/>
          <w:color w:val="auto"/>
          <w:szCs w:val="28"/>
          <w:highlight w:val="none"/>
        </w:rPr>
        <w:br w:type="page"/>
      </w:r>
    </w:p>
    <w:p w14:paraId="03BEA796">
      <w:pPr>
        <w:pStyle w:val="3"/>
        <w:adjustRightInd w:val="0"/>
        <w:snapToGrid w:val="0"/>
        <w:spacing w:before="0" w:after="0" w:line="240" w:lineRule="auto"/>
        <w:jc w:val="left"/>
        <w:rPr>
          <w:rFonts w:ascii="仿宋_GB2312" w:hAnsi="仿宋_GB2312" w:eastAsia="仿宋_GB2312" w:cs="仿宋_GB2312"/>
          <w:color w:val="auto"/>
          <w:szCs w:val="28"/>
          <w:highlight w:val="none"/>
        </w:rPr>
      </w:pPr>
      <w:r>
        <w:rPr>
          <w:rFonts w:hint="eastAsia" w:ascii="仿宋_GB2312" w:hAnsi="仿宋_GB2312" w:eastAsia="仿宋_GB2312" w:cs="仿宋_GB2312"/>
          <w:color w:val="auto"/>
          <w:szCs w:val="28"/>
          <w:highlight w:val="none"/>
        </w:rPr>
        <w:t>格式7-1</w:t>
      </w:r>
    </w:p>
    <w:p w14:paraId="7A34F73C">
      <w:pPr>
        <w:spacing w:before="319" w:beforeLines="100" w:after="319" w:afterLines="100" w:line="360" w:lineRule="auto"/>
        <w:ind w:right="-21" w:rightChars="-10"/>
        <w:jc w:val="center"/>
        <w:rPr>
          <w:rFonts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具有良好的商业信誉和健全的财务会计制度的承诺函</w:t>
      </w:r>
    </w:p>
    <w:p w14:paraId="7D357517">
      <w:pPr>
        <w:spacing w:before="319" w:beforeLines="100" w:after="319" w:afterLines="100" w:line="480" w:lineRule="exact"/>
        <w:ind w:right="630" w:rightChars="300"/>
        <w:jc w:val="center"/>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（格式自拟）</w:t>
      </w:r>
    </w:p>
    <w:p w14:paraId="293405FA">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1D70A791">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4B87DA28">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5ED91C7D">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17279D54">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48A1A947">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2B0CD225">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7ED01A35">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7586496B">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1F17EDDA">
      <w:pPr>
        <w:snapToGrid w:val="0"/>
        <w:spacing w:line="480" w:lineRule="auto"/>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投标人名称（加盖单位公章）：</w:t>
      </w:r>
      <w:r>
        <w:rPr>
          <w:rFonts w:hint="eastAsia" w:ascii="仿宋_GB2312" w:hAnsi="仿宋_GB2312" w:eastAsia="仿宋_GB2312" w:cs="仿宋_GB2312"/>
          <w:color w:val="auto"/>
          <w:highlight w:val="none"/>
          <w:u w:val="single"/>
        </w:rPr>
        <w:t xml:space="preserve">           </w:t>
      </w:r>
    </w:p>
    <w:p w14:paraId="140CF613">
      <w:pPr>
        <w:snapToGrid w:val="0"/>
        <w:spacing w:line="480" w:lineRule="auto"/>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法定代表人（或</w:t>
      </w:r>
      <w:r>
        <w:rPr>
          <w:rFonts w:hint="eastAsia" w:ascii="仿宋_GB2312" w:hAnsi="仿宋_GB2312" w:eastAsia="仿宋_GB2312" w:cs="仿宋_GB2312"/>
          <w:color w:val="auto"/>
          <w:szCs w:val="21"/>
          <w:highlight w:val="none"/>
        </w:rPr>
        <w:t>非法人组织负责人）或</w:t>
      </w:r>
      <w:r>
        <w:rPr>
          <w:rFonts w:hint="eastAsia" w:ascii="仿宋_GB2312" w:hAnsi="仿宋_GB2312" w:eastAsia="仿宋_GB2312" w:cs="仿宋_GB2312"/>
          <w:color w:val="auto"/>
          <w:highlight w:val="none"/>
        </w:rPr>
        <w:t>其</w:t>
      </w:r>
      <w:r>
        <w:rPr>
          <w:rFonts w:hint="eastAsia" w:ascii="仿宋_GB2312" w:hAnsi="仿宋_GB2312" w:eastAsia="仿宋_GB2312" w:cs="仿宋_GB2312"/>
          <w:color w:val="auto"/>
          <w:szCs w:val="21"/>
          <w:highlight w:val="none"/>
        </w:rPr>
        <w:t>授权</w:t>
      </w:r>
      <w:r>
        <w:rPr>
          <w:rFonts w:hint="eastAsia" w:ascii="仿宋_GB2312" w:hAnsi="仿宋_GB2312" w:eastAsia="仿宋_GB2312" w:cs="仿宋_GB2312"/>
          <w:color w:val="auto"/>
          <w:highlight w:val="none"/>
        </w:rPr>
        <w:t>委托</w:t>
      </w:r>
      <w:r>
        <w:rPr>
          <w:rFonts w:hint="eastAsia" w:ascii="仿宋_GB2312" w:hAnsi="仿宋_GB2312" w:eastAsia="仿宋_GB2312" w:cs="仿宋_GB2312"/>
          <w:color w:val="auto"/>
          <w:szCs w:val="21"/>
          <w:highlight w:val="none"/>
        </w:rPr>
        <w:t>人</w:t>
      </w:r>
      <w:r>
        <w:rPr>
          <w:rFonts w:hint="eastAsia" w:ascii="仿宋_GB2312" w:hAnsi="仿宋_GB2312" w:eastAsia="仿宋_GB2312" w:cs="仿宋_GB2312"/>
          <w:color w:val="auto"/>
          <w:highlight w:val="none"/>
        </w:rPr>
        <w:t>(签字或盖章)：</w:t>
      </w:r>
      <w:r>
        <w:rPr>
          <w:rFonts w:hint="eastAsia" w:ascii="仿宋_GB2312" w:hAnsi="仿宋_GB2312" w:eastAsia="仿宋_GB2312" w:cs="仿宋_GB2312"/>
          <w:color w:val="auto"/>
          <w:highlight w:val="none"/>
          <w:u w:val="single"/>
        </w:rPr>
        <w:t xml:space="preserve">           </w:t>
      </w:r>
    </w:p>
    <w:p w14:paraId="1A708D82">
      <w:pPr>
        <w:adjustRightInd w:val="0"/>
        <w:snapToGrid w:val="0"/>
        <w:spacing w:line="360" w:lineRule="auto"/>
        <w:ind w:right="105" w:rightChars="50"/>
        <w:jc w:val="left"/>
        <w:rPr>
          <w:rFonts w:ascii="仿宋_GB2312" w:hAnsi="仿宋_GB2312" w:eastAsia="仿宋_GB2312" w:cs="仿宋_GB2312"/>
          <w:color w:val="auto"/>
          <w:highlight w:val="none"/>
          <w:u w:val="single"/>
        </w:rPr>
      </w:pPr>
      <w:r>
        <w:rPr>
          <w:rFonts w:hint="eastAsia" w:ascii="仿宋_GB2312" w:hAnsi="仿宋_GB2312" w:eastAsia="仿宋_GB2312" w:cs="仿宋_GB2312"/>
          <w:color w:val="auto"/>
          <w:highlight w:val="none"/>
        </w:rPr>
        <w:t>日期：</w:t>
      </w:r>
      <w:r>
        <w:rPr>
          <w:rFonts w:hint="eastAsia" w:ascii="仿宋_GB2312" w:hAnsi="仿宋_GB2312" w:eastAsia="仿宋_GB2312" w:cs="仿宋_GB2312"/>
          <w:color w:val="auto"/>
          <w:highlight w:val="none"/>
          <w:u w:val="single"/>
        </w:rPr>
        <w:t xml:space="preserve">                </w:t>
      </w:r>
    </w:p>
    <w:p w14:paraId="68C112B0">
      <w:pPr>
        <w:adjustRightInd w:val="0"/>
        <w:snapToGrid w:val="0"/>
        <w:spacing w:line="360" w:lineRule="auto"/>
        <w:ind w:right="105" w:rightChars="50"/>
        <w:jc w:val="left"/>
        <w:rPr>
          <w:rFonts w:ascii="仿宋_GB2312" w:hAnsi="仿宋_GB2312" w:eastAsia="仿宋_GB2312" w:cs="仿宋_GB2312"/>
          <w:color w:val="auto"/>
          <w:highlight w:val="none"/>
          <w:u w:val="single"/>
        </w:rPr>
      </w:pPr>
    </w:p>
    <w:p w14:paraId="419B0230">
      <w:pPr>
        <w:rPr>
          <w:rFonts w:ascii="仿宋_GB2312" w:hAnsi="仿宋_GB2312" w:eastAsia="仿宋_GB2312" w:cs="仿宋_GB2312"/>
          <w:color w:val="auto"/>
          <w:szCs w:val="28"/>
          <w:highlight w:val="none"/>
        </w:rPr>
      </w:pPr>
      <w:r>
        <w:rPr>
          <w:rFonts w:hint="eastAsia" w:ascii="仿宋_GB2312" w:hAnsi="仿宋_GB2312" w:eastAsia="仿宋_GB2312" w:cs="仿宋_GB2312"/>
          <w:color w:val="auto"/>
          <w:szCs w:val="28"/>
          <w:highlight w:val="none"/>
        </w:rPr>
        <w:br w:type="page"/>
      </w:r>
    </w:p>
    <w:p w14:paraId="182DB23D">
      <w:pPr>
        <w:pStyle w:val="3"/>
        <w:adjustRightInd w:val="0"/>
        <w:snapToGrid w:val="0"/>
        <w:spacing w:before="0" w:after="0" w:line="240" w:lineRule="auto"/>
        <w:jc w:val="left"/>
        <w:rPr>
          <w:rFonts w:ascii="仿宋_GB2312" w:hAnsi="仿宋_GB2312" w:eastAsia="仿宋_GB2312" w:cs="仿宋_GB2312"/>
          <w:color w:val="auto"/>
          <w:szCs w:val="28"/>
          <w:highlight w:val="none"/>
        </w:rPr>
      </w:pPr>
      <w:r>
        <w:rPr>
          <w:rFonts w:hint="eastAsia" w:ascii="仿宋_GB2312" w:hAnsi="仿宋_GB2312" w:eastAsia="仿宋_GB2312" w:cs="仿宋_GB2312"/>
          <w:color w:val="auto"/>
          <w:szCs w:val="28"/>
          <w:highlight w:val="none"/>
        </w:rPr>
        <w:t>格式7-2</w:t>
      </w:r>
    </w:p>
    <w:p w14:paraId="0FB1CC05">
      <w:pPr>
        <w:jc w:val="center"/>
        <w:rPr>
          <w:rFonts w:ascii="仿宋_GB2312" w:hAnsi="仿宋_GB2312" w:eastAsia="仿宋_GB2312" w:cs="仿宋_GB2312"/>
          <w:b/>
          <w:color w:val="auto"/>
          <w:sz w:val="30"/>
          <w:szCs w:val="30"/>
          <w:highlight w:val="none"/>
        </w:rPr>
      </w:pPr>
      <w:r>
        <w:rPr>
          <w:rFonts w:hint="eastAsia" w:ascii="仿宋_GB2312" w:hAnsi="仿宋_GB2312" w:eastAsia="仿宋_GB2312" w:cs="仿宋_GB2312"/>
          <w:b/>
          <w:color w:val="auto"/>
          <w:sz w:val="30"/>
          <w:szCs w:val="30"/>
          <w:highlight w:val="none"/>
        </w:rPr>
        <w:t>开标时间前六个月内任一个月的依法缴纳税收的缴款凭据复印件</w:t>
      </w:r>
    </w:p>
    <w:p w14:paraId="0216CB51">
      <w:pP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（注：依法免税的供应商，应提供相关证明材料，包括相关法规要求原文及加盖公章的情况说明）</w:t>
      </w:r>
    </w:p>
    <w:p w14:paraId="78A48168">
      <w:pPr>
        <w:spacing w:before="319" w:beforeLines="100" w:after="319" w:afterLines="100" w:line="480" w:lineRule="exact"/>
        <w:ind w:right="630" w:rightChars="300"/>
        <w:rPr>
          <w:rFonts w:ascii="仿宋_GB2312" w:hAnsi="仿宋_GB2312" w:eastAsia="仿宋_GB2312" w:cs="仿宋_GB2312"/>
          <w:b/>
          <w:color w:val="auto"/>
          <w:sz w:val="30"/>
          <w:szCs w:val="30"/>
          <w:highlight w:val="none"/>
        </w:rPr>
      </w:pPr>
      <w:r>
        <w:rPr>
          <w:rFonts w:hint="eastAsia" w:ascii="仿宋_GB2312" w:hAnsi="仿宋_GB2312" w:eastAsia="仿宋_GB2312" w:cs="仿宋_GB2312"/>
          <w:color w:val="auto"/>
          <w:szCs w:val="28"/>
          <w:highlight w:val="none"/>
        </w:rPr>
        <w:br w:type="page"/>
      </w:r>
      <w:r>
        <w:rPr>
          <w:rFonts w:hint="eastAsia" w:ascii="仿宋_GB2312" w:hAnsi="仿宋_GB2312" w:eastAsia="仿宋_GB2312" w:cs="仿宋_GB2312"/>
          <w:b/>
          <w:color w:val="auto"/>
          <w:sz w:val="30"/>
          <w:szCs w:val="30"/>
          <w:highlight w:val="none"/>
        </w:rPr>
        <w:t>格式7-3</w:t>
      </w:r>
    </w:p>
    <w:p w14:paraId="5D0A9329">
      <w:pPr>
        <w:spacing w:before="319" w:beforeLines="100" w:after="319" w:afterLines="100" w:line="480" w:lineRule="exact"/>
        <w:ind w:right="630" w:rightChars="300"/>
        <w:jc w:val="center"/>
        <w:rPr>
          <w:rFonts w:ascii="仿宋_GB2312" w:hAnsi="仿宋_GB2312" w:eastAsia="仿宋_GB2312" w:cs="仿宋_GB2312"/>
          <w:color w:val="auto"/>
          <w:highlight w:val="none"/>
        </w:rPr>
      </w:pPr>
      <w:r>
        <w:rPr>
          <w:rFonts w:hint="eastAsia" w:ascii="仿宋_GB2312" w:hAnsi="仿宋_GB2312" w:eastAsia="仿宋_GB2312" w:cs="仿宋_GB2312"/>
          <w:b/>
          <w:color w:val="auto"/>
          <w:sz w:val="30"/>
          <w:szCs w:val="30"/>
          <w:highlight w:val="none"/>
        </w:rPr>
        <w:t>开标时间前六个月内任一个月的依法缴纳社会保障资金的缴款凭据复印件</w:t>
      </w:r>
    </w:p>
    <w:p w14:paraId="18C83FFE">
      <w:pP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（注：依法不需要缴纳社会保障资金的供应商，应提供相关证明材料，包括相关法规要求原文及加盖公章的情况说明）</w:t>
      </w:r>
    </w:p>
    <w:p w14:paraId="0AA57F86">
      <w:pPr>
        <w:pStyle w:val="3"/>
        <w:adjustRightInd w:val="0"/>
        <w:snapToGrid w:val="0"/>
        <w:spacing w:before="0" w:after="0" w:line="240" w:lineRule="auto"/>
        <w:jc w:val="left"/>
        <w:rPr>
          <w:rFonts w:ascii="仿宋_GB2312" w:hAnsi="仿宋_GB2312" w:eastAsia="仿宋_GB2312" w:cs="仿宋_GB2312"/>
          <w:color w:val="auto"/>
          <w:szCs w:val="28"/>
          <w:highlight w:val="none"/>
        </w:rPr>
      </w:pPr>
      <w:r>
        <w:rPr>
          <w:rFonts w:hint="eastAsia" w:ascii="仿宋_GB2312" w:hAnsi="仿宋_GB2312" w:eastAsia="仿宋_GB2312" w:cs="仿宋_GB2312"/>
          <w:color w:val="auto"/>
          <w:szCs w:val="28"/>
          <w:highlight w:val="none"/>
        </w:rPr>
        <w:br w:type="page"/>
      </w:r>
      <w:r>
        <w:rPr>
          <w:rFonts w:hint="eastAsia" w:ascii="仿宋_GB2312" w:hAnsi="仿宋_GB2312" w:eastAsia="仿宋_GB2312" w:cs="仿宋_GB2312"/>
          <w:color w:val="auto"/>
          <w:szCs w:val="28"/>
          <w:highlight w:val="none"/>
        </w:rPr>
        <w:t>格式7-4</w:t>
      </w:r>
    </w:p>
    <w:p w14:paraId="541F8B86">
      <w:pPr>
        <w:spacing w:before="319" w:beforeLines="100" w:after="319" w:afterLines="100" w:line="360" w:lineRule="auto"/>
        <w:ind w:right="-21" w:rightChars="-10"/>
        <w:jc w:val="center"/>
        <w:rPr>
          <w:rFonts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具备履行合同所必需的设备和专业技术能力声明函</w:t>
      </w:r>
    </w:p>
    <w:p w14:paraId="6048B2E5">
      <w:pPr>
        <w:spacing w:before="319" w:beforeLines="100" w:after="319" w:afterLines="100" w:line="480" w:lineRule="exact"/>
        <w:ind w:right="630" w:rightChars="300"/>
        <w:jc w:val="center"/>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（格式自拟）</w:t>
      </w:r>
    </w:p>
    <w:p w14:paraId="420260E2">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14445851">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1AF2B9F5">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1EBB85E9">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586E3E46">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2E54841B">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42589142">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6D2D3178">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6709BDF6">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1B105FF0">
      <w:pPr>
        <w:snapToGrid w:val="0"/>
        <w:spacing w:line="480" w:lineRule="auto"/>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投标人名称（加盖单位公章）：</w:t>
      </w:r>
      <w:r>
        <w:rPr>
          <w:rFonts w:hint="eastAsia" w:ascii="仿宋_GB2312" w:hAnsi="仿宋_GB2312" w:eastAsia="仿宋_GB2312" w:cs="仿宋_GB2312"/>
          <w:color w:val="auto"/>
          <w:highlight w:val="none"/>
          <w:u w:val="single"/>
        </w:rPr>
        <w:t xml:space="preserve">           </w:t>
      </w:r>
    </w:p>
    <w:p w14:paraId="13FB8A95">
      <w:pPr>
        <w:snapToGrid w:val="0"/>
        <w:spacing w:line="480" w:lineRule="auto"/>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法定代表人（或</w:t>
      </w:r>
      <w:r>
        <w:rPr>
          <w:rFonts w:hint="eastAsia" w:ascii="仿宋_GB2312" w:hAnsi="仿宋_GB2312" w:eastAsia="仿宋_GB2312" w:cs="仿宋_GB2312"/>
          <w:color w:val="auto"/>
          <w:szCs w:val="21"/>
          <w:highlight w:val="none"/>
        </w:rPr>
        <w:t>非法人组织负责人）或</w:t>
      </w:r>
      <w:r>
        <w:rPr>
          <w:rFonts w:hint="eastAsia" w:ascii="仿宋_GB2312" w:hAnsi="仿宋_GB2312" w:eastAsia="仿宋_GB2312" w:cs="仿宋_GB2312"/>
          <w:color w:val="auto"/>
          <w:highlight w:val="none"/>
        </w:rPr>
        <w:t>其授权代表人(签字或盖章)：</w:t>
      </w:r>
      <w:r>
        <w:rPr>
          <w:rFonts w:hint="eastAsia" w:ascii="仿宋_GB2312" w:hAnsi="仿宋_GB2312" w:eastAsia="仿宋_GB2312" w:cs="仿宋_GB2312"/>
          <w:color w:val="auto"/>
          <w:highlight w:val="none"/>
          <w:u w:val="single"/>
        </w:rPr>
        <w:t xml:space="preserve">           </w:t>
      </w:r>
    </w:p>
    <w:p w14:paraId="720DE9E7">
      <w:pPr>
        <w:adjustRightInd w:val="0"/>
        <w:snapToGrid w:val="0"/>
        <w:spacing w:line="360" w:lineRule="auto"/>
        <w:ind w:right="105" w:rightChars="50"/>
        <w:jc w:val="left"/>
        <w:rPr>
          <w:rFonts w:ascii="仿宋_GB2312" w:hAnsi="仿宋_GB2312" w:eastAsia="仿宋_GB2312" w:cs="仿宋_GB2312"/>
          <w:color w:val="auto"/>
          <w:highlight w:val="none"/>
          <w:u w:val="single"/>
        </w:rPr>
      </w:pPr>
      <w:r>
        <w:rPr>
          <w:rFonts w:hint="eastAsia" w:ascii="仿宋_GB2312" w:hAnsi="仿宋_GB2312" w:eastAsia="仿宋_GB2312" w:cs="仿宋_GB2312"/>
          <w:color w:val="auto"/>
          <w:highlight w:val="none"/>
        </w:rPr>
        <w:t>日期：</w:t>
      </w:r>
      <w:r>
        <w:rPr>
          <w:rFonts w:hint="eastAsia" w:ascii="仿宋_GB2312" w:hAnsi="仿宋_GB2312" w:eastAsia="仿宋_GB2312" w:cs="仿宋_GB2312"/>
          <w:color w:val="auto"/>
          <w:highlight w:val="none"/>
          <w:u w:val="single"/>
        </w:rPr>
        <w:t xml:space="preserve">                </w:t>
      </w:r>
    </w:p>
    <w:p w14:paraId="3E5AF8D9">
      <w:pPr>
        <w:adjustRightInd w:val="0"/>
        <w:snapToGrid w:val="0"/>
        <w:spacing w:line="360" w:lineRule="auto"/>
        <w:ind w:right="105" w:rightChars="50"/>
        <w:jc w:val="left"/>
        <w:rPr>
          <w:rFonts w:ascii="仿宋_GB2312" w:hAnsi="仿宋_GB2312" w:eastAsia="仿宋_GB2312" w:cs="仿宋_GB2312"/>
          <w:color w:val="auto"/>
          <w:highlight w:val="none"/>
          <w:u w:val="single"/>
        </w:rPr>
      </w:pPr>
    </w:p>
    <w:p w14:paraId="031468AB">
      <w:pPr>
        <w:adjustRightInd w:val="0"/>
        <w:snapToGrid w:val="0"/>
        <w:spacing w:line="360" w:lineRule="auto"/>
        <w:ind w:right="105" w:rightChars="50"/>
        <w:jc w:val="left"/>
        <w:rPr>
          <w:rFonts w:ascii="仿宋_GB2312" w:hAnsi="仿宋_GB2312" w:eastAsia="仿宋_GB2312" w:cs="仿宋_GB2312"/>
          <w:b/>
          <w:color w:val="auto"/>
          <w:sz w:val="28"/>
          <w:szCs w:val="28"/>
          <w:highlight w:val="none"/>
        </w:rPr>
      </w:pPr>
    </w:p>
    <w:p w14:paraId="246D7E8C">
      <w:pPr>
        <w:pStyle w:val="3"/>
        <w:adjustRightInd w:val="0"/>
        <w:snapToGrid w:val="0"/>
        <w:spacing w:before="0" w:after="0" w:line="240" w:lineRule="auto"/>
        <w:jc w:val="left"/>
        <w:rPr>
          <w:rFonts w:ascii="仿宋_GB2312" w:hAnsi="仿宋_GB2312" w:eastAsia="仿宋_GB2312" w:cs="仿宋_GB2312"/>
          <w:b w:val="0"/>
          <w:color w:val="auto"/>
          <w:szCs w:val="28"/>
          <w:highlight w:val="none"/>
        </w:rPr>
      </w:pPr>
      <w:r>
        <w:rPr>
          <w:rFonts w:hint="eastAsia" w:ascii="仿宋_GB2312" w:hAnsi="仿宋_GB2312" w:eastAsia="仿宋_GB2312" w:cs="仿宋_GB2312"/>
          <w:color w:val="auto"/>
          <w:szCs w:val="28"/>
          <w:highlight w:val="none"/>
        </w:rPr>
        <w:br w:type="page"/>
      </w:r>
    </w:p>
    <w:p w14:paraId="5D666F6F">
      <w:pPr>
        <w:pStyle w:val="3"/>
        <w:adjustRightInd w:val="0"/>
        <w:snapToGrid w:val="0"/>
        <w:spacing w:before="0" w:after="0" w:line="240" w:lineRule="auto"/>
        <w:jc w:val="left"/>
        <w:rPr>
          <w:rFonts w:ascii="仿宋_GB2312" w:hAnsi="仿宋_GB2312" w:eastAsia="仿宋_GB2312" w:cs="仿宋_GB2312"/>
          <w:color w:val="auto"/>
          <w:highlight w:val="none"/>
        </w:rPr>
      </w:pPr>
      <w:r>
        <w:rPr>
          <w:rFonts w:hint="eastAsia" w:ascii="仿宋_GB2312" w:hAnsi="仿宋_GB2312" w:eastAsia="仿宋_GB2312" w:cs="仿宋_GB2312"/>
          <w:color w:val="auto"/>
          <w:szCs w:val="28"/>
          <w:highlight w:val="none"/>
        </w:rPr>
        <w:t>格式8</w:t>
      </w:r>
    </w:p>
    <w:p w14:paraId="14609B40">
      <w:pPr>
        <w:spacing w:before="319" w:beforeLines="100" w:after="319" w:afterLines="100" w:line="360" w:lineRule="auto"/>
        <w:ind w:right="-21" w:rightChars="-10"/>
        <w:jc w:val="center"/>
        <w:rPr>
          <w:rFonts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 xml:space="preserve">   </w:t>
      </w:r>
      <w:bookmarkStart w:id="98" w:name="_Toc11967_WPSOffice_Level2"/>
      <w:bookmarkStart w:id="99" w:name="_Toc7498_WPSOffice_Level2"/>
      <w:r>
        <w:rPr>
          <w:rFonts w:hint="eastAsia" w:ascii="仿宋_GB2312" w:hAnsi="仿宋_GB2312" w:eastAsia="仿宋_GB2312" w:cs="仿宋_GB2312"/>
          <w:b/>
          <w:color w:val="auto"/>
          <w:sz w:val="32"/>
          <w:szCs w:val="32"/>
          <w:highlight w:val="none"/>
        </w:rPr>
        <w:t>参加政府采购活动前3年内在经营活动中没有重大违法记录的书面声明</w:t>
      </w:r>
      <w:bookmarkEnd w:id="98"/>
      <w:bookmarkEnd w:id="99"/>
    </w:p>
    <w:p w14:paraId="529E662E">
      <w:pPr>
        <w:spacing w:line="360" w:lineRule="auto"/>
        <w:ind w:right="630" w:rightChars="300"/>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u w:val="single"/>
        </w:rPr>
        <w:t xml:space="preserve">（采购人或采购代理机构名称） </w:t>
      </w:r>
      <w:r>
        <w:rPr>
          <w:rFonts w:hint="eastAsia" w:ascii="仿宋_GB2312" w:hAnsi="仿宋_GB2312" w:eastAsia="仿宋_GB2312" w:cs="仿宋_GB2312"/>
          <w:b/>
          <w:color w:val="auto"/>
          <w:szCs w:val="21"/>
          <w:highlight w:val="none"/>
        </w:rPr>
        <w:t xml:space="preserve"> ：</w:t>
      </w:r>
    </w:p>
    <w:p w14:paraId="20FAC968">
      <w:pPr>
        <w:spacing w:line="360" w:lineRule="auto"/>
        <w:ind w:right="-21" w:rightChars="-10" w:firstLine="493" w:firstLineChars="235"/>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5DF2B2B8">
      <w:pPr>
        <w:tabs>
          <w:tab w:val="left" w:pos="10065"/>
        </w:tabs>
        <w:spacing w:line="360" w:lineRule="auto"/>
        <w:ind w:right="-21" w:rightChars="-10" w:firstLine="371" w:firstLineChars="177"/>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如发现我单位提供的声明函不实时，我单位将按照《政府采购法》有关提供虚假材料的规定，接受处罚。</w:t>
      </w:r>
    </w:p>
    <w:p w14:paraId="018C0D07">
      <w:pPr>
        <w:spacing w:line="360" w:lineRule="auto"/>
        <w:ind w:right="1050" w:rightChars="50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特此声明。</w:t>
      </w:r>
    </w:p>
    <w:p w14:paraId="2D0E6FCC">
      <w:pPr>
        <w:spacing w:line="500" w:lineRule="exact"/>
        <w:ind w:right="1050" w:rightChars="500"/>
        <w:rPr>
          <w:rFonts w:ascii="仿宋_GB2312" w:hAnsi="仿宋_GB2312" w:eastAsia="仿宋_GB2312" w:cs="仿宋_GB2312"/>
          <w:color w:val="auto"/>
          <w:szCs w:val="21"/>
          <w:highlight w:val="none"/>
        </w:rPr>
      </w:pPr>
    </w:p>
    <w:p w14:paraId="1D1A4AB5">
      <w:pPr>
        <w:spacing w:before="159" w:beforeLines="50" w:after="159" w:afterLines="50" w:line="400" w:lineRule="exact"/>
        <w:ind w:right="1050" w:rightChars="500"/>
        <w:rPr>
          <w:rFonts w:ascii="仿宋_GB2312" w:hAnsi="仿宋_GB2312" w:eastAsia="仿宋_GB2312" w:cs="仿宋_GB2312"/>
          <w:color w:val="auto"/>
          <w:szCs w:val="21"/>
          <w:highlight w:val="none"/>
        </w:rPr>
      </w:pPr>
    </w:p>
    <w:p w14:paraId="120C8305">
      <w:pPr>
        <w:spacing w:before="159" w:beforeLines="50" w:after="159" w:afterLines="50" w:line="400" w:lineRule="exact"/>
        <w:ind w:right="1050" w:rightChars="500"/>
        <w:rPr>
          <w:rFonts w:ascii="仿宋_GB2312" w:hAnsi="仿宋_GB2312" w:eastAsia="仿宋_GB2312" w:cs="仿宋_GB2312"/>
          <w:color w:val="auto"/>
          <w:szCs w:val="21"/>
          <w:highlight w:val="none"/>
        </w:rPr>
      </w:pPr>
    </w:p>
    <w:p w14:paraId="1C19CFF1">
      <w:pPr>
        <w:spacing w:before="159" w:beforeLines="50" w:after="159" w:afterLines="50" w:line="400" w:lineRule="exact"/>
        <w:ind w:right="1050" w:rightChars="500"/>
        <w:rPr>
          <w:rFonts w:ascii="仿宋_GB2312" w:hAnsi="仿宋_GB2312" w:eastAsia="仿宋_GB2312" w:cs="仿宋_GB2312"/>
          <w:color w:val="auto"/>
          <w:szCs w:val="21"/>
          <w:highlight w:val="none"/>
        </w:rPr>
      </w:pPr>
    </w:p>
    <w:p w14:paraId="1677B6A8">
      <w:pPr>
        <w:spacing w:line="360" w:lineRule="exact"/>
        <w:ind w:right="1050" w:rightChars="500"/>
        <w:rPr>
          <w:rFonts w:ascii="仿宋_GB2312" w:hAnsi="仿宋_GB2312" w:eastAsia="仿宋_GB2312" w:cs="仿宋_GB2312"/>
          <w:color w:val="auto"/>
          <w:szCs w:val="21"/>
          <w:highlight w:val="none"/>
        </w:rPr>
      </w:pPr>
    </w:p>
    <w:p w14:paraId="3FB8D977">
      <w:pPr>
        <w:spacing w:line="480" w:lineRule="auto"/>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投标人名称（加盖单位公章）：</w:t>
      </w:r>
      <w:r>
        <w:rPr>
          <w:rFonts w:hint="eastAsia" w:ascii="仿宋_GB2312" w:hAnsi="仿宋_GB2312" w:eastAsia="仿宋_GB2312" w:cs="仿宋_GB2312"/>
          <w:color w:val="auto"/>
          <w:highlight w:val="none"/>
          <w:u w:val="single"/>
        </w:rPr>
        <w:t xml:space="preserve">           </w:t>
      </w:r>
    </w:p>
    <w:p w14:paraId="5613FDC4">
      <w:pPr>
        <w:spacing w:line="480" w:lineRule="auto"/>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法定代表人（或</w:t>
      </w:r>
      <w:r>
        <w:rPr>
          <w:rFonts w:hint="eastAsia" w:ascii="仿宋_GB2312" w:hAnsi="仿宋_GB2312" w:eastAsia="仿宋_GB2312" w:cs="仿宋_GB2312"/>
          <w:color w:val="auto"/>
          <w:szCs w:val="21"/>
          <w:highlight w:val="none"/>
        </w:rPr>
        <w:t>非法人组织负责人）或</w:t>
      </w:r>
      <w:r>
        <w:rPr>
          <w:rFonts w:hint="eastAsia" w:ascii="仿宋_GB2312" w:hAnsi="仿宋_GB2312" w:eastAsia="仿宋_GB2312" w:cs="仿宋_GB2312"/>
          <w:color w:val="auto"/>
          <w:highlight w:val="none"/>
        </w:rPr>
        <w:t>其</w:t>
      </w:r>
      <w:r>
        <w:rPr>
          <w:rFonts w:hint="eastAsia" w:ascii="仿宋_GB2312" w:hAnsi="仿宋_GB2312" w:eastAsia="仿宋_GB2312" w:cs="仿宋_GB2312"/>
          <w:color w:val="auto"/>
          <w:szCs w:val="21"/>
          <w:highlight w:val="none"/>
        </w:rPr>
        <w:t>授权</w:t>
      </w:r>
      <w:r>
        <w:rPr>
          <w:rFonts w:hint="eastAsia" w:ascii="仿宋_GB2312" w:hAnsi="仿宋_GB2312" w:eastAsia="仿宋_GB2312" w:cs="仿宋_GB2312"/>
          <w:color w:val="auto"/>
          <w:highlight w:val="none"/>
        </w:rPr>
        <w:t>委托</w:t>
      </w:r>
      <w:r>
        <w:rPr>
          <w:rFonts w:hint="eastAsia" w:ascii="仿宋_GB2312" w:hAnsi="仿宋_GB2312" w:eastAsia="仿宋_GB2312" w:cs="仿宋_GB2312"/>
          <w:color w:val="auto"/>
          <w:szCs w:val="21"/>
          <w:highlight w:val="none"/>
        </w:rPr>
        <w:t>人</w:t>
      </w:r>
      <w:r>
        <w:rPr>
          <w:rFonts w:hint="eastAsia" w:ascii="仿宋_GB2312" w:hAnsi="仿宋_GB2312" w:eastAsia="仿宋_GB2312" w:cs="仿宋_GB2312"/>
          <w:color w:val="auto"/>
          <w:highlight w:val="none"/>
        </w:rPr>
        <w:t>(签字或盖章)：</w:t>
      </w:r>
      <w:r>
        <w:rPr>
          <w:rFonts w:hint="eastAsia" w:ascii="仿宋_GB2312" w:hAnsi="仿宋_GB2312" w:eastAsia="仿宋_GB2312" w:cs="仿宋_GB2312"/>
          <w:color w:val="auto"/>
          <w:highlight w:val="none"/>
          <w:u w:val="single"/>
        </w:rPr>
        <w:t xml:space="preserve">           </w:t>
      </w:r>
    </w:p>
    <w:p w14:paraId="6128835E">
      <w:pPr>
        <w:spacing w:line="480" w:lineRule="auto"/>
        <w:rPr>
          <w:rFonts w:ascii="仿宋_GB2312" w:hAnsi="仿宋_GB2312" w:eastAsia="仿宋_GB2312" w:cs="仿宋_GB2312"/>
          <w:color w:val="auto"/>
          <w:highlight w:val="none"/>
          <w:u w:val="single"/>
        </w:rPr>
      </w:pPr>
      <w:r>
        <w:rPr>
          <w:rFonts w:hint="eastAsia" w:ascii="仿宋_GB2312" w:hAnsi="仿宋_GB2312" w:eastAsia="仿宋_GB2312" w:cs="仿宋_GB2312"/>
          <w:color w:val="auto"/>
          <w:highlight w:val="none"/>
        </w:rPr>
        <w:t>日期：</w:t>
      </w:r>
      <w:r>
        <w:rPr>
          <w:rFonts w:hint="eastAsia" w:ascii="仿宋_GB2312" w:hAnsi="仿宋_GB2312" w:eastAsia="仿宋_GB2312" w:cs="仿宋_GB2312"/>
          <w:color w:val="auto"/>
          <w:highlight w:val="none"/>
          <w:u w:val="single"/>
        </w:rPr>
        <w:t xml:space="preserve">                </w:t>
      </w:r>
    </w:p>
    <w:p w14:paraId="39969C49">
      <w:pPr>
        <w:pStyle w:val="3"/>
        <w:adjustRightInd w:val="0"/>
        <w:snapToGrid w:val="0"/>
        <w:spacing w:before="0" w:after="0" w:line="240" w:lineRule="auto"/>
        <w:jc w:val="left"/>
        <w:rPr>
          <w:rFonts w:ascii="仿宋_GB2312" w:hAnsi="仿宋_GB2312" w:eastAsia="仿宋_GB2312" w:cs="仿宋_GB2312"/>
          <w:color w:val="auto"/>
          <w:szCs w:val="28"/>
          <w:highlight w:val="none"/>
        </w:rPr>
      </w:pPr>
      <w:r>
        <w:rPr>
          <w:rFonts w:hint="eastAsia" w:ascii="仿宋_GB2312" w:hAnsi="仿宋_GB2312" w:eastAsia="仿宋_GB2312" w:cs="仿宋_GB2312"/>
          <w:color w:val="auto"/>
          <w:highlight w:val="none"/>
          <w:u w:val="single"/>
        </w:rPr>
        <w:br w:type="page"/>
      </w:r>
      <w:r>
        <w:rPr>
          <w:rFonts w:hint="eastAsia" w:ascii="仿宋_GB2312" w:hAnsi="仿宋_GB2312" w:eastAsia="仿宋_GB2312" w:cs="仿宋_GB2312"/>
          <w:color w:val="auto"/>
          <w:szCs w:val="28"/>
          <w:highlight w:val="none"/>
        </w:rPr>
        <w:t>格式9</w:t>
      </w:r>
    </w:p>
    <w:p w14:paraId="363B0A5C">
      <w:pPr>
        <w:autoSpaceDE w:val="0"/>
        <w:autoSpaceDN w:val="0"/>
        <w:adjustRightInd w:val="0"/>
        <w:spacing w:line="480" w:lineRule="exact"/>
        <w:jc w:val="center"/>
        <w:rPr>
          <w:rFonts w:ascii="仿宋_GB2312" w:hAnsi="仿宋_GB2312" w:eastAsia="仿宋_GB2312" w:cs="仿宋_GB2312"/>
          <w:b/>
          <w:color w:val="auto"/>
          <w:kern w:val="0"/>
          <w:sz w:val="32"/>
          <w:szCs w:val="32"/>
          <w:highlight w:val="none"/>
        </w:rPr>
      </w:pPr>
      <w:r>
        <w:rPr>
          <w:rFonts w:hint="eastAsia" w:ascii="仿宋_GB2312" w:hAnsi="仿宋_GB2312" w:eastAsia="仿宋_GB2312" w:cs="仿宋_GB2312"/>
          <w:b/>
          <w:color w:val="auto"/>
          <w:kern w:val="0"/>
          <w:sz w:val="32"/>
          <w:szCs w:val="32"/>
          <w:highlight w:val="none"/>
        </w:rPr>
        <w:t>中小企业声明函（货物）</w:t>
      </w:r>
    </w:p>
    <w:p w14:paraId="679693A0">
      <w:pPr>
        <w:autoSpaceDE w:val="0"/>
        <w:autoSpaceDN w:val="0"/>
        <w:adjustRightInd w:val="0"/>
        <w:spacing w:line="480" w:lineRule="exact"/>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 w:val="28"/>
          <w:szCs w:val="28"/>
          <w:highlight w:val="none"/>
        </w:rPr>
        <w:t xml:space="preserve">  </w:t>
      </w:r>
      <w:r>
        <w:rPr>
          <w:rFonts w:hint="eastAsia" w:ascii="仿宋_GB2312" w:hAnsi="仿宋_GB2312" w:eastAsia="仿宋_GB2312" w:cs="仿宋_GB2312"/>
          <w:color w:val="auto"/>
          <w:kern w:val="0"/>
          <w:szCs w:val="21"/>
          <w:highlight w:val="none"/>
        </w:rPr>
        <w:t xml:space="preserve">  本公司（联合体）郑重声明，根据《政府采购促进中小企业发展管理办法》（财库﹝2020﹞46 号）的规定，本公司（联合体）参加</w:t>
      </w:r>
      <w:r>
        <w:rPr>
          <w:rFonts w:hint="eastAsia" w:ascii="仿宋_GB2312" w:hAnsi="仿宋_GB2312" w:eastAsia="仿宋_GB2312" w:cs="仿宋_GB2312"/>
          <w:color w:val="auto"/>
          <w:kern w:val="0"/>
          <w:szCs w:val="21"/>
          <w:highlight w:val="none"/>
          <w:u w:val="single"/>
        </w:rPr>
        <w:t>（单位名称）</w:t>
      </w:r>
      <w:r>
        <w:rPr>
          <w:rFonts w:hint="eastAsia" w:ascii="仿宋_GB2312" w:hAnsi="仿宋_GB2312" w:eastAsia="仿宋_GB2312" w:cs="仿宋_GB2312"/>
          <w:color w:val="auto"/>
          <w:kern w:val="0"/>
          <w:szCs w:val="21"/>
          <w:highlight w:val="none"/>
        </w:rPr>
        <w:t>的</w:t>
      </w:r>
      <w:r>
        <w:rPr>
          <w:rFonts w:hint="eastAsia" w:ascii="仿宋_GB2312" w:hAnsi="仿宋_GB2312" w:eastAsia="仿宋_GB2312" w:cs="仿宋_GB2312"/>
          <w:color w:val="auto"/>
          <w:kern w:val="0"/>
          <w:szCs w:val="21"/>
          <w:highlight w:val="none"/>
          <w:u w:val="single"/>
        </w:rPr>
        <w:t>（项目名称）</w:t>
      </w:r>
      <w:r>
        <w:rPr>
          <w:rFonts w:hint="eastAsia" w:ascii="仿宋_GB2312" w:hAnsi="仿宋_GB2312" w:eastAsia="仿宋_GB2312" w:cs="仿宋_GB2312"/>
          <w:color w:val="auto"/>
          <w:kern w:val="0"/>
          <w:szCs w:val="21"/>
          <w:highlight w:val="none"/>
        </w:rPr>
        <w:t>采购活动，提供的货物全部由符合政策要求的中小企业制造。相关企业（含联合体中的中小企业、签订分包意向协议的中小企业）的具体情况如下：</w:t>
      </w:r>
    </w:p>
    <w:p w14:paraId="6AD51FF1">
      <w:pPr>
        <w:autoSpaceDE w:val="0"/>
        <w:autoSpaceDN w:val="0"/>
        <w:adjustRightInd w:val="0"/>
        <w:spacing w:line="480" w:lineRule="exact"/>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 xml:space="preserve">    1.</w:t>
      </w:r>
      <w:r>
        <w:rPr>
          <w:rFonts w:hint="eastAsia" w:ascii="仿宋_GB2312" w:hAnsi="仿宋_GB2312" w:eastAsia="仿宋_GB2312" w:cs="仿宋_GB2312"/>
          <w:color w:val="auto"/>
          <w:kern w:val="0"/>
          <w:szCs w:val="21"/>
          <w:highlight w:val="none"/>
          <w:u w:val="single"/>
        </w:rPr>
        <w:t>（标的名称）</w:t>
      </w:r>
      <w:r>
        <w:rPr>
          <w:rFonts w:hint="eastAsia" w:ascii="仿宋_GB2312" w:hAnsi="仿宋_GB2312" w:eastAsia="仿宋_GB2312" w:cs="仿宋_GB2312"/>
          <w:color w:val="auto"/>
          <w:kern w:val="0"/>
          <w:szCs w:val="21"/>
          <w:highlight w:val="none"/>
        </w:rPr>
        <w:t>，属于</w:t>
      </w:r>
      <w:r>
        <w:rPr>
          <w:rFonts w:hint="eastAsia" w:ascii="仿宋_GB2312" w:hAnsi="仿宋_GB2312" w:eastAsia="仿宋_GB2312" w:cs="仿宋_GB2312"/>
          <w:color w:val="auto"/>
          <w:kern w:val="0"/>
          <w:szCs w:val="21"/>
          <w:highlight w:val="none"/>
          <w:u w:val="single"/>
        </w:rPr>
        <w:t>（采购文件中明确的所属行业）</w:t>
      </w:r>
      <w:r>
        <w:rPr>
          <w:rFonts w:hint="eastAsia" w:ascii="仿宋_GB2312" w:hAnsi="仿宋_GB2312" w:eastAsia="仿宋_GB2312" w:cs="仿宋_GB2312"/>
          <w:color w:val="auto"/>
          <w:kern w:val="0"/>
          <w:szCs w:val="21"/>
          <w:highlight w:val="none"/>
        </w:rPr>
        <w:t>行业；制造商为</w:t>
      </w:r>
      <w:r>
        <w:rPr>
          <w:rFonts w:hint="eastAsia" w:ascii="仿宋_GB2312" w:hAnsi="仿宋_GB2312" w:eastAsia="仿宋_GB2312" w:cs="仿宋_GB2312"/>
          <w:color w:val="auto"/>
          <w:kern w:val="0"/>
          <w:szCs w:val="21"/>
          <w:highlight w:val="none"/>
          <w:u w:val="single"/>
        </w:rPr>
        <w:t>（企业名称）</w:t>
      </w:r>
      <w:r>
        <w:rPr>
          <w:rFonts w:hint="eastAsia" w:ascii="仿宋_GB2312" w:hAnsi="仿宋_GB2312" w:eastAsia="仿宋_GB2312" w:cs="仿宋_GB2312"/>
          <w:color w:val="auto"/>
          <w:kern w:val="0"/>
          <w:szCs w:val="21"/>
          <w:highlight w:val="none"/>
        </w:rPr>
        <w:t>，从业人员</w:t>
      </w:r>
      <w:r>
        <w:rPr>
          <w:rFonts w:hint="eastAsia" w:ascii="仿宋_GB2312" w:hAnsi="仿宋_GB2312" w:eastAsia="仿宋_GB2312" w:cs="仿宋_GB2312"/>
          <w:color w:val="auto"/>
          <w:kern w:val="0"/>
          <w:szCs w:val="21"/>
          <w:highlight w:val="none"/>
          <w:u w:val="single"/>
        </w:rPr>
        <w:t xml:space="preserve">    </w:t>
      </w:r>
      <w:r>
        <w:rPr>
          <w:rFonts w:hint="eastAsia" w:ascii="仿宋_GB2312" w:hAnsi="仿宋_GB2312" w:eastAsia="仿宋_GB2312" w:cs="仿宋_GB2312"/>
          <w:color w:val="auto"/>
          <w:kern w:val="0"/>
          <w:szCs w:val="21"/>
          <w:highlight w:val="none"/>
        </w:rPr>
        <w:t>人，营业收入为</w:t>
      </w:r>
      <w:r>
        <w:rPr>
          <w:rFonts w:hint="eastAsia" w:ascii="仿宋_GB2312" w:hAnsi="仿宋_GB2312" w:eastAsia="仿宋_GB2312" w:cs="仿宋_GB2312"/>
          <w:color w:val="auto"/>
          <w:kern w:val="0"/>
          <w:szCs w:val="21"/>
          <w:highlight w:val="none"/>
          <w:u w:val="single"/>
        </w:rPr>
        <w:t xml:space="preserve">     </w:t>
      </w:r>
      <w:r>
        <w:rPr>
          <w:rFonts w:hint="eastAsia" w:ascii="仿宋_GB2312" w:hAnsi="仿宋_GB2312" w:eastAsia="仿宋_GB2312" w:cs="仿宋_GB2312"/>
          <w:color w:val="auto"/>
          <w:kern w:val="0"/>
          <w:szCs w:val="21"/>
          <w:highlight w:val="none"/>
        </w:rPr>
        <w:t>万元，资产总额为</w:t>
      </w:r>
      <w:r>
        <w:rPr>
          <w:rFonts w:hint="eastAsia" w:ascii="仿宋_GB2312" w:hAnsi="仿宋_GB2312" w:eastAsia="仿宋_GB2312" w:cs="仿宋_GB2312"/>
          <w:color w:val="auto"/>
          <w:kern w:val="0"/>
          <w:szCs w:val="21"/>
          <w:highlight w:val="none"/>
          <w:u w:val="single"/>
        </w:rPr>
        <w:t xml:space="preserve">     </w:t>
      </w:r>
      <w:r>
        <w:rPr>
          <w:rFonts w:hint="eastAsia" w:ascii="仿宋_GB2312" w:hAnsi="仿宋_GB2312" w:eastAsia="仿宋_GB2312" w:cs="仿宋_GB2312"/>
          <w:color w:val="auto"/>
          <w:kern w:val="0"/>
          <w:szCs w:val="21"/>
          <w:highlight w:val="none"/>
        </w:rPr>
        <w:t>万元</w:t>
      </w:r>
      <w:r>
        <w:rPr>
          <w:rFonts w:hint="eastAsia" w:ascii="仿宋_GB2312" w:hAnsi="仿宋_GB2312" w:eastAsia="仿宋_GB2312" w:cs="仿宋_GB2312"/>
          <w:color w:val="auto"/>
          <w:kern w:val="0"/>
          <w:szCs w:val="21"/>
          <w:highlight w:val="none"/>
          <w:vertAlign w:val="superscript"/>
        </w:rPr>
        <w:t>1</w:t>
      </w:r>
      <w:r>
        <w:rPr>
          <w:rFonts w:hint="eastAsia" w:ascii="仿宋_GB2312" w:hAnsi="仿宋_GB2312" w:eastAsia="仿宋_GB2312" w:cs="仿宋_GB2312"/>
          <w:color w:val="auto"/>
          <w:kern w:val="0"/>
          <w:szCs w:val="21"/>
          <w:highlight w:val="none"/>
        </w:rPr>
        <w:t>，属于</w:t>
      </w:r>
      <w:r>
        <w:rPr>
          <w:rFonts w:hint="eastAsia" w:ascii="仿宋_GB2312" w:hAnsi="仿宋_GB2312" w:eastAsia="仿宋_GB2312" w:cs="仿宋_GB2312"/>
          <w:color w:val="auto"/>
          <w:kern w:val="0"/>
          <w:szCs w:val="21"/>
          <w:highlight w:val="none"/>
          <w:u w:val="single"/>
        </w:rPr>
        <w:t>（中型企业、小型企业、微型企业）</w:t>
      </w:r>
      <w:r>
        <w:rPr>
          <w:rFonts w:hint="eastAsia" w:ascii="仿宋_GB2312" w:hAnsi="仿宋_GB2312" w:eastAsia="仿宋_GB2312" w:cs="仿宋_GB2312"/>
          <w:color w:val="auto"/>
          <w:kern w:val="0"/>
          <w:szCs w:val="21"/>
          <w:highlight w:val="none"/>
        </w:rPr>
        <w:t>；</w:t>
      </w:r>
    </w:p>
    <w:p w14:paraId="442F07CA">
      <w:pPr>
        <w:autoSpaceDE w:val="0"/>
        <w:autoSpaceDN w:val="0"/>
        <w:adjustRightInd w:val="0"/>
        <w:spacing w:line="480" w:lineRule="exact"/>
        <w:ind w:firstLine="420" w:firstLineChars="200"/>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w:t>
      </w:r>
      <w:r>
        <w:rPr>
          <w:rFonts w:hint="eastAsia" w:ascii="仿宋_GB2312" w:hAnsi="仿宋_GB2312" w:eastAsia="仿宋_GB2312" w:cs="仿宋_GB2312"/>
          <w:color w:val="auto"/>
          <w:kern w:val="0"/>
          <w:szCs w:val="21"/>
          <w:highlight w:val="none"/>
          <w:u w:val="single"/>
        </w:rPr>
        <w:t>（标的名称）</w:t>
      </w:r>
      <w:r>
        <w:rPr>
          <w:rFonts w:hint="eastAsia" w:ascii="仿宋_GB2312" w:hAnsi="仿宋_GB2312" w:eastAsia="仿宋_GB2312" w:cs="仿宋_GB2312"/>
          <w:color w:val="auto"/>
          <w:kern w:val="0"/>
          <w:szCs w:val="21"/>
          <w:highlight w:val="none"/>
        </w:rPr>
        <w:t>，属于</w:t>
      </w:r>
      <w:r>
        <w:rPr>
          <w:rFonts w:hint="eastAsia" w:ascii="仿宋_GB2312" w:hAnsi="仿宋_GB2312" w:eastAsia="仿宋_GB2312" w:cs="仿宋_GB2312"/>
          <w:color w:val="auto"/>
          <w:kern w:val="0"/>
          <w:szCs w:val="21"/>
          <w:highlight w:val="none"/>
          <w:u w:val="single"/>
        </w:rPr>
        <w:t>（采购文件中明确的所属行业）</w:t>
      </w:r>
      <w:r>
        <w:rPr>
          <w:rFonts w:hint="eastAsia" w:ascii="仿宋_GB2312" w:hAnsi="仿宋_GB2312" w:eastAsia="仿宋_GB2312" w:cs="仿宋_GB2312"/>
          <w:color w:val="auto"/>
          <w:kern w:val="0"/>
          <w:szCs w:val="21"/>
          <w:highlight w:val="none"/>
        </w:rPr>
        <w:t>行业；制造商为</w:t>
      </w:r>
      <w:r>
        <w:rPr>
          <w:rFonts w:hint="eastAsia" w:ascii="仿宋_GB2312" w:hAnsi="仿宋_GB2312" w:eastAsia="仿宋_GB2312" w:cs="仿宋_GB2312"/>
          <w:color w:val="auto"/>
          <w:kern w:val="0"/>
          <w:szCs w:val="21"/>
          <w:highlight w:val="none"/>
          <w:u w:val="single"/>
        </w:rPr>
        <w:t>（企业名称）</w:t>
      </w:r>
      <w:r>
        <w:rPr>
          <w:rFonts w:hint="eastAsia" w:ascii="仿宋_GB2312" w:hAnsi="仿宋_GB2312" w:eastAsia="仿宋_GB2312" w:cs="仿宋_GB2312"/>
          <w:color w:val="auto"/>
          <w:kern w:val="0"/>
          <w:szCs w:val="21"/>
          <w:highlight w:val="none"/>
        </w:rPr>
        <w:t>，从业人员</w:t>
      </w:r>
      <w:r>
        <w:rPr>
          <w:rFonts w:hint="eastAsia" w:ascii="仿宋_GB2312" w:hAnsi="仿宋_GB2312" w:eastAsia="仿宋_GB2312" w:cs="仿宋_GB2312"/>
          <w:color w:val="auto"/>
          <w:kern w:val="0"/>
          <w:szCs w:val="21"/>
          <w:highlight w:val="none"/>
          <w:u w:val="single"/>
        </w:rPr>
        <w:t xml:space="preserve">     </w:t>
      </w:r>
      <w:r>
        <w:rPr>
          <w:rFonts w:hint="eastAsia" w:ascii="仿宋_GB2312" w:hAnsi="仿宋_GB2312" w:eastAsia="仿宋_GB2312" w:cs="仿宋_GB2312"/>
          <w:color w:val="auto"/>
          <w:kern w:val="0"/>
          <w:szCs w:val="21"/>
          <w:highlight w:val="none"/>
        </w:rPr>
        <w:t>人，营业收入为</w:t>
      </w:r>
      <w:r>
        <w:rPr>
          <w:rFonts w:hint="eastAsia" w:ascii="仿宋_GB2312" w:hAnsi="仿宋_GB2312" w:eastAsia="仿宋_GB2312" w:cs="仿宋_GB2312"/>
          <w:color w:val="auto"/>
          <w:kern w:val="0"/>
          <w:szCs w:val="21"/>
          <w:highlight w:val="none"/>
          <w:u w:val="single"/>
        </w:rPr>
        <w:t xml:space="preserve">      </w:t>
      </w:r>
      <w:r>
        <w:rPr>
          <w:rFonts w:hint="eastAsia" w:ascii="仿宋_GB2312" w:hAnsi="仿宋_GB2312" w:eastAsia="仿宋_GB2312" w:cs="仿宋_GB2312"/>
          <w:color w:val="auto"/>
          <w:kern w:val="0"/>
          <w:szCs w:val="21"/>
          <w:highlight w:val="none"/>
        </w:rPr>
        <w:t>万元，资产总额为</w:t>
      </w:r>
      <w:r>
        <w:rPr>
          <w:rFonts w:hint="eastAsia" w:ascii="仿宋_GB2312" w:hAnsi="仿宋_GB2312" w:eastAsia="仿宋_GB2312" w:cs="仿宋_GB2312"/>
          <w:color w:val="auto"/>
          <w:kern w:val="0"/>
          <w:szCs w:val="21"/>
          <w:highlight w:val="none"/>
          <w:u w:val="single"/>
        </w:rPr>
        <w:t xml:space="preserve">       </w:t>
      </w:r>
      <w:r>
        <w:rPr>
          <w:rFonts w:hint="eastAsia" w:ascii="仿宋_GB2312" w:hAnsi="仿宋_GB2312" w:eastAsia="仿宋_GB2312" w:cs="仿宋_GB2312"/>
          <w:color w:val="auto"/>
          <w:kern w:val="0"/>
          <w:szCs w:val="21"/>
          <w:highlight w:val="none"/>
        </w:rPr>
        <w:t>万元，属于</w:t>
      </w:r>
      <w:r>
        <w:rPr>
          <w:rFonts w:hint="eastAsia" w:ascii="仿宋_GB2312" w:hAnsi="仿宋_GB2312" w:eastAsia="仿宋_GB2312" w:cs="仿宋_GB2312"/>
          <w:color w:val="auto"/>
          <w:kern w:val="0"/>
          <w:szCs w:val="21"/>
          <w:highlight w:val="none"/>
          <w:u w:val="single"/>
        </w:rPr>
        <w:t>（中型企业、小型企业、微型企业）</w:t>
      </w:r>
      <w:r>
        <w:rPr>
          <w:rFonts w:hint="eastAsia" w:ascii="仿宋_GB2312" w:hAnsi="仿宋_GB2312" w:eastAsia="仿宋_GB2312" w:cs="仿宋_GB2312"/>
          <w:color w:val="auto"/>
          <w:kern w:val="0"/>
          <w:szCs w:val="21"/>
          <w:highlight w:val="none"/>
        </w:rPr>
        <w:t>；</w:t>
      </w:r>
    </w:p>
    <w:p w14:paraId="4DAAC1FC">
      <w:pPr>
        <w:autoSpaceDE w:val="0"/>
        <w:autoSpaceDN w:val="0"/>
        <w:adjustRightInd w:val="0"/>
        <w:spacing w:line="480" w:lineRule="exact"/>
        <w:ind w:firstLine="420" w:firstLineChars="200"/>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w:t>
      </w:r>
    </w:p>
    <w:p w14:paraId="276B0E9F">
      <w:pPr>
        <w:autoSpaceDE w:val="0"/>
        <w:autoSpaceDN w:val="0"/>
        <w:adjustRightInd w:val="0"/>
        <w:spacing w:line="480" w:lineRule="exact"/>
        <w:ind w:firstLine="420" w:firstLineChars="200"/>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以上企业，不属于大企业的分支机构，不存在控股股东为大企业的情形，也不存在与大企业的负责人为同一人的情形。</w:t>
      </w:r>
    </w:p>
    <w:p w14:paraId="16027FFF">
      <w:pPr>
        <w:autoSpaceDE w:val="0"/>
        <w:autoSpaceDN w:val="0"/>
        <w:adjustRightInd w:val="0"/>
        <w:spacing w:line="480" w:lineRule="exact"/>
        <w:ind w:firstLine="420" w:firstLineChars="200"/>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本企业对上述声明内容的真实性负责。如有虚假，将依法承担相应责任。</w:t>
      </w:r>
    </w:p>
    <w:p w14:paraId="73CF6DC2">
      <w:pPr>
        <w:autoSpaceDE w:val="0"/>
        <w:autoSpaceDN w:val="0"/>
        <w:adjustRightInd w:val="0"/>
        <w:spacing w:line="480" w:lineRule="exact"/>
        <w:ind w:firstLine="2100" w:firstLineChars="1000"/>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企业名称（盖章）：</w:t>
      </w:r>
    </w:p>
    <w:p w14:paraId="3874CC53">
      <w:pPr>
        <w:autoSpaceDE w:val="0"/>
        <w:autoSpaceDN w:val="0"/>
        <w:adjustRightInd w:val="0"/>
        <w:spacing w:line="480" w:lineRule="exact"/>
        <w:ind w:firstLine="2100" w:firstLineChars="1000"/>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日期：</w:t>
      </w:r>
    </w:p>
    <w:p w14:paraId="6DE3744B">
      <w:pPr>
        <w:autoSpaceDE w:val="0"/>
        <w:autoSpaceDN w:val="0"/>
        <w:adjustRightInd w:val="0"/>
        <w:spacing w:line="480" w:lineRule="exact"/>
        <w:ind w:firstLine="315" w:firstLineChars="150"/>
        <w:jc w:val="left"/>
        <w:rPr>
          <w:rFonts w:ascii="仿宋_GB2312" w:hAnsi="仿宋_GB2312" w:eastAsia="仿宋_GB2312" w:cs="仿宋_GB2312"/>
          <w:color w:val="auto"/>
          <w:kern w:val="0"/>
          <w:szCs w:val="21"/>
          <w:highlight w:val="none"/>
        </w:rPr>
      </w:pPr>
    </w:p>
    <w:p w14:paraId="53D23E3D">
      <w:pPr>
        <w:adjustRightInd w:val="0"/>
        <w:snapToGrid w:val="0"/>
        <w:spacing w:line="480" w:lineRule="auto"/>
        <w:ind w:right="105" w:rightChars="50"/>
        <w:jc w:val="left"/>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kern w:val="0"/>
          <w:szCs w:val="21"/>
          <w:highlight w:val="none"/>
        </w:rPr>
        <w:t>从业人员、营业收入、资产总额填报上一年度数据，无上一年度数据的新成立企业可不填报。</w:t>
      </w:r>
    </w:p>
    <w:p w14:paraId="36A5F166">
      <w:pPr>
        <w:adjustRightInd w:val="0"/>
        <w:snapToGrid w:val="0"/>
        <w:spacing w:line="480" w:lineRule="auto"/>
        <w:ind w:right="105" w:rightChars="50"/>
        <w:jc w:val="left"/>
        <w:rPr>
          <w:rFonts w:ascii="仿宋_GB2312" w:hAnsi="仿宋_GB2312" w:eastAsia="仿宋_GB2312" w:cs="仿宋_GB2312"/>
          <w:color w:val="auto"/>
          <w:szCs w:val="21"/>
          <w:highlight w:val="none"/>
          <w:u w:val="single"/>
        </w:rPr>
      </w:pPr>
    </w:p>
    <w:p w14:paraId="07C16A96">
      <w:pPr>
        <w:adjustRightInd w:val="0"/>
        <w:snapToGrid w:val="0"/>
        <w:spacing w:line="480" w:lineRule="auto"/>
        <w:ind w:right="105" w:rightChars="50"/>
        <w:jc w:val="left"/>
        <w:rPr>
          <w:rFonts w:ascii="仿宋_GB2312" w:hAnsi="仿宋_GB2312" w:eastAsia="仿宋_GB2312" w:cs="仿宋_GB2312"/>
          <w:color w:val="auto"/>
          <w:szCs w:val="21"/>
          <w:highlight w:val="none"/>
        </w:rPr>
      </w:pPr>
    </w:p>
    <w:p w14:paraId="39F78781">
      <w:pPr>
        <w:pStyle w:val="3"/>
        <w:adjustRightInd w:val="0"/>
        <w:snapToGrid w:val="0"/>
        <w:spacing w:before="0" w:after="0" w:line="240" w:lineRule="auto"/>
        <w:jc w:val="left"/>
        <w:rPr>
          <w:rFonts w:ascii="仿宋_GB2312" w:hAnsi="仿宋_GB2312" w:eastAsia="仿宋_GB2312" w:cs="仿宋_GB2312"/>
          <w:color w:val="auto"/>
          <w:szCs w:val="28"/>
          <w:highlight w:val="none"/>
        </w:rPr>
        <w:sectPr>
          <w:pgSz w:w="11906" w:h="16838"/>
          <w:pgMar w:top="1440" w:right="1803" w:bottom="1440" w:left="1803" w:header="851" w:footer="992" w:gutter="0"/>
          <w:cols w:space="720" w:num="1"/>
          <w:docGrid w:type="linesAndChars" w:linePitch="319" w:charSpace="0"/>
        </w:sectPr>
      </w:pPr>
    </w:p>
    <w:p w14:paraId="2C76E484">
      <w:pPr>
        <w:pStyle w:val="3"/>
        <w:adjustRightInd w:val="0"/>
        <w:snapToGrid w:val="0"/>
        <w:spacing w:before="0" w:after="0" w:line="240" w:lineRule="auto"/>
        <w:rPr>
          <w:rFonts w:ascii="仿宋_GB2312" w:hAnsi="仿宋_GB2312" w:eastAsia="仿宋_GB2312" w:cs="仿宋_GB2312"/>
          <w:color w:val="auto"/>
          <w:szCs w:val="28"/>
          <w:highlight w:val="none"/>
        </w:rPr>
      </w:pPr>
      <w:r>
        <w:rPr>
          <w:rFonts w:hint="eastAsia" w:ascii="仿宋_GB2312" w:hAnsi="仿宋_GB2312" w:eastAsia="仿宋_GB2312" w:cs="仿宋_GB2312"/>
          <w:color w:val="auto"/>
          <w:szCs w:val="28"/>
          <w:highlight w:val="none"/>
        </w:rPr>
        <w:t>监狱企业证明文件</w:t>
      </w:r>
    </w:p>
    <w:p w14:paraId="060C2AF3">
      <w:pPr>
        <w:pStyle w:val="3"/>
        <w:adjustRightInd w:val="0"/>
        <w:snapToGrid w:val="0"/>
        <w:spacing w:before="0" w:after="0" w:line="240" w:lineRule="auto"/>
        <w:jc w:val="left"/>
        <w:rPr>
          <w:rFonts w:ascii="仿宋_GB2312" w:hAnsi="仿宋_GB2312" w:eastAsia="仿宋_GB2312" w:cs="仿宋_GB2312"/>
          <w:color w:val="auto"/>
          <w:szCs w:val="28"/>
          <w:highlight w:val="none"/>
        </w:rPr>
      </w:pPr>
      <w:r>
        <w:rPr>
          <w:rFonts w:hint="eastAsia" w:ascii="仿宋_GB2312" w:hAnsi="仿宋_GB2312" w:eastAsia="仿宋_GB2312" w:cs="仿宋_GB2312"/>
          <w:color w:val="auto"/>
          <w:szCs w:val="28"/>
          <w:highlight w:val="none"/>
        </w:rPr>
        <w:br w:type="page"/>
      </w:r>
    </w:p>
    <w:p w14:paraId="6D496591">
      <w:pPr>
        <w:adjustRightInd w:val="0"/>
        <w:snapToGrid w:val="0"/>
        <w:spacing w:before="312" w:beforeLines="100" w:after="312" w:afterLines="100" w:line="360" w:lineRule="auto"/>
        <w:ind w:right="105" w:rightChars="50"/>
        <w:jc w:val="center"/>
        <w:rPr>
          <w:rFonts w:ascii="仿宋_GB2312" w:hAnsi="仿宋_GB2312" w:eastAsia="仿宋_GB2312" w:cs="仿宋_GB2312"/>
          <w:b/>
          <w:bCs/>
          <w:color w:val="auto"/>
          <w:sz w:val="32"/>
          <w:szCs w:val="32"/>
          <w:highlight w:val="none"/>
        </w:rPr>
      </w:pPr>
      <w:bookmarkStart w:id="100" w:name="_Toc29880_WPSOffice_Level2"/>
      <w:bookmarkStart w:id="101" w:name="_Toc13566_WPSOffice_Level2"/>
      <w:r>
        <w:rPr>
          <w:rFonts w:hint="eastAsia" w:ascii="仿宋_GB2312" w:hAnsi="仿宋_GB2312" w:eastAsia="仿宋_GB2312" w:cs="仿宋_GB2312"/>
          <w:b/>
          <w:bCs/>
          <w:color w:val="auto"/>
          <w:sz w:val="32"/>
          <w:szCs w:val="32"/>
          <w:highlight w:val="none"/>
        </w:rPr>
        <w:t>残疾人福利性单位声明函</w:t>
      </w:r>
      <w:bookmarkEnd w:id="100"/>
      <w:bookmarkEnd w:id="101"/>
    </w:p>
    <w:p w14:paraId="794969BE">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本单位郑重声明，根据《财政部 民政部 中国残疾人联合会关于促进残疾人就业政府采购政策的通知》（财库〔2017〕141 号）的规定，本单位为符合条件的残疾人福利性单位，且本单位参加</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单位的</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项目采购活动，提供本单位制造的货物（由本单位承担工程/提供服务），或者提供其他残疾人福利性单位制造的货物（不包括使用非残疾人福利性单位注册商标的货物）</w:t>
      </w:r>
    </w:p>
    <w:p w14:paraId="64F6143C">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本单位对上述声明的真实性负责。如有虚假，将依法承担相应责任。</w:t>
      </w:r>
    </w:p>
    <w:tbl>
      <w:tblPr>
        <w:tblStyle w:val="22"/>
        <w:tblW w:w="8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14:paraId="5E391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vAlign w:val="center"/>
          </w:tcPr>
          <w:p w14:paraId="40040E35">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序号</w:t>
            </w:r>
          </w:p>
        </w:tc>
        <w:tc>
          <w:tcPr>
            <w:tcW w:w="1582" w:type="dxa"/>
            <w:vAlign w:val="center"/>
          </w:tcPr>
          <w:p w14:paraId="38FD0111">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品  名</w:t>
            </w:r>
          </w:p>
        </w:tc>
        <w:tc>
          <w:tcPr>
            <w:tcW w:w="1587" w:type="dxa"/>
            <w:vAlign w:val="center"/>
          </w:tcPr>
          <w:p w14:paraId="23245D1B">
            <w:pPr>
              <w:widowControl/>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数量</w:t>
            </w:r>
          </w:p>
        </w:tc>
        <w:tc>
          <w:tcPr>
            <w:tcW w:w="1427" w:type="dxa"/>
            <w:vAlign w:val="center"/>
          </w:tcPr>
          <w:p w14:paraId="00CBF215">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规格</w:t>
            </w:r>
          </w:p>
          <w:p w14:paraId="4109D936">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型号</w:t>
            </w:r>
          </w:p>
        </w:tc>
        <w:tc>
          <w:tcPr>
            <w:tcW w:w="1427" w:type="dxa"/>
            <w:vAlign w:val="center"/>
          </w:tcPr>
          <w:p w14:paraId="7F7F5CAD">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生产</w:t>
            </w:r>
          </w:p>
          <w:p w14:paraId="62875F54">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厂家</w:t>
            </w:r>
          </w:p>
        </w:tc>
        <w:tc>
          <w:tcPr>
            <w:tcW w:w="1344" w:type="dxa"/>
            <w:vAlign w:val="center"/>
          </w:tcPr>
          <w:p w14:paraId="1306D159">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备注</w:t>
            </w:r>
          </w:p>
        </w:tc>
      </w:tr>
      <w:tr w14:paraId="66116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690DA9EA">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w:t>
            </w:r>
          </w:p>
        </w:tc>
        <w:tc>
          <w:tcPr>
            <w:tcW w:w="1582" w:type="dxa"/>
            <w:vAlign w:val="center"/>
          </w:tcPr>
          <w:p w14:paraId="5BBA7130">
            <w:pPr>
              <w:jc w:val="center"/>
              <w:rPr>
                <w:rFonts w:ascii="仿宋_GB2312" w:hAnsi="仿宋_GB2312" w:eastAsia="仿宋_GB2312" w:cs="仿宋_GB2312"/>
                <w:color w:val="auto"/>
                <w:szCs w:val="21"/>
                <w:highlight w:val="none"/>
              </w:rPr>
            </w:pPr>
          </w:p>
        </w:tc>
        <w:tc>
          <w:tcPr>
            <w:tcW w:w="1587" w:type="dxa"/>
            <w:vAlign w:val="center"/>
          </w:tcPr>
          <w:p w14:paraId="110C6DCB">
            <w:pPr>
              <w:jc w:val="center"/>
              <w:rPr>
                <w:rFonts w:ascii="仿宋_GB2312" w:hAnsi="仿宋_GB2312" w:eastAsia="仿宋_GB2312" w:cs="仿宋_GB2312"/>
                <w:color w:val="auto"/>
                <w:szCs w:val="21"/>
                <w:highlight w:val="none"/>
              </w:rPr>
            </w:pPr>
          </w:p>
        </w:tc>
        <w:tc>
          <w:tcPr>
            <w:tcW w:w="1427" w:type="dxa"/>
            <w:vAlign w:val="center"/>
          </w:tcPr>
          <w:p w14:paraId="62F20870">
            <w:pPr>
              <w:jc w:val="center"/>
              <w:rPr>
                <w:rFonts w:ascii="仿宋_GB2312" w:hAnsi="仿宋_GB2312" w:eastAsia="仿宋_GB2312" w:cs="仿宋_GB2312"/>
                <w:color w:val="auto"/>
                <w:szCs w:val="21"/>
                <w:highlight w:val="none"/>
              </w:rPr>
            </w:pPr>
          </w:p>
        </w:tc>
        <w:tc>
          <w:tcPr>
            <w:tcW w:w="1427" w:type="dxa"/>
            <w:vAlign w:val="center"/>
          </w:tcPr>
          <w:p w14:paraId="1D248FE0">
            <w:pPr>
              <w:jc w:val="center"/>
              <w:rPr>
                <w:rFonts w:ascii="仿宋_GB2312" w:hAnsi="仿宋_GB2312" w:eastAsia="仿宋_GB2312" w:cs="仿宋_GB2312"/>
                <w:color w:val="auto"/>
                <w:szCs w:val="21"/>
                <w:highlight w:val="none"/>
              </w:rPr>
            </w:pPr>
          </w:p>
        </w:tc>
        <w:tc>
          <w:tcPr>
            <w:tcW w:w="1344" w:type="dxa"/>
            <w:vAlign w:val="center"/>
          </w:tcPr>
          <w:p w14:paraId="625C0C35">
            <w:pPr>
              <w:spacing w:line="360" w:lineRule="auto"/>
              <w:rPr>
                <w:rFonts w:ascii="仿宋_GB2312" w:hAnsi="仿宋_GB2312" w:eastAsia="仿宋_GB2312" w:cs="仿宋_GB2312"/>
                <w:color w:val="auto"/>
                <w:szCs w:val="21"/>
                <w:highlight w:val="none"/>
              </w:rPr>
            </w:pPr>
          </w:p>
        </w:tc>
      </w:tr>
      <w:tr w14:paraId="6B0A9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2303D505">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w:t>
            </w:r>
          </w:p>
        </w:tc>
        <w:tc>
          <w:tcPr>
            <w:tcW w:w="1582" w:type="dxa"/>
            <w:vAlign w:val="center"/>
          </w:tcPr>
          <w:p w14:paraId="7225E1ED">
            <w:pPr>
              <w:jc w:val="center"/>
              <w:rPr>
                <w:rFonts w:ascii="仿宋_GB2312" w:hAnsi="仿宋_GB2312" w:eastAsia="仿宋_GB2312" w:cs="仿宋_GB2312"/>
                <w:color w:val="auto"/>
                <w:szCs w:val="21"/>
                <w:highlight w:val="none"/>
              </w:rPr>
            </w:pPr>
          </w:p>
        </w:tc>
        <w:tc>
          <w:tcPr>
            <w:tcW w:w="1587" w:type="dxa"/>
            <w:vAlign w:val="center"/>
          </w:tcPr>
          <w:p w14:paraId="552CCF93">
            <w:pPr>
              <w:jc w:val="center"/>
              <w:rPr>
                <w:rFonts w:ascii="仿宋_GB2312" w:hAnsi="仿宋_GB2312" w:eastAsia="仿宋_GB2312" w:cs="仿宋_GB2312"/>
                <w:color w:val="auto"/>
                <w:szCs w:val="21"/>
                <w:highlight w:val="none"/>
              </w:rPr>
            </w:pPr>
          </w:p>
        </w:tc>
        <w:tc>
          <w:tcPr>
            <w:tcW w:w="1427" w:type="dxa"/>
            <w:vAlign w:val="center"/>
          </w:tcPr>
          <w:p w14:paraId="7C43EC34">
            <w:pPr>
              <w:jc w:val="center"/>
              <w:rPr>
                <w:rFonts w:ascii="仿宋_GB2312" w:hAnsi="仿宋_GB2312" w:eastAsia="仿宋_GB2312" w:cs="仿宋_GB2312"/>
                <w:color w:val="auto"/>
                <w:szCs w:val="21"/>
                <w:highlight w:val="none"/>
              </w:rPr>
            </w:pPr>
          </w:p>
        </w:tc>
        <w:tc>
          <w:tcPr>
            <w:tcW w:w="1427" w:type="dxa"/>
            <w:vAlign w:val="center"/>
          </w:tcPr>
          <w:p w14:paraId="06FE8153">
            <w:pPr>
              <w:jc w:val="center"/>
              <w:rPr>
                <w:rFonts w:ascii="仿宋_GB2312" w:hAnsi="仿宋_GB2312" w:eastAsia="仿宋_GB2312" w:cs="仿宋_GB2312"/>
                <w:color w:val="auto"/>
                <w:szCs w:val="21"/>
                <w:highlight w:val="none"/>
              </w:rPr>
            </w:pPr>
          </w:p>
        </w:tc>
        <w:tc>
          <w:tcPr>
            <w:tcW w:w="1344" w:type="dxa"/>
            <w:vAlign w:val="center"/>
          </w:tcPr>
          <w:p w14:paraId="65AC864C">
            <w:pPr>
              <w:spacing w:line="360" w:lineRule="auto"/>
              <w:rPr>
                <w:rFonts w:ascii="仿宋_GB2312" w:hAnsi="仿宋_GB2312" w:eastAsia="仿宋_GB2312" w:cs="仿宋_GB2312"/>
                <w:color w:val="auto"/>
                <w:szCs w:val="21"/>
                <w:highlight w:val="none"/>
              </w:rPr>
            </w:pPr>
          </w:p>
        </w:tc>
      </w:tr>
      <w:tr w14:paraId="75D08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641DAE29">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w:t>
            </w:r>
          </w:p>
        </w:tc>
        <w:tc>
          <w:tcPr>
            <w:tcW w:w="1582" w:type="dxa"/>
            <w:vAlign w:val="center"/>
          </w:tcPr>
          <w:p w14:paraId="6DEC908B">
            <w:pPr>
              <w:jc w:val="center"/>
              <w:rPr>
                <w:rFonts w:ascii="仿宋_GB2312" w:hAnsi="仿宋_GB2312" w:eastAsia="仿宋_GB2312" w:cs="仿宋_GB2312"/>
                <w:color w:val="auto"/>
                <w:szCs w:val="21"/>
                <w:highlight w:val="none"/>
              </w:rPr>
            </w:pPr>
          </w:p>
        </w:tc>
        <w:tc>
          <w:tcPr>
            <w:tcW w:w="1587" w:type="dxa"/>
            <w:vAlign w:val="center"/>
          </w:tcPr>
          <w:p w14:paraId="6985904C">
            <w:pPr>
              <w:jc w:val="center"/>
              <w:rPr>
                <w:rFonts w:ascii="仿宋_GB2312" w:hAnsi="仿宋_GB2312" w:eastAsia="仿宋_GB2312" w:cs="仿宋_GB2312"/>
                <w:color w:val="auto"/>
                <w:szCs w:val="21"/>
                <w:highlight w:val="none"/>
              </w:rPr>
            </w:pPr>
          </w:p>
        </w:tc>
        <w:tc>
          <w:tcPr>
            <w:tcW w:w="1427" w:type="dxa"/>
            <w:vAlign w:val="center"/>
          </w:tcPr>
          <w:p w14:paraId="0F64F173">
            <w:pPr>
              <w:jc w:val="center"/>
              <w:rPr>
                <w:rFonts w:ascii="仿宋_GB2312" w:hAnsi="仿宋_GB2312" w:eastAsia="仿宋_GB2312" w:cs="仿宋_GB2312"/>
                <w:color w:val="auto"/>
                <w:szCs w:val="21"/>
                <w:highlight w:val="none"/>
              </w:rPr>
            </w:pPr>
          </w:p>
        </w:tc>
        <w:tc>
          <w:tcPr>
            <w:tcW w:w="1427" w:type="dxa"/>
            <w:vAlign w:val="center"/>
          </w:tcPr>
          <w:p w14:paraId="4C00582F">
            <w:pPr>
              <w:jc w:val="center"/>
              <w:rPr>
                <w:rFonts w:ascii="仿宋_GB2312" w:hAnsi="仿宋_GB2312" w:eastAsia="仿宋_GB2312" w:cs="仿宋_GB2312"/>
                <w:color w:val="auto"/>
                <w:szCs w:val="21"/>
                <w:highlight w:val="none"/>
              </w:rPr>
            </w:pPr>
          </w:p>
        </w:tc>
        <w:tc>
          <w:tcPr>
            <w:tcW w:w="1344" w:type="dxa"/>
            <w:vAlign w:val="center"/>
          </w:tcPr>
          <w:p w14:paraId="646970F2">
            <w:pPr>
              <w:spacing w:line="360" w:lineRule="auto"/>
              <w:rPr>
                <w:rFonts w:ascii="仿宋_GB2312" w:hAnsi="仿宋_GB2312" w:eastAsia="仿宋_GB2312" w:cs="仿宋_GB2312"/>
                <w:color w:val="auto"/>
                <w:szCs w:val="21"/>
                <w:highlight w:val="none"/>
              </w:rPr>
            </w:pPr>
          </w:p>
        </w:tc>
      </w:tr>
      <w:tr w14:paraId="2E4FC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6176275E">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w:t>
            </w:r>
          </w:p>
        </w:tc>
        <w:tc>
          <w:tcPr>
            <w:tcW w:w="1582" w:type="dxa"/>
            <w:vAlign w:val="center"/>
          </w:tcPr>
          <w:p w14:paraId="7BA06D19">
            <w:pPr>
              <w:jc w:val="center"/>
              <w:rPr>
                <w:rFonts w:ascii="仿宋_GB2312" w:hAnsi="仿宋_GB2312" w:eastAsia="仿宋_GB2312" w:cs="仿宋_GB2312"/>
                <w:color w:val="auto"/>
                <w:szCs w:val="21"/>
                <w:highlight w:val="none"/>
              </w:rPr>
            </w:pPr>
          </w:p>
        </w:tc>
        <w:tc>
          <w:tcPr>
            <w:tcW w:w="1587" w:type="dxa"/>
            <w:vAlign w:val="center"/>
          </w:tcPr>
          <w:p w14:paraId="3E6D44D4">
            <w:pPr>
              <w:jc w:val="center"/>
              <w:rPr>
                <w:rFonts w:ascii="仿宋_GB2312" w:hAnsi="仿宋_GB2312" w:eastAsia="仿宋_GB2312" w:cs="仿宋_GB2312"/>
                <w:color w:val="auto"/>
                <w:szCs w:val="21"/>
                <w:highlight w:val="none"/>
              </w:rPr>
            </w:pPr>
          </w:p>
        </w:tc>
        <w:tc>
          <w:tcPr>
            <w:tcW w:w="1427" w:type="dxa"/>
            <w:vAlign w:val="center"/>
          </w:tcPr>
          <w:p w14:paraId="4282C6A8">
            <w:pPr>
              <w:jc w:val="center"/>
              <w:rPr>
                <w:rFonts w:ascii="仿宋_GB2312" w:hAnsi="仿宋_GB2312" w:eastAsia="仿宋_GB2312" w:cs="仿宋_GB2312"/>
                <w:color w:val="auto"/>
                <w:szCs w:val="21"/>
                <w:highlight w:val="none"/>
              </w:rPr>
            </w:pPr>
          </w:p>
        </w:tc>
        <w:tc>
          <w:tcPr>
            <w:tcW w:w="1427" w:type="dxa"/>
            <w:vAlign w:val="center"/>
          </w:tcPr>
          <w:p w14:paraId="20BB32E7">
            <w:pPr>
              <w:jc w:val="center"/>
              <w:rPr>
                <w:rFonts w:ascii="仿宋_GB2312" w:hAnsi="仿宋_GB2312" w:eastAsia="仿宋_GB2312" w:cs="仿宋_GB2312"/>
                <w:color w:val="auto"/>
                <w:szCs w:val="21"/>
                <w:highlight w:val="none"/>
              </w:rPr>
            </w:pPr>
          </w:p>
        </w:tc>
        <w:tc>
          <w:tcPr>
            <w:tcW w:w="1344" w:type="dxa"/>
            <w:vAlign w:val="center"/>
          </w:tcPr>
          <w:p w14:paraId="5D3806CF">
            <w:pPr>
              <w:spacing w:line="360" w:lineRule="auto"/>
              <w:rPr>
                <w:rFonts w:ascii="仿宋_GB2312" w:hAnsi="仿宋_GB2312" w:eastAsia="仿宋_GB2312" w:cs="仿宋_GB2312"/>
                <w:color w:val="auto"/>
                <w:szCs w:val="21"/>
                <w:highlight w:val="none"/>
              </w:rPr>
            </w:pPr>
          </w:p>
        </w:tc>
      </w:tr>
      <w:tr w14:paraId="34AAA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vAlign w:val="center"/>
          </w:tcPr>
          <w:p w14:paraId="071A6A77">
            <w:pPr>
              <w:ind w:firstLine="422"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rPr>
              <w:t xml:space="preserve"> </w:t>
            </w:r>
            <w:r>
              <w:rPr>
                <w:rFonts w:hint="eastAsia" w:ascii="仿宋_GB2312" w:hAnsi="仿宋_GB2312" w:eastAsia="仿宋_GB2312" w:cs="仿宋_GB2312"/>
                <w:b/>
                <w:color w:val="auto"/>
                <w:szCs w:val="21"/>
                <w:highlight w:val="none"/>
                <w:lang w:val="zh-CN"/>
              </w:rPr>
              <w:t>投标文件中所提供投标的以上伴随产品为我单位生产的产品，</w:t>
            </w:r>
            <w:r>
              <w:rPr>
                <w:rFonts w:hint="eastAsia" w:ascii="仿宋_GB2312" w:hAnsi="仿宋_GB2312" w:eastAsia="仿宋_GB2312" w:cs="仿宋_GB2312"/>
                <w:b/>
                <w:color w:val="auto"/>
                <w:szCs w:val="21"/>
                <w:highlight w:val="none"/>
              </w:rPr>
              <w:t>如有虚假</w:t>
            </w:r>
            <w:r>
              <w:rPr>
                <w:rFonts w:hint="eastAsia" w:ascii="仿宋_GB2312" w:hAnsi="仿宋_GB2312" w:eastAsia="仿宋_GB2312" w:cs="仿宋_GB2312"/>
                <w:b/>
                <w:color w:val="auto"/>
                <w:szCs w:val="21"/>
                <w:highlight w:val="none"/>
                <w:lang w:val="zh-CN"/>
              </w:rPr>
              <w:t>，我单位承担由此产生的一切后果</w:t>
            </w:r>
            <w:r>
              <w:rPr>
                <w:rFonts w:hint="eastAsia" w:ascii="仿宋_GB2312" w:hAnsi="仿宋_GB2312" w:eastAsia="仿宋_GB2312" w:cs="仿宋_GB2312"/>
                <w:color w:val="auto"/>
                <w:szCs w:val="21"/>
                <w:highlight w:val="none"/>
                <w:lang w:val="zh-CN"/>
              </w:rPr>
              <w:t>。</w:t>
            </w:r>
          </w:p>
        </w:tc>
      </w:tr>
    </w:tbl>
    <w:p w14:paraId="7A39DC07">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19FC1A82">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注：1、供应商为非残疾人福利性单位的，无需填写此声明函。</w:t>
      </w:r>
    </w:p>
    <w:p w14:paraId="4FA8E1EA">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2、仅为本项目提供服务，未提供服务所伴随产品的，此表格可不填写。</w:t>
      </w:r>
    </w:p>
    <w:p w14:paraId="1146BEA9">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3、如为本项目提供本单位伴随产品的，请填写此表格。</w:t>
      </w:r>
    </w:p>
    <w:p w14:paraId="2D077BFB">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4、如为本项目提供的伴随产品是其他单位生产的，无需填写此表格，但需生产单位按此格式出具此声明。</w:t>
      </w:r>
    </w:p>
    <w:p w14:paraId="06459E86">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675E1286">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3F00A4FB">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551074C5">
      <w:pPr>
        <w:adjustRightInd w:val="0"/>
        <w:snapToGrid w:val="0"/>
        <w:spacing w:line="480" w:lineRule="auto"/>
        <w:ind w:right="105" w:rightChars="5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投标人名称（加盖单位公章）：</w:t>
      </w:r>
      <w:r>
        <w:rPr>
          <w:rFonts w:hint="eastAsia" w:ascii="仿宋_GB2312" w:hAnsi="仿宋_GB2312" w:eastAsia="仿宋_GB2312" w:cs="仿宋_GB2312"/>
          <w:color w:val="auto"/>
          <w:szCs w:val="21"/>
          <w:highlight w:val="none"/>
          <w:u w:val="single"/>
        </w:rPr>
        <w:t xml:space="preserve">              </w:t>
      </w:r>
    </w:p>
    <w:p w14:paraId="0FA29F9A">
      <w:pPr>
        <w:adjustRightInd w:val="0"/>
        <w:snapToGrid w:val="0"/>
        <w:spacing w:line="480" w:lineRule="auto"/>
        <w:ind w:right="105" w:rightChars="50"/>
        <w:jc w:val="left"/>
        <w:rPr>
          <w:rFonts w:ascii="仿宋_GB2312" w:hAnsi="仿宋_GB2312" w:eastAsia="仿宋_GB2312" w:cs="仿宋_GB2312"/>
          <w:b/>
          <w:color w:val="auto"/>
          <w:sz w:val="28"/>
          <w:szCs w:val="28"/>
          <w:highlight w:val="none"/>
        </w:rPr>
      </w:pPr>
      <w:r>
        <w:rPr>
          <w:rFonts w:hint="eastAsia" w:ascii="仿宋_GB2312" w:hAnsi="仿宋_GB2312" w:eastAsia="仿宋_GB2312" w:cs="仿宋_GB2312"/>
          <w:color w:val="auto"/>
          <w:szCs w:val="21"/>
          <w:highlight w:val="none"/>
        </w:rPr>
        <w:t>日 期：</w:t>
      </w:r>
      <w:r>
        <w:rPr>
          <w:rFonts w:hint="eastAsia" w:ascii="仿宋_GB2312" w:hAnsi="仿宋_GB2312" w:eastAsia="仿宋_GB2312" w:cs="仿宋_GB2312"/>
          <w:color w:val="auto"/>
          <w:szCs w:val="21"/>
          <w:highlight w:val="none"/>
          <w:u w:val="single"/>
        </w:rPr>
        <w:t xml:space="preserve">              </w:t>
      </w:r>
    </w:p>
    <w:p w14:paraId="5F3BA4D4">
      <w:pPr>
        <w:rPr>
          <w:rFonts w:ascii="仿宋_GB2312" w:hAnsi="仿宋_GB2312" w:eastAsia="仿宋_GB2312" w:cs="仿宋_GB2312"/>
          <w:color w:val="auto"/>
          <w:szCs w:val="28"/>
          <w:highlight w:val="none"/>
        </w:rPr>
      </w:pPr>
      <w:r>
        <w:rPr>
          <w:rFonts w:hint="eastAsia" w:ascii="仿宋_GB2312" w:hAnsi="仿宋_GB2312" w:eastAsia="仿宋_GB2312" w:cs="仿宋_GB2312"/>
          <w:color w:val="auto"/>
          <w:szCs w:val="28"/>
          <w:highlight w:val="none"/>
        </w:rPr>
        <w:br w:type="page"/>
      </w:r>
    </w:p>
    <w:p w14:paraId="1FBA82D0">
      <w:pPr>
        <w:pStyle w:val="3"/>
        <w:adjustRightInd w:val="0"/>
        <w:snapToGrid w:val="0"/>
        <w:spacing w:before="0" w:after="0" w:line="240" w:lineRule="auto"/>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8"/>
          <w:highlight w:val="none"/>
        </w:rPr>
        <w:t>格式10</w:t>
      </w:r>
    </w:p>
    <w:p w14:paraId="242EE7F6">
      <w:pPr>
        <w:spacing w:before="312" w:beforeLines="100" w:after="312" w:afterLines="100" w:line="360" w:lineRule="auto"/>
        <w:ind w:right="-21" w:rightChars="-10"/>
        <w:jc w:val="center"/>
        <w:rPr>
          <w:rFonts w:ascii="仿宋_GB2312" w:hAnsi="仿宋_GB2312" w:eastAsia="仿宋_GB2312" w:cs="仿宋_GB2312"/>
          <w:b/>
          <w:color w:val="auto"/>
          <w:sz w:val="32"/>
          <w:szCs w:val="32"/>
          <w:highlight w:val="none"/>
        </w:rPr>
      </w:pPr>
      <w:bookmarkStart w:id="102" w:name="_Toc14782_WPSOffice_Level2"/>
      <w:bookmarkStart w:id="103" w:name="_Toc24841_WPSOffice_Level2"/>
      <w:r>
        <w:rPr>
          <w:rFonts w:hint="eastAsia" w:ascii="仿宋_GB2312" w:hAnsi="仿宋_GB2312" w:eastAsia="仿宋_GB2312" w:cs="仿宋_GB2312"/>
          <w:b/>
          <w:color w:val="auto"/>
          <w:sz w:val="32"/>
          <w:szCs w:val="32"/>
          <w:highlight w:val="none"/>
        </w:rPr>
        <w:t>投标函</w:t>
      </w:r>
      <w:bookmarkEnd w:id="102"/>
      <w:bookmarkEnd w:id="103"/>
    </w:p>
    <w:p w14:paraId="7B2EB0FA">
      <w:pPr>
        <w:adjustRightInd w:val="0"/>
        <w:snapToGrid w:val="0"/>
        <w:spacing w:line="360" w:lineRule="auto"/>
        <w:ind w:right="630" w:rightChars="30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 xml:space="preserve"> </w:t>
      </w:r>
      <w:r>
        <w:rPr>
          <w:rFonts w:hint="eastAsia" w:ascii="仿宋_GB2312" w:hAnsi="仿宋_GB2312" w:eastAsia="仿宋_GB2312" w:cs="仿宋_GB2312"/>
          <w:color w:val="auto"/>
          <w:szCs w:val="21"/>
          <w:highlight w:val="none"/>
          <w:u w:val="single"/>
        </w:rPr>
        <w:t>（采购人或采购代理机构）：</w:t>
      </w:r>
    </w:p>
    <w:p w14:paraId="6772E5DF">
      <w:pPr>
        <w:adjustRightInd w:val="0"/>
        <w:snapToGrid w:val="0"/>
        <w:spacing w:line="360" w:lineRule="auto"/>
        <w:ind w:right="-21" w:rightChars="-1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根据贵方</w:t>
      </w:r>
      <w:r>
        <w:rPr>
          <w:rFonts w:hint="eastAsia" w:ascii="仿宋_GB2312" w:hAnsi="仿宋_GB2312" w:eastAsia="仿宋_GB2312" w:cs="仿宋_GB2312"/>
          <w:color w:val="auto"/>
          <w:szCs w:val="21"/>
          <w:highlight w:val="none"/>
          <w:u w:val="single"/>
        </w:rPr>
        <w:t>(项目名称)</w:t>
      </w:r>
      <w:r>
        <w:rPr>
          <w:rFonts w:hint="eastAsia" w:ascii="仿宋_GB2312" w:hAnsi="仿宋_GB2312" w:eastAsia="仿宋_GB2312" w:cs="仿宋_GB2312"/>
          <w:color w:val="auto"/>
          <w:szCs w:val="21"/>
          <w:highlight w:val="none"/>
        </w:rPr>
        <w:t>项目的招标公告</w:t>
      </w:r>
      <w:r>
        <w:rPr>
          <w:rFonts w:hint="eastAsia" w:ascii="仿宋_GB2312" w:hAnsi="仿宋_GB2312" w:eastAsia="仿宋_GB2312" w:cs="仿宋_GB2312"/>
          <w:color w:val="auto"/>
          <w:szCs w:val="21"/>
          <w:highlight w:val="none"/>
          <w:u w:val="single"/>
        </w:rPr>
        <w:t>(招标编号、包号)</w:t>
      </w:r>
      <w:r>
        <w:rPr>
          <w:rFonts w:hint="eastAsia" w:ascii="仿宋_GB2312" w:hAnsi="仿宋_GB2312" w:eastAsia="仿宋_GB2312" w:cs="仿宋_GB2312"/>
          <w:color w:val="auto"/>
          <w:szCs w:val="21"/>
          <w:highlight w:val="none"/>
        </w:rPr>
        <w:t>,签字代表</w:t>
      </w:r>
      <w:r>
        <w:rPr>
          <w:rFonts w:hint="eastAsia" w:ascii="仿宋_GB2312" w:hAnsi="仿宋_GB2312" w:eastAsia="仿宋_GB2312" w:cs="仿宋_GB2312"/>
          <w:color w:val="auto"/>
          <w:szCs w:val="21"/>
          <w:highlight w:val="none"/>
          <w:u w:val="single"/>
        </w:rPr>
        <w:t>(姓名、职务)</w:t>
      </w:r>
      <w:r>
        <w:rPr>
          <w:rFonts w:hint="eastAsia" w:ascii="仿宋_GB2312" w:hAnsi="仿宋_GB2312" w:eastAsia="仿宋_GB2312" w:cs="仿宋_GB2312"/>
          <w:color w:val="auto"/>
          <w:szCs w:val="21"/>
          <w:highlight w:val="none"/>
        </w:rPr>
        <w:t>经正式授权并代表投标人</w:t>
      </w:r>
      <w:r>
        <w:rPr>
          <w:rFonts w:hint="eastAsia" w:ascii="仿宋_GB2312" w:hAnsi="仿宋_GB2312" w:eastAsia="仿宋_GB2312" w:cs="仿宋_GB2312"/>
          <w:color w:val="auto"/>
          <w:szCs w:val="21"/>
          <w:highlight w:val="none"/>
          <w:u w:val="single"/>
        </w:rPr>
        <w:t>（名称、地址）</w:t>
      </w:r>
      <w:r>
        <w:rPr>
          <w:rFonts w:hint="eastAsia" w:ascii="仿宋_GB2312" w:hAnsi="仿宋_GB2312" w:eastAsia="仿宋_GB2312" w:cs="仿宋_GB2312"/>
          <w:color w:val="auto"/>
          <w:szCs w:val="21"/>
          <w:highlight w:val="none"/>
        </w:rPr>
        <w:t>提交下述文件正本</w:t>
      </w:r>
      <w:r>
        <w:rPr>
          <w:rFonts w:hint="eastAsia" w:ascii="仿宋_GB2312" w:hAnsi="仿宋_GB2312" w:eastAsia="仿宋_GB2312" w:cs="仿宋_GB2312"/>
          <w:color w:val="auto"/>
          <w:szCs w:val="21"/>
          <w:highlight w:val="none"/>
          <w:u w:val="single"/>
        </w:rPr>
        <w:t>1</w:t>
      </w:r>
      <w:r>
        <w:rPr>
          <w:rFonts w:hint="eastAsia" w:ascii="仿宋_GB2312" w:hAnsi="仿宋_GB2312" w:eastAsia="仿宋_GB2312" w:cs="仿宋_GB2312"/>
          <w:color w:val="auto"/>
          <w:szCs w:val="21"/>
          <w:highlight w:val="none"/>
        </w:rPr>
        <w:t>份。</w:t>
      </w:r>
    </w:p>
    <w:p w14:paraId="44D040E0">
      <w:p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据此，签字代表宣布同意如下：</w:t>
      </w:r>
    </w:p>
    <w:p w14:paraId="5023BC6E">
      <w:pPr>
        <w:numPr>
          <w:ilvl w:val="0"/>
          <w:numId w:val="3"/>
        </w:num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本项目投标总价详见开标一览表。</w:t>
      </w:r>
    </w:p>
    <w:p w14:paraId="030E1971">
      <w:pPr>
        <w:numPr>
          <w:ilvl w:val="0"/>
          <w:numId w:val="3"/>
        </w:num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本投标有效期为自递交投标文件截止之日起</w:t>
      </w:r>
      <w:r>
        <w:rPr>
          <w:rFonts w:hint="eastAsia" w:ascii="仿宋_GB2312" w:hAnsi="仿宋_GB2312" w:eastAsia="仿宋_GB2312" w:cs="仿宋_GB2312"/>
          <w:color w:val="auto"/>
          <w:szCs w:val="21"/>
          <w:highlight w:val="none"/>
          <w:u w:val="single"/>
        </w:rPr>
        <w:t>90</w:t>
      </w:r>
      <w:r>
        <w:rPr>
          <w:rFonts w:hint="eastAsia" w:ascii="仿宋_GB2312" w:hAnsi="仿宋_GB2312" w:eastAsia="仿宋_GB2312" w:cs="仿宋_GB2312"/>
          <w:color w:val="auto"/>
          <w:szCs w:val="21"/>
          <w:highlight w:val="none"/>
        </w:rPr>
        <w:t>日历日。</w:t>
      </w:r>
    </w:p>
    <w:p w14:paraId="5D0F7C0D">
      <w:p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（3）已详细审查全部招标文件，包括所有补充通知（如果有的话）。</w:t>
      </w:r>
    </w:p>
    <w:p w14:paraId="729C7EB8">
      <w:p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（4）在规定的开标时间后，遵守招标文件中有关保证金的规定。</w:t>
      </w:r>
    </w:p>
    <w:p w14:paraId="5E915927">
      <w:p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（5）我方不是为本项目提供整体设计、规范编制或者项目管理、监理、检测等服务的供应商，我方不是采购代理机构的附属机构。</w:t>
      </w:r>
    </w:p>
    <w:p w14:paraId="29B2FACC">
      <w:p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（6）在领取中标通知书的同时按招标文件规定的形式，向采购代理机构一次性支付采购代理服务费（适用于中标人支付采购代理服务费情形）。</w:t>
      </w:r>
    </w:p>
    <w:p w14:paraId="1A0B3BD4">
      <w:p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（7）按照贵方可能要求，提供与其投标有关的一切数据或资料，完全理解贵方不一定接受最低价的投标或收到的任何投标。</w:t>
      </w:r>
    </w:p>
    <w:p w14:paraId="171EAE0B">
      <w:p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（8）按照招标文件的规定履行合同责任和义务。</w:t>
      </w:r>
    </w:p>
    <w:p w14:paraId="14A7B052">
      <w:p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（9）我方承诺投标文件中的证明材料真实、合法、有效。</w:t>
      </w:r>
    </w:p>
    <w:p w14:paraId="1C1EB3DD">
      <w:p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其他事项：</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w:t>
      </w:r>
    </w:p>
    <w:p w14:paraId="05F7E902">
      <w:pPr>
        <w:adjustRightInd w:val="0"/>
        <w:snapToGrid w:val="0"/>
        <w:spacing w:line="360" w:lineRule="auto"/>
        <w:ind w:right="-21" w:rightChars="-10"/>
        <w:rPr>
          <w:rFonts w:ascii="仿宋_GB2312" w:hAnsi="仿宋_GB2312" w:eastAsia="仿宋_GB2312" w:cs="仿宋_GB2312"/>
          <w:color w:val="auto"/>
          <w:szCs w:val="21"/>
          <w:highlight w:val="none"/>
        </w:rPr>
      </w:pPr>
    </w:p>
    <w:p w14:paraId="231206AE">
      <w:pPr>
        <w:adjustRightInd w:val="0"/>
        <w:snapToGrid w:val="0"/>
        <w:spacing w:line="360" w:lineRule="auto"/>
        <w:ind w:right="-21" w:rightChars="-10"/>
        <w:rPr>
          <w:rFonts w:ascii="仿宋_GB2312" w:hAnsi="仿宋_GB2312" w:eastAsia="仿宋_GB2312" w:cs="仿宋_GB2312"/>
          <w:color w:val="auto"/>
          <w:szCs w:val="21"/>
          <w:highlight w:val="none"/>
        </w:rPr>
      </w:pPr>
    </w:p>
    <w:p w14:paraId="7858D68C">
      <w:pPr>
        <w:adjustRightInd w:val="0"/>
        <w:snapToGrid w:val="0"/>
        <w:spacing w:line="360" w:lineRule="auto"/>
        <w:ind w:right="-21" w:rightChars="-1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与本项目有关的一切往来通讯请寄</w:t>
      </w:r>
    </w:p>
    <w:p w14:paraId="455A3B8C">
      <w:pPr>
        <w:adjustRightInd w:val="0"/>
        <w:snapToGrid w:val="0"/>
        <w:spacing w:line="360" w:lineRule="auto"/>
        <w:ind w:right="-21" w:rightChars="-1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地址：</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 xml:space="preserve">         传真：</w:t>
      </w:r>
      <w:r>
        <w:rPr>
          <w:rFonts w:hint="eastAsia" w:ascii="仿宋_GB2312" w:hAnsi="仿宋_GB2312" w:eastAsia="仿宋_GB2312" w:cs="仿宋_GB2312"/>
          <w:color w:val="auto"/>
          <w:szCs w:val="21"/>
          <w:highlight w:val="none"/>
          <w:u w:val="single"/>
        </w:rPr>
        <w:t xml:space="preserve">                         </w:t>
      </w:r>
    </w:p>
    <w:p w14:paraId="6A2D6086">
      <w:pPr>
        <w:adjustRightInd w:val="0"/>
        <w:snapToGrid w:val="0"/>
        <w:spacing w:line="360" w:lineRule="auto"/>
        <w:ind w:right="-21" w:rightChars="-1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电话：</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 xml:space="preserve">         电子邮件：</w:t>
      </w:r>
      <w:r>
        <w:rPr>
          <w:rFonts w:hint="eastAsia" w:ascii="仿宋_GB2312" w:hAnsi="仿宋_GB2312" w:eastAsia="仿宋_GB2312" w:cs="仿宋_GB2312"/>
          <w:color w:val="auto"/>
          <w:szCs w:val="21"/>
          <w:highlight w:val="none"/>
          <w:u w:val="single"/>
        </w:rPr>
        <w:t xml:space="preserve">                     </w:t>
      </w:r>
    </w:p>
    <w:p w14:paraId="2804A881">
      <w:pPr>
        <w:adjustRightInd w:val="0"/>
        <w:snapToGrid w:val="0"/>
        <w:spacing w:line="360" w:lineRule="auto"/>
        <w:ind w:right="-21" w:rightChars="-1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法定代表人（非法人组织负责人）或其授权委托人（签字或盖章）：</w:t>
      </w:r>
      <w:r>
        <w:rPr>
          <w:rFonts w:hint="eastAsia" w:ascii="仿宋_GB2312" w:hAnsi="仿宋_GB2312" w:eastAsia="仿宋_GB2312" w:cs="仿宋_GB2312"/>
          <w:color w:val="auto"/>
          <w:szCs w:val="21"/>
          <w:highlight w:val="none"/>
          <w:u w:val="single"/>
        </w:rPr>
        <w:t xml:space="preserve">       </w:t>
      </w:r>
    </w:p>
    <w:p w14:paraId="3EC2D80F">
      <w:pPr>
        <w:adjustRightInd w:val="0"/>
        <w:snapToGrid w:val="0"/>
        <w:spacing w:line="360" w:lineRule="auto"/>
        <w:ind w:right="-21" w:rightChars="-1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投标人名称（加盖单位公章）：</w:t>
      </w:r>
      <w:r>
        <w:rPr>
          <w:rFonts w:hint="eastAsia" w:ascii="仿宋_GB2312" w:hAnsi="仿宋_GB2312" w:eastAsia="仿宋_GB2312" w:cs="仿宋_GB2312"/>
          <w:color w:val="auto"/>
          <w:szCs w:val="21"/>
          <w:highlight w:val="none"/>
          <w:u w:val="single"/>
        </w:rPr>
        <w:t xml:space="preserve">         </w:t>
      </w:r>
    </w:p>
    <w:p w14:paraId="0DE6EC65">
      <w:pPr>
        <w:adjustRightInd w:val="0"/>
        <w:snapToGrid w:val="0"/>
        <w:spacing w:line="360" w:lineRule="auto"/>
        <w:ind w:right="-21" w:rightChars="-1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投标人开户银行（全称）：</w:t>
      </w:r>
      <w:r>
        <w:rPr>
          <w:rFonts w:hint="eastAsia" w:ascii="仿宋_GB2312" w:hAnsi="仿宋_GB2312" w:eastAsia="仿宋_GB2312" w:cs="仿宋_GB2312"/>
          <w:color w:val="auto"/>
          <w:szCs w:val="21"/>
          <w:highlight w:val="none"/>
          <w:u w:val="single"/>
        </w:rPr>
        <w:t xml:space="preserve">             </w:t>
      </w:r>
    </w:p>
    <w:p w14:paraId="17CC6DE1">
      <w:pPr>
        <w:adjustRightInd w:val="0"/>
        <w:snapToGrid w:val="0"/>
        <w:spacing w:line="360" w:lineRule="auto"/>
        <w:ind w:right="-21" w:rightChars="-1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投标人银行账号：</w:t>
      </w:r>
      <w:r>
        <w:rPr>
          <w:rFonts w:hint="eastAsia" w:ascii="仿宋_GB2312" w:hAnsi="仿宋_GB2312" w:eastAsia="仿宋_GB2312" w:cs="仿宋_GB2312"/>
          <w:color w:val="auto"/>
          <w:szCs w:val="21"/>
          <w:highlight w:val="none"/>
          <w:u w:val="single"/>
        </w:rPr>
        <w:t xml:space="preserve">                     </w:t>
      </w:r>
    </w:p>
    <w:p w14:paraId="49CC6E59">
      <w:pPr>
        <w:adjustRightInd w:val="0"/>
        <w:snapToGrid w:val="0"/>
        <w:spacing w:line="360" w:lineRule="auto"/>
        <w:ind w:right="1050" w:rightChars="500"/>
        <w:jc w:val="left"/>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日    期：</w:t>
      </w:r>
      <w:r>
        <w:rPr>
          <w:rFonts w:hint="eastAsia" w:ascii="仿宋_GB2312" w:hAnsi="仿宋_GB2312" w:eastAsia="仿宋_GB2312" w:cs="仿宋_GB2312"/>
          <w:color w:val="auto"/>
          <w:szCs w:val="21"/>
          <w:highlight w:val="none"/>
          <w:u w:val="single"/>
        </w:rPr>
        <w:t xml:space="preserve">                           </w:t>
      </w:r>
    </w:p>
    <w:p w14:paraId="5D415C2F">
      <w:pPr>
        <w:pStyle w:val="3"/>
        <w:adjustRightInd w:val="0"/>
        <w:snapToGrid w:val="0"/>
        <w:spacing w:before="0" w:after="0" w:line="240" w:lineRule="auto"/>
        <w:jc w:val="left"/>
        <w:rPr>
          <w:rFonts w:ascii="仿宋_GB2312" w:hAnsi="仿宋_GB2312" w:eastAsia="仿宋_GB2312" w:cs="仿宋_GB2312"/>
          <w:color w:val="auto"/>
          <w:szCs w:val="28"/>
          <w:highlight w:val="none"/>
        </w:rPr>
      </w:pPr>
      <w:r>
        <w:rPr>
          <w:rFonts w:hint="eastAsia" w:ascii="仿宋_GB2312" w:hAnsi="仿宋_GB2312" w:eastAsia="仿宋_GB2312" w:cs="仿宋_GB2312"/>
          <w:b w:val="0"/>
          <w:color w:val="auto"/>
          <w:sz w:val="32"/>
          <w:szCs w:val="32"/>
          <w:highlight w:val="none"/>
        </w:rPr>
        <w:br w:type="page"/>
      </w:r>
      <w:r>
        <w:rPr>
          <w:rFonts w:hint="eastAsia" w:ascii="仿宋_GB2312" w:hAnsi="仿宋_GB2312" w:eastAsia="仿宋_GB2312" w:cs="仿宋_GB2312"/>
          <w:color w:val="auto"/>
          <w:szCs w:val="28"/>
          <w:highlight w:val="none"/>
        </w:rPr>
        <w:t>格式11</w:t>
      </w:r>
    </w:p>
    <w:p w14:paraId="6103444A">
      <w:pPr>
        <w:adjustRightInd w:val="0"/>
        <w:snapToGrid w:val="0"/>
        <w:spacing w:before="312" w:beforeLines="100" w:after="312" w:afterLines="100" w:line="360" w:lineRule="auto"/>
        <w:ind w:right="105" w:rightChars="50"/>
        <w:jc w:val="center"/>
        <w:rPr>
          <w:rFonts w:ascii="仿宋_GB2312" w:hAnsi="仿宋_GB2312" w:eastAsia="仿宋_GB2312" w:cs="仿宋_GB2312"/>
          <w:b/>
          <w:bCs/>
          <w:color w:val="auto"/>
          <w:sz w:val="32"/>
          <w:szCs w:val="32"/>
          <w:highlight w:val="none"/>
        </w:rPr>
      </w:pPr>
      <w:bookmarkStart w:id="104" w:name="_Toc2673_WPSOffice_Level2"/>
      <w:bookmarkStart w:id="105" w:name="_Toc11267_WPSOffice_Level2"/>
      <w:r>
        <w:rPr>
          <w:rFonts w:hint="eastAsia" w:ascii="仿宋_GB2312" w:hAnsi="仿宋_GB2312" w:eastAsia="仿宋_GB2312" w:cs="仿宋_GB2312"/>
          <w:b/>
          <w:bCs/>
          <w:color w:val="auto"/>
          <w:sz w:val="32"/>
          <w:szCs w:val="32"/>
          <w:highlight w:val="none"/>
        </w:rPr>
        <w:t>开标一览表</w:t>
      </w:r>
      <w:bookmarkEnd w:id="104"/>
      <w:bookmarkEnd w:id="105"/>
    </w:p>
    <w:p w14:paraId="57B07161">
      <w:pPr>
        <w:adjustRightInd w:val="0"/>
        <w:snapToGrid w:val="0"/>
        <w:spacing w:line="360" w:lineRule="auto"/>
        <w:ind w:right="105" w:rightChars="50"/>
        <w:jc w:val="left"/>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包号：                                                            报价单位：元</w:t>
      </w:r>
    </w:p>
    <w:tbl>
      <w:tblPr>
        <w:tblStyle w:val="22"/>
        <w:tblW w:w="8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9"/>
        <w:gridCol w:w="2373"/>
        <w:gridCol w:w="1309"/>
        <w:gridCol w:w="1109"/>
        <w:gridCol w:w="1252"/>
        <w:gridCol w:w="951"/>
      </w:tblGrid>
      <w:tr w14:paraId="09602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549" w:type="dxa"/>
            <w:vAlign w:val="center"/>
          </w:tcPr>
          <w:p w14:paraId="3F26A9FE">
            <w:pPr>
              <w:adjustRightInd w:val="0"/>
              <w:snapToGrid w:val="0"/>
              <w:ind w:left="-55" w:leftChars="-26" w:right="-46" w:rightChars="-22"/>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货物名称</w:t>
            </w:r>
          </w:p>
        </w:tc>
        <w:tc>
          <w:tcPr>
            <w:tcW w:w="2373" w:type="dxa"/>
            <w:vAlign w:val="center"/>
          </w:tcPr>
          <w:p w14:paraId="3196A132">
            <w:pPr>
              <w:adjustRightInd w:val="0"/>
              <w:snapToGrid w:val="0"/>
              <w:ind w:left="-55" w:leftChars="-26" w:right="-46" w:rightChars="-22"/>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投标总价</w:t>
            </w:r>
          </w:p>
        </w:tc>
        <w:tc>
          <w:tcPr>
            <w:tcW w:w="1309" w:type="dxa"/>
            <w:vAlign w:val="center"/>
          </w:tcPr>
          <w:p w14:paraId="4C4B7C12">
            <w:pPr>
              <w:adjustRightInd w:val="0"/>
              <w:snapToGrid w:val="0"/>
              <w:ind w:left="-55" w:leftChars="-26" w:right="-46" w:rightChars="-22"/>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投标保证金</w:t>
            </w:r>
          </w:p>
        </w:tc>
        <w:tc>
          <w:tcPr>
            <w:tcW w:w="1109" w:type="dxa"/>
            <w:vAlign w:val="center"/>
          </w:tcPr>
          <w:p w14:paraId="3CD03697">
            <w:pPr>
              <w:adjustRightInd w:val="0"/>
              <w:snapToGrid w:val="0"/>
              <w:ind w:left="-55" w:leftChars="-26" w:right="-46" w:rightChars="-22"/>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交货时间</w:t>
            </w:r>
          </w:p>
        </w:tc>
        <w:tc>
          <w:tcPr>
            <w:tcW w:w="1252" w:type="dxa"/>
            <w:vAlign w:val="center"/>
          </w:tcPr>
          <w:p w14:paraId="5CEEFAEE">
            <w:pPr>
              <w:adjustRightInd w:val="0"/>
              <w:snapToGrid w:val="0"/>
              <w:ind w:left="-55" w:leftChars="-26" w:right="-46" w:rightChars="-22"/>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交货地点</w:t>
            </w:r>
          </w:p>
        </w:tc>
        <w:tc>
          <w:tcPr>
            <w:tcW w:w="951" w:type="dxa"/>
            <w:vAlign w:val="center"/>
          </w:tcPr>
          <w:p w14:paraId="31A1F9DD">
            <w:pPr>
              <w:adjustRightInd w:val="0"/>
              <w:snapToGrid w:val="0"/>
              <w:ind w:left="-55" w:leftChars="-26" w:right="-46" w:rightChars="-22"/>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备注</w:t>
            </w:r>
          </w:p>
        </w:tc>
      </w:tr>
      <w:tr w14:paraId="53D01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549" w:type="dxa"/>
            <w:vAlign w:val="center"/>
          </w:tcPr>
          <w:p w14:paraId="7FA2D772">
            <w:pPr>
              <w:adjustRightInd w:val="0"/>
              <w:snapToGrid w:val="0"/>
              <w:ind w:left="-55" w:leftChars="-26" w:right="-46" w:rightChars="-22"/>
              <w:jc w:val="center"/>
              <w:rPr>
                <w:rFonts w:ascii="仿宋_GB2312" w:hAnsi="仿宋_GB2312" w:eastAsia="仿宋_GB2312" w:cs="仿宋_GB2312"/>
                <w:color w:val="auto"/>
                <w:szCs w:val="21"/>
                <w:highlight w:val="none"/>
              </w:rPr>
            </w:pPr>
          </w:p>
        </w:tc>
        <w:tc>
          <w:tcPr>
            <w:tcW w:w="2373" w:type="dxa"/>
            <w:vAlign w:val="center"/>
          </w:tcPr>
          <w:p w14:paraId="321DA87C">
            <w:pPr>
              <w:adjustRightInd w:val="0"/>
              <w:snapToGrid w:val="0"/>
              <w:ind w:left="-55" w:leftChars="-26" w:right="-46" w:rightChars="-22"/>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小写：</w:t>
            </w:r>
          </w:p>
          <w:p w14:paraId="3B6585B9">
            <w:pPr>
              <w:adjustRightInd w:val="0"/>
              <w:snapToGrid w:val="0"/>
              <w:ind w:left="-55" w:leftChars="-26" w:right="-46" w:rightChars="-22"/>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大写：</w:t>
            </w:r>
          </w:p>
        </w:tc>
        <w:tc>
          <w:tcPr>
            <w:tcW w:w="1309" w:type="dxa"/>
            <w:vAlign w:val="center"/>
          </w:tcPr>
          <w:p w14:paraId="2245164D">
            <w:pPr>
              <w:adjustRightInd w:val="0"/>
              <w:snapToGrid w:val="0"/>
              <w:ind w:left="-55" w:leftChars="-26" w:right="-46" w:rightChars="-22"/>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不采用</w:t>
            </w:r>
          </w:p>
        </w:tc>
        <w:tc>
          <w:tcPr>
            <w:tcW w:w="1109" w:type="dxa"/>
            <w:vAlign w:val="center"/>
          </w:tcPr>
          <w:p w14:paraId="06EBD879">
            <w:pPr>
              <w:adjustRightInd w:val="0"/>
              <w:snapToGrid w:val="0"/>
              <w:ind w:left="-55" w:leftChars="-26" w:right="-46" w:rightChars="-22"/>
              <w:jc w:val="center"/>
              <w:rPr>
                <w:rFonts w:ascii="仿宋_GB2312" w:hAnsi="仿宋_GB2312" w:eastAsia="仿宋_GB2312" w:cs="仿宋_GB2312"/>
                <w:color w:val="auto"/>
                <w:szCs w:val="21"/>
                <w:highlight w:val="none"/>
              </w:rPr>
            </w:pPr>
          </w:p>
        </w:tc>
        <w:tc>
          <w:tcPr>
            <w:tcW w:w="1252" w:type="dxa"/>
            <w:vAlign w:val="center"/>
          </w:tcPr>
          <w:p w14:paraId="2711DD71">
            <w:pPr>
              <w:adjustRightInd w:val="0"/>
              <w:snapToGrid w:val="0"/>
              <w:ind w:left="-55" w:leftChars="-26" w:right="-46" w:rightChars="-22"/>
              <w:jc w:val="center"/>
              <w:rPr>
                <w:rFonts w:ascii="仿宋_GB2312" w:hAnsi="仿宋_GB2312" w:eastAsia="仿宋_GB2312" w:cs="仿宋_GB2312"/>
                <w:color w:val="auto"/>
                <w:szCs w:val="21"/>
                <w:highlight w:val="none"/>
              </w:rPr>
            </w:pPr>
          </w:p>
        </w:tc>
        <w:tc>
          <w:tcPr>
            <w:tcW w:w="951" w:type="dxa"/>
            <w:vAlign w:val="center"/>
          </w:tcPr>
          <w:p w14:paraId="059527EB">
            <w:pPr>
              <w:adjustRightInd w:val="0"/>
              <w:snapToGrid w:val="0"/>
              <w:ind w:left="-55" w:leftChars="-26" w:right="-46" w:rightChars="-22"/>
              <w:jc w:val="center"/>
              <w:rPr>
                <w:rFonts w:ascii="仿宋_GB2312" w:hAnsi="仿宋_GB2312" w:eastAsia="仿宋_GB2312" w:cs="仿宋_GB2312"/>
                <w:color w:val="auto"/>
                <w:szCs w:val="21"/>
                <w:highlight w:val="none"/>
              </w:rPr>
            </w:pPr>
          </w:p>
        </w:tc>
      </w:tr>
    </w:tbl>
    <w:p w14:paraId="24D942CF">
      <w:pPr>
        <w:adjustRightInd w:val="0"/>
        <w:snapToGrid w:val="0"/>
        <w:spacing w:line="360" w:lineRule="auto"/>
        <w:ind w:right="105" w:rightChars="50"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注：此表中，投标总价应和分项报价表的总价相一致。</w:t>
      </w:r>
    </w:p>
    <w:p w14:paraId="00F38BAB">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49F7CD59">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29DB5326">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2A4254C2">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2E97ABBB">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72C1D239">
      <w:pPr>
        <w:spacing w:line="480" w:lineRule="auto"/>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投标人名称（加盖单位公章）：</w:t>
      </w:r>
      <w:r>
        <w:rPr>
          <w:rFonts w:hint="eastAsia" w:ascii="仿宋_GB2312" w:hAnsi="仿宋_GB2312" w:eastAsia="仿宋_GB2312" w:cs="仿宋_GB2312"/>
          <w:color w:val="auto"/>
          <w:highlight w:val="none"/>
          <w:u w:val="single"/>
        </w:rPr>
        <w:t xml:space="preserve">           </w:t>
      </w:r>
    </w:p>
    <w:p w14:paraId="3F6C824E">
      <w:pPr>
        <w:spacing w:line="480" w:lineRule="auto"/>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法定代表人（或</w:t>
      </w:r>
      <w:r>
        <w:rPr>
          <w:rFonts w:hint="eastAsia" w:ascii="仿宋_GB2312" w:hAnsi="仿宋_GB2312" w:eastAsia="仿宋_GB2312" w:cs="仿宋_GB2312"/>
          <w:color w:val="auto"/>
          <w:szCs w:val="21"/>
          <w:highlight w:val="none"/>
        </w:rPr>
        <w:t>非法人组织负责人）或</w:t>
      </w:r>
      <w:r>
        <w:rPr>
          <w:rFonts w:hint="eastAsia" w:ascii="仿宋_GB2312" w:hAnsi="仿宋_GB2312" w:eastAsia="仿宋_GB2312" w:cs="仿宋_GB2312"/>
          <w:color w:val="auto"/>
          <w:highlight w:val="none"/>
        </w:rPr>
        <w:t>其</w:t>
      </w:r>
      <w:r>
        <w:rPr>
          <w:rFonts w:hint="eastAsia" w:ascii="仿宋_GB2312" w:hAnsi="仿宋_GB2312" w:eastAsia="仿宋_GB2312" w:cs="仿宋_GB2312"/>
          <w:color w:val="auto"/>
          <w:szCs w:val="21"/>
          <w:highlight w:val="none"/>
        </w:rPr>
        <w:t>授权</w:t>
      </w:r>
      <w:r>
        <w:rPr>
          <w:rFonts w:hint="eastAsia" w:ascii="仿宋_GB2312" w:hAnsi="仿宋_GB2312" w:eastAsia="仿宋_GB2312" w:cs="仿宋_GB2312"/>
          <w:color w:val="auto"/>
          <w:highlight w:val="none"/>
        </w:rPr>
        <w:t>委托</w:t>
      </w:r>
      <w:r>
        <w:rPr>
          <w:rFonts w:hint="eastAsia" w:ascii="仿宋_GB2312" w:hAnsi="仿宋_GB2312" w:eastAsia="仿宋_GB2312" w:cs="仿宋_GB2312"/>
          <w:color w:val="auto"/>
          <w:szCs w:val="21"/>
          <w:highlight w:val="none"/>
        </w:rPr>
        <w:t>人</w:t>
      </w:r>
      <w:r>
        <w:rPr>
          <w:rFonts w:hint="eastAsia" w:ascii="仿宋_GB2312" w:hAnsi="仿宋_GB2312" w:eastAsia="仿宋_GB2312" w:cs="仿宋_GB2312"/>
          <w:color w:val="auto"/>
          <w:highlight w:val="none"/>
        </w:rPr>
        <w:t>(签字或盖章)：</w:t>
      </w:r>
      <w:r>
        <w:rPr>
          <w:rFonts w:hint="eastAsia" w:ascii="仿宋_GB2312" w:hAnsi="仿宋_GB2312" w:eastAsia="仿宋_GB2312" w:cs="仿宋_GB2312"/>
          <w:color w:val="auto"/>
          <w:highlight w:val="none"/>
          <w:u w:val="single"/>
        </w:rPr>
        <w:t xml:space="preserve">           </w:t>
      </w:r>
    </w:p>
    <w:p w14:paraId="1A8C7420">
      <w:pPr>
        <w:spacing w:line="480" w:lineRule="auto"/>
        <w:ind w:right="1050" w:rightChars="500"/>
        <w:jc w:val="left"/>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highlight w:val="none"/>
        </w:rPr>
        <w:t>日期：</w:t>
      </w:r>
      <w:r>
        <w:rPr>
          <w:rFonts w:hint="eastAsia" w:ascii="仿宋_GB2312" w:hAnsi="仿宋_GB2312" w:eastAsia="仿宋_GB2312" w:cs="仿宋_GB2312"/>
          <w:color w:val="auto"/>
          <w:highlight w:val="none"/>
          <w:u w:val="single"/>
        </w:rPr>
        <w:t xml:space="preserve">               </w:t>
      </w:r>
      <w:r>
        <w:rPr>
          <w:rFonts w:hint="eastAsia" w:ascii="仿宋_GB2312" w:hAnsi="仿宋_GB2312" w:eastAsia="仿宋_GB2312" w:cs="仿宋_GB2312"/>
          <w:color w:val="auto"/>
          <w:szCs w:val="21"/>
          <w:highlight w:val="none"/>
        </w:rPr>
        <w:t xml:space="preserve">  </w:t>
      </w:r>
    </w:p>
    <w:p w14:paraId="43AD3C46">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79DD9E63">
      <w:pPr>
        <w:adjustRightInd w:val="0"/>
        <w:snapToGrid w:val="0"/>
        <w:spacing w:line="360" w:lineRule="auto"/>
        <w:ind w:right="105" w:rightChars="50"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br w:type="page"/>
      </w:r>
    </w:p>
    <w:p w14:paraId="66BDF77D">
      <w:pPr>
        <w:pStyle w:val="3"/>
        <w:adjustRightInd w:val="0"/>
        <w:snapToGrid w:val="0"/>
        <w:spacing w:before="0" w:after="0" w:line="240" w:lineRule="auto"/>
        <w:jc w:val="left"/>
        <w:rPr>
          <w:rFonts w:ascii="仿宋_GB2312" w:hAnsi="仿宋_GB2312" w:eastAsia="仿宋_GB2312" w:cs="仿宋_GB2312"/>
          <w:color w:val="auto"/>
          <w:szCs w:val="28"/>
          <w:highlight w:val="none"/>
        </w:rPr>
      </w:pPr>
      <w:r>
        <w:rPr>
          <w:rFonts w:hint="eastAsia" w:ascii="仿宋_GB2312" w:hAnsi="仿宋_GB2312" w:eastAsia="仿宋_GB2312" w:cs="仿宋_GB2312"/>
          <w:color w:val="auto"/>
          <w:szCs w:val="28"/>
          <w:highlight w:val="none"/>
        </w:rPr>
        <w:t>格式12</w:t>
      </w:r>
    </w:p>
    <w:p w14:paraId="5C0242C4">
      <w:pPr>
        <w:adjustRightInd w:val="0"/>
        <w:snapToGrid w:val="0"/>
        <w:spacing w:before="312" w:beforeLines="100" w:after="312" w:afterLines="100" w:line="360" w:lineRule="auto"/>
        <w:ind w:right="105" w:rightChars="50"/>
        <w:jc w:val="center"/>
        <w:rPr>
          <w:rFonts w:ascii="仿宋_GB2312" w:hAnsi="仿宋_GB2312" w:eastAsia="仿宋_GB2312" w:cs="仿宋_GB2312"/>
          <w:b/>
          <w:bCs/>
          <w:color w:val="auto"/>
          <w:sz w:val="32"/>
          <w:szCs w:val="32"/>
          <w:highlight w:val="none"/>
        </w:rPr>
      </w:pPr>
      <w:bookmarkStart w:id="106" w:name="_Toc28271_WPSOffice_Level2"/>
      <w:bookmarkStart w:id="107" w:name="_Toc16044_WPSOffice_Level2"/>
      <w:r>
        <w:rPr>
          <w:rFonts w:hint="eastAsia" w:ascii="仿宋_GB2312" w:hAnsi="仿宋_GB2312" w:eastAsia="仿宋_GB2312" w:cs="仿宋_GB2312"/>
          <w:b/>
          <w:bCs/>
          <w:color w:val="auto"/>
          <w:sz w:val="32"/>
          <w:szCs w:val="32"/>
          <w:highlight w:val="none"/>
        </w:rPr>
        <w:t>分项报价表</w:t>
      </w:r>
      <w:bookmarkEnd w:id="106"/>
      <w:bookmarkEnd w:id="107"/>
    </w:p>
    <w:p w14:paraId="18E35082">
      <w:pPr>
        <w:adjustRightInd w:val="0"/>
        <w:snapToGrid w:val="0"/>
        <w:spacing w:line="360" w:lineRule="auto"/>
        <w:ind w:right="105" w:rightChars="50"/>
        <w:jc w:val="left"/>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包号：                                                            报价单位：元</w:t>
      </w:r>
    </w:p>
    <w:tbl>
      <w:tblPr>
        <w:tblStyle w:val="22"/>
        <w:tblW w:w="9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47"/>
        <w:gridCol w:w="1033"/>
        <w:gridCol w:w="1033"/>
        <w:gridCol w:w="721"/>
        <w:gridCol w:w="802"/>
        <w:gridCol w:w="802"/>
        <w:gridCol w:w="675"/>
        <w:gridCol w:w="682"/>
        <w:gridCol w:w="802"/>
        <w:gridCol w:w="802"/>
      </w:tblGrid>
      <w:tr w14:paraId="2FB36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vAlign w:val="center"/>
          </w:tcPr>
          <w:p w14:paraId="131AAE93">
            <w:pPr>
              <w:adjustRightInd w:val="0"/>
              <w:snapToGrid w:val="0"/>
              <w:ind w:left="-97" w:leftChars="-46" w:right="-63" w:rightChars="-3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序号</w:t>
            </w:r>
          </w:p>
        </w:tc>
        <w:tc>
          <w:tcPr>
            <w:tcW w:w="1347" w:type="dxa"/>
            <w:vAlign w:val="center"/>
          </w:tcPr>
          <w:p w14:paraId="5B91E56E">
            <w:pPr>
              <w:adjustRightInd w:val="0"/>
              <w:snapToGrid w:val="0"/>
              <w:ind w:left="-97" w:leftChars="-46" w:right="-63" w:rightChars="-3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产品名称</w:t>
            </w:r>
          </w:p>
        </w:tc>
        <w:tc>
          <w:tcPr>
            <w:tcW w:w="1033" w:type="dxa"/>
            <w:vAlign w:val="center"/>
          </w:tcPr>
          <w:p w14:paraId="32A10348">
            <w:pPr>
              <w:adjustRightInd w:val="0"/>
              <w:snapToGrid w:val="0"/>
              <w:ind w:left="-97" w:leftChars="-46" w:right="-63" w:rightChars="-3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品牌</w:t>
            </w:r>
          </w:p>
        </w:tc>
        <w:tc>
          <w:tcPr>
            <w:tcW w:w="1033" w:type="dxa"/>
            <w:vAlign w:val="center"/>
          </w:tcPr>
          <w:p w14:paraId="420F4D2A">
            <w:pPr>
              <w:adjustRightInd w:val="0"/>
              <w:snapToGrid w:val="0"/>
              <w:ind w:left="-97" w:leftChars="-46" w:right="-63" w:rightChars="-3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型号</w:t>
            </w:r>
          </w:p>
          <w:p w14:paraId="0FFC8DC2">
            <w:pPr>
              <w:adjustRightInd w:val="0"/>
              <w:snapToGrid w:val="0"/>
              <w:ind w:left="-97" w:leftChars="-46" w:right="-63" w:rightChars="-3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规格</w:t>
            </w:r>
          </w:p>
        </w:tc>
        <w:tc>
          <w:tcPr>
            <w:tcW w:w="721" w:type="dxa"/>
            <w:vAlign w:val="center"/>
          </w:tcPr>
          <w:p w14:paraId="298CA505">
            <w:pPr>
              <w:adjustRightInd w:val="0"/>
              <w:snapToGrid w:val="0"/>
              <w:ind w:left="-97" w:leftChars="-46" w:right="-63" w:rightChars="-3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数量</w:t>
            </w:r>
          </w:p>
        </w:tc>
        <w:tc>
          <w:tcPr>
            <w:tcW w:w="802" w:type="dxa"/>
            <w:vAlign w:val="center"/>
          </w:tcPr>
          <w:p w14:paraId="4AD569C6">
            <w:pPr>
              <w:adjustRightInd w:val="0"/>
              <w:snapToGrid w:val="0"/>
              <w:ind w:left="-97" w:leftChars="-46" w:right="-63" w:rightChars="-3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原产地</w:t>
            </w:r>
          </w:p>
        </w:tc>
        <w:tc>
          <w:tcPr>
            <w:tcW w:w="802" w:type="dxa"/>
            <w:vAlign w:val="center"/>
          </w:tcPr>
          <w:p w14:paraId="1B113D51">
            <w:pPr>
              <w:adjustRightInd w:val="0"/>
              <w:snapToGrid w:val="0"/>
              <w:ind w:left="-97" w:leftChars="-46" w:right="-63" w:rightChars="-3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制造商名称</w:t>
            </w:r>
          </w:p>
        </w:tc>
        <w:tc>
          <w:tcPr>
            <w:tcW w:w="675" w:type="dxa"/>
            <w:vAlign w:val="center"/>
          </w:tcPr>
          <w:p w14:paraId="38E719D7">
            <w:pPr>
              <w:adjustRightInd w:val="0"/>
              <w:snapToGrid w:val="0"/>
              <w:ind w:left="-97" w:leftChars="-46" w:right="-63" w:rightChars="-3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单价</w:t>
            </w:r>
          </w:p>
        </w:tc>
        <w:tc>
          <w:tcPr>
            <w:tcW w:w="682" w:type="dxa"/>
            <w:vAlign w:val="center"/>
          </w:tcPr>
          <w:p w14:paraId="25AC6F75">
            <w:pPr>
              <w:adjustRightInd w:val="0"/>
              <w:snapToGrid w:val="0"/>
              <w:ind w:left="-97" w:leftChars="-46" w:right="-63" w:rightChars="-3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总价</w:t>
            </w:r>
          </w:p>
        </w:tc>
        <w:tc>
          <w:tcPr>
            <w:tcW w:w="802" w:type="dxa"/>
            <w:vAlign w:val="center"/>
          </w:tcPr>
          <w:p w14:paraId="4F32E564">
            <w:pPr>
              <w:adjustRightInd w:val="0"/>
              <w:snapToGrid w:val="0"/>
              <w:ind w:left="-97" w:leftChars="-46" w:right="-63" w:rightChars="-3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质保期</w:t>
            </w:r>
          </w:p>
        </w:tc>
        <w:tc>
          <w:tcPr>
            <w:tcW w:w="802" w:type="dxa"/>
            <w:vAlign w:val="center"/>
          </w:tcPr>
          <w:p w14:paraId="27B5F256">
            <w:pPr>
              <w:adjustRightInd w:val="0"/>
              <w:snapToGrid w:val="0"/>
              <w:ind w:left="-97" w:leftChars="-46" w:right="-63" w:rightChars="-3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备注</w:t>
            </w:r>
          </w:p>
        </w:tc>
      </w:tr>
      <w:tr w14:paraId="0709B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173A69E3">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347" w:type="dxa"/>
            <w:vAlign w:val="center"/>
          </w:tcPr>
          <w:p w14:paraId="4147EC1B">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033" w:type="dxa"/>
            <w:vAlign w:val="center"/>
          </w:tcPr>
          <w:p w14:paraId="13B97778">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033" w:type="dxa"/>
            <w:vAlign w:val="center"/>
          </w:tcPr>
          <w:p w14:paraId="34545768">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721" w:type="dxa"/>
            <w:vAlign w:val="center"/>
          </w:tcPr>
          <w:p w14:paraId="765E9889">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19D470CF">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15724794">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675" w:type="dxa"/>
            <w:vAlign w:val="center"/>
          </w:tcPr>
          <w:p w14:paraId="6A4AF1A9">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682" w:type="dxa"/>
            <w:vAlign w:val="center"/>
          </w:tcPr>
          <w:p w14:paraId="498AAAAC">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2C720A86">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5256C821">
            <w:pPr>
              <w:adjustRightInd w:val="0"/>
              <w:snapToGrid w:val="0"/>
              <w:ind w:left="-97" w:leftChars="-46" w:right="-63" w:rightChars="-30"/>
              <w:jc w:val="center"/>
              <w:rPr>
                <w:rFonts w:ascii="仿宋_GB2312" w:hAnsi="仿宋_GB2312" w:eastAsia="仿宋_GB2312" w:cs="仿宋_GB2312"/>
                <w:color w:val="auto"/>
                <w:szCs w:val="21"/>
                <w:highlight w:val="none"/>
              </w:rPr>
            </w:pPr>
          </w:p>
        </w:tc>
      </w:tr>
      <w:tr w14:paraId="1BD9C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2F751E5B">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347" w:type="dxa"/>
            <w:vAlign w:val="center"/>
          </w:tcPr>
          <w:p w14:paraId="71008AAB">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033" w:type="dxa"/>
            <w:vAlign w:val="center"/>
          </w:tcPr>
          <w:p w14:paraId="2256729E">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033" w:type="dxa"/>
            <w:vAlign w:val="center"/>
          </w:tcPr>
          <w:p w14:paraId="20BBEE38">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721" w:type="dxa"/>
            <w:vAlign w:val="center"/>
          </w:tcPr>
          <w:p w14:paraId="5D77A97B">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36B01151">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158529C4">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675" w:type="dxa"/>
            <w:vAlign w:val="center"/>
          </w:tcPr>
          <w:p w14:paraId="2D09FF1E">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682" w:type="dxa"/>
            <w:vAlign w:val="center"/>
          </w:tcPr>
          <w:p w14:paraId="2838758F">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13E2B7D3">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41D82498">
            <w:pPr>
              <w:adjustRightInd w:val="0"/>
              <w:snapToGrid w:val="0"/>
              <w:ind w:left="-97" w:leftChars="-46" w:right="-63" w:rightChars="-30"/>
              <w:jc w:val="center"/>
              <w:rPr>
                <w:rFonts w:ascii="仿宋_GB2312" w:hAnsi="仿宋_GB2312" w:eastAsia="仿宋_GB2312" w:cs="仿宋_GB2312"/>
                <w:color w:val="auto"/>
                <w:szCs w:val="21"/>
                <w:highlight w:val="none"/>
              </w:rPr>
            </w:pPr>
          </w:p>
        </w:tc>
      </w:tr>
      <w:tr w14:paraId="2DA3D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67E24828">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347" w:type="dxa"/>
            <w:vAlign w:val="center"/>
          </w:tcPr>
          <w:p w14:paraId="4F81D499">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033" w:type="dxa"/>
            <w:vAlign w:val="center"/>
          </w:tcPr>
          <w:p w14:paraId="27A75FCE">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033" w:type="dxa"/>
            <w:vAlign w:val="center"/>
          </w:tcPr>
          <w:p w14:paraId="7EBDCA74">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721" w:type="dxa"/>
            <w:vAlign w:val="center"/>
          </w:tcPr>
          <w:p w14:paraId="15F4DC91">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4328CD9C">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301DB3F6">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675" w:type="dxa"/>
            <w:vAlign w:val="center"/>
          </w:tcPr>
          <w:p w14:paraId="27F7FDF6">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682" w:type="dxa"/>
            <w:vAlign w:val="center"/>
          </w:tcPr>
          <w:p w14:paraId="1E137028">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5DC5D89B">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2E0292E4">
            <w:pPr>
              <w:adjustRightInd w:val="0"/>
              <w:snapToGrid w:val="0"/>
              <w:ind w:left="-97" w:leftChars="-46" w:right="-63" w:rightChars="-30"/>
              <w:jc w:val="center"/>
              <w:rPr>
                <w:rFonts w:ascii="仿宋_GB2312" w:hAnsi="仿宋_GB2312" w:eastAsia="仿宋_GB2312" w:cs="仿宋_GB2312"/>
                <w:color w:val="auto"/>
                <w:szCs w:val="21"/>
                <w:highlight w:val="none"/>
              </w:rPr>
            </w:pPr>
          </w:p>
        </w:tc>
      </w:tr>
      <w:tr w14:paraId="48B52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76BC1CF7">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347" w:type="dxa"/>
            <w:vAlign w:val="center"/>
          </w:tcPr>
          <w:p w14:paraId="122EAE6A">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033" w:type="dxa"/>
            <w:vAlign w:val="center"/>
          </w:tcPr>
          <w:p w14:paraId="4BBF3FEA">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033" w:type="dxa"/>
            <w:vAlign w:val="center"/>
          </w:tcPr>
          <w:p w14:paraId="1F61868B">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721" w:type="dxa"/>
            <w:vAlign w:val="center"/>
          </w:tcPr>
          <w:p w14:paraId="018B7510">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38C553AF">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0825AF74">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675" w:type="dxa"/>
            <w:vAlign w:val="center"/>
          </w:tcPr>
          <w:p w14:paraId="0BB6253C">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682" w:type="dxa"/>
            <w:vAlign w:val="center"/>
          </w:tcPr>
          <w:p w14:paraId="5DFC9A6E">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57A21865">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57C45DD1">
            <w:pPr>
              <w:adjustRightInd w:val="0"/>
              <w:snapToGrid w:val="0"/>
              <w:ind w:left="-97" w:leftChars="-46" w:right="-63" w:rightChars="-30"/>
              <w:jc w:val="center"/>
              <w:rPr>
                <w:rFonts w:ascii="仿宋_GB2312" w:hAnsi="仿宋_GB2312" w:eastAsia="仿宋_GB2312" w:cs="仿宋_GB2312"/>
                <w:color w:val="auto"/>
                <w:szCs w:val="21"/>
                <w:highlight w:val="none"/>
              </w:rPr>
            </w:pPr>
          </w:p>
        </w:tc>
      </w:tr>
      <w:tr w14:paraId="7F1B8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624FAA4F">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347" w:type="dxa"/>
            <w:vAlign w:val="center"/>
          </w:tcPr>
          <w:p w14:paraId="68A68C68">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033" w:type="dxa"/>
            <w:vAlign w:val="center"/>
          </w:tcPr>
          <w:p w14:paraId="3EE5DD21">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033" w:type="dxa"/>
            <w:vAlign w:val="center"/>
          </w:tcPr>
          <w:p w14:paraId="0F51BE31">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721" w:type="dxa"/>
            <w:vAlign w:val="center"/>
          </w:tcPr>
          <w:p w14:paraId="3FC1172D">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71A63C9D">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506A0D18">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675" w:type="dxa"/>
            <w:vAlign w:val="center"/>
          </w:tcPr>
          <w:p w14:paraId="158ACEB2">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682" w:type="dxa"/>
            <w:vAlign w:val="center"/>
          </w:tcPr>
          <w:p w14:paraId="54F9FE15">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724172B2">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670990D7">
            <w:pPr>
              <w:adjustRightInd w:val="0"/>
              <w:snapToGrid w:val="0"/>
              <w:ind w:left="-97" w:leftChars="-46" w:right="-63" w:rightChars="-30"/>
              <w:jc w:val="center"/>
              <w:rPr>
                <w:rFonts w:ascii="仿宋_GB2312" w:hAnsi="仿宋_GB2312" w:eastAsia="仿宋_GB2312" w:cs="仿宋_GB2312"/>
                <w:color w:val="auto"/>
                <w:szCs w:val="21"/>
                <w:highlight w:val="none"/>
              </w:rPr>
            </w:pPr>
          </w:p>
        </w:tc>
      </w:tr>
      <w:tr w14:paraId="750FC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2722411B">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347" w:type="dxa"/>
            <w:vAlign w:val="center"/>
          </w:tcPr>
          <w:p w14:paraId="24FE5B73">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033" w:type="dxa"/>
            <w:vAlign w:val="center"/>
          </w:tcPr>
          <w:p w14:paraId="2023D739">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033" w:type="dxa"/>
            <w:vAlign w:val="center"/>
          </w:tcPr>
          <w:p w14:paraId="1819C155">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721" w:type="dxa"/>
            <w:vAlign w:val="center"/>
          </w:tcPr>
          <w:p w14:paraId="79241962">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377CA340">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18436574">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675" w:type="dxa"/>
            <w:vAlign w:val="center"/>
          </w:tcPr>
          <w:p w14:paraId="3A154483">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682" w:type="dxa"/>
            <w:vAlign w:val="center"/>
          </w:tcPr>
          <w:p w14:paraId="71398248">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5AFF6831">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164A0C4F">
            <w:pPr>
              <w:adjustRightInd w:val="0"/>
              <w:snapToGrid w:val="0"/>
              <w:ind w:left="-97" w:leftChars="-46" w:right="-63" w:rightChars="-30"/>
              <w:jc w:val="center"/>
              <w:rPr>
                <w:rFonts w:ascii="仿宋_GB2312" w:hAnsi="仿宋_GB2312" w:eastAsia="仿宋_GB2312" w:cs="仿宋_GB2312"/>
                <w:color w:val="auto"/>
                <w:szCs w:val="21"/>
                <w:highlight w:val="none"/>
              </w:rPr>
            </w:pPr>
          </w:p>
        </w:tc>
      </w:tr>
      <w:tr w14:paraId="08C21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04" w:type="dxa"/>
            <w:gridSpan w:val="2"/>
            <w:vAlign w:val="center"/>
          </w:tcPr>
          <w:p w14:paraId="2C63AC25">
            <w:pPr>
              <w:adjustRightInd w:val="0"/>
              <w:snapToGrid w:val="0"/>
              <w:ind w:right="105" w:rightChars="5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总价</w:t>
            </w:r>
          </w:p>
        </w:tc>
        <w:tc>
          <w:tcPr>
            <w:tcW w:w="1033" w:type="dxa"/>
            <w:vAlign w:val="center"/>
          </w:tcPr>
          <w:p w14:paraId="2A828607">
            <w:pPr>
              <w:adjustRightInd w:val="0"/>
              <w:snapToGrid w:val="0"/>
              <w:ind w:right="105" w:rightChars="50"/>
              <w:jc w:val="center"/>
              <w:rPr>
                <w:rFonts w:ascii="仿宋_GB2312" w:hAnsi="仿宋_GB2312" w:eastAsia="仿宋_GB2312" w:cs="仿宋_GB2312"/>
                <w:color w:val="auto"/>
                <w:szCs w:val="21"/>
                <w:highlight w:val="none"/>
              </w:rPr>
            </w:pPr>
          </w:p>
        </w:tc>
        <w:tc>
          <w:tcPr>
            <w:tcW w:w="1033" w:type="dxa"/>
            <w:vAlign w:val="center"/>
          </w:tcPr>
          <w:p w14:paraId="27F7BAC4">
            <w:pPr>
              <w:adjustRightInd w:val="0"/>
              <w:snapToGrid w:val="0"/>
              <w:ind w:right="105" w:rightChars="50"/>
              <w:jc w:val="center"/>
              <w:rPr>
                <w:rFonts w:ascii="仿宋_GB2312" w:hAnsi="仿宋_GB2312" w:eastAsia="仿宋_GB2312" w:cs="仿宋_GB2312"/>
                <w:color w:val="auto"/>
                <w:szCs w:val="21"/>
                <w:highlight w:val="none"/>
              </w:rPr>
            </w:pPr>
          </w:p>
        </w:tc>
        <w:tc>
          <w:tcPr>
            <w:tcW w:w="721" w:type="dxa"/>
            <w:vAlign w:val="center"/>
          </w:tcPr>
          <w:p w14:paraId="72D197EB">
            <w:pPr>
              <w:adjustRightInd w:val="0"/>
              <w:snapToGrid w:val="0"/>
              <w:ind w:right="105" w:rightChars="50"/>
              <w:jc w:val="center"/>
              <w:rPr>
                <w:rFonts w:ascii="仿宋_GB2312" w:hAnsi="仿宋_GB2312" w:eastAsia="仿宋_GB2312" w:cs="仿宋_GB2312"/>
                <w:color w:val="auto"/>
                <w:szCs w:val="21"/>
                <w:highlight w:val="none"/>
              </w:rPr>
            </w:pPr>
          </w:p>
        </w:tc>
        <w:tc>
          <w:tcPr>
            <w:tcW w:w="802" w:type="dxa"/>
            <w:vAlign w:val="center"/>
          </w:tcPr>
          <w:p w14:paraId="15C221E4">
            <w:pPr>
              <w:adjustRightInd w:val="0"/>
              <w:snapToGrid w:val="0"/>
              <w:ind w:right="105" w:rightChars="50"/>
              <w:jc w:val="center"/>
              <w:rPr>
                <w:rFonts w:ascii="仿宋_GB2312" w:hAnsi="仿宋_GB2312" w:eastAsia="仿宋_GB2312" w:cs="仿宋_GB2312"/>
                <w:color w:val="auto"/>
                <w:szCs w:val="21"/>
                <w:highlight w:val="none"/>
              </w:rPr>
            </w:pPr>
          </w:p>
        </w:tc>
        <w:tc>
          <w:tcPr>
            <w:tcW w:w="802" w:type="dxa"/>
            <w:vAlign w:val="center"/>
          </w:tcPr>
          <w:p w14:paraId="5F741F0A">
            <w:pPr>
              <w:adjustRightInd w:val="0"/>
              <w:snapToGrid w:val="0"/>
              <w:ind w:right="105" w:rightChars="50"/>
              <w:jc w:val="center"/>
              <w:rPr>
                <w:rFonts w:ascii="仿宋_GB2312" w:hAnsi="仿宋_GB2312" w:eastAsia="仿宋_GB2312" w:cs="仿宋_GB2312"/>
                <w:color w:val="auto"/>
                <w:szCs w:val="21"/>
                <w:highlight w:val="none"/>
              </w:rPr>
            </w:pPr>
          </w:p>
        </w:tc>
        <w:tc>
          <w:tcPr>
            <w:tcW w:w="675" w:type="dxa"/>
            <w:vAlign w:val="center"/>
          </w:tcPr>
          <w:p w14:paraId="6455A86A">
            <w:pPr>
              <w:adjustRightInd w:val="0"/>
              <w:snapToGrid w:val="0"/>
              <w:ind w:right="105" w:rightChars="50"/>
              <w:jc w:val="center"/>
              <w:rPr>
                <w:rFonts w:ascii="仿宋_GB2312" w:hAnsi="仿宋_GB2312" w:eastAsia="仿宋_GB2312" w:cs="仿宋_GB2312"/>
                <w:color w:val="auto"/>
                <w:szCs w:val="21"/>
                <w:highlight w:val="none"/>
              </w:rPr>
            </w:pPr>
          </w:p>
        </w:tc>
        <w:tc>
          <w:tcPr>
            <w:tcW w:w="682" w:type="dxa"/>
            <w:vAlign w:val="center"/>
          </w:tcPr>
          <w:p w14:paraId="1481E690">
            <w:pPr>
              <w:adjustRightInd w:val="0"/>
              <w:snapToGrid w:val="0"/>
              <w:ind w:right="105" w:rightChars="50"/>
              <w:jc w:val="center"/>
              <w:rPr>
                <w:rFonts w:ascii="仿宋_GB2312" w:hAnsi="仿宋_GB2312" w:eastAsia="仿宋_GB2312" w:cs="仿宋_GB2312"/>
                <w:color w:val="auto"/>
                <w:szCs w:val="21"/>
                <w:highlight w:val="none"/>
              </w:rPr>
            </w:pPr>
          </w:p>
        </w:tc>
        <w:tc>
          <w:tcPr>
            <w:tcW w:w="802" w:type="dxa"/>
            <w:vAlign w:val="center"/>
          </w:tcPr>
          <w:p w14:paraId="1A212EC7">
            <w:pPr>
              <w:adjustRightInd w:val="0"/>
              <w:snapToGrid w:val="0"/>
              <w:ind w:right="105" w:rightChars="50"/>
              <w:jc w:val="center"/>
              <w:rPr>
                <w:rFonts w:ascii="仿宋_GB2312" w:hAnsi="仿宋_GB2312" w:eastAsia="仿宋_GB2312" w:cs="仿宋_GB2312"/>
                <w:color w:val="auto"/>
                <w:szCs w:val="21"/>
                <w:highlight w:val="none"/>
              </w:rPr>
            </w:pPr>
          </w:p>
        </w:tc>
        <w:tc>
          <w:tcPr>
            <w:tcW w:w="802" w:type="dxa"/>
            <w:vAlign w:val="center"/>
          </w:tcPr>
          <w:p w14:paraId="2CAC4091">
            <w:pPr>
              <w:adjustRightInd w:val="0"/>
              <w:snapToGrid w:val="0"/>
              <w:ind w:right="105" w:rightChars="50"/>
              <w:jc w:val="center"/>
              <w:rPr>
                <w:rFonts w:ascii="仿宋_GB2312" w:hAnsi="仿宋_GB2312" w:eastAsia="仿宋_GB2312" w:cs="仿宋_GB2312"/>
                <w:color w:val="auto"/>
                <w:szCs w:val="21"/>
                <w:highlight w:val="none"/>
              </w:rPr>
            </w:pPr>
          </w:p>
        </w:tc>
      </w:tr>
    </w:tbl>
    <w:p w14:paraId="475D5F19">
      <w:pPr>
        <w:adjustRightInd w:val="0"/>
        <w:snapToGrid w:val="0"/>
        <w:spacing w:line="360" w:lineRule="auto"/>
        <w:ind w:right="105" w:rightChars="50"/>
        <w:jc w:val="left"/>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注：1.此表中，总价应和开标一览表的投标总价相一致。</w:t>
      </w:r>
    </w:p>
    <w:p w14:paraId="1FCA7C28">
      <w:pPr>
        <w:adjustRightInd w:val="0"/>
        <w:snapToGrid w:val="0"/>
        <w:spacing w:line="360" w:lineRule="auto"/>
        <w:ind w:right="105" w:rightChars="50"/>
        <w:jc w:val="left"/>
        <w:rPr>
          <w:rFonts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2.所有投标均按人民币进行报价。报价应包含与产品相关的一切费用（如生产、运输、装卸、安装、调试、培训、保证设备正常运转的必要零配件及用品等），除中标金额外学校不再另行支付任何费用。</w:t>
      </w:r>
    </w:p>
    <w:p w14:paraId="408D5A1B">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29D97CD4">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3AED442F">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5F7F96DB">
      <w:pPr>
        <w:adjustRightInd w:val="0"/>
        <w:snapToGrid w:val="0"/>
        <w:spacing w:line="480" w:lineRule="auto"/>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投标人名称（加盖单位公章）：</w:t>
      </w:r>
      <w:r>
        <w:rPr>
          <w:rFonts w:hint="eastAsia" w:ascii="仿宋_GB2312" w:hAnsi="仿宋_GB2312" w:eastAsia="仿宋_GB2312" w:cs="仿宋_GB2312"/>
          <w:color w:val="auto"/>
          <w:highlight w:val="none"/>
          <w:u w:val="single"/>
        </w:rPr>
        <w:t xml:space="preserve">           </w:t>
      </w:r>
    </w:p>
    <w:p w14:paraId="34305875">
      <w:pPr>
        <w:adjustRightInd w:val="0"/>
        <w:snapToGrid w:val="0"/>
        <w:spacing w:line="480" w:lineRule="auto"/>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法定代表人（或</w:t>
      </w:r>
      <w:r>
        <w:rPr>
          <w:rFonts w:hint="eastAsia" w:ascii="仿宋_GB2312" w:hAnsi="仿宋_GB2312" w:eastAsia="仿宋_GB2312" w:cs="仿宋_GB2312"/>
          <w:color w:val="auto"/>
          <w:szCs w:val="21"/>
          <w:highlight w:val="none"/>
        </w:rPr>
        <w:t>非法人组织负责人）或</w:t>
      </w:r>
      <w:r>
        <w:rPr>
          <w:rFonts w:hint="eastAsia" w:ascii="仿宋_GB2312" w:hAnsi="仿宋_GB2312" w:eastAsia="仿宋_GB2312" w:cs="仿宋_GB2312"/>
          <w:color w:val="auto"/>
          <w:highlight w:val="none"/>
        </w:rPr>
        <w:t>其</w:t>
      </w:r>
      <w:r>
        <w:rPr>
          <w:rFonts w:hint="eastAsia" w:ascii="仿宋_GB2312" w:hAnsi="仿宋_GB2312" w:eastAsia="仿宋_GB2312" w:cs="仿宋_GB2312"/>
          <w:color w:val="auto"/>
          <w:szCs w:val="21"/>
          <w:highlight w:val="none"/>
        </w:rPr>
        <w:t>授权</w:t>
      </w:r>
      <w:r>
        <w:rPr>
          <w:rFonts w:hint="eastAsia" w:ascii="仿宋_GB2312" w:hAnsi="仿宋_GB2312" w:eastAsia="仿宋_GB2312" w:cs="仿宋_GB2312"/>
          <w:color w:val="auto"/>
          <w:highlight w:val="none"/>
        </w:rPr>
        <w:t>委托</w:t>
      </w:r>
      <w:r>
        <w:rPr>
          <w:rFonts w:hint="eastAsia" w:ascii="仿宋_GB2312" w:hAnsi="仿宋_GB2312" w:eastAsia="仿宋_GB2312" w:cs="仿宋_GB2312"/>
          <w:color w:val="auto"/>
          <w:szCs w:val="21"/>
          <w:highlight w:val="none"/>
        </w:rPr>
        <w:t>人</w:t>
      </w:r>
      <w:r>
        <w:rPr>
          <w:rFonts w:hint="eastAsia" w:ascii="仿宋_GB2312" w:hAnsi="仿宋_GB2312" w:eastAsia="仿宋_GB2312" w:cs="仿宋_GB2312"/>
          <w:color w:val="auto"/>
          <w:highlight w:val="none"/>
        </w:rPr>
        <w:t>(签字或盖章)：</w:t>
      </w:r>
      <w:r>
        <w:rPr>
          <w:rFonts w:hint="eastAsia" w:ascii="仿宋_GB2312" w:hAnsi="仿宋_GB2312" w:eastAsia="仿宋_GB2312" w:cs="仿宋_GB2312"/>
          <w:color w:val="auto"/>
          <w:highlight w:val="none"/>
          <w:u w:val="single"/>
        </w:rPr>
        <w:t xml:space="preserve">           </w:t>
      </w:r>
    </w:p>
    <w:p w14:paraId="2CA020BB">
      <w:pPr>
        <w:adjustRightInd w:val="0"/>
        <w:snapToGrid w:val="0"/>
        <w:spacing w:line="480" w:lineRule="auto"/>
        <w:ind w:right="105" w:rightChars="5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highlight w:val="none"/>
        </w:rPr>
        <w:t>日期：</w:t>
      </w:r>
      <w:r>
        <w:rPr>
          <w:rFonts w:hint="eastAsia" w:ascii="仿宋_GB2312" w:hAnsi="仿宋_GB2312" w:eastAsia="仿宋_GB2312" w:cs="仿宋_GB2312"/>
          <w:color w:val="auto"/>
          <w:highlight w:val="none"/>
          <w:u w:val="single"/>
        </w:rPr>
        <w:t xml:space="preserve">               </w:t>
      </w:r>
    </w:p>
    <w:p w14:paraId="4A289716">
      <w:pPr>
        <w:pStyle w:val="3"/>
        <w:adjustRightInd w:val="0"/>
        <w:snapToGrid w:val="0"/>
        <w:spacing w:before="0" w:after="0" w:line="240" w:lineRule="auto"/>
        <w:jc w:val="left"/>
        <w:rPr>
          <w:rFonts w:ascii="仿宋_GB2312" w:hAnsi="仿宋_GB2312" w:eastAsia="仿宋_GB2312" w:cs="仿宋_GB2312"/>
          <w:color w:val="auto"/>
          <w:szCs w:val="28"/>
          <w:highlight w:val="none"/>
        </w:rPr>
      </w:pPr>
      <w:r>
        <w:rPr>
          <w:rFonts w:hint="eastAsia" w:ascii="仿宋_GB2312" w:hAnsi="仿宋_GB2312" w:eastAsia="仿宋_GB2312" w:cs="仿宋_GB2312"/>
          <w:color w:val="auto"/>
          <w:szCs w:val="21"/>
          <w:highlight w:val="none"/>
        </w:rPr>
        <w:br w:type="page"/>
      </w:r>
      <w:r>
        <w:rPr>
          <w:rFonts w:hint="eastAsia" w:ascii="仿宋_GB2312" w:hAnsi="仿宋_GB2312" w:eastAsia="仿宋_GB2312" w:cs="仿宋_GB2312"/>
          <w:color w:val="auto"/>
          <w:szCs w:val="28"/>
          <w:highlight w:val="none"/>
        </w:rPr>
        <w:t>格式13</w:t>
      </w:r>
    </w:p>
    <w:p w14:paraId="351FD310">
      <w:pPr>
        <w:adjustRightInd w:val="0"/>
        <w:snapToGrid w:val="0"/>
        <w:spacing w:before="312" w:beforeLines="100" w:line="360" w:lineRule="auto"/>
        <w:ind w:right="105" w:rightChars="50"/>
        <w:jc w:val="center"/>
        <w:rPr>
          <w:rFonts w:ascii="仿宋_GB2312" w:hAnsi="仿宋_GB2312" w:eastAsia="仿宋_GB2312" w:cs="仿宋_GB2312"/>
          <w:b/>
          <w:bCs/>
          <w:color w:val="auto"/>
          <w:sz w:val="32"/>
          <w:szCs w:val="32"/>
          <w:highlight w:val="none"/>
        </w:rPr>
      </w:pPr>
      <w:bookmarkStart w:id="108" w:name="_Toc9235_WPSOffice_Level2"/>
      <w:bookmarkStart w:id="109" w:name="_Toc31555_WPSOffice_Level2"/>
      <w:r>
        <w:rPr>
          <w:rFonts w:hint="eastAsia" w:ascii="仿宋_GB2312" w:hAnsi="仿宋_GB2312" w:eastAsia="仿宋_GB2312" w:cs="仿宋_GB2312"/>
          <w:b/>
          <w:bCs/>
          <w:color w:val="auto"/>
          <w:sz w:val="32"/>
          <w:szCs w:val="32"/>
          <w:highlight w:val="none"/>
        </w:rPr>
        <w:t>技术规格偏离表</w:t>
      </w:r>
      <w:bookmarkEnd w:id="108"/>
      <w:bookmarkEnd w:id="109"/>
    </w:p>
    <w:tbl>
      <w:tblPr>
        <w:tblStyle w:val="22"/>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310"/>
        <w:gridCol w:w="1186"/>
        <w:gridCol w:w="1125"/>
        <w:gridCol w:w="1091"/>
      </w:tblGrid>
      <w:tr w14:paraId="60915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14:paraId="4C434031">
            <w:pPr>
              <w:adjustRightInd w:val="0"/>
              <w:snapToGrid w:val="0"/>
              <w:ind w:right="105" w:rightChars="5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包号/序号：</w:t>
            </w:r>
          </w:p>
          <w:p w14:paraId="34328DFB">
            <w:pPr>
              <w:pStyle w:val="19"/>
              <w:widowControl w:val="0"/>
              <w:adjustRightInd w:val="0"/>
              <w:snapToGrid w:val="0"/>
              <w:spacing w:before="0" w:beforeAutospacing="0" w:after="0" w:afterAutospacing="0"/>
              <w:jc w:val="both"/>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产品名称：</w:t>
            </w:r>
          </w:p>
          <w:p w14:paraId="1BCE2492">
            <w:pPr>
              <w:pStyle w:val="19"/>
              <w:widowControl w:val="0"/>
              <w:adjustRightInd w:val="0"/>
              <w:snapToGrid w:val="0"/>
              <w:spacing w:before="0" w:beforeAutospacing="0" w:after="0" w:afterAutospacing="0"/>
              <w:jc w:val="both"/>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数量：</w:t>
            </w:r>
          </w:p>
        </w:tc>
      </w:tr>
      <w:tr w14:paraId="7C52D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3" w:type="dxa"/>
            <w:tcBorders>
              <w:top w:val="single" w:color="auto" w:sz="4" w:space="0"/>
              <w:left w:val="single" w:color="auto" w:sz="4" w:space="0"/>
              <w:bottom w:val="single" w:color="auto" w:sz="4" w:space="0"/>
              <w:right w:val="single" w:color="auto" w:sz="4" w:space="0"/>
            </w:tcBorders>
            <w:vAlign w:val="center"/>
          </w:tcPr>
          <w:p w14:paraId="0D97D26D">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招标文件要求</w:t>
            </w:r>
          </w:p>
          <w:p w14:paraId="4B8A07EF">
            <w:pPr>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vAlign w:val="center"/>
          </w:tcPr>
          <w:p w14:paraId="36B05C54">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w:t>
            </w:r>
          </w:p>
          <w:p w14:paraId="03E95D29">
            <w:pPr>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14:paraId="6A0949D2">
            <w:pPr>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14:paraId="5B08E7F4">
            <w:pPr>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1091" w:type="dxa"/>
            <w:tcBorders>
              <w:top w:val="single" w:color="auto" w:sz="4" w:space="0"/>
              <w:left w:val="single" w:color="auto" w:sz="4" w:space="0"/>
              <w:bottom w:val="single" w:color="auto" w:sz="4" w:space="0"/>
              <w:right w:val="single" w:color="auto" w:sz="4" w:space="0"/>
            </w:tcBorders>
            <w:vAlign w:val="center"/>
          </w:tcPr>
          <w:p w14:paraId="5C12079E">
            <w:pPr>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0FDD8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trPr>
        <w:tc>
          <w:tcPr>
            <w:tcW w:w="3043" w:type="dxa"/>
            <w:tcBorders>
              <w:top w:val="single" w:color="auto" w:sz="4" w:space="0"/>
              <w:left w:val="single" w:color="auto" w:sz="4" w:space="0"/>
              <w:bottom w:val="single" w:color="auto" w:sz="4" w:space="0"/>
              <w:right w:val="single" w:color="auto" w:sz="4" w:space="0"/>
            </w:tcBorders>
            <w:vAlign w:val="center"/>
          </w:tcPr>
          <w:p w14:paraId="6DF9BA75">
            <w:pPr>
              <w:adjustRightInd w:val="0"/>
              <w:snapToGrid w:val="0"/>
              <w:ind w:hanging="1"/>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按采购需求填写</w:t>
            </w:r>
          </w:p>
        </w:tc>
        <w:tc>
          <w:tcPr>
            <w:tcW w:w="2310" w:type="dxa"/>
            <w:tcBorders>
              <w:top w:val="single" w:color="auto" w:sz="4" w:space="0"/>
              <w:left w:val="single" w:color="auto" w:sz="4" w:space="0"/>
              <w:bottom w:val="single" w:color="auto" w:sz="4" w:space="0"/>
              <w:right w:val="single" w:color="auto" w:sz="4" w:space="0"/>
            </w:tcBorders>
            <w:vAlign w:val="center"/>
          </w:tcPr>
          <w:p w14:paraId="488D15E6">
            <w:pPr>
              <w:tabs>
                <w:tab w:val="left" w:pos="0"/>
              </w:tabs>
              <w:adjustRightInd w:val="0"/>
              <w:snapToGrid w:val="0"/>
              <w:jc w:val="center"/>
              <w:rPr>
                <w:rFonts w:ascii="仿宋_GB2312" w:hAnsi="仿宋_GB2312" w:eastAsia="仿宋_GB2312" w:cs="仿宋_GB2312"/>
                <w:color w:val="auto"/>
                <w:kern w:val="0"/>
                <w:szCs w:val="21"/>
                <w:highlight w:val="none"/>
              </w:rPr>
            </w:pPr>
          </w:p>
        </w:tc>
        <w:tc>
          <w:tcPr>
            <w:tcW w:w="1186" w:type="dxa"/>
            <w:tcBorders>
              <w:top w:val="single" w:color="auto" w:sz="4" w:space="0"/>
              <w:left w:val="single" w:color="auto" w:sz="4" w:space="0"/>
              <w:bottom w:val="single" w:color="auto" w:sz="4" w:space="0"/>
              <w:right w:val="single" w:color="auto" w:sz="4" w:space="0"/>
            </w:tcBorders>
            <w:vAlign w:val="center"/>
          </w:tcPr>
          <w:p w14:paraId="178F92DD">
            <w:pPr>
              <w:tabs>
                <w:tab w:val="left" w:pos="0"/>
              </w:tabs>
              <w:spacing w:line="240" w:lineRule="exact"/>
              <w:jc w:val="center"/>
              <w:rPr>
                <w:rFonts w:ascii="仿宋_GB2312" w:hAnsi="仿宋_GB2312" w:eastAsia="仿宋_GB2312" w:cs="仿宋_GB2312"/>
                <w:color w:val="auto"/>
                <w:kern w:val="0"/>
                <w:szCs w:val="21"/>
                <w:highlight w:val="none"/>
              </w:rPr>
            </w:pPr>
          </w:p>
        </w:tc>
        <w:tc>
          <w:tcPr>
            <w:tcW w:w="1125" w:type="dxa"/>
            <w:tcBorders>
              <w:top w:val="single" w:color="auto" w:sz="4" w:space="0"/>
              <w:left w:val="single" w:color="auto" w:sz="4" w:space="0"/>
              <w:bottom w:val="single" w:color="auto" w:sz="4" w:space="0"/>
              <w:right w:val="single" w:color="auto" w:sz="4" w:space="0"/>
            </w:tcBorders>
            <w:vAlign w:val="center"/>
          </w:tcPr>
          <w:p w14:paraId="6C4DFA7B">
            <w:pPr>
              <w:tabs>
                <w:tab w:val="left" w:pos="0"/>
              </w:tabs>
              <w:spacing w:line="240" w:lineRule="exact"/>
              <w:jc w:val="center"/>
              <w:rPr>
                <w:rFonts w:ascii="仿宋_GB2312" w:hAnsi="仿宋_GB2312" w:eastAsia="仿宋_GB2312" w:cs="仿宋_GB2312"/>
                <w:color w:val="auto"/>
                <w:kern w:val="0"/>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53F97E2B">
            <w:pPr>
              <w:tabs>
                <w:tab w:val="left" w:pos="0"/>
              </w:tabs>
              <w:spacing w:line="240" w:lineRule="exact"/>
              <w:jc w:val="center"/>
              <w:rPr>
                <w:rFonts w:ascii="仿宋_GB2312" w:hAnsi="仿宋_GB2312" w:eastAsia="仿宋_GB2312" w:cs="仿宋_GB2312"/>
                <w:color w:val="auto"/>
                <w:kern w:val="0"/>
                <w:szCs w:val="21"/>
                <w:highlight w:val="none"/>
              </w:rPr>
            </w:pPr>
          </w:p>
        </w:tc>
      </w:tr>
      <w:tr w14:paraId="1347A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3043" w:type="dxa"/>
            <w:tcBorders>
              <w:top w:val="single" w:color="auto" w:sz="4" w:space="0"/>
              <w:left w:val="single" w:color="auto" w:sz="4" w:space="0"/>
              <w:bottom w:val="single" w:color="auto" w:sz="4" w:space="0"/>
              <w:right w:val="single" w:color="auto" w:sz="4" w:space="0"/>
            </w:tcBorders>
            <w:vAlign w:val="center"/>
          </w:tcPr>
          <w:p w14:paraId="2EB2BB7B">
            <w:pPr>
              <w:adjustRightInd w:val="0"/>
              <w:snapToGrid w:val="0"/>
              <w:ind w:hanging="1"/>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其它</w:t>
            </w:r>
          </w:p>
        </w:tc>
        <w:tc>
          <w:tcPr>
            <w:tcW w:w="2310" w:type="dxa"/>
            <w:tcBorders>
              <w:top w:val="single" w:color="auto" w:sz="4" w:space="0"/>
              <w:left w:val="single" w:color="auto" w:sz="4" w:space="0"/>
              <w:bottom w:val="single" w:color="auto" w:sz="4" w:space="0"/>
              <w:right w:val="single" w:color="auto" w:sz="4" w:space="0"/>
            </w:tcBorders>
            <w:vAlign w:val="center"/>
          </w:tcPr>
          <w:p w14:paraId="12545B87">
            <w:pPr>
              <w:tabs>
                <w:tab w:val="left" w:pos="-61"/>
              </w:tabs>
              <w:adjustRightInd w:val="0"/>
              <w:snapToGrid w:val="0"/>
              <w:ind w:right="-55" w:rightChars="-26"/>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采购单位未提供需求而投标人认为需说明及补充的内容在此填列</w:t>
            </w:r>
          </w:p>
        </w:tc>
        <w:tc>
          <w:tcPr>
            <w:tcW w:w="1186" w:type="dxa"/>
            <w:tcBorders>
              <w:top w:val="single" w:color="auto" w:sz="4" w:space="0"/>
              <w:left w:val="single" w:color="auto" w:sz="4" w:space="0"/>
              <w:bottom w:val="single" w:color="auto" w:sz="4" w:space="0"/>
              <w:right w:val="single" w:color="auto" w:sz="4" w:space="0"/>
            </w:tcBorders>
            <w:vAlign w:val="center"/>
          </w:tcPr>
          <w:p w14:paraId="4CE8CD66">
            <w:pPr>
              <w:tabs>
                <w:tab w:val="left" w:pos="0"/>
              </w:tabs>
              <w:spacing w:line="240" w:lineRule="exact"/>
              <w:jc w:val="center"/>
              <w:rPr>
                <w:rFonts w:ascii="仿宋_GB2312" w:hAnsi="仿宋_GB2312" w:eastAsia="仿宋_GB2312" w:cs="仿宋_GB2312"/>
                <w:color w:val="auto"/>
                <w:kern w:val="0"/>
                <w:szCs w:val="21"/>
                <w:highlight w:val="none"/>
              </w:rPr>
            </w:pPr>
          </w:p>
        </w:tc>
        <w:tc>
          <w:tcPr>
            <w:tcW w:w="1125" w:type="dxa"/>
            <w:tcBorders>
              <w:top w:val="single" w:color="auto" w:sz="4" w:space="0"/>
              <w:left w:val="single" w:color="auto" w:sz="4" w:space="0"/>
              <w:bottom w:val="single" w:color="auto" w:sz="4" w:space="0"/>
              <w:right w:val="single" w:color="auto" w:sz="4" w:space="0"/>
            </w:tcBorders>
            <w:vAlign w:val="center"/>
          </w:tcPr>
          <w:p w14:paraId="6901BF0A">
            <w:pPr>
              <w:tabs>
                <w:tab w:val="left" w:pos="0"/>
              </w:tabs>
              <w:spacing w:line="240" w:lineRule="exact"/>
              <w:jc w:val="center"/>
              <w:rPr>
                <w:rFonts w:ascii="仿宋_GB2312" w:hAnsi="仿宋_GB2312" w:eastAsia="仿宋_GB2312" w:cs="仿宋_GB2312"/>
                <w:color w:val="auto"/>
                <w:kern w:val="0"/>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46B980B4">
            <w:pPr>
              <w:tabs>
                <w:tab w:val="left" w:pos="0"/>
              </w:tabs>
              <w:spacing w:line="240" w:lineRule="exact"/>
              <w:jc w:val="center"/>
              <w:rPr>
                <w:rFonts w:ascii="仿宋_GB2312" w:hAnsi="仿宋_GB2312" w:eastAsia="仿宋_GB2312" w:cs="仿宋_GB2312"/>
                <w:color w:val="auto"/>
                <w:kern w:val="0"/>
                <w:szCs w:val="21"/>
                <w:highlight w:val="none"/>
              </w:rPr>
            </w:pPr>
          </w:p>
        </w:tc>
      </w:tr>
    </w:tbl>
    <w:p w14:paraId="1BEBC579">
      <w:pPr>
        <w:adjustRightInd w:val="0"/>
        <w:snapToGrid w:val="0"/>
        <w:spacing w:line="360" w:lineRule="auto"/>
        <w:ind w:right="105" w:rightChars="50"/>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填表要求：</w:t>
      </w:r>
    </w:p>
    <w:p w14:paraId="72F7147B">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1．“投标文件响应内容”一栏由投标人按照招标文件要求填写并进行逐项响应。</w:t>
      </w:r>
    </w:p>
    <w:p w14:paraId="2ED0133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2．“偏离程度”一栏根据“投标文件响应内容”与招标文件逐项对照的结果填写。偏离必须用 “正偏离、负偏离或无偏离”三个名称中的一种进行标注。</w:t>
      </w:r>
    </w:p>
    <w:p w14:paraId="25A6E1FF">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3．“偏离说明”一栏由投标人对偏离的情况做详细说明。</w:t>
      </w:r>
    </w:p>
    <w:p w14:paraId="5B05EA20">
      <w:pPr>
        <w:shd w:val="clear" w:color="000000" w:fill="auto"/>
        <w:adjustRightInd w:val="0"/>
        <w:snapToGrid w:val="0"/>
        <w:spacing w:line="360" w:lineRule="auto"/>
        <w:ind w:right="105" w:rightChars="50"/>
        <w:jc w:val="left"/>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4. 提供截图等相关证明材料的，如无法放入技术规格偏离表则在“证明材料”一栏填写“见投标文件第X页，第X行”字样，标注出证明资料在投标文件中的位置。</w:t>
      </w:r>
    </w:p>
    <w:p w14:paraId="4824E32B">
      <w:pPr>
        <w:shd w:val="clear" w:color="000000" w:fill="auto"/>
        <w:adjustRightInd w:val="0"/>
        <w:snapToGrid w:val="0"/>
        <w:spacing w:line="360" w:lineRule="auto"/>
        <w:ind w:right="105" w:rightChars="50"/>
        <w:jc w:val="left"/>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★5.偏离表中投标参数不允许完全复制粘贴，否则视为无效投标。</w:t>
      </w:r>
    </w:p>
    <w:p w14:paraId="1478399B">
      <w:pPr>
        <w:adjustRightInd w:val="0"/>
        <w:snapToGrid w:val="0"/>
        <w:spacing w:line="360" w:lineRule="auto"/>
        <w:rPr>
          <w:rFonts w:ascii="仿宋_GB2312" w:hAnsi="仿宋_GB2312" w:eastAsia="仿宋_GB2312" w:cs="仿宋_GB2312"/>
          <w:color w:val="auto"/>
          <w:szCs w:val="21"/>
          <w:highlight w:val="none"/>
        </w:rPr>
      </w:pPr>
    </w:p>
    <w:p w14:paraId="6294722C">
      <w:pPr>
        <w:snapToGrid w:val="0"/>
        <w:spacing w:line="480" w:lineRule="auto"/>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投标人名称（加盖单位公章）：</w:t>
      </w:r>
      <w:r>
        <w:rPr>
          <w:rFonts w:hint="eastAsia" w:ascii="仿宋_GB2312" w:hAnsi="仿宋_GB2312" w:eastAsia="仿宋_GB2312" w:cs="仿宋_GB2312"/>
          <w:color w:val="auto"/>
          <w:highlight w:val="none"/>
          <w:u w:val="single"/>
        </w:rPr>
        <w:t xml:space="preserve">           </w:t>
      </w:r>
    </w:p>
    <w:p w14:paraId="7761F767">
      <w:pPr>
        <w:snapToGrid w:val="0"/>
        <w:spacing w:line="480" w:lineRule="auto"/>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法定代表人（或</w:t>
      </w:r>
      <w:r>
        <w:rPr>
          <w:rFonts w:hint="eastAsia" w:ascii="仿宋_GB2312" w:hAnsi="仿宋_GB2312" w:eastAsia="仿宋_GB2312" w:cs="仿宋_GB2312"/>
          <w:color w:val="auto"/>
          <w:szCs w:val="21"/>
          <w:highlight w:val="none"/>
        </w:rPr>
        <w:t>非法人组织负责人）或</w:t>
      </w:r>
      <w:r>
        <w:rPr>
          <w:rFonts w:hint="eastAsia" w:ascii="仿宋_GB2312" w:hAnsi="仿宋_GB2312" w:eastAsia="仿宋_GB2312" w:cs="仿宋_GB2312"/>
          <w:color w:val="auto"/>
          <w:highlight w:val="none"/>
        </w:rPr>
        <w:t>其</w:t>
      </w:r>
      <w:r>
        <w:rPr>
          <w:rFonts w:hint="eastAsia" w:ascii="仿宋_GB2312" w:hAnsi="仿宋_GB2312" w:eastAsia="仿宋_GB2312" w:cs="仿宋_GB2312"/>
          <w:color w:val="auto"/>
          <w:szCs w:val="21"/>
          <w:highlight w:val="none"/>
        </w:rPr>
        <w:t>授权</w:t>
      </w:r>
      <w:r>
        <w:rPr>
          <w:rFonts w:hint="eastAsia" w:ascii="仿宋_GB2312" w:hAnsi="仿宋_GB2312" w:eastAsia="仿宋_GB2312" w:cs="仿宋_GB2312"/>
          <w:color w:val="auto"/>
          <w:highlight w:val="none"/>
        </w:rPr>
        <w:t>委托</w:t>
      </w:r>
      <w:r>
        <w:rPr>
          <w:rFonts w:hint="eastAsia" w:ascii="仿宋_GB2312" w:hAnsi="仿宋_GB2312" w:eastAsia="仿宋_GB2312" w:cs="仿宋_GB2312"/>
          <w:color w:val="auto"/>
          <w:szCs w:val="21"/>
          <w:highlight w:val="none"/>
        </w:rPr>
        <w:t>人</w:t>
      </w:r>
      <w:r>
        <w:rPr>
          <w:rFonts w:hint="eastAsia" w:ascii="仿宋_GB2312" w:hAnsi="仿宋_GB2312" w:eastAsia="仿宋_GB2312" w:cs="仿宋_GB2312"/>
          <w:color w:val="auto"/>
          <w:highlight w:val="none"/>
        </w:rPr>
        <w:t>(签字或盖章)：</w:t>
      </w:r>
      <w:r>
        <w:rPr>
          <w:rFonts w:hint="eastAsia" w:ascii="仿宋_GB2312" w:hAnsi="仿宋_GB2312" w:eastAsia="仿宋_GB2312" w:cs="仿宋_GB2312"/>
          <w:color w:val="auto"/>
          <w:highlight w:val="none"/>
          <w:u w:val="single"/>
        </w:rPr>
        <w:t xml:space="preserve">           </w:t>
      </w:r>
    </w:p>
    <w:p w14:paraId="10BE5BBD">
      <w:pPr>
        <w:adjustRightInd w:val="0"/>
        <w:snapToGrid w:val="0"/>
        <w:spacing w:line="480" w:lineRule="auto"/>
        <w:ind w:right="105" w:rightChars="50"/>
        <w:jc w:val="left"/>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highlight w:val="none"/>
        </w:rPr>
        <w:t>日期：</w:t>
      </w:r>
      <w:r>
        <w:rPr>
          <w:rFonts w:hint="eastAsia" w:ascii="仿宋_GB2312" w:hAnsi="仿宋_GB2312" w:eastAsia="仿宋_GB2312" w:cs="仿宋_GB2312"/>
          <w:color w:val="auto"/>
          <w:highlight w:val="none"/>
          <w:u w:val="single"/>
        </w:rPr>
        <w:t xml:space="preserve">               </w:t>
      </w:r>
    </w:p>
    <w:p w14:paraId="1B597635">
      <w:pPr>
        <w:pStyle w:val="3"/>
        <w:adjustRightInd w:val="0"/>
        <w:snapToGrid w:val="0"/>
        <w:spacing w:before="0" w:after="0" w:line="240" w:lineRule="auto"/>
        <w:jc w:val="left"/>
        <w:rPr>
          <w:rFonts w:ascii="仿宋_GB2312" w:hAnsi="仿宋_GB2312" w:eastAsia="仿宋_GB2312" w:cs="仿宋_GB2312"/>
          <w:color w:val="auto"/>
          <w:szCs w:val="28"/>
          <w:highlight w:val="none"/>
        </w:rPr>
      </w:pPr>
      <w:r>
        <w:rPr>
          <w:rFonts w:hint="eastAsia" w:ascii="仿宋_GB2312" w:hAnsi="仿宋_GB2312" w:eastAsia="仿宋_GB2312" w:cs="仿宋_GB2312"/>
          <w:b w:val="0"/>
          <w:color w:val="auto"/>
          <w:szCs w:val="28"/>
          <w:highlight w:val="none"/>
        </w:rPr>
        <w:br w:type="page"/>
      </w:r>
      <w:r>
        <w:rPr>
          <w:rFonts w:hint="eastAsia" w:ascii="仿宋_GB2312" w:hAnsi="仿宋_GB2312" w:eastAsia="仿宋_GB2312" w:cs="仿宋_GB2312"/>
          <w:color w:val="auto"/>
          <w:szCs w:val="28"/>
          <w:highlight w:val="none"/>
        </w:rPr>
        <w:t>格式14</w:t>
      </w:r>
    </w:p>
    <w:p w14:paraId="76B87E27">
      <w:pPr>
        <w:adjustRightInd w:val="0"/>
        <w:snapToGrid w:val="0"/>
        <w:ind w:right="105" w:rightChars="50"/>
        <w:jc w:val="center"/>
        <w:rPr>
          <w:rFonts w:ascii="仿宋_GB2312" w:hAnsi="仿宋_GB2312" w:eastAsia="仿宋_GB2312" w:cs="仿宋_GB2312"/>
          <w:b/>
          <w:bCs/>
          <w:color w:val="auto"/>
          <w:sz w:val="32"/>
          <w:szCs w:val="32"/>
          <w:highlight w:val="none"/>
        </w:rPr>
      </w:pPr>
      <w:bookmarkStart w:id="110" w:name="_Toc8488_WPSOffice_Level2"/>
      <w:bookmarkStart w:id="111" w:name="_Toc4431_WPSOffice_Level2"/>
      <w:r>
        <w:rPr>
          <w:rFonts w:hint="eastAsia" w:ascii="仿宋_GB2312" w:hAnsi="仿宋_GB2312" w:eastAsia="仿宋_GB2312" w:cs="仿宋_GB2312"/>
          <w:b/>
          <w:bCs/>
          <w:color w:val="auto"/>
          <w:sz w:val="32"/>
          <w:szCs w:val="32"/>
          <w:highlight w:val="none"/>
        </w:rPr>
        <w:t>商务条款偏离表</w:t>
      </w:r>
      <w:bookmarkEnd w:id="110"/>
      <w:bookmarkEnd w:id="111"/>
    </w:p>
    <w:p w14:paraId="2EDC4955">
      <w:pPr>
        <w:adjustRightInd w:val="0"/>
        <w:snapToGrid w:val="0"/>
        <w:spacing w:line="360" w:lineRule="auto"/>
        <w:ind w:right="105" w:rightChars="50"/>
        <w:jc w:val="left"/>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 xml:space="preserve">包号： </w:t>
      </w:r>
    </w:p>
    <w:tbl>
      <w:tblPr>
        <w:tblStyle w:val="22"/>
        <w:tblW w:w="8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4"/>
        <w:gridCol w:w="3737"/>
        <w:gridCol w:w="2370"/>
        <w:gridCol w:w="926"/>
        <w:gridCol w:w="936"/>
      </w:tblGrid>
      <w:tr w14:paraId="08748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544" w:type="dxa"/>
            <w:vAlign w:val="center"/>
          </w:tcPr>
          <w:p w14:paraId="5716881A">
            <w:pPr>
              <w:adjustRightInd w:val="0"/>
              <w:snapToGrid w:val="0"/>
              <w:ind w:right="-48" w:rightChars="-23"/>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序号</w:t>
            </w:r>
          </w:p>
        </w:tc>
        <w:tc>
          <w:tcPr>
            <w:tcW w:w="3737" w:type="dxa"/>
            <w:vAlign w:val="center"/>
          </w:tcPr>
          <w:p w14:paraId="7AABBC23">
            <w:pPr>
              <w:adjustRightInd w:val="0"/>
              <w:snapToGrid w:val="0"/>
              <w:ind w:right="-73" w:rightChars="-35"/>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招标文件的商务条款</w:t>
            </w:r>
          </w:p>
          <w:p w14:paraId="231E8B15">
            <w:pPr>
              <w:adjustRightInd w:val="0"/>
              <w:snapToGrid w:val="0"/>
              <w:ind w:right="-73" w:rightChars="-35"/>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color w:val="auto"/>
                <w:sz w:val="18"/>
                <w:szCs w:val="18"/>
                <w:highlight w:val="none"/>
              </w:rPr>
              <w:t>实质性要求及重要指标用★标注，★标注项不得负偏离，如果负偏离，则投标文件无效。</w:t>
            </w:r>
            <w:r>
              <w:rPr>
                <w:rFonts w:hint="eastAsia" w:ascii="仿宋_GB2312" w:hAnsi="仿宋_GB2312" w:eastAsia="仿宋_GB2312" w:cs="仿宋_GB2312"/>
                <w:color w:val="auto"/>
                <w:szCs w:val="21"/>
                <w:highlight w:val="none"/>
              </w:rPr>
              <w:t>）</w:t>
            </w:r>
          </w:p>
        </w:tc>
        <w:tc>
          <w:tcPr>
            <w:tcW w:w="2370" w:type="dxa"/>
            <w:vAlign w:val="center"/>
          </w:tcPr>
          <w:p w14:paraId="541472EA">
            <w:pPr>
              <w:adjustRightInd w:val="0"/>
              <w:snapToGrid w:val="0"/>
              <w:ind w:right="-107" w:rightChars="-51"/>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投标文件响应内容</w:t>
            </w:r>
          </w:p>
        </w:tc>
        <w:tc>
          <w:tcPr>
            <w:tcW w:w="926" w:type="dxa"/>
            <w:vAlign w:val="center"/>
          </w:tcPr>
          <w:p w14:paraId="6EC42DAA">
            <w:pPr>
              <w:adjustRightInd w:val="0"/>
              <w:snapToGrid w:val="0"/>
              <w:ind w:left="-59" w:leftChars="-28" w:right="-105" w:rightChars="-5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偏离程度</w:t>
            </w:r>
          </w:p>
        </w:tc>
        <w:tc>
          <w:tcPr>
            <w:tcW w:w="936" w:type="dxa"/>
            <w:vAlign w:val="center"/>
          </w:tcPr>
          <w:p w14:paraId="12CE9E5F">
            <w:pPr>
              <w:adjustRightInd w:val="0"/>
              <w:snapToGrid w:val="0"/>
              <w:ind w:left="-59" w:leftChars="-28" w:right="-105" w:rightChars="-5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偏离说明</w:t>
            </w:r>
          </w:p>
        </w:tc>
      </w:tr>
      <w:tr w14:paraId="01401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544" w:type="dxa"/>
            <w:vAlign w:val="center"/>
          </w:tcPr>
          <w:p w14:paraId="36BAC9CF">
            <w:pPr>
              <w:numPr>
                <w:ilvl w:val="0"/>
                <w:numId w:val="4"/>
              </w:numPr>
              <w:adjustRightInd w:val="0"/>
              <w:snapToGrid w:val="0"/>
              <w:ind w:right="105" w:rightChars="50"/>
              <w:jc w:val="center"/>
              <w:rPr>
                <w:rFonts w:ascii="仿宋_GB2312" w:hAnsi="仿宋_GB2312" w:eastAsia="仿宋_GB2312" w:cs="仿宋_GB2312"/>
                <w:color w:val="auto"/>
                <w:szCs w:val="21"/>
                <w:highlight w:val="none"/>
              </w:rPr>
            </w:pPr>
          </w:p>
        </w:tc>
        <w:tc>
          <w:tcPr>
            <w:tcW w:w="3737" w:type="dxa"/>
            <w:vAlign w:val="center"/>
          </w:tcPr>
          <w:p w14:paraId="67D8DCAF">
            <w:pPr>
              <w:adjustRightInd w:val="0"/>
              <w:snapToGrid w:val="0"/>
              <w:rPr>
                <w:rFonts w:ascii="仿宋_GB2312" w:hAnsi="仿宋_GB2312" w:eastAsia="仿宋_GB2312" w:cs="仿宋_GB2312"/>
                <w:color w:val="auto"/>
                <w:highlight w:val="none"/>
              </w:rPr>
            </w:pPr>
            <w:r>
              <w:rPr>
                <w:rFonts w:hint="eastAsia" w:ascii="仿宋_GB2312" w:hAnsi="仿宋_GB2312" w:eastAsia="仿宋_GB2312" w:cs="仿宋_GB2312"/>
                <w:b/>
                <w:color w:val="auto"/>
                <w:sz w:val="18"/>
                <w:szCs w:val="18"/>
                <w:highlight w:val="none"/>
              </w:rPr>
              <w:t>★</w:t>
            </w:r>
            <w:r>
              <w:rPr>
                <w:rFonts w:hint="eastAsia" w:ascii="仿宋_GB2312" w:hAnsi="仿宋_GB2312" w:eastAsia="仿宋_GB2312" w:cs="仿宋_GB2312"/>
                <w:color w:val="auto"/>
                <w:szCs w:val="21"/>
                <w:highlight w:val="none"/>
              </w:rPr>
              <w:t>交货/交付时间：自合同签订之日起，30天内完成全部供货安装。</w:t>
            </w:r>
          </w:p>
        </w:tc>
        <w:tc>
          <w:tcPr>
            <w:tcW w:w="2370" w:type="dxa"/>
            <w:vAlign w:val="center"/>
          </w:tcPr>
          <w:p w14:paraId="7D0E444A">
            <w:pPr>
              <w:adjustRightInd w:val="0"/>
              <w:snapToGrid w:val="0"/>
              <w:ind w:right="105" w:rightChars="50"/>
              <w:jc w:val="center"/>
              <w:rPr>
                <w:rFonts w:ascii="仿宋_GB2312" w:hAnsi="仿宋_GB2312" w:eastAsia="仿宋_GB2312" w:cs="仿宋_GB2312"/>
                <w:color w:val="auto"/>
                <w:szCs w:val="21"/>
                <w:highlight w:val="none"/>
              </w:rPr>
            </w:pPr>
          </w:p>
        </w:tc>
        <w:tc>
          <w:tcPr>
            <w:tcW w:w="926" w:type="dxa"/>
            <w:vAlign w:val="center"/>
          </w:tcPr>
          <w:p w14:paraId="6FFB689C">
            <w:pPr>
              <w:adjustRightInd w:val="0"/>
              <w:snapToGrid w:val="0"/>
              <w:ind w:right="105" w:rightChars="50"/>
              <w:jc w:val="center"/>
              <w:rPr>
                <w:rFonts w:ascii="仿宋_GB2312" w:hAnsi="仿宋_GB2312" w:eastAsia="仿宋_GB2312" w:cs="仿宋_GB2312"/>
                <w:color w:val="auto"/>
                <w:szCs w:val="21"/>
                <w:highlight w:val="none"/>
              </w:rPr>
            </w:pPr>
          </w:p>
        </w:tc>
        <w:tc>
          <w:tcPr>
            <w:tcW w:w="936" w:type="dxa"/>
            <w:vAlign w:val="center"/>
          </w:tcPr>
          <w:p w14:paraId="40EA5B69">
            <w:pPr>
              <w:adjustRightInd w:val="0"/>
              <w:snapToGrid w:val="0"/>
              <w:ind w:right="105" w:rightChars="50"/>
              <w:jc w:val="center"/>
              <w:rPr>
                <w:rFonts w:ascii="仿宋_GB2312" w:hAnsi="仿宋_GB2312" w:eastAsia="仿宋_GB2312" w:cs="仿宋_GB2312"/>
                <w:color w:val="auto"/>
                <w:szCs w:val="21"/>
                <w:highlight w:val="none"/>
              </w:rPr>
            </w:pPr>
          </w:p>
        </w:tc>
      </w:tr>
      <w:tr w14:paraId="1ABBB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544" w:type="dxa"/>
            <w:vAlign w:val="center"/>
          </w:tcPr>
          <w:p w14:paraId="0D06D8E2">
            <w:pPr>
              <w:numPr>
                <w:ilvl w:val="0"/>
                <w:numId w:val="4"/>
              </w:numPr>
              <w:adjustRightInd w:val="0"/>
              <w:snapToGrid w:val="0"/>
              <w:ind w:right="105" w:rightChars="50"/>
              <w:jc w:val="center"/>
              <w:rPr>
                <w:rFonts w:ascii="仿宋_GB2312" w:hAnsi="仿宋_GB2312" w:eastAsia="仿宋_GB2312" w:cs="仿宋_GB2312"/>
                <w:color w:val="auto"/>
                <w:szCs w:val="21"/>
                <w:highlight w:val="none"/>
              </w:rPr>
            </w:pPr>
          </w:p>
        </w:tc>
        <w:tc>
          <w:tcPr>
            <w:tcW w:w="3737" w:type="dxa"/>
            <w:vAlign w:val="center"/>
          </w:tcPr>
          <w:p w14:paraId="3250DDE2">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 w:val="18"/>
                <w:szCs w:val="18"/>
                <w:highlight w:val="none"/>
              </w:rPr>
              <w:t>★</w:t>
            </w:r>
            <w:r>
              <w:rPr>
                <w:rFonts w:hint="eastAsia" w:ascii="仿宋_GB2312" w:hAnsi="仿宋_GB2312" w:eastAsia="仿宋_GB2312" w:cs="仿宋_GB2312"/>
                <w:color w:val="auto"/>
                <w:szCs w:val="21"/>
                <w:highlight w:val="none"/>
              </w:rPr>
              <w:t>交货/交付地点：大连医科大学指定地点。</w:t>
            </w:r>
          </w:p>
        </w:tc>
        <w:tc>
          <w:tcPr>
            <w:tcW w:w="2370" w:type="dxa"/>
            <w:vAlign w:val="center"/>
          </w:tcPr>
          <w:p w14:paraId="74F7C4A2">
            <w:pPr>
              <w:adjustRightInd w:val="0"/>
              <w:snapToGrid w:val="0"/>
              <w:ind w:right="105" w:rightChars="50"/>
              <w:jc w:val="center"/>
              <w:rPr>
                <w:rFonts w:ascii="仿宋_GB2312" w:hAnsi="仿宋_GB2312" w:eastAsia="仿宋_GB2312" w:cs="仿宋_GB2312"/>
                <w:color w:val="auto"/>
                <w:szCs w:val="21"/>
                <w:highlight w:val="none"/>
              </w:rPr>
            </w:pPr>
          </w:p>
        </w:tc>
        <w:tc>
          <w:tcPr>
            <w:tcW w:w="926" w:type="dxa"/>
            <w:vAlign w:val="center"/>
          </w:tcPr>
          <w:p w14:paraId="73D0693C">
            <w:pPr>
              <w:adjustRightInd w:val="0"/>
              <w:snapToGrid w:val="0"/>
              <w:ind w:right="105" w:rightChars="50"/>
              <w:jc w:val="center"/>
              <w:rPr>
                <w:rFonts w:ascii="仿宋_GB2312" w:hAnsi="仿宋_GB2312" w:eastAsia="仿宋_GB2312" w:cs="仿宋_GB2312"/>
                <w:color w:val="auto"/>
                <w:szCs w:val="21"/>
                <w:highlight w:val="none"/>
              </w:rPr>
            </w:pPr>
          </w:p>
        </w:tc>
        <w:tc>
          <w:tcPr>
            <w:tcW w:w="936" w:type="dxa"/>
            <w:vAlign w:val="center"/>
          </w:tcPr>
          <w:p w14:paraId="7A949C82">
            <w:pPr>
              <w:adjustRightInd w:val="0"/>
              <w:snapToGrid w:val="0"/>
              <w:ind w:right="105" w:rightChars="50"/>
              <w:jc w:val="center"/>
              <w:rPr>
                <w:rFonts w:ascii="仿宋_GB2312" w:hAnsi="仿宋_GB2312" w:eastAsia="仿宋_GB2312" w:cs="仿宋_GB2312"/>
                <w:color w:val="auto"/>
                <w:szCs w:val="21"/>
                <w:highlight w:val="none"/>
              </w:rPr>
            </w:pPr>
          </w:p>
        </w:tc>
      </w:tr>
      <w:tr w14:paraId="3D66C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544" w:type="dxa"/>
            <w:vAlign w:val="center"/>
          </w:tcPr>
          <w:p w14:paraId="1267C839">
            <w:pPr>
              <w:numPr>
                <w:ilvl w:val="0"/>
                <w:numId w:val="4"/>
              </w:numPr>
              <w:adjustRightInd w:val="0"/>
              <w:snapToGrid w:val="0"/>
              <w:ind w:right="105" w:rightChars="50"/>
              <w:jc w:val="center"/>
              <w:rPr>
                <w:rFonts w:ascii="仿宋_GB2312" w:hAnsi="仿宋_GB2312" w:eastAsia="仿宋_GB2312" w:cs="仿宋_GB2312"/>
                <w:color w:val="auto"/>
                <w:szCs w:val="21"/>
                <w:highlight w:val="none"/>
              </w:rPr>
            </w:pPr>
          </w:p>
        </w:tc>
        <w:tc>
          <w:tcPr>
            <w:tcW w:w="3737" w:type="dxa"/>
            <w:vAlign w:val="center"/>
          </w:tcPr>
          <w:p w14:paraId="1AED05E7">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★付款方式及条件：在全部货物交货完毕并验收合格后，招标人将支付100%的合同价款。</w:t>
            </w:r>
          </w:p>
        </w:tc>
        <w:tc>
          <w:tcPr>
            <w:tcW w:w="2370" w:type="dxa"/>
            <w:vAlign w:val="center"/>
          </w:tcPr>
          <w:p w14:paraId="1228CEBC">
            <w:pPr>
              <w:adjustRightInd w:val="0"/>
              <w:snapToGrid w:val="0"/>
              <w:ind w:right="105" w:rightChars="50"/>
              <w:jc w:val="center"/>
              <w:rPr>
                <w:rFonts w:ascii="仿宋_GB2312" w:hAnsi="仿宋_GB2312" w:eastAsia="仿宋_GB2312" w:cs="仿宋_GB2312"/>
                <w:color w:val="auto"/>
                <w:szCs w:val="21"/>
                <w:highlight w:val="none"/>
              </w:rPr>
            </w:pPr>
          </w:p>
        </w:tc>
        <w:tc>
          <w:tcPr>
            <w:tcW w:w="926" w:type="dxa"/>
            <w:vAlign w:val="center"/>
          </w:tcPr>
          <w:p w14:paraId="5F1E0C73">
            <w:pPr>
              <w:adjustRightInd w:val="0"/>
              <w:snapToGrid w:val="0"/>
              <w:ind w:right="105" w:rightChars="50"/>
              <w:jc w:val="center"/>
              <w:rPr>
                <w:rFonts w:ascii="仿宋_GB2312" w:hAnsi="仿宋_GB2312" w:eastAsia="仿宋_GB2312" w:cs="仿宋_GB2312"/>
                <w:color w:val="auto"/>
                <w:szCs w:val="21"/>
                <w:highlight w:val="none"/>
              </w:rPr>
            </w:pPr>
          </w:p>
        </w:tc>
        <w:tc>
          <w:tcPr>
            <w:tcW w:w="936" w:type="dxa"/>
            <w:vAlign w:val="center"/>
          </w:tcPr>
          <w:p w14:paraId="5202B98A">
            <w:pPr>
              <w:adjustRightInd w:val="0"/>
              <w:snapToGrid w:val="0"/>
              <w:ind w:right="105" w:rightChars="50"/>
              <w:jc w:val="center"/>
              <w:rPr>
                <w:rFonts w:ascii="仿宋_GB2312" w:hAnsi="仿宋_GB2312" w:eastAsia="仿宋_GB2312" w:cs="仿宋_GB2312"/>
                <w:color w:val="auto"/>
                <w:szCs w:val="21"/>
                <w:highlight w:val="none"/>
              </w:rPr>
            </w:pPr>
          </w:p>
        </w:tc>
      </w:tr>
      <w:tr w14:paraId="2D351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544" w:type="dxa"/>
            <w:vAlign w:val="center"/>
          </w:tcPr>
          <w:p w14:paraId="759E9890">
            <w:pPr>
              <w:numPr>
                <w:ilvl w:val="0"/>
                <w:numId w:val="4"/>
              </w:numPr>
              <w:adjustRightInd w:val="0"/>
              <w:snapToGrid w:val="0"/>
              <w:ind w:right="105" w:rightChars="50"/>
              <w:jc w:val="center"/>
              <w:rPr>
                <w:rFonts w:ascii="仿宋_GB2312" w:hAnsi="仿宋_GB2312" w:eastAsia="仿宋_GB2312" w:cs="仿宋_GB2312"/>
                <w:color w:val="auto"/>
                <w:szCs w:val="21"/>
                <w:highlight w:val="none"/>
              </w:rPr>
            </w:pPr>
          </w:p>
        </w:tc>
        <w:tc>
          <w:tcPr>
            <w:tcW w:w="3737" w:type="dxa"/>
            <w:vAlign w:val="center"/>
          </w:tcPr>
          <w:p w14:paraId="2FEF72B7">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 w:val="18"/>
                <w:szCs w:val="18"/>
                <w:highlight w:val="none"/>
              </w:rPr>
              <w:t>★</w:t>
            </w:r>
            <w:r>
              <w:rPr>
                <w:rFonts w:hint="eastAsia" w:ascii="仿宋_GB2312" w:hAnsi="仿宋_GB2312" w:eastAsia="仿宋_GB2312" w:cs="仿宋_GB2312"/>
                <w:color w:val="auto"/>
                <w:szCs w:val="21"/>
                <w:highlight w:val="none"/>
              </w:rPr>
              <w:t>验收标准：按照《辽宁省政府采购履约验收管理办法》（辽财采〔2017〕603 号）、采购文件技术要求及功能要求、采购合同规定的技术、服务等要求组织对中标人履约的验收，并出具验收书。招标人对投标人提交的货物依据采购文件上的技术规格要求和国家有关质量标准进行现场初步验收，外观、说明书符合招标文件技术要求的，给予签收，初步验收不合格的不予签收。中标人交货前应对产品做出全面检查和对验收文件进行整理,并列出清单,作为招标人收货验收和使用的技术条件依据,检验的结果应随货物交招标人。招标人对中标人提供的货物在使用前进行调试时, 中标人需负责安装,并协助招标人一起调试,直到符合技术要求,招标人才做最终验收。</w:t>
            </w:r>
          </w:p>
        </w:tc>
        <w:tc>
          <w:tcPr>
            <w:tcW w:w="2370" w:type="dxa"/>
            <w:vAlign w:val="center"/>
          </w:tcPr>
          <w:p w14:paraId="04DB56C0">
            <w:pPr>
              <w:adjustRightInd w:val="0"/>
              <w:snapToGrid w:val="0"/>
              <w:ind w:right="105" w:rightChars="50"/>
              <w:jc w:val="center"/>
              <w:rPr>
                <w:rFonts w:ascii="仿宋_GB2312" w:hAnsi="仿宋_GB2312" w:eastAsia="仿宋_GB2312" w:cs="仿宋_GB2312"/>
                <w:color w:val="auto"/>
                <w:szCs w:val="21"/>
                <w:highlight w:val="none"/>
              </w:rPr>
            </w:pPr>
          </w:p>
        </w:tc>
        <w:tc>
          <w:tcPr>
            <w:tcW w:w="926" w:type="dxa"/>
            <w:vAlign w:val="center"/>
          </w:tcPr>
          <w:p w14:paraId="4AB05A3D">
            <w:pPr>
              <w:adjustRightInd w:val="0"/>
              <w:snapToGrid w:val="0"/>
              <w:ind w:right="105" w:rightChars="50"/>
              <w:jc w:val="center"/>
              <w:rPr>
                <w:rFonts w:ascii="仿宋_GB2312" w:hAnsi="仿宋_GB2312" w:eastAsia="仿宋_GB2312" w:cs="仿宋_GB2312"/>
                <w:color w:val="auto"/>
                <w:szCs w:val="21"/>
                <w:highlight w:val="none"/>
              </w:rPr>
            </w:pPr>
          </w:p>
        </w:tc>
        <w:tc>
          <w:tcPr>
            <w:tcW w:w="936" w:type="dxa"/>
            <w:vAlign w:val="center"/>
          </w:tcPr>
          <w:p w14:paraId="7AA4B637">
            <w:pPr>
              <w:adjustRightInd w:val="0"/>
              <w:snapToGrid w:val="0"/>
              <w:ind w:right="105" w:rightChars="50"/>
              <w:jc w:val="center"/>
              <w:rPr>
                <w:rFonts w:ascii="仿宋_GB2312" w:hAnsi="仿宋_GB2312" w:eastAsia="仿宋_GB2312" w:cs="仿宋_GB2312"/>
                <w:color w:val="auto"/>
                <w:szCs w:val="21"/>
                <w:highlight w:val="none"/>
              </w:rPr>
            </w:pPr>
          </w:p>
        </w:tc>
      </w:tr>
      <w:tr w14:paraId="17F23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4" w:type="dxa"/>
            <w:vAlign w:val="center"/>
          </w:tcPr>
          <w:p w14:paraId="2B667BBF">
            <w:pPr>
              <w:numPr>
                <w:ilvl w:val="0"/>
                <w:numId w:val="4"/>
              </w:numPr>
              <w:adjustRightInd w:val="0"/>
              <w:snapToGrid w:val="0"/>
              <w:ind w:right="105" w:rightChars="50"/>
              <w:jc w:val="center"/>
              <w:rPr>
                <w:rFonts w:ascii="仿宋_GB2312" w:hAnsi="仿宋_GB2312" w:eastAsia="仿宋_GB2312" w:cs="仿宋_GB2312"/>
                <w:color w:val="auto"/>
                <w:szCs w:val="21"/>
                <w:highlight w:val="none"/>
              </w:rPr>
            </w:pPr>
          </w:p>
        </w:tc>
        <w:tc>
          <w:tcPr>
            <w:tcW w:w="3737" w:type="dxa"/>
            <w:vAlign w:val="center"/>
          </w:tcPr>
          <w:p w14:paraId="269CB412">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 w:val="18"/>
                <w:szCs w:val="18"/>
                <w:highlight w:val="none"/>
              </w:rPr>
              <w:t>★</w:t>
            </w:r>
            <w:r>
              <w:rPr>
                <w:rFonts w:hint="eastAsia" w:ascii="仿宋_GB2312" w:hAnsi="仿宋_GB2312" w:eastAsia="仿宋_GB2312" w:cs="仿宋_GB2312"/>
                <w:color w:val="auto"/>
                <w:szCs w:val="21"/>
                <w:highlight w:val="none"/>
              </w:rPr>
              <w:t>免费质量保证期：自验收合格之日起3年。</w:t>
            </w:r>
          </w:p>
        </w:tc>
        <w:tc>
          <w:tcPr>
            <w:tcW w:w="2370" w:type="dxa"/>
            <w:vAlign w:val="center"/>
          </w:tcPr>
          <w:p w14:paraId="582AEEED">
            <w:pPr>
              <w:adjustRightInd w:val="0"/>
              <w:snapToGrid w:val="0"/>
              <w:ind w:right="105" w:rightChars="50"/>
              <w:jc w:val="center"/>
              <w:rPr>
                <w:rFonts w:ascii="仿宋_GB2312" w:hAnsi="仿宋_GB2312" w:eastAsia="仿宋_GB2312" w:cs="仿宋_GB2312"/>
                <w:color w:val="auto"/>
                <w:szCs w:val="21"/>
                <w:highlight w:val="none"/>
              </w:rPr>
            </w:pPr>
          </w:p>
        </w:tc>
        <w:tc>
          <w:tcPr>
            <w:tcW w:w="926" w:type="dxa"/>
            <w:vAlign w:val="center"/>
          </w:tcPr>
          <w:p w14:paraId="14082F59">
            <w:pPr>
              <w:adjustRightInd w:val="0"/>
              <w:snapToGrid w:val="0"/>
              <w:ind w:right="105" w:rightChars="50"/>
              <w:jc w:val="center"/>
              <w:rPr>
                <w:rFonts w:ascii="仿宋_GB2312" w:hAnsi="仿宋_GB2312" w:eastAsia="仿宋_GB2312" w:cs="仿宋_GB2312"/>
                <w:color w:val="auto"/>
                <w:szCs w:val="21"/>
                <w:highlight w:val="none"/>
              </w:rPr>
            </w:pPr>
          </w:p>
        </w:tc>
        <w:tc>
          <w:tcPr>
            <w:tcW w:w="936" w:type="dxa"/>
            <w:vAlign w:val="center"/>
          </w:tcPr>
          <w:p w14:paraId="0BD64EEF">
            <w:pPr>
              <w:adjustRightInd w:val="0"/>
              <w:snapToGrid w:val="0"/>
              <w:ind w:right="105" w:rightChars="50"/>
              <w:jc w:val="center"/>
              <w:rPr>
                <w:rFonts w:ascii="仿宋_GB2312" w:hAnsi="仿宋_GB2312" w:eastAsia="仿宋_GB2312" w:cs="仿宋_GB2312"/>
                <w:color w:val="auto"/>
                <w:szCs w:val="21"/>
                <w:highlight w:val="none"/>
              </w:rPr>
            </w:pPr>
          </w:p>
        </w:tc>
      </w:tr>
      <w:tr w14:paraId="4147E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544" w:type="dxa"/>
            <w:vAlign w:val="center"/>
          </w:tcPr>
          <w:p w14:paraId="1ED9F011">
            <w:pPr>
              <w:numPr>
                <w:ilvl w:val="0"/>
                <w:numId w:val="4"/>
              </w:numPr>
              <w:adjustRightInd w:val="0"/>
              <w:snapToGrid w:val="0"/>
              <w:ind w:right="105" w:rightChars="50"/>
              <w:jc w:val="center"/>
              <w:rPr>
                <w:rFonts w:ascii="仿宋_GB2312" w:hAnsi="仿宋_GB2312" w:eastAsia="仿宋_GB2312" w:cs="仿宋_GB2312"/>
                <w:color w:val="auto"/>
                <w:szCs w:val="21"/>
                <w:highlight w:val="none"/>
              </w:rPr>
            </w:pPr>
          </w:p>
        </w:tc>
        <w:tc>
          <w:tcPr>
            <w:tcW w:w="3737" w:type="dxa"/>
            <w:vAlign w:val="center"/>
          </w:tcPr>
          <w:p w14:paraId="3B914995">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 w:val="18"/>
                <w:szCs w:val="18"/>
                <w:highlight w:val="none"/>
              </w:rPr>
              <w:t>★</w:t>
            </w:r>
            <w:r>
              <w:rPr>
                <w:rFonts w:hint="eastAsia" w:ascii="仿宋_GB2312" w:hAnsi="仿宋_GB2312" w:eastAsia="仿宋_GB2312" w:cs="仿宋_GB2312"/>
                <w:color w:val="auto"/>
                <w:szCs w:val="21"/>
                <w:highlight w:val="none"/>
              </w:rPr>
              <w:t>售后服务要求：</w:t>
            </w:r>
          </w:p>
          <w:p w14:paraId="40991B53">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（1）中标人应按采购文件规定的货物性能、技术要求、质量标准向招标人提供未经使用的全新产品。</w:t>
            </w:r>
          </w:p>
          <w:p w14:paraId="0D0D3AAB">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在产品质保期内须免费更换或维修有缺陷的产品、部件和材料,直到达到验收指标和性能要求。在产品质保期内维修达到三次（含）以上的，招标人有权要求投标人无条件换货或者退货，且退换货产生的费用由投标人承担。换货的供货期不得超过一个月，且换货后重新计算质保期，自新货品供货安装调试且验收合格之日起计算。</w:t>
            </w:r>
          </w:p>
          <w:p w14:paraId="7C44C3AC">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（3）热线支持或现场支持：24小时免费热线支持或现场支持，如在使用过程中发生质量问题，中标人在接到招标人通知后半小时内电话响应，2小时内到达现场解决问题。</w:t>
            </w:r>
          </w:p>
        </w:tc>
        <w:tc>
          <w:tcPr>
            <w:tcW w:w="2370" w:type="dxa"/>
            <w:vAlign w:val="center"/>
          </w:tcPr>
          <w:p w14:paraId="1AA6BCE1">
            <w:pPr>
              <w:adjustRightInd w:val="0"/>
              <w:snapToGrid w:val="0"/>
              <w:ind w:right="105" w:rightChars="50"/>
              <w:jc w:val="center"/>
              <w:rPr>
                <w:rFonts w:ascii="仿宋_GB2312" w:hAnsi="仿宋_GB2312" w:eastAsia="仿宋_GB2312" w:cs="仿宋_GB2312"/>
                <w:color w:val="auto"/>
                <w:szCs w:val="21"/>
                <w:highlight w:val="none"/>
              </w:rPr>
            </w:pPr>
          </w:p>
        </w:tc>
        <w:tc>
          <w:tcPr>
            <w:tcW w:w="926" w:type="dxa"/>
            <w:vAlign w:val="center"/>
          </w:tcPr>
          <w:p w14:paraId="4F88A7FF">
            <w:pPr>
              <w:adjustRightInd w:val="0"/>
              <w:snapToGrid w:val="0"/>
              <w:ind w:right="105" w:rightChars="50"/>
              <w:jc w:val="center"/>
              <w:rPr>
                <w:rFonts w:ascii="仿宋_GB2312" w:hAnsi="仿宋_GB2312" w:eastAsia="仿宋_GB2312" w:cs="仿宋_GB2312"/>
                <w:color w:val="auto"/>
                <w:szCs w:val="21"/>
                <w:highlight w:val="none"/>
              </w:rPr>
            </w:pPr>
          </w:p>
        </w:tc>
        <w:tc>
          <w:tcPr>
            <w:tcW w:w="936" w:type="dxa"/>
            <w:vAlign w:val="center"/>
          </w:tcPr>
          <w:p w14:paraId="14AE7782">
            <w:pPr>
              <w:adjustRightInd w:val="0"/>
              <w:snapToGrid w:val="0"/>
              <w:ind w:right="105" w:rightChars="50"/>
              <w:jc w:val="center"/>
              <w:rPr>
                <w:rFonts w:ascii="仿宋_GB2312" w:hAnsi="仿宋_GB2312" w:eastAsia="仿宋_GB2312" w:cs="仿宋_GB2312"/>
                <w:color w:val="auto"/>
                <w:szCs w:val="21"/>
                <w:highlight w:val="none"/>
              </w:rPr>
            </w:pPr>
          </w:p>
        </w:tc>
      </w:tr>
      <w:tr w14:paraId="75D15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544" w:type="dxa"/>
            <w:vAlign w:val="center"/>
          </w:tcPr>
          <w:p w14:paraId="61118AD2">
            <w:pPr>
              <w:numPr>
                <w:ilvl w:val="0"/>
                <w:numId w:val="4"/>
              </w:numPr>
              <w:adjustRightInd w:val="0"/>
              <w:snapToGrid w:val="0"/>
              <w:ind w:right="105" w:rightChars="50"/>
              <w:jc w:val="center"/>
              <w:rPr>
                <w:rFonts w:ascii="仿宋_GB2312" w:hAnsi="仿宋_GB2312" w:eastAsia="仿宋_GB2312" w:cs="仿宋_GB2312"/>
                <w:color w:val="auto"/>
                <w:szCs w:val="21"/>
                <w:highlight w:val="none"/>
              </w:rPr>
            </w:pPr>
          </w:p>
        </w:tc>
        <w:tc>
          <w:tcPr>
            <w:tcW w:w="3737" w:type="dxa"/>
            <w:shd w:val="clear" w:color="auto" w:fill="auto"/>
            <w:vAlign w:val="center"/>
          </w:tcPr>
          <w:p w14:paraId="4DF863DA">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★货物包装、运输、保险和交付要求：</w:t>
            </w:r>
          </w:p>
          <w:p w14:paraId="1FCE955A">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（1）合同涉及商品包装、快递包装的，包装应适应远距离运输、防潮、防震、防锈和防野蛮装卸等要求，确保货物安全无损地运抵招标人指定现场。</w:t>
            </w:r>
          </w:p>
          <w:p w14:paraId="6909569E">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（2）中标人负责办理将货物运抵本合同规定的交货地点，并装卸、交付至招标人的一切运输事项，相关费用应包含在合同价款中。</w:t>
            </w:r>
          </w:p>
          <w:p w14:paraId="2760D374">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（3）中标人考虑货物保险及相关保障，相关费用应包含在合同价款中。</w:t>
            </w:r>
          </w:p>
          <w:p w14:paraId="384D984B">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除采购活动对商品包装、快递包装达成具体约定外，中标人提供产品及相关快递服务涉及到具体包装要求的，应不低于《商品包装政府采购需求标准（试行）》《快递包装政府采购需求标准（试行）》标准。</w:t>
            </w:r>
          </w:p>
          <w:p w14:paraId="79D20D09">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（5）中标人在运输到达之前应提前通知招标人，并提示货物运输装卸的注意事项，招标人配合中标人做好货物的接收工作。</w:t>
            </w:r>
          </w:p>
          <w:p w14:paraId="7A861903">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（6）如因包装、运输问题导致货物损毁、丢失或者品质下降，甲方有权要求降价、换货、拒收部分或整批货物，由此产生的费用和损失，均由中标人承担。</w:t>
            </w:r>
          </w:p>
        </w:tc>
        <w:tc>
          <w:tcPr>
            <w:tcW w:w="2370" w:type="dxa"/>
            <w:vAlign w:val="center"/>
          </w:tcPr>
          <w:p w14:paraId="53D9EA7D">
            <w:pPr>
              <w:adjustRightInd w:val="0"/>
              <w:snapToGrid w:val="0"/>
              <w:ind w:right="105" w:rightChars="50"/>
              <w:jc w:val="center"/>
              <w:rPr>
                <w:rFonts w:ascii="仿宋_GB2312" w:hAnsi="仿宋_GB2312" w:eastAsia="仿宋_GB2312" w:cs="仿宋_GB2312"/>
                <w:color w:val="auto"/>
                <w:szCs w:val="21"/>
                <w:highlight w:val="none"/>
              </w:rPr>
            </w:pPr>
          </w:p>
        </w:tc>
        <w:tc>
          <w:tcPr>
            <w:tcW w:w="926" w:type="dxa"/>
            <w:vAlign w:val="center"/>
          </w:tcPr>
          <w:p w14:paraId="6F56E97A">
            <w:pPr>
              <w:adjustRightInd w:val="0"/>
              <w:snapToGrid w:val="0"/>
              <w:ind w:right="105" w:rightChars="50"/>
              <w:jc w:val="center"/>
              <w:rPr>
                <w:rFonts w:ascii="仿宋_GB2312" w:hAnsi="仿宋_GB2312" w:eastAsia="仿宋_GB2312" w:cs="仿宋_GB2312"/>
                <w:color w:val="auto"/>
                <w:szCs w:val="21"/>
                <w:highlight w:val="none"/>
              </w:rPr>
            </w:pPr>
          </w:p>
        </w:tc>
        <w:tc>
          <w:tcPr>
            <w:tcW w:w="936" w:type="dxa"/>
            <w:vAlign w:val="center"/>
          </w:tcPr>
          <w:p w14:paraId="22CAF925">
            <w:pPr>
              <w:adjustRightInd w:val="0"/>
              <w:snapToGrid w:val="0"/>
              <w:ind w:right="105" w:rightChars="50"/>
              <w:jc w:val="center"/>
              <w:rPr>
                <w:rFonts w:ascii="仿宋_GB2312" w:hAnsi="仿宋_GB2312" w:eastAsia="仿宋_GB2312" w:cs="仿宋_GB2312"/>
                <w:color w:val="auto"/>
                <w:szCs w:val="21"/>
                <w:highlight w:val="none"/>
              </w:rPr>
            </w:pPr>
          </w:p>
        </w:tc>
      </w:tr>
      <w:tr w14:paraId="2A02C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544" w:type="dxa"/>
            <w:vAlign w:val="center"/>
          </w:tcPr>
          <w:p w14:paraId="605D48EB">
            <w:pPr>
              <w:numPr>
                <w:ilvl w:val="0"/>
                <w:numId w:val="4"/>
              </w:numPr>
              <w:adjustRightInd w:val="0"/>
              <w:snapToGrid w:val="0"/>
              <w:ind w:right="105" w:rightChars="50"/>
              <w:jc w:val="center"/>
              <w:rPr>
                <w:rFonts w:ascii="仿宋_GB2312" w:hAnsi="仿宋_GB2312" w:eastAsia="仿宋_GB2312" w:cs="仿宋_GB2312"/>
                <w:color w:val="auto"/>
                <w:szCs w:val="21"/>
                <w:highlight w:val="none"/>
              </w:rPr>
            </w:pPr>
          </w:p>
        </w:tc>
        <w:tc>
          <w:tcPr>
            <w:tcW w:w="3737" w:type="dxa"/>
            <w:shd w:val="clear" w:color="auto" w:fill="auto"/>
            <w:vAlign w:val="center"/>
          </w:tcPr>
          <w:p w14:paraId="4305FF22">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★培训服务：</w:t>
            </w:r>
          </w:p>
          <w:p w14:paraId="407BA173">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（1）中标人应按招标文件文件规定的货物性能、技术要求、使用方法等向采购人提供培训服务。</w:t>
            </w:r>
          </w:p>
          <w:p w14:paraId="79DBA1CF">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（2）培训时长：按照招标人要求安排资深技术人员到学校对招标人指定的操作人员进行全面、系统、深入的培训。</w:t>
            </w:r>
          </w:p>
          <w:p w14:paraId="537987D9">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（3）培训内容：包括但不限于设备、系统的连接、配置、操作、保养、维护、使用等。</w:t>
            </w:r>
          </w:p>
          <w:p w14:paraId="6B8BA9E6">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（4）培训形式：到校线下培训。</w:t>
            </w:r>
          </w:p>
        </w:tc>
        <w:tc>
          <w:tcPr>
            <w:tcW w:w="2370" w:type="dxa"/>
            <w:vAlign w:val="center"/>
          </w:tcPr>
          <w:p w14:paraId="287147C3">
            <w:pPr>
              <w:adjustRightInd w:val="0"/>
              <w:snapToGrid w:val="0"/>
              <w:ind w:right="105" w:rightChars="50"/>
              <w:jc w:val="center"/>
              <w:rPr>
                <w:rFonts w:ascii="仿宋_GB2312" w:hAnsi="仿宋_GB2312" w:eastAsia="仿宋_GB2312" w:cs="仿宋_GB2312"/>
                <w:color w:val="auto"/>
                <w:szCs w:val="21"/>
                <w:highlight w:val="none"/>
              </w:rPr>
            </w:pPr>
          </w:p>
        </w:tc>
        <w:tc>
          <w:tcPr>
            <w:tcW w:w="926" w:type="dxa"/>
            <w:vAlign w:val="center"/>
          </w:tcPr>
          <w:p w14:paraId="482258C8">
            <w:pPr>
              <w:adjustRightInd w:val="0"/>
              <w:snapToGrid w:val="0"/>
              <w:ind w:right="105" w:rightChars="50"/>
              <w:jc w:val="center"/>
              <w:rPr>
                <w:rFonts w:ascii="仿宋_GB2312" w:hAnsi="仿宋_GB2312" w:eastAsia="仿宋_GB2312" w:cs="仿宋_GB2312"/>
                <w:color w:val="auto"/>
                <w:szCs w:val="21"/>
                <w:highlight w:val="none"/>
              </w:rPr>
            </w:pPr>
          </w:p>
        </w:tc>
        <w:tc>
          <w:tcPr>
            <w:tcW w:w="936" w:type="dxa"/>
            <w:vAlign w:val="center"/>
          </w:tcPr>
          <w:p w14:paraId="6EB12827">
            <w:pPr>
              <w:adjustRightInd w:val="0"/>
              <w:snapToGrid w:val="0"/>
              <w:ind w:right="105" w:rightChars="50"/>
              <w:jc w:val="center"/>
              <w:rPr>
                <w:rFonts w:ascii="仿宋_GB2312" w:hAnsi="仿宋_GB2312" w:eastAsia="仿宋_GB2312" w:cs="仿宋_GB2312"/>
                <w:color w:val="auto"/>
                <w:szCs w:val="21"/>
                <w:highlight w:val="none"/>
              </w:rPr>
            </w:pPr>
          </w:p>
        </w:tc>
      </w:tr>
      <w:tr w14:paraId="1F001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544" w:type="dxa"/>
            <w:vAlign w:val="center"/>
          </w:tcPr>
          <w:p w14:paraId="2FEBA08F">
            <w:pPr>
              <w:numPr>
                <w:ilvl w:val="0"/>
                <w:numId w:val="4"/>
              </w:numPr>
              <w:adjustRightInd w:val="0"/>
              <w:snapToGrid w:val="0"/>
              <w:ind w:right="105" w:rightChars="50"/>
              <w:jc w:val="center"/>
              <w:rPr>
                <w:rFonts w:ascii="仿宋_GB2312" w:hAnsi="仿宋_GB2312" w:eastAsia="仿宋_GB2312" w:cs="仿宋_GB2312"/>
                <w:color w:val="auto"/>
                <w:szCs w:val="21"/>
                <w:highlight w:val="none"/>
              </w:rPr>
            </w:pPr>
          </w:p>
        </w:tc>
        <w:tc>
          <w:tcPr>
            <w:tcW w:w="3737" w:type="dxa"/>
            <w:shd w:val="clear" w:color="auto" w:fill="auto"/>
            <w:vAlign w:val="center"/>
          </w:tcPr>
          <w:p w14:paraId="41A4F2E5">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★供货及安装实施：</w:t>
            </w:r>
          </w:p>
          <w:p w14:paraId="48D603BE">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（1）中标人负责运送所有设备到招标人现场，并进行设备安装、调试等与项目有关的一切工作。</w:t>
            </w:r>
          </w:p>
          <w:p w14:paraId="29345D49">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（2）整个项目所需要的材料、工具、设备设施、工器具、车辆等均由中标人自行准备，并做好自行管理，如有损坏和丢失，采购人不负责赔偿。</w:t>
            </w:r>
          </w:p>
          <w:p w14:paraId="26F188BC">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中标人在供货时的具体摆放位置与排列方式应按采购人的要求执行。安装过程中，不能对室内地面、墙体、家具设备造成破坏，如有损坏，应恢复原状与周围环境保持一致。安装工作完成后，应小心清除杂物，做好清洁维护工作。</w:t>
            </w:r>
          </w:p>
          <w:p w14:paraId="59559993">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（4）中标人供货安装期间，不得影响教学工作。</w:t>
            </w:r>
          </w:p>
          <w:p w14:paraId="0BD4B074">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（5）中标人负责到招标人现场进行设备安装和调试，收到招标人到货通知后的3日内中标人人员必须到达招标人现场。</w:t>
            </w:r>
          </w:p>
        </w:tc>
        <w:tc>
          <w:tcPr>
            <w:tcW w:w="2370" w:type="dxa"/>
            <w:vAlign w:val="center"/>
          </w:tcPr>
          <w:p w14:paraId="013CC138">
            <w:pPr>
              <w:adjustRightInd w:val="0"/>
              <w:snapToGrid w:val="0"/>
              <w:ind w:right="105" w:rightChars="50"/>
              <w:jc w:val="center"/>
              <w:rPr>
                <w:rFonts w:ascii="仿宋_GB2312" w:hAnsi="仿宋_GB2312" w:eastAsia="仿宋_GB2312" w:cs="仿宋_GB2312"/>
                <w:color w:val="auto"/>
                <w:szCs w:val="21"/>
                <w:highlight w:val="none"/>
              </w:rPr>
            </w:pPr>
          </w:p>
        </w:tc>
        <w:tc>
          <w:tcPr>
            <w:tcW w:w="926" w:type="dxa"/>
            <w:vAlign w:val="center"/>
          </w:tcPr>
          <w:p w14:paraId="02788DA1">
            <w:pPr>
              <w:adjustRightInd w:val="0"/>
              <w:snapToGrid w:val="0"/>
              <w:ind w:right="105" w:rightChars="50"/>
              <w:jc w:val="center"/>
              <w:rPr>
                <w:rFonts w:ascii="仿宋_GB2312" w:hAnsi="仿宋_GB2312" w:eastAsia="仿宋_GB2312" w:cs="仿宋_GB2312"/>
                <w:color w:val="auto"/>
                <w:szCs w:val="21"/>
                <w:highlight w:val="none"/>
              </w:rPr>
            </w:pPr>
          </w:p>
        </w:tc>
        <w:tc>
          <w:tcPr>
            <w:tcW w:w="936" w:type="dxa"/>
            <w:vAlign w:val="center"/>
          </w:tcPr>
          <w:p w14:paraId="18932E3A">
            <w:pPr>
              <w:adjustRightInd w:val="0"/>
              <w:snapToGrid w:val="0"/>
              <w:ind w:right="105" w:rightChars="50"/>
              <w:jc w:val="center"/>
              <w:rPr>
                <w:rFonts w:ascii="仿宋_GB2312" w:hAnsi="仿宋_GB2312" w:eastAsia="仿宋_GB2312" w:cs="仿宋_GB2312"/>
                <w:color w:val="auto"/>
                <w:szCs w:val="21"/>
                <w:highlight w:val="none"/>
              </w:rPr>
            </w:pPr>
          </w:p>
        </w:tc>
      </w:tr>
      <w:tr w14:paraId="41091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544" w:type="dxa"/>
            <w:vAlign w:val="center"/>
          </w:tcPr>
          <w:p w14:paraId="4070AA2F">
            <w:pPr>
              <w:adjustRightInd w:val="0"/>
              <w:snapToGrid w:val="0"/>
              <w:ind w:right="105" w:rightChars="50"/>
              <w:jc w:val="center"/>
              <w:rPr>
                <w:rFonts w:ascii="仿宋_GB2312" w:hAnsi="仿宋_GB2312" w:eastAsia="仿宋_GB2312" w:cs="仿宋_GB2312"/>
                <w:color w:val="auto"/>
                <w:szCs w:val="21"/>
                <w:highlight w:val="none"/>
              </w:rPr>
            </w:pPr>
          </w:p>
        </w:tc>
        <w:tc>
          <w:tcPr>
            <w:tcW w:w="3737" w:type="dxa"/>
            <w:vAlign w:val="center"/>
          </w:tcPr>
          <w:p w14:paraId="2FFDF2C4">
            <w:pPr>
              <w:adjustRightInd w:val="0"/>
              <w:snapToGrid w:val="0"/>
              <w:ind w:hanging="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其它</w:t>
            </w:r>
          </w:p>
        </w:tc>
        <w:tc>
          <w:tcPr>
            <w:tcW w:w="2370" w:type="dxa"/>
            <w:vAlign w:val="center"/>
          </w:tcPr>
          <w:p w14:paraId="3921B286">
            <w:pPr>
              <w:adjustRightInd w:val="0"/>
              <w:snapToGrid w:val="0"/>
              <w:ind w:left="-53" w:leftChars="-25" w:right="-17" w:rightChars="-8"/>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采购单位未提供需求而投标人认为需说明及补充的内容在此填列</w:t>
            </w:r>
          </w:p>
        </w:tc>
        <w:tc>
          <w:tcPr>
            <w:tcW w:w="926" w:type="dxa"/>
            <w:vAlign w:val="center"/>
          </w:tcPr>
          <w:p w14:paraId="3CEB058E">
            <w:pPr>
              <w:adjustRightInd w:val="0"/>
              <w:snapToGrid w:val="0"/>
              <w:ind w:right="105" w:rightChars="50"/>
              <w:jc w:val="center"/>
              <w:rPr>
                <w:rFonts w:ascii="仿宋_GB2312" w:hAnsi="仿宋_GB2312" w:eastAsia="仿宋_GB2312" w:cs="仿宋_GB2312"/>
                <w:color w:val="auto"/>
                <w:szCs w:val="21"/>
                <w:highlight w:val="none"/>
              </w:rPr>
            </w:pPr>
          </w:p>
        </w:tc>
        <w:tc>
          <w:tcPr>
            <w:tcW w:w="936" w:type="dxa"/>
            <w:vAlign w:val="center"/>
          </w:tcPr>
          <w:p w14:paraId="07A642C1">
            <w:pPr>
              <w:adjustRightInd w:val="0"/>
              <w:snapToGrid w:val="0"/>
              <w:ind w:right="105" w:rightChars="50"/>
              <w:jc w:val="center"/>
              <w:rPr>
                <w:rFonts w:ascii="仿宋_GB2312" w:hAnsi="仿宋_GB2312" w:eastAsia="仿宋_GB2312" w:cs="仿宋_GB2312"/>
                <w:color w:val="auto"/>
                <w:szCs w:val="21"/>
                <w:highlight w:val="none"/>
              </w:rPr>
            </w:pPr>
          </w:p>
        </w:tc>
      </w:tr>
    </w:tbl>
    <w:p w14:paraId="17B5706C">
      <w:pPr>
        <w:adjustRightInd w:val="0"/>
        <w:snapToGrid w:val="0"/>
        <w:spacing w:line="360" w:lineRule="auto"/>
        <w:ind w:right="105" w:rightChars="50"/>
        <w:jc w:val="left"/>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rPr>
        <w:t>填表要求：</w:t>
      </w:r>
    </w:p>
    <w:p w14:paraId="0F04A77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1．“投标文件响应内容”一栏由投标人按照招标文件要求填写，进行响应。</w:t>
      </w:r>
    </w:p>
    <w:p w14:paraId="5A6C302B">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2．“偏离程度”一栏根据“投标文件响应内容”与招标文件逐项对照的结果填写。偏离必须用 “正偏离、负偏离或无偏离”三个名称中的一种进行标注。</w:t>
      </w:r>
    </w:p>
    <w:p w14:paraId="753925F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3．“偏离说明”一栏由投标人对偏离的情况做详细说明。</w:t>
      </w:r>
    </w:p>
    <w:p w14:paraId="756F656F">
      <w:pPr>
        <w:adjustRightInd w:val="0"/>
        <w:snapToGrid w:val="0"/>
        <w:spacing w:line="360" w:lineRule="auto"/>
        <w:rPr>
          <w:rFonts w:ascii="仿宋_GB2312" w:hAnsi="仿宋_GB2312" w:eastAsia="仿宋_GB2312" w:cs="仿宋_GB2312"/>
          <w:color w:val="auto"/>
          <w:szCs w:val="21"/>
          <w:highlight w:val="none"/>
        </w:rPr>
      </w:pPr>
    </w:p>
    <w:p w14:paraId="10AABBE0">
      <w:pPr>
        <w:spacing w:line="480" w:lineRule="auto"/>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投标人名称（加盖单位公章）：</w:t>
      </w:r>
      <w:r>
        <w:rPr>
          <w:rFonts w:hint="eastAsia" w:ascii="仿宋_GB2312" w:hAnsi="仿宋_GB2312" w:eastAsia="仿宋_GB2312" w:cs="仿宋_GB2312"/>
          <w:color w:val="auto"/>
          <w:highlight w:val="none"/>
          <w:u w:val="single"/>
        </w:rPr>
        <w:t xml:space="preserve">           </w:t>
      </w:r>
    </w:p>
    <w:p w14:paraId="04FD2991">
      <w:pPr>
        <w:spacing w:line="480" w:lineRule="auto"/>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法定代表人（或</w:t>
      </w:r>
      <w:r>
        <w:rPr>
          <w:rFonts w:hint="eastAsia" w:ascii="仿宋_GB2312" w:hAnsi="仿宋_GB2312" w:eastAsia="仿宋_GB2312" w:cs="仿宋_GB2312"/>
          <w:color w:val="auto"/>
          <w:szCs w:val="21"/>
          <w:highlight w:val="none"/>
        </w:rPr>
        <w:t>非法人组织负责人）或</w:t>
      </w:r>
      <w:r>
        <w:rPr>
          <w:rFonts w:hint="eastAsia" w:ascii="仿宋_GB2312" w:hAnsi="仿宋_GB2312" w:eastAsia="仿宋_GB2312" w:cs="仿宋_GB2312"/>
          <w:color w:val="auto"/>
          <w:highlight w:val="none"/>
        </w:rPr>
        <w:t>其</w:t>
      </w:r>
      <w:r>
        <w:rPr>
          <w:rFonts w:hint="eastAsia" w:ascii="仿宋_GB2312" w:hAnsi="仿宋_GB2312" w:eastAsia="仿宋_GB2312" w:cs="仿宋_GB2312"/>
          <w:color w:val="auto"/>
          <w:szCs w:val="21"/>
          <w:highlight w:val="none"/>
        </w:rPr>
        <w:t>授权</w:t>
      </w:r>
      <w:r>
        <w:rPr>
          <w:rFonts w:hint="eastAsia" w:ascii="仿宋_GB2312" w:hAnsi="仿宋_GB2312" w:eastAsia="仿宋_GB2312" w:cs="仿宋_GB2312"/>
          <w:color w:val="auto"/>
          <w:highlight w:val="none"/>
        </w:rPr>
        <w:t>委托</w:t>
      </w:r>
      <w:r>
        <w:rPr>
          <w:rFonts w:hint="eastAsia" w:ascii="仿宋_GB2312" w:hAnsi="仿宋_GB2312" w:eastAsia="仿宋_GB2312" w:cs="仿宋_GB2312"/>
          <w:color w:val="auto"/>
          <w:szCs w:val="21"/>
          <w:highlight w:val="none"/>
        </w:rPr>
        <w:t>人</w:t>
      </w:r>
      <w:r>
        <w:rPr>
          <w:rFonts w:hint="eastAsia" w:ascii="仿宋_GB2312" w:hAnsi="仿宋_GB2312" w:eastAsia="仿宋_GB2312" w:cs="仿宋_GB2312"/>
          <w:color w:val="auto"/>
          <w:highlight w:val="none"/>
        </w:rPr>
        <w:t>(签字或盖章)：</w:t>
      </w:r>
      <w:r>
        <w:rPr>
          <w:rFonts w:hint="eastAsia" w:ascii="仿宋_GB2312" w:hAnsi="仿宋_GB2312" w:eastAsia="仿宋_GB2312" w:cs="仿宋_GB2312"/>
          <w:color w:val="auto"/>
          <w:highlight w:val="none"/>
          <w:u w:val="single"/>
        </w:rPr>
        <w:t xml:space="preserve">           </w:t>
      </w:r>
    </w:p>
    <w:p w14:paraId="4878B5AC">
      <w:pPr>
        <w:spacing w:line="480" w:lineRule="auto"/>
        <w:rPr>
          <w:rFonts w:ascii="仿宋_GB2312" w:hAnsi="仿宋_GB2312" w:eastAsia="仿宋_GB2312" w:cs="仿宋_GB2312"/>
          <w:color w:val="auto"/>
          <w:highlight w:val="none"/>
          <w:u w:val="single"/>
        </w:rPr>
      </w:pPr>
      <w:r>
        <w:rPr>
          <w:rFonts w:hint="eastAsia" w:ascii="仿宋_GB2312" w:hAnsi="仿宋_GB2312" w:eastAsia="仿宋_GB2312" w:cs="仿宋_GB2312"/>
          <w:color w:val="auto"/>
          <w:highlight w:val="none"/>
        </w:rPr>
        <w:t>日期：</w:t>
      </w:r>
      <w:r>
        <w:rPr>
          <w:rFonts w:hint="eastAsia" w:ascii="仿宋_GB2312" w:hAnsi="仿宋_GB2312" w:eastAsia="仿宋_GB2312" w:cs="仿宋_GB2312"/>
          <w:color w:val="auto"/>
          <w:highlight w:val="none"/>
          <w:u w:val="single"/>
        </w:rPr>
        <w:t xml:space="preserve">                </w:t>
      </w:r>
    </w:p>
    <w:p w14:paraId="18B0DDEF">
      <w:pPr>
        <w:adjustRightInd w:val="0"/>
        <w:snapToGrid w:val="0"/>
        <w:ind w:right="105" w:rightChars="50"/>
        <w:jc w:val="center"/>
        <w:rPr>
          <w:rFonts w:ascii="仿宋_GB2312" w:hAnsi="仿宋_GB2312" w:eastAsia="仿宋_GB2312" w:cs="仿宋_GB2312"/>
          <w:color w:val="auto"/>
          <w:szCs w:val="28"/>
          <w:highlight w:val="none"/>
        </w:rPr>
      </w:pPr>
      <w:r>
        <w:rPr>
          <w:rFonts w:hint="eastAsia" w:ascii="仿宋_GB2312" w:hAnsi="仿宋_GB2312" w:eastAsia="仿宋_GB2312" w:cs="仿宋_GB2312"/>
          <w:color w:val="auto"/>
          <w:highlight w:val="none"/>
          <w:u w:val="single"/>
        </w:rPr>
        <w:br w:type="page"/>
      </w:r>
    </w:p>
    <w:p w14:paraId="0D4BCEC3">
      <w:pPr>
        <w:pStyle w:val="3"/>
        <w:adjustRightInd w:val="0"/>
        <w:snapToGrid w:val="0"/>
        <w:spacing w:before="0" w:after="0" w:line="240" w:lineRule="auto"/>
        <w:jc w:val="left"/>
        <w:rPr>
          <w:rFonts w:ascii="仿宋_GB2312" w:hAnsi="仿宋_GB2312" w:eastAsia="仿宋_GB2312" w:cs="仿宋_GB2312"/>
          <w:color w:val="auto"/>
          <w:szCs w:val="28"/>
          <w:highlight w:val="none"/>
        </w:rPr>
      </w:pPr>
      <w:r>
        <w:rPr>
          <w:rFonts w:hint="eastAsia" w:ascii="仿宋_GB2312" w:hAnsi="仿宋_GB2312" w:eastAsia="仿宋_GB2312" w:cs="仿宋_GB2312"/>
          <w:color w:val="auto"/>
          <w:szCs w:val="28"/>
          <w:highlight w:val="none"/>
        </w:rPr>
        <w:t>格式15</w:t>
      </w:r>
    </w:p>
    <w:p w14:paraId="26F849BF">
      <w:pPr>
        <w:adjustRightInd w:val="0"/>
        <w:snapToGrid w:val="0"/>
        <w:spacing w:before="312" w:beforeLines="100" w:after="312" w:afterLines="100" w:line="360" w:lineRule="auto"/>
        <w:ind w:right="105" w:rightChars="50"/>
        <w:jc w:val="center"/>
        <w:rPr>
          <w:rFonts w:ascii="仿宋_GB2312" w:hAnsi="仿宋_GB2312" w:eastAsia="仿宋_GB2312" w:cs="仿宋_GB2312"/>
          <w:b/>
          <w:bCs/>
          <w:color w:val="auto"/>
          <w:sz w:val="32"/>
          <w:szCs w:val="32"/>
          <w:highlight w:val="none"/>
        </w:rPr>
      </w:pPr>
      <w:bookmarkStart w:id="112" w:name="_Toc20929_WPSOffice_Level2"/>
      <w:bookmarkStart w:id="113" w:name="_Toc9410_WPSOffice_Level2"/>
      <w:r>
        <w:rPr>
          <w:rFonts w:hint="eastAsia" w:ascii="仿宋_GB2312" w:hAnsi="仿宋_GB2312" w:eastAsia="仿宋_GB2312" w:cs="仿宋_GB2312"/>
          <w:b/>
          <w:bCs/>
          <w:color w:val="auto"/>
          <w:sz w:val="32"/>
          <w:szCs w:val="32"/>
          <w:highlight w:val="none"/>
        </w:rPr>
        <w:t>投标人关联单位的说明</w:t>
      </w:r>
      <w:bookmarkEnd w:id="112"/>
      <w:bookmarkEnd w:id="113"/>
    </w:p>
    <w:p w14:paraId="0B672F9A">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说明：投标人应当如实披露与本单位存在下列关联关系的单位名称：</w:t>
      </w:r>
    </w:p>
    <w:p w14:paraId="36DF4323">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bookmarkStart w:id="114" w:name="_Toc2074_WPSOffice_Level2"/>
      <w:bookmarkStart w:id="115" w:name="_Toc31070_WPSOffice_Level2"/>
      <w:r>
        <w:rPr>
          <w:rFonts w:hint="eastAsia" w:ascii="仿宋_GB2312" w:hAnsi="仿宋_GB2312" w:eastAsia="仿宋_GB2312" w:cs="仿宋_GB2312"/>
          <w:color w:val="auto"/>
          <w:szCs w:val="21"/>
          <w:highlight w:val="none"/>
        </w:rPr>
        <w:t>（1）与投标人单位法定代表人（或非法人组织负责人）为同一人的其他单位；</w:t>
      </w:r>
      <w:bookmarkEnd w:id="114"/>
      <w:bookmarkEnd w:id="115"/>
    </w:p>
    <w:p w14:paraId="49BE43AC">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bookmarkStart w:id="116" w:name="_Toc889_WPSOffice_Level2"/>
      <w:bookmarkStart w:id="117" w:name="_Toc27053_WPSOffice_Level2"/>
      <w:r>
        <w:rPr>
          <w:rFonts w:hint="eastAsia" w:ascii="仿宋_GB2312" w:hAnsi="仿宋_GB2312" w:eastAsia="仿宋_GB2312" w:cs="仿宋_GB2312"/>
          <w:color w:val="auto"/>
          <w:szCs w:val="21"/>
          <w:highlight w:val="none"/>
        </w:rPr>
        <w:t>（2）与投标人存在直接控股、管理关系的其他单位。</w:t>
      </w:r>
      <w:bookmarkEnd w:id="116"/>
      <w:bookmarkEnd w:id="117"/>
    </w:p>
    <w:p w14:paraId="7810B25A">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1A1662DD">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注：若无此情形，写“无”即可</w:t>
      </w:r>
    </w:p>
    <w:p w14:paraId="418E3266">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04BA63C4">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4D4AED2A">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5E41FB0D">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17D424F3">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79C59146">
      <w:pPr>
        <w:spacing w:line="480" w:lineRule="auto"/>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投标人名称（加盖单位公章）：</w:t>
      </w:r>
      <w:r>
        <w:rPr>
          <w:rFonts w:hint="eastAsia" w:ascii="仿宋_GB2312" w:hAnsi="仿宋_GB2312" w:eastAsia="仿宋_GB2312" w:cs="仿宋_GB2312"/>
          <w:color w:val="auto"/>
          <w:highlight w:val="none"/>
          <w:u w:val="single"/>
        </w:rPr>
        <w:t xml:space="preserve">           </w:t>
      </w:r>
    </w:p>
    <w:p w14:paraId="00CC1831">
      <w:pPr>
        <w:spacing w:line="480" w:lineRule="auto"/>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法定代表人（或</w:t>
      </w:r>
      <w:r>
        <w:rPr>
          <w:rFonts w:hint="eastAsia" w:ascii="仿宋_GB2312" w:hAnsi="仿宋_GB2312" w:eastAsia="仿宋_GB2312" w:cs="仿宋_GB2312"/>
          <w:color w:val="auto"/>
          <w:szCs w:val="21"/>
          <w:highlight w:val="none"/>
        </w:rPr>
        <w:t>非法人组织负责人）或</w:t>
      </w:r>
      <w:r>
        <w:rPr>
          <w:rFonts w:hint="eastAsia" w:ascii="仿宋_GB2312" w:hAnsi="仿宋_GB2312" w:eastAsia="仿宋_GB2312" w:cs="仿宋_GB2312"/>
          <w:color w:val="auto"/>
          <w:highlight w:val="none"/>
        </w:rPr>
        <w:t>其</w:t>
      </w:r>
      <w:r>
        <w:rPr>
          <w:rFonts w:hint="eastAsia" w:ascii="仿宋_GB2312" w:hAnsi="仿宋_GB2312" w:eastAsia="仿宋_GB2312" w:cs="仿宋_GB2312"/>
          <w:color w:val="auto"/>
          <w:szCs w:val="21"/>
          <w:highlight w:val="none"/>
        </w:rPr>
        <w:t>授权</w:t>
      </w:r>
      <w:r>
        <w:rPr>
          <w:rFonts w:hint="eastAsia" w:ascii="仿宋_GB2312" w:hAnsi="仿宋_GB2312" w:eastAsia="仿宋_GB2312" w:cs="仿宋_GB2312"/>
          <w:color w:val="auto"/>
          <w:highlight w:val="none"/>
        </w:rPr>
        <w:t>委托</w:t>
      </w:r>
      <w:r>
        <w:rPr>
          <w:rFonts w:hint="eastAsia" w:ascii="仿宋_GB2312" w:hAnsi="仿宋_GB2312" w:eastAsia="仿宋_GB2312" w:cs="仿宋_GB2312"/>
          <w:color w:val="auto"/>
          <w:szCs w:val="21"/>
          <w:highlight w:val="none"/>
        </w:rPr>
        <w:t>人</w:t>
      </w:r>
      <w:r>
        <w:rPr>
          <w:rFonts w:hint="eastAsia" w:ascii="仿宋_GB2312" w:hAnsi="仿宋_GB2312" w:eastAsia="仿宋_GB2312" w:cs="仿宋_GB2312"/>
          <w:color w:val="auto"/>
          <w:highlight w:val="none"/>
        </w:rPr>
        <w:t>(签字或盖章)：</w:t>
      </w:r>
      <w:r>
        <w:rPr>
          <w:rFonts w:hint="eastAsia" w:ascii="仿宋_GB2312" w:hAnsi="仿宋_GB2312" w:eastAsia="仿宋_GB2312" w:cs="仿宋_GB2312"/>
          <w:color w:val="auto"/>
          <w:highlight w:val="none"/>
          <w:u w:val="single"/>
        </w:rPr>
        <w:t xml:space="preserve">           </w:t>
      </w:r>
    </w:p>
    <w:p w14:paraId="125E7DB3">
      <w:pPr>
        <w:spacing w:line="480" w:lineRule="auto"/>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日期：</w:t>
      </w:r>
      <w:r>
        <w:rPr>
          <w:rFonts w:hint="eastAsia" w:ascii="仿宋_GB2312" w:hAnsi="仿宋_GB2312" w:eastAsia="仿宋_GB2312" w:cs="仿宋_GB2312"/>
          <w:color w:val="auto"/>
          <w:highlight w:val="none"/>
          <w:u w:val="single"/>
        </w:rPr>
        <w:t xml:space="preserve">                </w:t>
      </w:r>
    </w:p>
    <w:p w14:paraId="18923462">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19F9A3F3">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0D7B6C97">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6D2D62D0">
      <w:pPr>
        <w:pStyle w:val="3"/>
        <w:adjustRightInd w:val="0"/>
        <w:snapToGrid w:val="0"/>
        <w:spacing w:before="0" w:after="0" w:line="240" w:lineRule="auto"/>
        <w:jc w:val="left"/>
        <w:rPr>
          <w:rFonts w:ascii="仿宋_GB2312" w:hAnsi="仿宋_GB2312" w:eastAsia="仿宋_GB2312" w:cs="仿宋_GB2312"/>
          <w:color w:val="auto"/>
          <w:szCs w:val="28"/>
          <w:highlight w:val="none"/>
        </w:rPr>
      </w:pPr>
      <w:r>
        <w:rPr>
          <w:rFonts w:hint="eastAsia" w:ascii="仿宋_GB2312" w:hAnsi="仿宋_GB2312" w:eastAsia="仿宋_GB2312" w:cs="仿宋_GB2312"/>
          <w:color w:val="auto"/>
          <w:szCs w:val="28"/>
          <w:highlight w:val="none"/>
        </w:rPr>
        <w:br w:type="page"/>
      </w:r>
      <w:r>
        <w:rPr>
          <w:rFonts w:hint="eastAsia" w:ascii="仿宋_GB2312" w:hAnsi="仿宋_GB2312" w:eastAsia="仿宋_GB2312" w:cs="仿宋_GB2312"/>
          <w:color w:val="auto"/>
          <w:szCs w:val="28"/>
          <w:highlight w:val="none"/>
        </w:rPr>
        <w:t>格式16-1</w:t>
      </w:r>
    </w:p>
    <w:p w14:paraId="1B94922F">
      <w:pPr>
        <w:spacing w:line="360" w:lineRule="auto"/>
        <w:jc w:val="center"/>
        <w:rPr>
          <w:rFonts w:ascii="仿宋_GB2312" w:hAnsi="仿宋_GB2312" w:eastAsia="仿宋_GB2312" w:cs="仿宋_GB2312"/>
          <w:b/>
          <w:color w:val="auto"/>
          <w:kern w:val="0"/>
          <w:sz w:val="36"/>
          <w:szCs w:val="36"/>
          <w:highlight w:val="none"/>
        </w:rPr>
      </w:pPr>
      <w:r>
        <w:rPr>
          <w:rFonts w:hint="eastAsia" w:ascii="仿宋_GB2312" w:hAnsi="仿宋_GB2312" w:eastAsia="仿宋_GB2312" w:cs="仿宋_GB2312"/>
          <w:b/>
          <w:color w:val="auto"/>
          <w:kern w:val="0"/>
          <w:sz w:val="36"/>
          <w:szCs w:val="36"/>
          <w:highlight w:val="none"/>
        </w:rPr>
        <w:t>政府采购节能产品、环境标志产品声明函</w:t>
      </w:r>
    </w:p>
    <w:p w14:paraId="3FC9BCDD">
      <w:pPr>
        <w:spacing w:before="156" w:beforeLines="50" w:line="360" w:lineRule="auto"/>
        <w:ind w:firstLine="480" w:firstLineChars="200"/>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本单位承诺，本次参加的_________________________采购项目（项目编号：____________），所投的下列产品属于《政府采购节能产品、环境标志产品品目清单》内的产品，并且具有法定认证资格的认证机构出具的认证证明，符合优先采购/强制采购政策。本单位对以下填列的各项信息以及相关产品认证证明的真实性负责。如有虚假，将依法承担相应责任。</w:t>
      </w:r>
    </w:p>
    <w:tbl>
      <w:tblPr>
        <w:tblStyle w:val="22"/>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
        <w:gridCol w:w="800"/>
        <w:gridCol w:w="798"/>
        <w:gridCol w:w="861"/>
        <w:gridCol w:w="1371"/>
        <w:gridCol w:w="687"/>
        <w:gridCol w:w="685"/>
        <w:gridCol w:w="571"/>
        <w:gridCol w:w="560"/>
        <w:gridCol w:w="773"/>
        <w:gridCol w:w="954"/>
      </w:tblGrid>
      <w:tr w14:paraId="6C25B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56" w:type="dxa"/>
          </w:tcPr>
          <w:p w14:paraId="79A92627">
            <w:pPr>
              <w:spacing w:line="360" w:lineRule="auto"/>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序号</w:t>
            </w:r>
          </w:p>
        </w:tc>
        <w:tc>
          <w:tcPr>
            <w:tcW w:w="800" w:type="dxa"/>
          </w:tcPr>
          <w:p w14:paraId="3AE5D623">
            <w:pPr>
              <w:spacing w:line="360" w:lineRule="auto"/>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所投产品</w:t>
            </w:r>
          </w:p>
        </w:tc>
        <w:tc>
          <w:tcPr>
            <w:tcW w:w="798" w:type="dxa"/>
          </w:tcPr>
          <w:p w14:paraId="09DE33C3">
            <w:pPr>
              <w:spacing w:line="360" w:lineRule="auto"/>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产品属性</w:t>
            </w:r>
          </w:p>
        </w:tc>
        <w:tc>
          <w:tcPr>
            <w:tcW w:w="861" w:type="dxa"/>
          </w:tcPr>
          <w:p w14:paraId="435B4882">
            <w:pPr>
              <w:spacing w:line="360" w:lineRule="auto"/>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产品类别</w:t>
            </w:r>
          </w:p>
        </w:tc>
        <w:tc>
          <w:tcPr>
            <w:tcW w:w="1371" w:type="dxa"/>
          </w:tcPr>
          <w:p w14:paraId="2D1EE7B7">
            <w:pPr>
              <w:spacing w:line="360" w:lineRule="auto"/>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是否为强制采购产品</w:t>
            </w:r>
          </w:p>
        </w:tc>
        <w:tc>
          <w:tcPr>
            <w:tcW w:w="687" w:type="dxa"/>
          </w:tcPr>
          <w:p w14:paraId="648FF7B0">
            <w:pPr>
              <w:spacing w:line="360" w:lineRule="auto"/>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规格型号</w:t>
            </w:r>
          </w:p>
        </w:tc>
        <w:tc>
          <w:tcPr>
            <w:tcW w:w="685" w:type="dxa"/>
          </w:tcPr>
          <w:p w14:paraId="69E24964">
            <w:pPr>
              <w:spacing w:line="360" w:lineRule="auto"/>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计量单位</w:t>
            </w:r>
          </w:p>
        </w:tc>
        <w:tc>
          <w:tcPr>
            <w:tcW w:w="571" w:type="dxa"/>
          </w:tcPr>
          <w:p w14:paraId="401EA9F7">
            <w:pPr>
              <w:spacing w:line="360" w:lineRule="auto"/>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数量</w:t>
            </w:r>
          </w:p>
        </w:tc>
        <w:tc>
          <w:tcPr>
            <w:tcW w:w="560" w:type="dxa"/>
          </w:tcPr>
          <w:p w14:paraId="4993DB39">
            <w:pPr>
              <w:spacing w:line="360" w:lineRule="auto"/>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单价</w:t>
            </w:r>
          </w:p>
        </w:tc>
        <w:tc>
          <w:tcPr>
            <w:tcW w:w="773" w:type="dxa"/>
          </w:tcPr>
          <w:p w14:paraId="7B349362">
            <w:pPr>
              <w:spacing w:line="360" w:lineRule="auto"/>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金额合计</w:t>
            </w:r>
          </w:p>
        </w:tc>
        <w:tc>
          <w:tcPr>
            <w:tcW w:w="954" w:type="dxa"/>
          </w:tcPr>
          <w:p w14:paraId="66C91B26">
            <w:pPr>
              <w:spacing w:line="360" w:lineRule="auto"/>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认证证书编号</w:t>
            </w:r>
          </w:p>
        </w:tc>
      </w:tr>
      <w:tr w14:paraId="588A7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tcPr>
          <w:p w14:paraId="4F807BD0">
            <w:pPr>
              <w:spacing w:line="360" w:lineRule="auto"/>
              <w:rPr>
                <w:rFonts w:ascii="仿宋_GB2312" w:hAnsi="仿宋_GB2312" w:eastAsia="仿宋_GB2312" w:cs="仿宋_GB2312"/>
                <w:color w:val="auto"/>
                <w:kern w:val="0"/>
                <w:sz w:val="24"/>
                <w:highlight w:val="none"/>
              </w:rPr>
            </w:pPr>
          </w:p>
        </w:tc>
        <w:tc>
          <w:tcPr>
            <w:tcW w:w="800" w:type="dxa"/>
          </w:tcPr>
          <w:p w14:paraId="50A1459B">
            <w:pPr>
              <w:spacing w:line="360" w:lineRule="auto"/>
              <w:rPr>
                <w:rFonts w:ascii="仿宋_GB2312" w:hAnsi="仿宋_GB2312" w:eastAsia="仿宋_GB2312" w:cs="仿宋_GB2312"/>
                <w:color w:val="auto"/>
                <w:kern w:val="0"/>
                <w:sz w:val="24"/>
                <w:highlight w:val="none"/>
              </w:rPr>
            </w:pPr>
          </w:p>
        </w:tc>
        <w:tc>
          <w:tcPr>
            <w:tcW w:w="798" w:type="dxa"/>
          </w:tcPr>
          <w:p w14:paraId="47EB5DDE">
            <w:pPr>
              <w:spacing w:line="360" w:lineRule="auto"/>
              <w:rPr>
                <w:rFonts w:ascii="仿宋_GB2312" w:hAnsi="仿宋_GB2312" w:eastAsia="仿宋_GB2312" w:cs="仿宋_GB2312"/>
                <w:color w:val="auto"/>
                <w:kern w:val="0"/>
                <w:sz w:val="24"/>
                <w:highlight w:val="none"/>
              </w:rPr>
            </w:pPr>
          </w:p>
        </w:tc>
        <w:tc>
          <w:tcPr>
            <w:tcW w:w="861" w:type="dxa"/>
          </w:tcPr>
          <w:p w14:paraId="25F8AADF">
            <w:pPr>
              <w:spacing w:line="360" w:lineRule="auto"/>
              <w:rPr>
                <w:rFonts w:ascii="仿宋_GB2312" w:hAnsi="仿宋_GB2312" w:eastAsia="仿宋_GB2312" w:cs="仿宋_GB2312"/>
                <w:color w:val="auto"/>
                <w:kern w:val="0"/>
                <w:sz w:val="24"/>
                <w:highlight w:val="none"/>
              </w:rPr>
            </w:pPr>
          </w:p>
        </w:tc>
        <w:tc>
          <w:tcPr>
            <w:tcW w:w="1371" w:type="dxa"/>
          </w:tcPr>
          <w:p w14:paraId="19BE6F6C">
            <w:pPr>
              <w:spacing w:line="360" w:lineRule="auto"/>
              <w:rPr>
                <w:rFonts w:ascii="仿宋_GB2312" w:hAnsi="仿宋_GB2312" w:eastAsia="仿宋_GB2312" w:cs="仿宋_GB2312"/>
                <w:color w:val="auto"/>
                <w:kern w:val="0"/>
                <w:sz w:val="24"/>
                <w:highlight w:val="none"/>
              </w:rPr>
            </w:pPr>
          </w:p>
        </w:tc>
        <w:tc>
          <w:tcPr>
            <w:tcW w:w="687" w:type="dxa"/>
          </w:tcPr>
          <w:p w14:paraId="5EB8A62C">
            <w:pPr>
              <w:spacing w:line="360" w:lineRule="auto"/>
              <w:rPr>
                <w:rFonts w:ascii="仿宋_GB2312" w:hAnsi="仿宋_GB2312" w:eastAsia="仿宋_GB2312" w:cs="仿宋_GB2312"/>
                <w:color w:val="auto"/>
                <w:kern w:val="0"/>
                <w:sz w:val="24"/>
                <w:highlight w:val="none"/>
              </w:rPr>
            </w:pPr>
          </w:p>
        </w:tc>
        <w:tc>
          <w:tcPr>
            <w:tcW w:w="685" w:type="dxa"/>
          </w:tcPr>
          <w:p w14:paraId="7F47EC45">
            <w:pPr>
              <w:spacing w:line="360" w:lineRule="auto"/>
              <w:rPr>
                <w:rFonts w:ascii="仿宋_GB2312" w:hAnsi="仿宋_GB2312" w:eastAsia="仿宋_GB2312" w:cs="仿宋_GB2312"/>
                <w:color w:val="auto"/>
                <w:kern w:val="0"/>
                <w:sz w:val="24"/>
                <w:highlight w:val="none"/>
              </w:rPr>
            </w:pPr>
          </w:p>
        </w:tc>
        <w:tc>
          <w:tcPr>
            <w:tcW w:w="571" w:type="dxa"/>
          </w:tcPr>
          <w:p w14:paraId="70CBE9E6">
            <w:pPr>
              <w:spacing w:line="360" w:lineRule="auto"/>
              <w:rPr>
                <w:rFonts w:ascii="仿宋_GB2312" w:hAnsi="仿宋_GB2312" w:eastAsia="仿宋_GB2312" w:cs="仿宋_GB2312"/>
                <w:color w:val="auto"/>
                <w:kern w:val="0"/>
                <w:sz w:val="24"/>
                <w:highlight w:val="none"/>
              </w:rPr>
            </w:pPr>
          </w:p>
        </w:tc>
        <w:tc>
          <w:tcPr>
            <w:tcW w:w="560" w:type="dxa"/>
          </w:tcPr>
          <w:p w14:paraId="61E86C0B">
            <w:pPr>
              <w:spacing w:line="360" w:lineRule="auto"/>
              <w:rPr>
                <w:rFonts w:ascii="仿宋_GB2312" w:hAnsi="仿宋_GB2312" w:eastAsia="仿宋_GB2312" w:cs="仿宋_GB2312"/>
                <w:color w:val="auto"/>
                <w:kern w:val="0"/>
                <w:sz w:val="24"/>
                <w:highlight w:val="none"/>
              </w:rPr>
            </w:pPr>
          </w:p>
        </w:tc>
        <w:tc>
          <w:tcPr>
            <w:tcW w:w="773" w:type="dxa"/>
          </w:tcPr>
          <w:p w14:paraId="2C277ACC">
            <w:pPr>
              <w:spacing w:line="360" w:lineRule="auto"/>
              <w:rPr>
                <w:rFonts w:ascii="仿宋_GB2312" w:hAnsi="仿宋_GB2312" w:eastAsia="仿宋_GB2312" w:cs="仿宋_GB2312"/>
                <w:color w:val="auto"/>
                <w:kern w:val="0"/>
                <w:sz w:val="24"/>
                <w:highlight w:val="none"/>
              </w:rPr>
            </w:pPr>
          </w:p>
        </w:tc>
        <w:tc>
          <w:tcPr>
            <w:tcW w:w="954" w:type="dxa"/>
          </w:tcPr>
          <w:p w14:paraId="14423EFA">
            <w:pPr>
              <w:spacing w:line="360" w:lineRule="auto"/>
              <w:rPr>
                <w:rFonts w:ascii="仿宋_GB2312" w:hAnsi="仿宋_GB2312" w:eastAsia="仿宋_GB2312" w:cs="仿宋_GB2312"/>
                <w:color w:val="auto"/>
                <w:kern w:val="0"/>
                <w:sz w:val="24"/>
                <w:highlight w:val="none"/>
              </w:rPr>
            </w:pPr>
          </w:p>
        </w:tc>
      </w:tr>
      <w:tr w14:paraId="2B8B4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tcPr>
          <w:p w14:paraId="50DF7682">
            <w:pPr>
              <w:spacing w:line="360" w:lineRule="auto"/>
              <w:rPr>
                <w:rFonts w:ascii="仿宋_GB2312" w:hAnsi="仿宋_GB2312" w:eastAsia="仿宋_GB2312" w:cs="仿宋_GB2312"/>
                <w:color w:val="auto"/>
                <w:kern w:val="0"/>
                <w:sz w:val="24"/>
                <w:highlight w:val="none"/>
              </w:rPr>
            </w:pPr>
          </w:p>
        </w:tc>
        <w:tc>
          <w:tcPr>
            <w:tcW w:w="800" w:type="dxa"/>
          </w:tcPr>
          <w:p w14:paraId="3923C70F">
            <w:pPr>
              <w:spacing w:line="360" w:lineRule="auto"/>
              <w:rPr>
                <w:rFonts w:ascii="仿宋_GB2312" w:hAnsi="仿宋_GB2312" w:eastAsia="仿宋_GB2312" w:cs="仿宋_GB2312"/>
                <w:color w:val="auto"/>
                <w:kern w:val="0"/>
                <w:sz w:val="24"/>
                <w:highlight w:val="none"/>
              </w:rPr>
            </w:pPr>
          </w:p>
        </w:tc>
        <w:tc>
          <w:tcPr>
            <w:tcW w:w="798" w:type="dxa"/>
          </w:tcPr>
          <w:p w14:paraId="1EF94E48">
            <w:pPr>
              <w:spacing w:line="360" w:lineRule="auto"/>
              <w:rPr>
                <w:rFonts w:ascii="仿宋_GB2312" w:hAnsi="仿宋_GB2312" w:eastAsia="仿宋_GB2312" w:cs="仿宋_GB2312"/>
                <w:color w:val="auto"/>
                <w:kern w:val="0"/>
                <w:sz w:val="24"/>
                <w:highlight w:val="none"/>
              </w:rPr>
            </w:pPr>
          </w:p>
        </w:tc>
        <w:tc>
          <w:tcPr>
            <w:tcW w:w="861" w:type="dxa"/>
          </w:tcPr>
          <w:p w14:paraId="5939B4D2">
            <w:pPr>
              <w:spacing w:line="360" w:lineRule="auto"/>
              <w:rPr>
                <w:rFonts w:ascii="仿宋_GB2312" w:hAnsi="仿宋_GB2312" w:eastAsia="仿宋_GB2312" w:cs="仿宋_GB2312"/>
                <w:color w:val="auto"/>
                <w:kern w:val="0"/>
                <w:sz w:val="24"/>
                <w:highlight w:val="none"/>
              </w:rPr>
            </w:pPr>
          </w:p>
        </w:tc>
        <w:tc>
          <w:tcPr>
            <w:tcW w:w="1371" w:type="dxa"/>
          </w:tcPr>
          <w:p w14:paraId="63DEDB83">
            <w:pPr>
              <w:spacing w:line="360" w:lineRule="auto"/>
              <w:rPr>
                <w:rFonts w:ascii="仿宋_GB2312" w:hAnsi="仿宋_GB2312" w:eastAsia="仿宋_GB2312" w:cs="仿宋_GB2312"/>
                <w:color w:val="auto"/>
                <w:kern w:val="0"/>
                <w:sz w:val="24"/>
                <w:highlight w:val="none"/>
              </w:rPr>
            </w:pPr>
          </w:p>
        </w:tc>
        <w:tc>
          <w:tcPr>
            <w:tcW w:w="687" w:type="dxa"/>
          </w:tcPr>
          <w:p w14:paraId="30DEFB3F">
            <w:pPr>
              <w:spacing w:line="360" w:lineRule="auto"/>
              <w:rPr>
                <w:rFonts w:ascii="仿宋_GB2312" w:hAnsi="仿宋_GB2312" w:eastAsia="仿宋_GB2312" w:cs="仿宋_GB2312"/>
                <w:color w:val="auto"/>
                <w:kern w:val="0"/>
                <w:sz w:val="24"/>
                <w:highlight w:val="none"/>
              </w:rPr>
            </w:pPr>
          </w:p>
        </w:tc>
        <w:tc>
          <w:tcPr>
            <w:tcW w:w="685" w:type="dxa"/>
          </w:tcPr>
          <w:p w14:paraId="3D12A8C5">
            <w:pPr>
              <w:spacing w:line="360" w:lineRule="auto"/>
              <w:rPr>
                <w:rFonts w:ascii="仿宋_GB2312" w:hAnsi="仿宋_GB2312" w:eastAsia="仿宋_GB2312" w:cs="仿宋_GB2312"/>
                <w:color w:val="auto"/>
                <w:kern w:val="0"/>
                <w:sz w:val="24"/>
                <w:highlight w:val="none"/>
              </w:rPr>
            </w:pPr>
          </w:p>
        </w:tc>
        <w:tc>
          <w:tcPr>
            <w:tcW w:w="571" w:type="dxa"/>
          </w:tcPr>
          <w:p w14:paraId="27A2DC12">
            <w:pPr>
              <w:spacing w:line="360" w:lineRule="auto"/>
              <w:rPr>
                <w:rFonts w:ascii="仿宋_GB2312" w:hAnsi="仿宋_GB2312" w:eastAsia="仿宋_GB2312" w:cs="仿宋_GB2312"/>
                <w:color w:val="auto"/>
                <w:kern w:val="0"/>
                <w:sz w:val="24"/>
                <w:highlight w:val="none"/>
              </w:rPr>
            </w:pPr>
          </w:p>
        </w:tc>
        <w:tc>
          <w:tcPr>
            <w:tcW w:w="560" w:type="dxa"/>
          </w:tcPr>
          <w:p w14:paraId="3DFA52DF">
            <w:pPr>
              <w:spacing w:line="360" w:lineRule="auto"/>
              <w:rPr>
                <w:rFonts w:ascii="仿宋_GB2312" w:hAnsi="仿宋_GB2312" w:eastAsia="仿宋_GB2312" w:cs="仿宋_GB2312"/>
                <w:color w:val="auto"/>
                <w:kern w:val="0"/>
                <w:sz w:val="24"/>
                <w:highlight w:val="none"/>
              </w:rPr>
            </w:pPr>
          </w:p>
        </w:tc>
        <w:tc>
          <w:tcPr>
            <w:tcW w:w="773" w:type="dxa"/>
          </w:tcPr>
          <w:p w14:paraId="1CAC9292">
            <w:pPr>
              <w:spacing w:line="360" w:lineRule="auto"/>
              <w:rPr>
                <w:rFonts w:ascii="仿宋_GB2312" w:hAnsi="仿宋_GB2312" w:eastAsia="仿宋_GB2312" w:cs="仿宋_GB2312"/>
                <w:color w:val="auto"/>
                <w:kern w:val="0"/>
                <w:sz w:val="24"/>
                <w:highlight w:val="none"/>
              </w:rPr>
            </w:pPr>
          </w:p>
        </w:tc>
        <w:tc>
          <w:tcPr>
            <w:tcW w:w="954" w:type="dxa"/>
          </w:tcPr>
          <w:p w14:paraId="4ACEC4CD">
            <w:pPr>
              <w:spacing w:line="360" w:lineRule="auto"/>
              <w:rPr>
                <w:rFonts w:ascii="仿宋_GB2312" w:hAnsi="仿宋_GB2312" w:eastAsia="仿宋_GB2312" w:cs="仿宋_GB2312"/>
                <w:color w:val="auto"/>
                <w:kern w:val="0"/>
                <w:sz w:val="24"/>
                <w:highlight w:val="none"/>
              </w:rPr>
            </w:pPr>
          </w:p>
        </w:tc>
      </w:tr>
    </w:tbl>
    <w:p w14:paraId="31EC5312">
      <w:pPr>
        <w:spacing w:line="360" w:lineRule="auto"/>
        <w:rPr>
          <w:rFonts w:ascii="仿宋_GB2312" w:hAnsi="仿宋_GB2312" w:eastAsia="仿宋_GB2312" w:cs="仿宋_GB2312"/>
          <w:b/>
          <w:color w:val="auto"/>
          <w:kern w:val="0"/>
          <w:sz w:val="24"/>
          <w:highlight w:val="none"/>
        </w:rPr>
      </w:pPr>
      <w:r>
        <w:rPr>
          <w:rFonts w:hint="eastAsia" w:ascii="仿宋_GB2312" w:hAnsi="仿宋_GB2312" w:eastAsia="仿宋_GB2312" w:cs="仿宋_GB2312"/>
          <w:b/>
          <w:color w:val="auto"/>
          <w:kern w:val="0"/>
          <w:sz w:val="24"/>
          <w:highlight w:val="none"/>
        </w:rPr>
        <w:t>附件：认证证明可以是认证证书复印件或是法定信息发布平台公布的认证信息截图，认证证明应加盖供应商公章。</w:t>
      </w:r>
    </w:p>
    <w:p w14:paraId="41E87E0F">
      <w:pPr>
        <w:spacing w:line="360" w:lineRule="auto"/>
        <w:rPr>
          <w:rFonts w:ascii="仿宋_GB2312" w:hAnsi="仿宋_GB2312" w:eastAsia="仿宋_GB2312" w:cs="仿宋_GB2312"/>
          <w:color w:val="auto"/>
          <w:kern w:val="0"/>
          <w:sz w:val="24"/>
          <w:highlight w:val="none"/>
        </w:rPr>
      </w:pPr>
    </w:p>
    <w:p w14:paraId="71E92225">
      <w:pPr>
        <w:spacing w:line="360" w:lineRule="auto"/>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说明：</w:t>
      </w:r>
    </w:p>
    <w:p w14:paraId="0F584116">
      <w:pPr>
        <w:pStyle w:val="46"/>
        <w:numPr>
          <w:ilvl w:val="0"/>
          <w:numId w:val="5"/>
        </w:numPr>
        <w:spacing w:line="360" w:lineRule="auto"/>
        <w:ind w:left="357" w:hanging="357" w:firstLineChars="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产品类别，是指国家有关部门发布的节能产品、环境标志产品品目清单规定的产品类别。如计算机、电冰箱、水嘴等。</w:t>
      </w:r>
    </w:p>
    <w:p w14:paraId="18284835">
      <w:pPr>
        <w:pStyle w:val="46"/>
        <w:numPr>
          <w:ilvl w:val="0"/>
          <w:numId w:val="5"/>
        </w:numPr>
        <w:spacing w:line="360" w:lineRule="auto"/>
        <w:ind w:firstLineChars="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产品属性：节能、环保、节能环保。</w:t>
      </w:r>
    </w:p>
    <w:p w14:paraId="47352FD7">
      <w:pPr>
        <w:pStyle w:val="46"/>
        <w:numPr>
          <w:ilvl w:val="0"/>
          <w:numId w:val="5"/>
        </w:numPr>
        <w:spacing w:line="360" w:lineRule="auto"/>
        <w:ind w:left="357" w:hanging="357" w:firstLineChars="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本表应逐项填写，并按规定签署，不得漏项，否则视为该《声明函》无效。</w:t>
      </w:r>
    </w:p>
    <w:p w14:paraId="35AAA7C3">
      <w:pPr>
        <w:pStyle w:val="46"/>
        <w:numPr>
          <w:ilvl w:val="0"/>
          <w:numId w:val="5"/>
        </w:numPr>
        <w:spacing w:line="360" w:lineRule="auto"/>
        <w:ind w:firstLineChars="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认证证明应与所投产品、产品类别保持一致，否则视为认证证明无效。</w:t>
      </w:r>
    </w:p>
    <w:p w14:paraId="3FCA469E">
      <w:pPr>
        <w:pStyle w:val="46"/>
        <w:numPr>
          <w:ilvl w:val="0"/>
          <w:numId w:val="5"/>
        </w:numPr>
        <w:spacing w:line="360" w:lineRule="auto"/>
        <w:ind w:firstLineChars="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供应商应同时提供有效的《政府采购节能产品、环境标志产品声明函》与有效的节能环保产品认证证明，才能享受节能环保优惠政策。</w:t>
      </w:r>
    </w:p>
    <w:p w14:paraId="1188B429">
      <w:pPr>
        <w:spacing w:line="360" w:lineRule="auto"/>
        <w:ind w:firstLine="1560" w:firstLineChars="650"/>
        <w:rPr>
          <w:rFonts w:ascii="仿宋_GB2312" w:hAnsi="仿宋_GB2312" w:eastAsia="仿宋_GB2312" w:cs="仿宋_GB2312"/>
          <w:color w:val="auto"/>
          <w:kern w:val="0"/>
          <w:sz w:val="24"/>
          <w:highlight w:val="none"/>
        </w:rPr>
      </w:pPr>
    </w:p>
    <w:p w14:paraId="6FEE3F88">
      <w:pPr>
        <w:spacing w:line="360" w:lineRule="auto"/>
        <w:ind w:firstLine="840" w:firstLineChars="350"/>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供应商法定代表人或其授权代表签字或盖章：</w:t>
      </w:r>
    </w:p>
    <w:p w14:paraId="5347C1FB">
      <w:pPr>
        <w:spacing w:line="360" w:lineRule="auto"/>
        <w:ind w:firstLine="4200" w:firstLineChars="1750"/>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供应商公章：</w:t>
      </w:r>
    </w:p>
    <w:p w14:paraId="24C53958">
      <w:pPr>
        <w:spacing w:line="360" w:lineRule="auto"/>
        <w:ind w:firstLine="4200" w:firstLineChars="1750"/>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年月日</w:t>
      </w:r>
    </w:p>
    <w:p w14:paraId="0A253953">
      <w:pPr>
        <w:pStyle w:val="3"/>
        <w:adjustRightInd w:val="0"/>
        <w:snapToGrid w:val="0"/>
        <w:spacing w:before="0" w:after="0" w:line="240" w:lineRule="auto"/>
        <w:jc w:val="left"/>
        <w:rPr>
          <w:rFonts w:ascii="仿宋_GB2312" w:hAnsi="仿宋_GB2312" w:eastAsia="仿宋_GB2312" w:cs="仿宋_GB2312"/>
          <w:color w:val="auto"/>
          <w:szCs w:val="28"/>
          <w:highlight w:val="none"/>
        </w:rPr>
      </w:pPr>
      <w:r>
        <w:rPr>
          <w:rFonts w:hint="eastAsia" w:ascii="仿宋_GB2312" w:hAnsi="仿宋_GB2312" w:eastAsia="仿宋_GB2312" w:cs="仿宋_GB2312"/>
          <w:color w:val="auto"/>
          <w:sz w:val="24"/>
          <w:highlight w:val="none"/>
        </w:rPr>
        <w:br w:type="page"/>
      </w:r>
      <w:r>
        <w:rPr>
          <w:rFonts w:hint="eastAsia" w:ascii="仿宋_GB2312" w:hAnsi="仿宋_GB2312" w:eastAsia="仿宋_GB2312" w:cs="仿宋_GB2312"/>
          <w:color w:val="auto"/>
          <w:szCs w:val="28"/>
          <w:highlight w:val="none"/>
        </w:rPr>
        <w:t>格式16-2</w:t>
      </w:r>
    </w:p>
    <w:p w14:paraId="3F84F330">
      <w:pPr>
        <w:spacing w:line="360" w:lineRule="auto"/>
        <w:jc w:val="center"/>
        <w:rPr>
          <w:rFonts w:ascii="仿宋_GB2312" w:hAnsi="仿宋_GB2312" w:eastAsia="仿宋_GB2312" w:cs="仿宋_GB2312"/>
          <w:b/>
          <w:color w:val="auto"/>
          <w:kern w:val="0"/>
          <w:sz w:val="36"/>
          <w:szCs w:val="36"/>
          <w:highlight w:val="none"/>
        </w:rPr>
      </w:pPr>
    </w:p>
    <w:p w14:paraId="77820CB0">
      <w:pPr>
        <w:spacing w:line="360" w:lineRule="auto"/>
        <w:jc w:val="center"/>
        <w:rPr>
          <w:rFonts w:ascii="仿宋_GB2312" w:hAnsi="仿宋_GB2312" w:eastAsia="仿宋_GB2312" w:cs="仿宋_GB2312"/>
          <w:color w:val="auto"/>
          <w:sz w:val="24"/>
          <w:highlight w:val="none"/>
        </w:rPr>
      </w:pPr>
      <w:r>
        <w:rPr>
          <w:rFonts w:hint="eastAsia" w:ascii="仿宋_GB2312" w:hAnsi="仿宋_GB2312" w:eastAsia="仿宋_GB2312" w:cs="仿宋_GB2312"/>
          <w:b/>
          <w:color w:val="auto"/>
          <w:kern w:val="0"/>
          <w:sz w:val="36"/>
          <w:szCs w:val="36"/>
          <w:highlight w:val="none"/>
        </w:rPr>
        <w:t>附政府采购节能产品、环境标志产品认证证明</w:t>
      </w:r>
    </w:p>
    <w:p w14:paraId="1FE3213B">
      <w:pPr>
        <w:widowControl/>
        <w:jc w:val="left"/>
        <w:rPr>
          <w:rFonts w:ascii="仿宋_GB2312" w:hAnsi="仿宋_GB2312" w:eastAsia="仿宋_GB2312" w:cs="仿宋_GB2312"/>
          <w:color w:val="auto"/>
          <w:sz w:val="24"/>
          <w:highlight w:val="none"/>
        </w:rPr>
      </w:pPr>
      <w:r>
        <w:rPr>
          <w:rFonts w:hint="eastAsia" w:ascii="仿宋_GB2312" w:hAnsi="仿宋_GB2312" w:eastAsia="仿宋_GB2312" w:cs="仿宋_GB2312"/>
          <w:b/>
          <w:color w:val="auto"/>
          <w:kern w:val="0"/>
          <w:sz w:val="24"/>
          <w:highlight w:val="none"/>
        </w:rPr>
        <w:t>认证证明可以是认证证书复印件或是法定信息发布平台公布的认证信息截图，认证证明应加盖供应商公章</w:t>
      </w:r>
    </w:p>
    <w:p w14:paraId="085C322F">
      <w:pPr>
        <w:pStyle w:val="3"/>
        <w:adjustRightInd w:val="0"/>
        <w:snapToGrid w:val="0"/>
        <w:spacing w:before="0" w:after="0" w:line="240" w:lineRule="auto"/>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8"/>
          <w:highlight w:val="none"/>
        </w:rPr>
        <w:br w:type="page"/>
      </w:r>
    </w:p>
    <w:p w14:paraId="01BFE6F7">
      <w:pPr>
        <w:pStyle w:val="3"/>
        <w:adjustRightInd w:val="0"/>
        <w:snapToGrid w:val="0"/>
        <w:spacing w:before="0" w:after="0" w:line="240" w:lineRule="auto"/>
        <w:jc w:val="left"/>
        <w:rPr>
          <w:rFonts w:ascii="仿宋_GB2312" w:hAnsi="仿宋_GB2312" w:eastAsia="仿宋_GB2312" w:cs="仿宋_GB2312"/>
          <w:color w:val="auto"/>
          <w:szCs w:val="28"/>
          <w:highlight w:val="none"/>
        </w:rPr>
      </w:pPr>
      <w:bookmarkStart w:id="118" w:name="_Toc4498_WPSOffice_Level1"/>
      <w:r>
        <w:rPr>
          <w:rFonts w:hint="eastAsia" w:ascii="仿宋_GB2312" w:hAnsi="仿宋_GB2312" w:eastAsia="仿宋_GB2312" w:cs="仿宋_GB2312"/>
          <w:color w:val="auto"/>
          <w:szCs w:val="28"/>
          <w:highlight w:val="none"/>
        </w:rPr>
        <w:t>格式17</w:t>
      </w:r>
    </w:p>
    <w:p w14:paraId="08B6FA95">
      <w:pPr>
        <w:adjustRightInd w:val="0"/>
        <w:snapToGrid w:val="0"/>
        <w:spacing w:before="312" w:beforeLines="100" w:after="312" w:afterLines="100" w:line="360" w:lineRule="auto"/>
        <w:jc w:val="center"/>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贫困地区农副产品声明函</w:t>
      </w:r>
    </w:p>
    <w:p w14:paraId="1CE8C901">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本单位郑重声明，根据财政部 国务院扶贫办《关于运用政府采购政策支持脱贫攻坚的通知》（财库〔2019〕27 号）的规定，本单位为符合条件的单位，且本单位参加</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单位的</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项目采购活动，由本单位提供农副产品，或者提供其他贫困地区单位的家副产品。</w:t>
      </w:r>
    </w:p>
    <w:p w14:paraId="22D8DAD8">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本单位对上述声明的真实性负责。如有虚假，将依法承担相应责任。</w:t>
      </w:r>
    </w:p>
    <w:tbl>
      <w:tblPr>
        <w:tblStyle w:val="22"/>
        <w:tblW w:w="8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14:paraId="6896C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vAlign w:val="center"/>
          </w:tcPr>
          <w:p w14:paraId="13344A70">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序号</w:t>
            </w:r>
          </w:p>
        </w:tc>
        <w:tc>
          <w:tcPr>
            <w:tcW w:w="1582" w:type="dxa"/>
            <w:vAlign w:val="center"/>
          </w:tcPr>
          <w:p w14:paraId="5CB16E1E">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品  名</w:t>
            </w:r>
          </w:p>
        </w:tc>
        <w:tc>
          <w:tcPr>
            <w:tcW w:w="1587" w:type="dxa"/>
            <w:vAlign w:val="center"/>
          </w:tcPr>
          <w:p w14:paraId="4AD20D97">
            <w:pPr>
              <w:widowControl/>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数量</w:t>
            </w:r>
          </w:p>
        </w:tc>
        <w:tc>
          <w:tcPr>
            <w:tcW w:w="1427" w:type="dxa"/>
            <w:vAlign w:val="center"/>
          </w:tcPr>
          <w:p w14:paraId="0A716280">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规格</w:t>
            </w:r>
          </w:p>
          <w:p w14:paraId="63F6537C">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型号</w:t>
            </w:r>
          </w:p>
        </w:tc>
        <w:tc>
          <w:tcPr>
            <w:tcW w:w="1427" w:type="dxa"/>
            <w:vAlign w:val="center"/>
          </w:tcPr>
          <w:p w14:paraId="69BD8D3B">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生产</w:t>
            </w:r>
          </w:p>
          <w:p w14:paraId="7D940053">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厂家</w:t>
            </w:r>
          </w:p>
        </w:tc>
        <w:tc>
          <w:tcPr>
            <w:tcW w:w="1344" w:type="dxa"/>
            <w:vAlign w:val="center"/>
          </w:tcPr>
          <w:p w14:paraId="2A857687">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备注</w:t>
            </w:r>
          </w:p>
        </w:tc>
      </w:tr>
      <w:tr w14:paraId="2873A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5CD4630F">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w:t>
            </w:r>
          </w:p>
        </w:tc>
        <w:tc>
          <w:tcPr>
            <w:tcW w:w="1582" w:type="dxa"/>
            <w:vAlign w:val="center"/>
          </w:tcPr>
          <w:p w14:paraId="56D03BF8">
            <w:pPr>
              <w:jc w:val="center"/>
              <w:rPr>
                <w:rFonts w:ascii="仿宋_GB2312" w:hAnsi="仿宋_GB2312" w:eastAsia="仿宋_GB2312" w:cs="仿宋_GB2312"/>
                <w:color w:val="auto"/>
                <w:szCs w:val="21"/>
                <w:highlight w:val="none"/>
              </w:rPr>
            </w:pPr>
          </w:p>
        </w:tc>
        <w:tc>
          <w:tcPr>
            <w:tcW w:w="1587" w:type="dxa"/>
            <w:vAlign w:val="center"/>
          </w:tcPr>
          <w:p w14:paraId="57DDA699">
            <w:pPr>
              <w:jc w:val="center"/>
              <w:rPr>
                <w:rFonts w:ascii="仿宋_GB2312" w:hAnsi="仿宋_GB2312" w:eastAsia="仿宋_GB2312" w:cs="仿宋_GB2312"/>
                <w:color w:val="auto"/>
                <w:szCs w:val="21"/>
                <w:highlight w:val="none"/>
              </w:rPr>
            </w:pPr>
          </w:p>
        </w:tc>
        <w:tc>
          <w:tcPr>
            <w:tcW w:w="1427" w:type="dxa"/>
            <w:vAlign w:val="center"/>
          </w:tcPr>
          <w:p w14:paraId="26D51C10">
            <w:pPr>
              <w:jc w:val="center"/>
              <w:rPr>
                <w:rFonts w:ascii="仿宋_GB2312" w:hAnsi="仿宋_GB2312" w:eastAsia="仿宋_GB2312" w:cs="仿宋_GB2312"/>
                <w:color w:val="auto"/>
                <w:szCs w:val="21"/>
                <w:highlight w:val="none"/>
              </w:rPr>
            </w:pPr>
          </w:p>
        </w:tc>
        <w:tc>
          <w:tcPr>
            <w:tcW w:w="1427" w:type="dxa"/>
            <w:vAlign w:val="center"/>
          </w:tcPr>
          <w:p w14:paraId="70D0DF1E">
            <w:pPr>
              <w:jc w:val="center"/>
              <w:rPr>
                <w:rFonts w:ascii="仿宋_GB2312" w:hAnsi="仿宋_GB2312" w:eastAsia="仿宋_GB2312" w:cs="仿宋_GB2312"/>
                <w:color w:val="auto"/>
                <w:szCs w:val="21"/>
                <w:highlight w:val="none"/>
              </w:rPr>
            </w:pPr>
          </w:p>
        </w:tc>
        <w:tc>
          <w:tcPr>
            <w:tcW w:w="1344" w:type="dxa"/>
            <w:vAlign w:val="center"/>
          </w:tcPr>
          <w:p w14:paraId="51839D2B">
            <w:pPr>
              <w:spacing w:line="360" w:lineRule="auto"/>
              <w:rPr>
                <w:rFonts w:ascii="仿宋_GB2312" w:hAnsi="仿宋_GB2312" w:eastAsia="仿宋_GB2312" w:cs="仿宋_GB2312"/>
                <w:color w:val="auto"/>
                <w:szCs w:val="21"/>
                <w:highlight w:val="none"/>
              </w:rPr>
            </w:pPr>
          </w:p>
        </w:tc>
      </w:tr>
      <w:tr w14:paraId="054A1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7C319E23">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w:t>
            </w:r>
          </w:p>
        </w:tc>
        <w:tc>
          <w:tcPr>
            <w:tcW w:w="1582" w:type="dxa"/>
            <w:vAlign w:val="center"/>
          </w:tcPr>
          <w:p w14:paraId="79D94CA5">
            <w:pPr>
              <w:jc w:val="center"/>
              <w:rPr>
                <w:rFonts w:ascii="仿宋_GB2312" w:hAnsi="仿宋_GB2312" w:eastAsia="仿宋_GB2312" w:cs="仿宋_GB2312"/>
                <w:color w:val="auto"/>
                <w:szCs w:val="21"/>
                <w:highlight w:val="none"/>
              </w:rPr>
            </w:pPr>
          </w:p>
        </w:tc>
        <w:tc>
          <w:tcPr>
            <w:tcW w:w="1587" w:type="dxa"/>
            <w:vAlign w:val="center"/>
          </w:tcPr>
          <w:p w14:paraId="452E5E74">
            <w:pPr>
              <w:jc w:val="center"/>
              <w:rPr>
                <w:rFonts w:ascii="仿宋_GB2312" w:hAnsi="仿宋_GB2312" w:eastAsia="仿宋_GB2312" w:cs="仿宋_GB2312"/>
                <w:color w:val="auto"/>
                <w:szCs w:val="21"/>
                <w:highlight w:val="none"/>
              </w:rPr>
            </w:pPr>
          </w:p>
        </w:tc>
        <w:tc>
          <w:tcPr>
            <w:tcW w:w="1427" w:type="dxa"/>
            <w:vAlign w:val="center"/>
          </w:tcPr>
          <w:p w14:paraId="0F09300E">
            <w:pPr>
              <w:jc w:val="center"/>
              <w:rPr>
                <w:rFonts w:ascii="仿宋_GB2312" w:hAnsi="仿宋_GB2312" w:eastAsia="仿宋_GB2312" w:cs="仿宋_GB2312"/>
                <w:color w:val="auto"/>
                <w:szCs w:val="21"/>
                <w:highlight w:val="none"/>
              </w:rPr>
            </w:pPr>
          </w:p>
        </w:tc>
        <w:tc>
          <w:tcPr>
            <w:tcW w:w="1427" w:type="dxa"/>
            <w:vAlign w:val="center"/>
          </w:tcPr>
          <w:p w14:paraId="223846B5">
            <w:pPr>
              <w:jc w:val="center"/>
              <w:rPr>
                <w:rFonts w:ascii="仿宋_GB2312" w:hAnsi="仿宋_GB2312" w:eastAsia="仿宋_GB2312" w:cs="仿宋_GB2312"/>
                <w:color w:val="auto"/>
                <w:szCs w:val="21"/>
                <w:highlight w:val="none"/>
              </w:rPr>
            </w:pPr>
          </w:p>
        </w:tc>
        <w:tc>
          <w:tcPr>
            <w:tcW w:w="1344" w:type="dxa"/>
            <w:vAlign w:val="center"/>
          </w:tcPr>
          <w:p w14:paraId="5FDDEEC2">
            <w:pPr>
              <w:spacing w:line="360" w:lineRule="auto"/>
              <w:rPr>
                <w:rFonts w:ascii="仿宋_GB2312" w:hAnsi="仿宋_GB2312" w:eastAsia="仿宋_GB2312" w:cs="仿宋_GB2312"/>
                <w:color w:val="auto"/>
                <w:szCs w:val="21"/>
                <w:highlight w:val="none"/>
              </w:rPr>
            </w:pPr>
          </w:p>
        </w:tc>
      </w:tr>
      <w:tr w14:paraId="156A7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5642D311">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w:t>
            </w:r>
          </w:p>
        </w:tc>
        <w:tc>
          <w:tcPr>
            <w:tcW w:w="1582" w:type="dxa"/>
            <w:vAlign w:val="center"/>
          </w:tcPr>
          <w:p w14:paraId="1232AE8E">
            <w:pPr>
              <w:jc w:val="center"/>
              <w:rPr>
                <w:rFonts w:ascii="仿宋_GB2312" w:hAnsi="仿宋_GB2312" w:eastAsia="仿宋_GB2312" w:cs="仿宋_GB2312"/>
                <w:color w:val="auto"/>
                <w:szCs w:val="21"/>
                <w:highlight w:val="none"/>
              </w:rPr>
            </w:pPr>
          </w:p>
        </w:tc>
        <w:tc>
          <w:tcPr>
            <w:tcW w:w="1587" w:type="dxa"/>
            <w:vAlign w:val="center"/>
          </w:tcPr>
          <w:p w14:paraId="3A0782B7">
            <w:pPr>
              <w:jc w:val="center"/>
              <w:rPr>
                <w:rFonts w:ascii="仿宋_GB2312" w:hAnsi="仿宋_GB2312" w:eastAsia="仿宋_GB2312" w:cs="仿宋_GB2312"/>
                <w:color w:val="auto"/>
                <w:szCs w:val="21"/>
                <w:highlight w:val="none"/>
              </w:rPr>
            </w:pPr>
          </w:p>
        </w:tc>
        <w:tc>
          <w:tcPr>
            <w:tcW w:w="1427" w:type="dxa"/>
            <w:vAlign w:val="center"/>
          </w:tcPr>
          <w:p w14:paraId="28D43FD1">
            <w:pPr>
              <w:jc w:val="center"/>
              <w:rPr>
                <w:rFonts w:ascii="仿宋_GB2312" w:hAnsi="仿宋_GB2312" w:eastAsia="仿宋_GB2312" w:cs="仿宋_GB2312"/>
                <w:color w:val="auto"/>
                <w:szCs w:val="21"/>
                <w:highlight w:val="none"/>
              </w:rPr>
            </w:pPr>
          </w:p>
        </w:tc>
        <w:tc>
          <w:tcPr>
            <w:tcW w:w="1427" w:type="dxa"/>
            <w:vAlign w:val="center"/>
          </w:tcPr>
          <w:p w14:paraId="6F1D1166">
            <w:pPr>
              <w:jc w:val="center"/>
              <w:rPr>
                <w:rFonts w:ascii="仿宋_GB2312" w:hAnsi="仿宋_GB2312" w:eastAsia="仿宋_GB2312" w:cs="仿宋_GB2312"/>
                <w:color w:val="auto"/>
                <w:szCs w:val="21"/>
                <w:highlight w:val="none"/>
              </w:rPr>
            </w:pPr>
          </w:p>
        </w:tc>
        <w:tc>
          <w:tcPr>
            <w:tcW w:w="1344" w:type="dxa"/>
            <w:vAlign w:val="center"/>
          </w:tcPr>
          <w:p w14:paraId="6A6B0B83">
            <w:pPr>
              <w:spacing w:line="360" w:lineRule="auto"/>
              <w:rPr>
                <w:rFonts w:ascii="仿宋_GB2312" w:hAnsi="仿宋_GB2312" w:eastAsia="仿宋_GB2312" w:cs="仿宋_GB2312"/>
                <w:color w:val="auto"/>
                <w:szCs w:val="21"/>
                <w:highlight w:val="none"/>
              </w:rPr>
            </w:pPr>
          </w:p>
        </w:tc>
      </w:tr>
      <w:tr w14:paraId="4F880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599F7030">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w:t>
            </w:r>
          </w:p>
        </w:tc>
        <w:tc>
          <w:tcPr>
            <w:tcW w:w="1582" w:type="dxa"/>
            <w:vAlign w:val="center"/>
          </w:tcPr>
          <w:p w14:paraId="7E450790">
            <w:pPr>
              <w:jc w:val="center"/>
              <w:rPr>
                <w:rFonts w:ascii="仿宋_GB2312" w:hAnsi="仿宋_GB2312" w:eastAsia="仿宋_GB2312" w:cs="仿宋_GB2312"/>
                <w:color w:val="auto"/>
                <w:szCs w:val="21"/>
                <w:highlight w:val="none"/>
              </w:rPr>
            </w:pPr>
          </w:p>
        </w:tc>
        <w:tc>
          <w:tcPr>
            <w:tcW w:w="1587" w:type="dxa"/>
            <w:vAlign w:val="center"/>
          </w:tcPr>
          <w:p w14:paraId="1A9BB137">
            <w:pPr>
              <w:jc w:val="center"/>
              <w:rPr>
                <w:rFonts w:ascii="仿宋_GB2312" w:hAnsi="仿宋_GB2312" w:eastAsia="仿宋_GB2312" w:cs="仿宋_GB2312"/>
                <w:color w:val="auto"/>
                <w:szCs w:val="21"/>
                <w:highlight w:val="none"/>
              </w:rPr>
            </w:pPr>
          </w:p>
        </w:tc>
        <w:tc>
          <w:tcPr>
            <w:tcW w:w="1427" w:type="dxa"/>
            <w:vAlign w:val="center"/>
          </w:tcPr>
          <w:p w14:paraId="4652BE51">
            <w:pPr>
              <w:jc w:val="center"/>
              <w:rPr>
                <w:rFonts w:ascii="仿宋_GB2312" w:hAnsi="仿宋_GB2312" w:eastAsia="仿宋_GB2312" w:cs="仿宋_GB2312"/>
                <w:color w:val="auto"/>
                <w:szCs w:val="21"/>
                <w:highlight w:val="none"/>
              </w:rPr>
            </w:pPr>
          </w:p>
        </w:tc>
        <w:tc>
          <w:tcPr>
            <w:tcW w:w="1427" w:type="dxa"/>
            <w:vAlign w:val="center"/>
          </w:tcPr>
          <w:p w14:paraId="11036FD2">
            <w:pPr>
              <w:jc w:val="center"/>
              <w:rPr>
                <w:rFonts w:ascii="仿宋_GB2312" w:hAnsi="仿宋_GB2312" w:eastAsia="仿宋_GB2312" w:cs="仿宋_GB2312"/>
                <w:color w:val="auto"/>
                <w:szCs w:val="21"/>
                <w:highlight w:val="none"/>
              </w:rPr>
            </w:pPr>
          </w:p>
        </w:tc>
        <w:tc>
          <w:tcPr>
            <w:tcW w:w="1344" w:type="dxa"/>
            <w:vAlign w:val="center"/>
          </w:tcPr>
          <w:p w14:paraId="48F6091F">
            <w:pPr>
              <w:spacing w:line="360" w:lineRule="auto"/>
              <w:rPr>
                <w:rFonts w:ascii="仿宋_GB2312" w:hAnsi="仿宋_GB2312" w:eastAsia="仿宋_GB2312" w:cs="仿宋_GB2312"/>
                <w:color w:val="auto"/>
                <w:szCs w:val="21"/>
                <w:highlight w:val="none"/>
              </w:rPr>
            </w:pPr>
          </w:p>
        </w:tc>
      </w:tr>
      <w:tr w14:paraId="62A75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8320" w:type="dxa"/>
            <w:gridSpan w:val="6"/>
            <w:vAlign w:val="center"/>
          </w:tcPr>
          <w:p w14:paraId="028896C3">
            <w:pPr>
              <w:ind w:firstLine="422"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rPr>
              <w:t xml:space="preserve"> 响应</w:t>
            </w:r>
            <w:r>
              <w:rPr>
                <w:rFonts w:hint="eastAsia" w:ascii="仿宋_GB2312" w:hAnsi="仿宋_GB2312" w:eastAsia="仿宋_GB2312" w:cs="仿宋_GB2312"/>
                <w:b/>
                <w:color w:val="auto"/>
                <w:szCs w:val="21"/>
                <w:highlight w:val="none"/>
                <w:lang w:val="zh-CN"/>
              </w:rPr>
              <w:t>文件中所提供的以上产品为我单位的产品，</w:t>
            </w:r>
            <w:r>
              <w:rPr>
                <w:rFonts w:hint="eastAsia" w:ascii="仿宋_GB2312" w:hAnsi="仿宋_GB2312" w:eastAsia="仿宋_GB2312" w:cs="仿宋_GB2312"/>
                <w:b/>
                <w:color w:val="auto"/>
                <w:szCs w:val="21"/>
                <w:highlight w:val="none"/>
              </w:rPr>
              <w:t>如有虚假</w:t>
            </w:r>
            <w:r>
              <w:rPr>
                <w:rFonts w:hint="eastAsia" w:ascii="仿宋_GB2312" w:hAnsi="仿宋_GB2312" w:eastAsia="仿宋_GB2312" w:cs="仿宋_GB2312"/>
                <w:b/>
                <w:color w:val="auto"/>
                <w:szCs w:val="21"/>
                <w:highlight w:val="none"/>
                <w:lang w:val="zh-CN"/>
              </w:rPr>
              <w:t>，我单位承担由此产生的一切后果</w:t>
            </w:r>
            <w:r>
              <w:rPr>
                <w:rFonts w:hint="eastAsia" w:ascii="仿宋_GB2312" w:hAnsi="仿宋_GB2312" w:eastAsia="仿宋_GB2312" w:cs="仿宋_GB2312"/>
                <w:color w:val="auto"/>
                <w:szCs w:val="21"/>
                <w:highlight w:val="none"/>
                <w:lang w:val="zh-CN"/>
              </w:rPr>
              <w:t>。</w:t>
            </w:r>
          </w:p>
        </w:tc>
      </w:tr>
    </w:tbl>
    <w:p w14:paraId="6902FBA9">
      <w:pPr>
        <w:adjustRightInd w:val="0"/>
        <w:snapToGrid w:val="0"/>
        <w:ind w:right="105" w:rightChars="50" w:firstLine="476" w:firstLineChars="227"/>
        <w:jc w:val="left"/>
        <w:rPr>
          <w:rFonts w:ascii="仿宋_GB2312" w:hAnsi="仿宋_GB2312" w:eastAsia="仿宋_GB2312" w:cs="仿宋_GB2312"/>
          <w:color w:val="auto"/>
          <w:szCs w:val="21"/>
          <w:highlight w:val="none"/>
        </w:rPr>
      </w:pPr>
    </w:p>
    <w:p w14:paraId="06C95DD4">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注：1、供应商为非贫困地区农副产品生产单位的，无需填写此声明函。</w:t>
      </w:r>
    </w:p>
    <w:p w14:paraId="645A3783">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2、如为本项目提供的农副产品是其他单位生产的，无需填写此表格，但需生产单位按此格式出具此声明。</w:t>
      </w:r>
    </w:p>
    <w:p w14:paraId="6057387B">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70E2262E">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24E6FF4D">
      <w:pPr>
        <w:adjustRightInd w:val="0"/>
        <w:snapToGrid w:val="0"/>
        <w:spacing w:line="480" w:lineRule="auto"/>
        <w:ind w:right="105" w:rightChars="5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投标人名称（加盖单位公章）：</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 xml:space="preserve"> </w:t>
      </w:r>
    </w:p>
    <w:p w14:paraId="462B05A9">
      <w:pPr>
        <w:adjustRightInd w:val="0"/>
        <w:snapToGrid w:val="0"/>
        <w:spacing w:line="480" w:lineRule="auto"/>
        <w:ind w:right="105" w:rightChars="50"/>
        <w:jc w:val="left"/>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日 期：</w:t>
      </w:r>
      <w:r>
        <w:rPr>
          <w:rFonts w:hint="eastAsia" w:ascii="仿宋_GB2312" w:hAnsi="仿宋_GB2312" w:eastAsia="仿宋_GB2312" w:cs="仿宋_GB2312"/>
          <w:color w:val="auto"/>
          <w:szCs w:val="21"/>
          <w:highlight w:val="none"/>
          <w:u w:val="single"/>
        </w:rPr>
        <w:t xml:space="preserve">               </w:t>
      </w:r>
    </w:p>
    <w:p w14:paraId="59E8F434">
      <w:pPr>
        <w:adjustRightInd w:val="0"/>
        <w:snapToGrid w:val="0"/>
        <w:spacing w:line="360" w:lineRule="auto"/>
        <w:ind w:right="105" w:rightChars="50"/>
        <w:jc w:val="left"/>
        <w:rPr>
          <w:rFonts w:ascii="仿宋_GB2312" w:hAnsi="仿宋_GB2312" w:eastAsia="仿宋_GB2312" w:cs="仿宋_GB2312"/>
          <w:color w:val="auto"/>
          <w:szCs w:val="21"/>
          <w:highlight w:val="none"/>
          <w:u w:val="single"/>
        </w:rPr>
      </w:pPr>
    </w:p>
    <w:p w14:paraId="6F7D6421">
      <w:pPr>
        <w:widowControl/>
        <w:jc w:val="left"/>
        <w:rPr>
          <w:rFonts w:ascii="仿宋_GB2312" w:hAnsi="仿宋_GB2312" w:eastAsia="仿宋_GB2312" w:cs="仿宋_GB2312"/>
          <w:color w:val="auto"/>
          <w:szCs w:val="21"/>
          <w:highlight w:val="none"/>
          <w:u w:val="single"/>
        </w:rPr>
      </w:pPr>
    </w:p>
    <w:p w14:paraId="657C8D7F">
      <w:pPr>
        <w:pStyle w:val="3"/>
        <w:adjustRightInd w:val="0"/>
        <w:snapToGrid w:val="0"/>
        <w:spacing w:before="0" w:after="0" w:line="240" w:lineRule="auto"/>
        <w:jc w:val="left"/>
        <w:rPr>
          <w:rFonts w:ascii="仿宋_GB2312" w:hAnsi="仿宋_GB2312" w:eastAsia="仿宋_GB2312" w:cs="仿宋_GB2312"/>
          <w:b w:val="0"/>
          <w:color w:val="auto"/>
          <w:kern w:val="44"/>
          <w:sz w:val="44"/>
          <w:highlight w:val="none"/>
        </w:rPr>
      </w:pPr>
      <w:r>
        <w:rPr>
          <w:rFonts w:hint="eastAsia" w:ascii="仿宋_GB2312" w:hAnsi="仿宋_GB2312" w:eastAsia="仿宋_GB2312" w:cs="仿宋_GB2312"/>
          <w:color w:val="auto"/>
          <w:szCs w:val="28"/>
          <w:highlight w:val="none"/>
        </w:rPr>
        <w:br w:type="page"/>
      </w:r>
      <w:r>
        <w:rPr>
          <w:rFonts w:hint="eastAsia" w:ascii="仿宋_GB2312" w:hAnsi="仿宋_GB2312" w:eastAsia="仿宋_GB2312" w:cs="仿宋_GB2312"/>
          <w:color w:val="auto"/>
          <w:szCs w:val="28"/>
          <w:highlight w:val="none"/>
        </w:rPr>
        <w:t>格式18</w:t>
      </w:r>
    </w:p>
    <w:p w14:paraId="039B094E">
      <w:pPr>
        <w:pStyle w:val="2"/>
        <w:snapToGrid w:val="0"/>
        <w:spacing w:before="312" w:beforeLines="100" w:after="312" w:afterLines="100" w:line="360" w:lineRule="auto"/>
        <w:rPr>
          <w:rFonts w:ascii="仿宋_GB2312" w:hAnsi="仿宋_GB2312" w:eastAsia="仿宋_GB2312" w:cs="仿宋_GB2312"/>
          <w:color w:val="auto"/>
          <w:sz w:val="28"/>
          <w:szCs w:val="28"/>
          <w:highlight w:val="none"/>
        </w:rPr>
      </w:pPr>
      <w:bookmarkStart w:id="119" w:name="_Toc17590"/>
      <w:r>
        <w:rPr>
          <w:rFonts w:hint="eastAsia" w:ascii="仿宋_GB2312" w:hAnsi="仿宋_GB2312" w:eastAsia="仿宋_GB2312" w:cs="仿宋_GB2312"/>
          <w:color w:val="auto"/>
          <w:sz w:val="28"/>
          <w:szCs w:val="28"/>
          <w:highlight w:val="none"/>
        </w:rPr>
        <w:t>评分项对应材料（格式自拟）</w:t>
      </w:r>
    </w:p>
    <w:p w14:paraId="21B208B2">
      <w:pPr>
        <w:rPr>
          <w:rFonts w:ascii="仿宋_GB2312" w:hAnsi="仿宋_GB2312" w:eastAsia="仿宋_GB2312" w:cs="仿宋_GB2312"/>
          <w:color w:val="auto"/>
          <w:szCs w:val="28"/>
          <w:highlight w:val="none"/>
        </w:rPr>
      </w:pPr>
      <w:r>
        <w:rPr>
          <w:rFonts w:hint="eastAsia" w:ascii="仿宋_GB2312" w:hAnsi="仿宋_GB2312" w:eastAsia="仿宋_GB2312" w:cs="仿宋_GB2312"/>
          <w:color w:val="auto"/>
          <w:szCs w:val="28"/>
          <w:highlight w:val="none"/>
        </w:rPr>
        <w:br w:type="page"/>
      </w:r>
    </w:p>
    <w:p w14:paraId="356689AB">
      <w:pPr>
        <w:pStyle w:val="3"/>
        <w:adjustRightInd w:val="0"/>
        <w:snapToGrid w:val="0"/>
        <w:spacing w:before="0" w:after="0" w:line="240" w:lineRule="auto"/>
        <w:jc w:val="left"/>
        <w:rPr>
          <w:rFonts w:ascii="仿宋_GB2312" w:hAnsi="仿宋_GB2312" w:eastAsia="仿宋_GB2312" w:cs="仿宋_GB2312"/>
          <w:color w:val="auto"/>
          <w:szCs w:val="28"/>
          <w:highlight w:val="none"/>
        </w:rPr>
      </w:pPr>
      <w:r>
        <w:rPr>
          <w:rFonts w:hint="eastAsia" w:ascii="仿宋_GB2312" w:hAnsi="仿宋_GB2312" w:eastAsia="仿宋_GB2312" w:cs="仿宋_GB2312"/>
          <w:color w:val="auto"/>
          <w:szCs w:val="28"/>
          <w:highlight w:val="none"/>
        </w:rPr>
        <w:t>格式19</w:t>
      </w:r>
    </w:p>
    <w:p w14:paraId="1D8CBB93">
      <w:pPr>
        <w:pStyle w:val="2"/>
        <w:snapToGrid w:val="0"/>
        <w:spacing w:before="312" w:beforeLines="100" w:after="312" w:afterLines="100"/>
        <w:rPr>
          <w:rFonts w:ascii="仿宋_GB2312" w:hAnsi="仿宋_GB2312" w:eastAsia="仿宋_GB2312" w:cs="仿宋_GB2312"/>
          <w:b w:val="0"/>
          <w:color w:val="auto"/>
          <w:sz w:val="24"/>
          <w:highlight w:val="none"/>
        </w:rPr>
      </w:pPr>
      <w:r>
        <w:rPr>
          <w:rFonts w:hint="eastAsia" w:ascii="仿宋_GB2312" w:hAnsi="仿宋_GB2312" w:eastAsia="仿宋_GB2312" w:cs="仿宋_GB2312"/>
          <w:color w:val="auto"/>
          <w:sz w:val="28"/>
          <w:szCs w:val="28"/>
          <w:highlight w:val="none"/>
        </w:rPr>
        <w:t>投标人认为有必要提供的其他材料</w:t>
      </w:r>
      <w:r>
        <w:rPr>
          <w:rFonts w:hint="eastAsia" w:ascii="仿宋_GB2312" w:hAnsi="仿宋_GB2312" w:eastAsia="仿宋_GB2312" w:cs="仿宋_GB2312"/>
          <w:color w:val="auto"/>
          <w:highlight w:val="none"/>
        </w:rPr>
        <w:br w:type="page"/>
      </w:r>
      <w:r>
        <w:rPr>
          <w:rFonts w:hint="eastAsia" w:ascii="仿宋_GB2312" w:hAnsi="仿宋_GB2312" w:eastAsia="仿宋_GB2312" w:cs="仿宋_GB2312"/>
          <w:color w:val="auto"/>
          <w:highlight w:val="none"/>
        </w:rPr>
        <w:t>第三章 货物需求</w:t>
      </w:r>
      <w:bookmarkEnd w:id="118"/>
      <w:bookmarkEnd w:id="119"/>
    </w:p>
    <w:p w14:paraId="53256502">
      <w:pPr>
        <w:spacing w:line="360" w:lineRule="auto"/>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采购品目：</w:t>
      </w:r>
    </w:p>
    <w:tbl>
      <w:tblPr>
        <w:tblStyle w:val="22"/>
        <w:tblW w:w="8694" w:type="dxa"/>
        <w:jc w:val="center"/>
        <w:tblLayout w:type="fixed"/>
        <w:tblCellMar>
          <w:top w:w="0" w:type="dxa"/>
          <w:left w:w="108" w:type="dxa"/>
          <w:bottom w:w="0" w:type="dxa"/>
          <w:right w:w="108" w:type="dxa"/>
        </w:tblCellMar>
      </w:tblPr>
      <w:tblGrid>
        <w:gridCol w:w="785"/>
        <w:gridCol w:w="911"/>
        <w:gridCol w:w="2389"/>
        <w:gridCol w:w="1050"/>
        <w:gridCol w:w="1770"/>
        <w:gridCol w:w="1789"/>
      </w:tblGrid>
      <w:tr w14:paraId="18B4998B">
        <w:tblPrEx>
          <w:tblCellMar>
            <w:top w:w="0" w:type="dxa"/>
            <w:left w:w="108" w:type="dxa"/>
            <w:bottom w:w="0" w:type="dxa"/>
            <w:right w:w="108" w:type="dxa"/>
          </w:tblCellMar>
        </w:tblPrEx>
        <w:trPr>
          <w:trHeight w:val="45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0F622">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包号</w:t>
            </w: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BCF15">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序号</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33CF7">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货物名称</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C7B14">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数量</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F4EF7">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单价最高限价(元)</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9CD4B">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总价最高限价(元)</w:t>
            </w:r>
          </w:p>
        </w:tc>
      </w:tr>
      <w:tr w14:paraId="5BE744A9">
        <w:tblPrEx>
          <w:tblCellMar>
            <w:top w:w="0" w:type="dxa"/>
            <w:left w:w="108" w:type="dxa"/>
            <w:bottom w:w="0" w:type="dxa"/>
            <w:right w:w="108" w:type="dxa"/>
          </w:tblCellMar>
        </w:tblPrEx>
        <w:trPr>
          <w:trHeight w:val="500" w:hRule="atLeast"/>
          <w:jc w:val="center"/>
        </w:trPr>
        <w:tc>
          <w:tcPr>
            <w:tcW w:w="7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BEFBA">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001</w:t>
            </w: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4BA18">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1</w:t>
            </w:r>
          </w:p>
        </w:tc>
        <w:tc>
          <w:tcPr>
            <w:tcW w:w="2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F34E0">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多功能酶标仪</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96AB2">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1</w:t>
            </w:r>
            <w:r>
              <w:rPr>
                <w:rStyle w:val="70"/>
                <w:rFonts w:hint="default" w:ascii="仿宋_GB2312" w:hAnsi="仿宋_GB2312" w:eastAsia="仿宋_GB2312" w:cs="仿宋_GB2312"/>
                <w:color w:val="auto"/>
                <w:sz w:val="24"/>
                <w:szCs w:val="24"/>
                <w:highlight w:val="none"/>
                <w:lang w:bidi="ar"/>
              </w:rPr>
              <w:t>台</w:t>
            </w:r>
          </w:p>
        </w:tc>
        <w:tc>
          <w:tcPr>
            <w:tcW w:w="1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C0B2C">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198000.00</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D9665">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198000.00</w:t>
            </w:r>
          </w:p>
        </w:tc>
      </w:tr>
      <w:tr w14:paraId="29D4DE14">
        <w:tblPrEx>
          <w:tblCellMar>
            <w:top w:w="0" w:type="dxa"/>
            <w:left w:w="108" w:type="dxa"/>
            <w:bottom w:w="0" w:type="dxa"/>
            <w:right w:w="108" w:type="dxa"/>
          </w:tblCellMar>
        </w:tblPrEx>
        <w:trPr>
          <w:trHeight w:val="500" w:hRule="atLeast"/>
          <w:jc w:val="center"/>
        </w:trPr>
        <w:tc>
          <w:tcPr>
            <w:tcW w:w="7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FBB35">
            <w:pPr>
              <w:jc w:val="center"/>
              <w:rPr>
                <w:rFonts w:ascii="仿宋_GB2312" w:hAnsi="仿宋_GB2312" w:eastAsia="仿宋_GB2312" w:cs="仿宋_GB2312"/>
                <w:color w:val="auto"/>
                <w:sz w:val="24"/>
                <w:highlight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E50A0">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2</w:t>
            </w:r>
          </w:p>
        </w:tc>
        <w:tc>
          <w:tcPr>
            <w:tcW w:w="2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D7C7A">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高速冷冻离心机</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7B368">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1</w:t>
            </w:r>
            <w:r>
              <w:rPr>
                <w:rStyle w:val="70"/>
                <w:rFonts w:hint="default" w:ascii="仿宋_GB2312" w:hAnsi="仿宋_GB2312" w:eastAsia="仿宋_GB2312" w:cs="仿宋_GB2312"/>
                <w:color w:val="auto"/>
                <w:sz w:val="24"/>
                <w:szCs w:val="24"/>
                <w:highlight w:val="none"/>
                <w:lang w:bidi="ar"/>
              </w:rPr>
              <w:t>台</w:t>
            </w:r>
          </w:p>
        </w:tc>
        <w:tc>
          <w:tcPr>
            <w:tcW w:w="1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0B56C">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34800.00</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69C83">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34800.00</w:t>
            </w:r>
          </w:p>
        </w:tc>
      </w:tr>
      <w:tr w14:paraId="3796EED5">
        <w:tblPrEx>
          <w:tblCellMar>
            <w:top w:w="0" w:type="dxa"/>
            <w:left w:w="108" w:type="dxa"/>
            <w:bottom w:w="0" w:type="dxa"/>
            <w:right w:w="108" w:type="dxa"/>
          </w:tblCellMar>
        </w:tblPrEx>
        <w:trPr>
          <w:trHeight w:val="500" w:hRule="atLeast"/>
          <w:jc w:val="center"/>
        </w:trPr>
        <w:tc>
          <w:tcPr>
            <w:tcW w:w="7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42D7A">
            <w:pPr>
              <w:jc w:val="center"/>
              <w:rPr>
                <w:rFonts w:ascii="仿宋_GB2312" w:hAnsi="仿宋_GB2312" w:eastAsia="仿宋_GB2312" w:cs="仿宋_GB2312"/>
                <w:color w:val="auto"/>
                <w:sz w:val="24"/>
                <w:highlight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A9ADF">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3</w:t>
            </w:r>
          </w:p>
        </w:tc>
        <w:tc>
          <w:tcPr>
            <w:tcW w:w="2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879CB">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微量冷冻离心机</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B37AC">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2</w:t>
            </w:r>
            <w:r>
              <w:rPr>
                <w:rStyle w:val="70"/>
                <w:rFonts w:hint="default" w:ascii="仿宋_GB2312" w:hAnsi="仿宋_GB2312" w:eastAsia="仿宋_GB2312" w:cs="仿宋_GB2312"/>
                <w:color w:val="auto"/>
                <w:sz w:val="24"/>
                <w:szCs w:val="24"/>
                <w:highlight w:val="none"/>
                <w:lang w:bidi="ar"/>
              </w:rPr>
              <w:t>台</w:t>
            </w:r>
          </w:p>
        </w:tc>
        <w:tc>
          <w:tcPr>
            <w:tcW w:w="1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575F1">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16600.00</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2E611">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33200.00</w:t>
            </w:r>
          </w:p>
        </w:tc>
      </w:tr>
      <w:tr w14:paraId="6D71CE80">
        <w:tblPrEx>
          <w:tblCellMar>
            <w:top w:w="0" w:type="dxa"/>
            <w:left w:w="108" w:type="dxa"/>
            <w:bottom w:w="0" w:type="dxa"/>
            <w:right w:w="108" w:type="dxa"/>
          </w:tblCellMar>
        </w:tblPrEx>
        <w:trPr>
          <w:trHeight w:val="500" w:hRule="atLeast"/>
          <w:jc w:val="center"/>
        </w:trPr>
        <w:tc>
          <w:tcPr>
            <w:tcW w:w="7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52362">
            <w:pPr>
              <w:jc w:val="center"/>
              <w:rPr>
                <w:rFonts w:ascii="仿宋_GB2312" w:hAnsi="仿宋_GB2312" w:eastAsia="仿宋_GB2312" w:cs="仿宋_GB2312"/>
                <w:color w:val="auto"/>
                <w:sz w:val="24"/>
                <w:highlight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B0D48">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4</w:t>
            </w:r>
          </w:p>
        </w:tc>
        <w:tc>
          <w:tcPr>
            <w:tcW w:w="2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7817B">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倒置显微镜</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8EC90">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2</w:t>
            </w:r>
            <w:r>
              <w:rPr>
                <w:rStyle w:val="70"/>
                <w:rFonts w:hint="default" w:ascii="仿宋_GB2312" w:hAnsi="仿宋_GB2312" w:eastAsia="仿宋_GB2312" w:cs="仿宋_GB2312"/>
                <w:color w:val="auto"/>
                <w:sz w:val="24"/>
                <w:szCs w:val="24"/>
                <w:highlight w:val="none"/>
                <w:lang w:bidi="ar"/>
              </w:rPr>
              <w:t>台</w:t>
            </w:r>
          </w:p>
        </w:tc>
        <w:tc>
          <w:tcPr>
            <w:tcW w:w="1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C8520">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49000.00</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F1038">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98000.00</w:t>
            </w:r>
          </w:p>
        </w:tc>
      </w:tr>
      <w:tr w14:paraId="7BFDDF3C">
        <w:tblPrEx>
          <w:tblCellMar>
            <w:top w:w="0" w:type="dxa"/>
            <w:left w:w="108" w:type="dxa"/>
            <w:bottom w:w="0" w:type="dxa"/>
            <w:right w:w="108" w:type="dxa"/>
          </w:tblCellMar>
        </w:tblPrEx>
        <w:trPr>
          <w:trHeight w:val="500" w:hRule="atLeast"/>
          <w:jc w:val="center"/>
        </w:trPr>
        <w:tc>
          <w:tcPr>
            <w:tcW w:w="7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7BD40">
            <w:pPr>
              <w:jc w:val="center"/>
              <w:rPr>
                <w:rFonts w:ascii="仿宋_GB2312" w:hAnsi="仿宋_GB2312" w:eastAsia="仿宋_GB2312" w:cs="仿宋_GB2312"/>
                <w:color w:val="auto"/>
                <w:sz w:val="24"/>
                <w:highlight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3FB09">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5</w:t>
            </w:r>
          </w:p>
        </w:tc>
        <w:tc>
          <w:tcPr>
            <w:tcW w:w="2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C1F34">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体式显微镜</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0D186">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1</w:t>
            </w:r>
            <w:r>
              <w:rPr>
                <w:rStyle w:val="70"/>
                <w:rFonts w:hint="default" w:ascii="仿宋_GB2312" w:hAnsi="仿宋_GB2312" w:eastAsia="仿宋_GB2312" w:cs="仿宋_GB2312"/>
                <w:color w:val="auto"/>
                <w:sz w:val="24"/>
                <w:szCs w:val="24"/>
                <w:highlight w:val="none"/>
                <w:lang w:bidi="ar"/>
              </w:rPr>
              <w:t>台</w:t>
            </w:r>
          </w:p>
        </w:tc>
        <w:tc>
          <w:tcPr>
            <w:tcW w:w="1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1C618">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42000.00</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4F7FF">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42000.00</w:t>
            </w:r>
          </w:p>
        </w:tc>
      </w:tr>
      <w:tr w14:paraId="0DBCE0B1">
        <w:tblPrEx>
          <w:tblCellMar>
            <w:top w:w="0" w:type="dxa"/>
            <w:left w:w="108" w:type="dxa"/>
            <w:bottom w:w="0" w:type="dxa"/>
            <w:right w:w="108" w:type="dxa"/>
          </w:tblCellMar>
        </w:tblPrEx>
        <w:trPr>
          <w:trHeight w:val="500" w:hRule="atLeast"/>
          <w:jc w:val="center"/>
        </w:trPr>
        <w:tc>
          <w:tcPr>
            <w:tcW w:w="7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F3B44">
            <w:pPr>
              <w:jc w:val="center"/>
              <w:rPr>
                <w:rFonts w:ascii="仿宋_GB2312" w:hAnsi="仿宋_GB2312" w:eastAsia="仿宋_GB2312" w:cs="仿宋_GB2312"/>
                <w:color w:val="auto"/>
                <w:sz w:val="24"/>
                <w:highlight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B8772">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6</w:t>
            </w:r>
          </w:p>
        </w:tc>
        <w:tc>
          <w:tcPr>
            <w:tcW w:w="2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AD516">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正置显微镜</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FBACA">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1</w:t>
            </w:r>
            <w:r>
              <w:rPr>
                <w:rStyle w:val="70"/>
                <w:rFonts w:hint="default" w:ascii="仿宋_GB2312" w:hAnsi="仿宋_GB2312" w:eastAsia="仿宋_GB2312" w:cs="仿宋_GB2312"/>
                <w:color w:val="auto"/>
                <w:sz w:val="24"/>
                <w:szCs w:val="24"/>
                <w:highlight w:val="none"/>
                <w:lang w:bidi="ar"/>
              </w:rPr>
              <w:t>台</w:t>
            </w:r>
          </w:p>
        </w:tc>
        <w:tc>
          <w:tcPr>
            <w:tcW w:w="1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01FD3">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15000.00</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39B73">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15000.00</w:t>
            </w:r>
          </w:p>
        </w:tc>
      </w:tr>
      <w:tr w14:paraId="705D97A3">
        <w:tblPrEx>
          <w:tblCellMar>
            <w:top w:w="0" w:type="dxa"/>
            <w:left w:w="108" w:type="dxa"/>
            <w:bottom w:w="0" w:type="dxa"/>
            <w:right w:w="108" w:type="dxa"/>
          </w:tblCellMar>
        </w:tblPrEx>
        <w:trPr>
          <w:trHeight w:val="500" w:hRule="atLeast"/>
          <w:jc w:val="center"/>
        </w:trPr>
        <w:tc>
          <w:tcPr>
            <w:tcW w:w="7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61314">
            <w:pPr>
              <w:jc w:val="center"/>
              <w:rPr>
                <w:rFonts w:ascii="仿宋_GB2312" w:hAnsi="仿宋_GB2312" w:eastAsia="仿宋_GB2312" w:cs="仿宋_GB2312"/>
                <w:color w:val="auto"/>
                <w:sz w:val="24"/>
                <w:highlight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1B700">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7</w:t>
            </w:r>
          </w:p>
        </w:tc>
        <w:tc>
          <w:tcPr>
            <w:tcW w:w="2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31995">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全自动雪花制冰机</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52E56">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1</w:t>
            </w:r>
            <w:r>
              <w:rPr>
                <w:rStyle w:val="70"/>
                <w:rFonts w:hint="default" w:ascii="仿宋_GB2312" w:hAnsi="仿宋_GB2312" w:eastAsia="仿宋_GB2312" w:cs="仿宋_GB2312"/>
                <w:color w:val="auto"/>
                <w:sz w:val="24"/>
                <w:szCs w:val="24"/>
                <w:highlight w:val="none"/>
                <w:lang w:bidi="ar"/>
              </w:rPr>
              <w:t>台</w:t>
            </w:r>
          </w:p>
        </w:tc>
        <w:tc>
          <w:tcPr>
            <w:tcW w:w="1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F22EB">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4200.00</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DC72B">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4200.00</w:t>
            </w:r>
          </w:p>
        </w:tc>
      </w:tr>
      <w:tr w14:paraId="0B6372FB">
        <w:tblPrEx>
          <w:tblCellMar>
            <w:top w:w="0" w:type="dxa"/>
            <w:left w:w="108" w:type="dxa"/>
            <w:bottom w:w="0" w:type="dxa"/>
            <w:right w:w="108" w:type="dxa"/>
          </w:tblCellMar>
        </w:tblPrEx>
        <w:trPr>
          <w:trHeight w:val="520" w:hRule="atLeast"/>
          <w:jc w:val="center"/>
        </w:trPr>
        <w:tc>
          <w:tcPr>
            <w:tcW w:w="7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39196">
            <w:pPr>
              <w:jc w:val="center"/>
              <w:rPr>
                <w:rFonts w:ascii="仿宋_GB2312" w:hAnsi="仿宋_GB2312" w:eastAsia="仿宋_GB2312" w:cs="仿宋_GB2312"/>
                <w:color w:val="auto"/>
                <w:sz w:val="24"/>
                <w:highlight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ABC95">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8</w:t>
            </w:r>
          </w:p>
        </w:tc>
        <w:tc>
          <w:tcPr>
            <w:tcW w:w="2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DC9D5">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高压灭菌锅</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E8D23">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2</w:t>
            </w:r>
            <w:r>
              <w:rPr>
                <w:rStyle w:val="70"/>
                <w:rFonts w:hint="default" w:ascii="仿宋_GB2312" w:hAnsi="仿宋_GB2312" w:eastAsia="仿宋_GB2312" w:cs="仿宋_GB2312"/>
                <w:color w:val="auto"/>
                <w:sz w:val="24"/>
                <w:szCs w:val="24"/>
                <w:highlight w:val="none"/>
                <w:lang w:bidi="ar"/>
              </w:rPr>
              <w:t>台</w:t>
            </w:r>
          </w:p>
        </w:tc>
        <w:tc>
          <w:tcPr>
            <w:tcW w:w="1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5C675">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45000.00</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EDA88">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90000.00</w:t>
            </w:r>
          </w:p>
        </w:tc>
      </w:tr>
      <w:tr w14:paraId="0E77C5EF">
        <w:tblPrEx>
          <w:tblCellMar>
            <w:top w:w="0" w:type="dxa"/>
            <w:left w:w="108" w:type="dxa"/>
            <w:bottom w:w="0" w:type="dxa"/>
            <w:right w:w="108" w:type="dxa"/>
          </w:tblCellMar>
        </w:tblPrEx>
        <w:trPr>
          <w:trHeight w:val="500" w:hRule="atLeast"/>
          <w:jc w:val="center"/>
        </w:trPr>
        <w:tc>
          <w:tcPr>
            <w:tcW w:w="7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DA1C2">
            <w:pPr>
              <w:jc w:val="center"/>
              <w:rPr>
                <w:rFonts w:ascii="仿宋_GB2312" w:hAnsi="仿宋_GB2312" w:eastAsia="仿宋_GB2312" w:cs="仿宋_GB2312"/>
                <w:color w:val="auto"/>
                <w:sz w:val="24"/>
                <w:highlight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19159">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9</w:t>
            </w:r>
          </w:p>
        </w:tc>
        <w:tc>
          <w:tcPr>
            <w:tcW w:w="2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862F5">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b w:val="0"/>
                <w:bCs/>
                <w:color w:val="auto"/>
                <w:sz w:val="24"/>
                <w:highlight w:val="none"/>
              </w:rPr>
              <w:t>二氧化碳培养箱</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7AB14">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val="en-US" w:eastAsia="zh-CN" w:bidi="ar"/>
              </w:rPr>
              <w:t>1</w:t>
            </w:r>
            <w:r>
              <w:rPr>
                <w:rStyle w:val="70"/>
                <w:rFonts w:hint="default" w:ascii="仿宋_GB2312" w:hAnsi="仿宋_GB2312" w:eastAsia="仿宋_GB2312" w:cs="仿宋_GB2312"/>
                <w:color w:val="auto"/>
                <w:sz w:val="24"/>
                <w:szCs w:val="24"/>
                <w:highlight w:val="none"/>
                <w:lang w:bidi="ar"/>
              </w:rPr>
              <w:t>台</w:t>
            </w:r>
          </w:p>
        </w:tc>
        <w:tc>
          <w:tcPr>
            <w:tcW w:w="1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7B695">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val="en-US" w:eastAsia="zh-CN" w:bidi="ar"/>
              </w:rPr>
              <w:t>40</w:t>
            </w:r>
            <w:r>
              <w:rPr>
                <w:rFonts w:hint="eastAsia" w:ascii="仿宋_GB2312" w:hAnsi="仿宋_GB2312" w:eastAsia="仿宋_GB2312" w:cs="仿宋_GB2312"/>
                <w:color w:val="auto"/>
                <w:kern w:val="0"/>
                <w:sz w:val="24"/>
                <w:highlight w:val="none"/>
                <w:lang w:bidi="ar"/>
              </w:rPr>
              <w:t>000.00</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ED866">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val="en-US" w:eastAsia="zh-CN" w:bidi="ar"/>
              </w:rPr>
              <w:t>40</w:t>
            </w:r>
            <w:r>
              <w:rPr>
                <w:rFonts w:hint="eastAsia" w:ascii="仿宋_GB2312" w:hAnsi="仿宋_GB2312" w:eastAsia="仿宋_GB2312" w:cs="仿宋_GB2312"/>
                <w:color w:val="auto"/>
                <w:kern w:val="0"/>
                <w:sz w:val="24"/>
                <w:highlight w:val="none"/>
                <w:lang w:bidi="ar"/>
              </w:rPr>
              <w:t>000.00</w:t>
            </w:r>
          </w:p>
        </w:tc>
      </w:tr>
      <w:tr w14:paraId="5C7380D2">
        <w:tblPrEx>
          <w:tblCellMar>
            <w:top w:w="0" w:type="dxa"/>
            <w:left w:w="108" w:type="dxa"/>
            <w:bottom w:w="0" w:type="dxa"/>
            <w:right w:w="108" w:type="dxa"/>
          </w:tblCellMar>
        </w:tblPrEx>
        <w:trPr>
          <w:trHeight w:val="500" w:hRule="atLeast"/>
          <w:jc w:val="center"/>
        </w:trPr>
        <w:tc>
          <w:tcPr>
            <w:tcW w:w="7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CF49F">
            <w:pPr>
              <w:jc w:val="center"/>
              <w:rPr>
                <w:rFonts w:ascii="仿宋_GB2312" w:hAnsi="仿宋_GB2312" w:eastAsia="仿宋_GB2312" w:cs="仿宋_GB2312"/>
                <w:color w:val="auto"/>
                <w:sz w:val="24"/>
                <w:highlight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E9CD3">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10</w:t>
            </w:r>
          </w:p>
        </w:tc>
        <w:tc>
          <w:tcPr>
            <w:tcW w:w="2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E8D39">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电泳转膜套装</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214D0">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3套</w:t>
            </w:r>
          </w:p>
        </w:tc>
        <w:tc>
          <w:tcPr>
            <w:tcW w:w="1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777C9">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21000.00</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C4F62">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63000.00</w:t>
            </w:r>
          </w:p>
        </w:tc>
      </w:tr>
      <w:tr w14:paraId="26FD6D6C">
        <w:tblPrEx>
          <w:tblCellMar>
            <w:top w:w="0" w:type="dxa"/>
            <w:left w:w="108" w:type="dxa"/>
            <w:bottom w:w="0" w:type="dxa"/>
            <w:right w:w="108" w:type="dxa"/>
          </w:tblCellMar>
        </w:tblPrEx>
        <w:trPr>
          <w:trHeight w:val="500" w:hRule="atLeast"/>
          <w:jc w:val="center"/>
        </w:trPr>
        <w:tc>
          <w:tcPr>
            <w:tcW w:w="7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5D1C4">
            <w:pPr>
              <w:jc w:val="center"/>
              <w:rPr>
                <w:rFonts w:ascii="仿宋_GB2312" w:hAnsi="仿宋_GB2312" w:eastAsia="仿宋_GB2312" w:cs="仿宋_GB2312"/>
                <w:color w:val="auto"/>
                <w:sz w:val="24"/>
                <w:highlight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BA34F">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11</w:t>
            </w:r>
          </w:p>
        </w:tc>
        <w:tc>
          <w:tcPr>
            <w:tcW w:w="2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FBD02">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超净台（双人）</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AC5D1">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val="en-US" w:eastAsia="zh-CN" w:bidi="ar"/>
              </w:rPr>
              <w:t>2</w:t>
            </w:r>
            <w:r>
              <w:rPr>
                <w:rStyle w:val="70"/>
                <w:rFonts w:hint="default" w:ascii="仿宋_GB2312" w:hAnsi="仿宋_GB2312" w:eastAsia="仿宋_GB2312" w:cs="仿宋_GB2312"/>
                <w:color w:val="auto"/>
                <w:sz w:val="24"/>
                <w:szCs w:val="24"/>
                <w:highlight w:val="none"/>
                <w:lang w:bidi="ar"/>
              </w:rPr>
              <w:t>台</w:t>
            </w:r>
          </w:p>
        </w:tc>
        <w:tc>
          <w:tcPr>
            <w:tcW w:w="1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2F05C">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val="en-US" w:eastAsia="zh-CN" w:bidi="ar"/>
              </w:rPr>
              <w:t>113</w:t>
            </w:r>
            <w:r>
              <w:rPr>
                <w:rFonts w:hint="eastAsia" w:ascii="仿宋_GB2312" w:hAnsi="仿宋_GB2312" w:eastAsia="仿宋_GB2312" w:cs="仿宋_GB2312"/>
                <w:color w:val="auto"/>
                <w:kern w:val="0"/>
                <w:sz w:val="24"/>
                <w:highlight w:val="none"/>
                <w:lang w:bidi="ar"/>
              </w:rPr>
              <w:t>00.00</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9C253">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val="en-US" w:eastAsia="zh-CN" w:bidi="ar"/>
              </w:rPr>
              <w:t>226</w:t>
            </w:r>
            <w:r>
              <w:rPr>
                <w:rFonts w:hint="eastAsia" w:ascii="仿宋_GB2312" w:hAnsi="仿宋_GB2312" w:eastAsia="仿宋_GB2312" w:cs="仿宋_GB2312"/>
                <w:color w:val="auto"/>
                <w:kern w:val="0"/>
                <w:sz w:val="24"/>
                <w:highlight w:val="none"/>
                <w:lang w:bidi="ar"/>
              </w:rPr>
              <w:t>00.00</w:t>
            </w:r>
          </w:p>
        </w:tc>
      </w:tr>
      <w:tr w14:paraId="74FD7840">
        <w:tblPrEx>
          <w:tblCellMar>
            <w:top w:w="0" w:type="dxa"/>
            <w:left w:w="108" w:type="dxa"/>
            <w:bottom w:w="0" w:type="dxa"/>
            <w:right w:w="108" w:type="dxa"/>
          </w:tblCellMar>
        </w:tblPrEx>
        <w:trPr>
          <w:trHeight w:val="500" w:hRule="atLeast"/>
          <w:jc w:val="center"/>
        </w:trPr>
        <w:tc>
          <w:tcPr>
            <w:tcW w:w="7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18E78">
            <w:pPr>
              <w:jc w:val="center"/>
              <w:rPr>
                <w:rFonts w:ascii="仿宋_GB2312" w:hAnsi="仿宋_GB2312" w:eastAsia="仿宋_GB2312" w:cs="仿宋_GB2312"/>
                <w:color w:val="auto"/>
                <w:sz w:val="24"/>
                <w:highlight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3123C">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12</w:t>
            </w:r>
          </w:p>
        </w:tc>
        <w:tc>
          <w:tcPr>
            <w:tcW w:w="2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18C2E">
            <w:pPr>
              <w:widowControl/>
              <w:jc w:val="center"/>
              <w:textAlignment w:val="center"/>
              <w:rPr>
                <w:rFonts w:hint="eastAsia" w:ascii="仿宋_GB2312" w:hAnsi="仿宋_GB2312" w:eastAsia="仿宋_GB2312" w:cs="仿宋_GB2312"/>
                <w:color w:val="auto"/>
                <w:sz w:val="24"/>
                <w:highlight w:val="none"/>
                <w:lang w:eastAsia="zh-CN"/>
              </w:rPr>
            </w:pPr>
            <w:r>
              <w:rPr>
                <w:rFonts w:hint="eastAsia" w:ascii="仿宋_GB2312" w:hAnsi="仿宋_GB2312" w:eastAsia="仿宋_GB2312" w:cs="仿宋_GB2312"/>
                <w:color w:val="auto"/>
                <w:kern w:val="0"/>
                <w:sz w:val="24"/>
                <w:highlight w:val="none"/>
                <w:lang w:bidi="ar"/>
              </w:rPr>
              <w:t>超净台</w:t>
            </w:r>
            <w:r>
              <w:rPr>
                <w:rFonts w:hint="eastAsia" w:ascii="仿宋_GB2312" w:hAnsi="仿宋_GB2312" w:eastAsia="仿宋_GB2312" w:cs="仿宋_GB2312"/>
                <w:color w:val="auto"/>
                <w:kern w:val="0"/>
                <w:sz w:val="24"/>
                <w:highlight w:val="none"/>
                <w:lang w:eastAsia="zh-CN" w:bidi="ar"/>
              </w:rPr>
              <w:t>（</w:t>
            </w:r>
            <w:r>
              <w:rPr>
                <w:rFonts w:hint="eastAsia" w:ascii="仿宋_GB2312" w:hAnsi="仿宋_GB2312" w:eastAsia="仿宋_GB2312" w:cs="仿宋_GB2312"/>
                <w:color w:val="auto"/>
                <w:kern w:val="0"/>
                <w:sz w:val="24"/>
                <w:highlight w:val="none"/>
                <w:lang w:val="en-US" w:eastAsia="zh-CN" w:bidi="ar"/>
              </w:rPr>
              <w:t>单人</w:t>
            </w:r>
            <w:r>
              <w:rPr>
                <w:rFonts w:hint="eastAsia" w:ascii="仿宋_GB2312" w:hAnsi="仿宋_GB2312" w:eastAsia="仿宋_GB2312" w:cs="仿宋_GB2312"/>
                <w:color w:val="auto"/>
                <w:kern w:val="0"/>
                <w:sz w:val="24"/>
                <w:highlight w:val="none"/>
                <w:lang w:eastAsia="zh-CN" w:bidi="ar"/>
              </w:rPr>
              <w:t>）</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45611">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2</w:t>
            </w:r>
            <w:r>
              <w:rPr>
                <w:rStyle w:val="70"/>
                <w:rFonts w:hint="default" w:ascii="仿宋_GB2312" w:hAnsi="仿宋_GB2312" w:eastAsia="仿宋_GB2312" w:cs="仿宋_GB2312"/>
                <w:color w:val="auto"/>
                <w:sz w:val="24"/>
                <w:szCs w:val="24"/>
                <w:highlight w:val="none"/>
                <w:lang w:bidi="ar"/>
              </w:rPr>
              <w:t>台</w:t>
            </w:r>
          </w:p>
        </w:tc>
        <w:tc>
          <w:tcPr>
            <w:tcW w:w="1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7149C">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9000.00</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FACDE">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18000.00</w:t>
            </w:r>
          </w:p>
        </w:tc>
      </w:tr>
      <w:tr w14:paraId="6664C346">
        <w:tblPrEx>
          <w:tblCellMar>
            <w:top w:w="0" w:type="dxa"/>
            <w:left w:w="108" w:type="dxa"/>
            <w:bottom w:w="0" w:type="dxa"/>
            <w:right w:w="108" w:type="dxa"/>
          </w:tblCellMar>
        </w:tblPrEx>
        <w:trPr>
          <w:trHeight w:val="500" w:hRule="atLeast"/>
          <w:jc w:val="center"/>
        </w:trPr>
        <w:tc>
          <w:tcPr>
            <w:tcW w:w="7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B6FD2">
            <w:pPr>
              <w:jc w:val="center"/>
              <w:rPr>
                <w:rFonts w:ascii="仿宋_GB2312" w:hAnsi="仿宋_GB2312" w:eastAsia="仿宋_GB2312" w:cs="仿宋_GB2312"/>
                <w:color w:val="auto"/>
                <w:sz w:val="24"/>
                <w:highlight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907C4">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13</w:t>
            </w:r>
          </w:p>
        </w:tc>
        <w:tc>
          <w:tcPr>
            <w:tcW w:w="2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B99C5">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分子杂交炉</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C3434">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1</w:t>
            </w:r>
            <w:r>
              <w:rPr>
                <w:rStyle w:val="70"/>
                <w:rFonts w:hint="default" w:ascii="仿宋_GB2312" w:hAnsi="仿宋_GB2312" w:eastAsia="仿宋_GB2312" w:cs="仿宋_GB2312"/>
                <w:color w:val="auto"/>
                <w:sz w:val="24"/>
                <w:szCs w:val="24"/>
                <w:highlight w:val="none"/>
                <w:lang w:bidi="ar"/>
              </w:rPr>
              <w:t>台</w:t>
            </w:r>
          </w:p>
        </w:tc>
        <w:tc>
          <w:tcPr>
            <w:tcW w:w="1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5715F">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14200.00</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B6714">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14200.00</w:t>
            </w:r>
          </w:p>
        </w:tc>
      </w:tr>
      <w:tr w14:paraId="013EC09B">
        <w:tblPrEx>
          <w:tblCellMar>
            <w:top w:w="0" w:type="dxa"/>
            <w:left w:w="108" w:type="dxa"/>
            <w:bottom w:w="0" w:type="dxa"/>
            <w:right w:w="108" w:type="dxa"/>
          </w:tblCellMar>
        </w:tblPrEx>
        <w:trPr>
          <w:trHeight w:val="50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43929">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003</w:t>
            </w: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008BC">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1</w:t>
            </w:r>
          </w:p>
        </w:tc>
        <w:tc>
          <w:tcPr>
            <w:tcW w:w="2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91D65">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口腔临床模拟教学实习系统</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43C92">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8</w:t>
            </w:r>
            <w:r>
              <w:rPr>
                <w:rStyle w:val="70"/>
                <w:rFonts w:hint="default" w:ascii="仿宋_GB2312" w:hAnsi="仿宋_GB2312" w:eastAsia="仿宋_GB2312" w:cs="仿宋_GB2312"/>
                <w:color w:val="auto"/>
                <w:sz w:val="24"/>
                <w:szCs w:val="24"/>
                <w:highlight w:val="none"/>
                <w:lang w:bidi="ar"/>
              </w:rPr>
              <w:t>套</w:t>
            </w:r>
          </w:p>
        </w:tc>
        <w:tc>
          <w:tcPr>
            <w:tcW w:w="1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12FD8">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52000.00</w:t>
            </w:r>
          </w:p>
        </w:tc>
        <w:tc>
          <w:tcPr>
            <w:tcW w:w="1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3B136">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416000.00</w:t>
            </w:r>
          </w:p>
        </w:tc>
      </w:tr>
    </w:tbl>
    <w:p w14:paraId="49B32264">
      <w:pPr>
        <w:pStyle w:val="11"/>
        <w:rPr>
          <w:rFonts w:ascii="仿宋_GB2312" w:hAnsi="仿宋_GB2312" w:eastAsia="仿宋_GB2312" w:cs="仿宋_GB2312"/>
          <w:color w:val="auto"/>
          <w:highlight w:val="none"/>
        </w:rPr>
      </w:pPr>
    </w:p>
    <w:p w14:paraId="33B12004">
      <w:pPr>
        <w:spacing w:line="360" w:lineRule="auto"/>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技术参数：</w:t>
      </w:r>
    </w:p>
    <w:p w14:paraId="712EFB5F">
      <w:pPr>
        <w:jc w:val="left"/>
        <w:rPr>
          <w:rFonts w:ascii="仿宋_GB2312" w:hAnsi="仿宋_GB2312" w:eastAsia="仿宋_GB2312" w:cs="仿宋_GB2312"/>
          <w:b/>
          <w:color w:val="auto"/>
          <w:sz w:val="24"/>
          <w:highlight w:val="none"/>
        </w:rPr>
      </w:pPr>
      <w:r>
        <w:rPr>
          <w:rFonts w:hint="eastAsia" w:ascii="仿宋_GB2312" w:hAnsi="仿宋_GB2312" w:eastAsia="仿宋_GB2312" w:cs="仿宋_GB2312"/>
          <w:b/>
          <w:color w:val="auto"/>
          <w:sz w:val="24"/>
          <w:highlight w:val="none"/>
        </w:rPr>
        <w:t>001包</w:t>
      </w:r>
    </w:p>
    <w:p w14:paraId="380ED4AE">
      <w:pPr>
        <w:jc w:val="left"/>
        <w:rPr>
          <w:rFonts w:ascii="仿宋_GB2312" w:hAnsi="仿宋_GB2312" w:eastAsia="仿宋_GB2312" w:cs="仿宋_GB2312"/>
          <w:b/>
          <w:color w:val="auto"/>
          <w:sz w:val="24"/>
          <w:highlight w:val="none"/>
        </w:rPr>
      </w:pPr>
      <w:r>
        <w:rPr>
          <w:rFonts w:ascii="仿宋_GB2312" w:hAnsi="仿宋_GB2312" w:eastAsia="仿宋_GB2312" w:cs="仿宋_GB2312"/>
          <w:b/>
          <w:color w:val="auto"/>
          <w:sz w:val="24"/>
          <w:highlight w:val="none"/>
        </w:rPr>
        <w:t>一、</w:t>
      </w:r>
      <w:r>
        <w:rPr>
          <w:rFonts w:hint="eastAsia" w:ascii="仿宋_GB2312" w:hAnsi="仿宋_GB2312" w:eastAsia="仿宋_GB2312" w:cs="仿宋_GB2312"/>
          <w:b/>
          <w:color w:val="auto"/>
          <w:sz w:val="24"/>
          <w:highlight w:val="none"/>
        </w:rPr>
        <w:t>多功能酶标仪</w:t>
      </w:r>
    </w:p>
    <w:p w14:paraId="6F42767B">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★1.操作系统：兼顾安卓及Windows双系统；</w:t>
      </w:r>
    </w:p>
    <w:p w14:paraId="27387F86">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2.可支持6、12、24、48、96、384孔微孔板及uNano微量板检测</w:t>
      </w:r>
    </w:p>
    <w:p w14:paraId="7D54913C">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3.进行吸收光、荧光、辉光化学发光和闪光化学发光检测</w:t>
      </w:r>
    </w:p>
    <w:p w14:paraId="6473B2FA">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★4.测量模式包括终点法、动力学、光谱扫描、孔扫描，其中孔扫描功能单孔最多可测900个点(</w:t>
      </w:r>
      <w:r>
        <w:rPr>
          <w:rFonts w:hint="eastAsia" w:ascii="仿宋_GB2312" w:hAnsi="仿宋_GB2312" w:eastAsia="仿宋_GB2312" w:cs="仿宋_GB2312"/>
          <w:b/>
          <w:color w:val="auto"/>
          <w:sz w:val="24"/>
          <w:highlight w:val="none"/>
        </w:rPr>
        <w:t>需提供软件相应功能截图，并加盖投标人公章）</w:t>
      </w:r>
    </w:p>
    <w:p w14:paraId="09264C30">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5.检测器≥两种，包括PD及PMT</w:t>
      </w:r>
    </w:p>
    <w:p w14:paraId="03F6CEB1">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★6.方便装配的模块化滤光片（标配≥4组）（485/530nm、523/564nm、624/692nm、LUM）。</w:t>
      </w:r>
    </w:p>
    <w:p w14:paraId="4920A566">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7.吸收光波长范围200-1000nm，1nm步进</w:t>
      </w:r>
    </w:p>
    <w:p w14:paraId="370A4A1E">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8.仪器分辨率</w:t>
      </w:r>
      <w:r>
        <w:rPr>
          <w:rFonts w:hint="eastAsia" w:ascii="仿宋_GB2312" w:hAnsi="仿宋_GB2312" w:eastAsia="仿宋_GB2312" w:cs="仿宋_GB2312"/>
          <w:color w:val="auto"/>
          <w:highlight w:val="none"/>
        </w:rPr>
        <w:t>≥</w:t>
      </w:r>
      <w:r>
        <w:rPr>
          <w:rFonts w:hint="eastAsia" w:ascii="仿宋_GB2312" w:hAnsi="仿宋_GB2312" w:eastAsia="仿宋_GB2312" w:cs="仿宋_GB2312"/>
          <w:bCs/>
          <w:color w:val="auto"/>
          <w:sz w:val="24"/>
          <w:highlight w:val="none"/>
        </w:rPr>
        <w:t>0.0001OD</w:t>
      </w:r>
    </w:p>
    <w:p w14:paraId="0035F21B">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9.吸收光重复性：CV &lt; 1.0%或SD＜0.003 快速(0.0 - 3.0Abs]；CV &lt; 0.5%或SD＜0.003 精确(0.0 - 3.0Abs]</w:t>
      </w:r>
    </w:p>
    <w:p w14:paraId="05101154">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10.吸收光线性范围，在[0.0 - 3.0Abs]，R2≥ 0.999</w:t>
      </w:r>
      <w:r>
        <w:rPr>
          <w:rFonts w:hint="eastAsia" w:ascii="仿宋_GB2312" w:hAnsi="仿宋_GB2312" w:eastAsia="仿宋_GB2312" w:cs="仿宋_GB2312"/>
          <w:b/>
          <w:color w:val="auto"/>
          <w:sz w:val="24"/>
          <w:highlight w:val="none"/>
        </w:rPr>
        <w:t>(需提供0-3Abs范围内的线性检测数据，并加盖投标人公章）</w:t>
      </w:r>
    </w:p>
    <w:p w14:paraId="6557A0B1">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11.荧光光源：氙灯</w:t>
      </w:r>
    </w:p>
    <w:p w14:paraId="78554B14">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★12.荧光检出限≤1pM（优化条件）</w:t>
      </w:r>
      <w:r>
        <w:rPr>
          <w:rFonts w:hint="eastAsia" w:ascii="仿宋_GB2312" w:hAnsi="仿宋_GB2312" w:eastAsia="仿宋_GB2312" w:cs="仿宋_GB2312"/>
          <w:b/>
          <w:color w:val="auto"/>
          <w:sz w:val="24"/>
          <w:highlight w:val="none"/>
        </w:rPr>
        <w:t>(需提供检测数据，并加盖投标人公章）</w:t>
      </w:r>
      <w:r>
        <w:rPr>
          <w:rFonts w:hint="eastAsia" w:ascii="仿宋_GB2312" w:hAnsi="仿宋_GB2312" w:eastAsia="仿宋_GB2312" w:cs="仿宋_GB2312"/>
          <w:bCs/>
          <w:color w:val="auto"/>
          <w:sz w:val="24"/>
          <w:highlight w:val="none"/>
        </w:rPr>
        <w:t>；</w:t>
      </w:r>
    </w:p>
    <w:p w14:paraId="1CD3E762">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13.荧光线性动态范围≥6logs</w:t>
      </w:r>
    </w:p>
    <w:p w14:paraId="10935FC6">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14.发光检出限≤15amol/孔 ATP（优化条件），发光线性动态范围≥6 logs</w:t>
      </w:r>
    </w:p>
    <w:p w14:paraId="2BBC65D4">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★15.发光孔间干扰小，串扰≤0.005%</w:t>
      </w:r>
      <w:r>
        <w:rPr>
          <w:rFonts w:hint="eastAsia" w:ascii="仿宋_GB2312" w:hAnsi="仿宋_GB2312" w:eastAsia="仿宋_GB2312" w:cs="仿宋_GB2312"/>
          <w:b/>
          <w:color w:val="auto"/>
          <w:sz w:val="24"/>
          <w:highlight w:val="none"/>
        </w:rPr>
        <w:t>(需提供检测数据，并加盖投标人公章）</w:t>
      </w:r>
    </w:p>
    <w:p w14:paraId="5BC0F56D">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★16.振动模式包括线性、环形、双环形，3种速度调节下还可自由选择rpm值</w:t>
      </w:r>
      <w:r>
        <w:rPr>
          <w:rFonts w:hint="eastAsia" w:ascii="仿宋_GB2312" w:hAnsi="仿宋_GB2312" w:eastAsia="仿宋_GB2312" w:cs="仿宋_GB2312"/>
          <w:b/>
          <w:color w:val="auto"/>
          <w:sz w:val="24"/>
          <w:highlight w:val="none"/>
        </w:rPr>
        <w:t>(需提供软件相应功能截图，并加盖投标人公章）</w:t>
      </w:r>
    </w:p>
    <w:p w14:paraId="52C6ECA6">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17.孵育温度：RT+4℃ 至 45℃，温度均匀性为±0.5℃ @ 37℃ </w:t>
      </w:r>
    </w:p>
    <w:p w14:paraId="26ED929B">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★18.屏幕尺寸：液晶显示屏</w:t>
      </w:r>
      <w:r>
        <w:rPr>
          <w:rFonts w:hint="eastAsia" w:ascii="仿宋_GB2312" w:hAnsi="仿宋_GB2312" w:eastAsia="仿宋_GB2312" w:cs="仿宋_GB2312"/>
          <w:color w:val="auto"/>
          <w:kern w:val="0"/>
          <w:sz w:val="24"/>
          <w:highlight w:val="none"/>
        </w:rPr>
        <w:t>≥</w:t>
      </w:r>
      <w:r>
        <w:rPr>
          <w:rFonts w:hint="eastAsia" w:ascii="仿宋_GB2312" w:hAnsi="仿宋_GB2312" w:eastAsia="仿宋_GB2312" w:cs="仿宋_GB2312"/>
          <w:bCs/>
          <w:color w:val="auto"/>
          <w:sz w:val="24"/>
          <w:highlight w:val="none"/>
        </w:rPr>
        <w:t>10寸，可通过LCD按键控制屏幕角度，适应操作习惯</w:t>
      </w:r>
    </w:p>
    <w:p w14:paraId="531C6E99">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19.用户管理系统，仪器可设置≥20个用户，独立账户与密码</w:t>
      </w:r>
    </w:p>
    <w:p w14:paraId="21442D77">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★20.拥有FTP文件传输功能，可在相同局域网下，实时将仪器数据传至电脑</w:t>
      </w:r>
      <w:r>
        <w:rPr>
          <w:rFonts w:hint="eastAsia" w:ascii="仿宋_GB2312" w:hAnsi="仿宋_GB2312" w:eastAsia="仿宋_GB2312" w:cs="仿宋_GB2312"/>
          <w:b/>
          <w:color w:val="auto"/>
          <w:sz w:val="24"/>
          <w:highlight w:val="none"/>
        </w:rPr>
        <w:t>(需提供软件相应功能截图，并加盖投标人公章）</w:t>
      </w:r>
    </w:p>
    <w:p w14:paraId="64A19BAC">
      <w:pPr>
        <w:jc w:val="left"/>
        <w:rPr>
          <w:rFonts w:ascii="仿宋_GB2312" w:hAnsi="仿宋_GB2312" w:eastAsia="仿宋_GB2312" w:cs="仿宋_GB2312"/>
          <w:b/>
          <w:color w:val="auto"/>
          <w:sz w:val="24"/>
          <w:highlight w:val="none"/>
        </w:rPr>
      </w:pPr>
      <w:r>
        <w:rPr>
          <w:rFonts w:hint="eastAsia" w:ascii="仿宋_GB2312" w:hAnsi="仿宋_GB2312" w:eastAsia="仿宋_GB2312" w:cs="仿宋_GB2312"/>
          <w:bCs/>
          <w:color w:val="auto"/>
          <w:sz w:val="24"/>
          <w:highlight w:val="none"/>
        </w:rPr>
        <w:t>★21.二维码扫描功能可将程序、标曲及滤光片信息通过二维码扫描导入仪器</w:t>
      </w:r>
      <w:r>
        <w:rPr>
          <w:rFonts w:hint="eastAsia" w:ascii="仿宋_GB2312" w:hAnsi="仿宋_GB2312" w:eastAsia="仿宋_GB2312" w:cs="仿宋_GB2312"/>
          <w:b/>
          <w:color w:val="auto"/>
          <w:sz w:val="24"/>
          <w:highlight w:val="none"/>
        </w:rPr>
        <w:t>(需提供软件相应功能截图，并加盖投标人公章）</w:t>
      </w:r>
    </w:p>
    <w:p w14:paraId="3EAECC52">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22.节能模式：设置任意时间，屏幕自动变暗，节约能量，任意按键退出节电模式</w:t>
      </w:r>
    </w:p>
    <w:p w14:paraId="664FD70E">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★23.微量板的样本数量为1-16个，样本检测量仅需2ul，内置独立微量板软件，直接给出样品（DNA、蛋白等）浓度与纯度报告</w:t>
      </w:r>
      <w:r>
        <w:rPr>
          <w:rFonts w:hint="eastAsia" w:ascii="仿宋_GB2312" w:hAnsi="仿宋_GB2312" w:eastAsia="仿宋_GB2312" w:cs="仿宋_GB2312"/>
          <w:b/>
          <w:color w:val="auto"/>
          <w:sz w:val="24"/>
          <w:highlight w:val="none"/>
        </w:rPr>
        <w:t>(需提供软件相应功能截图，并加盖投标人公章）</w:t>
      </w:r>
    </w:p>
    <w:p w14:paraId="37DA8DCA">
      <w:pPr>
        <w:jc w:val="left"/>
        <w:rPr>
          <w:rFonts w:ascii="仿宋_GB2312" w:hAnsi="仿宋_GB2312" w:eastAsia="仿宋_GB2312" w:cs="仿宋_GB2312"/>
          <w:b/>
          <w:color w:val="auto"/>
          <w:sz w:val="24"/>
          <w:highlight w:val="none"/>
        </w:rPr>
      </w:pPr>
      <w:r>
        <w:rPr>
          <w:rFonts w:ascii="仿宋_GB2312" w:hAnsi="仿宋_GB2312" w:eastAsia="仿宋_GB2312" w:cs="仿宋_GB2312"/>
          <w:b/>
          <w:color w:val="auto"/>
          <w:sz w:val="24"/>
          <w:highlight w:val="none"/>
        </w:rPr>
        <w:t>二、</w:t>
      </w:r>
      <w:r>
        <w:rPr>
          <w:rFonts w:hint="eastAsia" w:ascii="仿宋_GB2312" w:hAnsi="仿宋_GB2312" w:eastAsia="仿宋_GB2312" w:cs="仿宋_GB2312"/>
          <w:b/>
          <w:color w:val="auto"/>
          <w:sz w:val="24"/>
          <w:highlight w:val="none"/>
        </w:rPr>
        <w:t>高速冷冻离心机</w:t>
      </w:r>
    </w:p>
    <w:p w14:paraId="76A84F71">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★1.最大容量：≥6×250ml</w:t>
      </w:r>
    </w:p>
    <w:p w14:paraId="079C402E">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2.最高转速：≥21000rpm</w:t>
      </w:r>
    </w:p>
    <w:p w14:paraId="491E4D8E">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3.最大离心力：≥33500×g</w:t>
      </w:r>
    </w:p>
    <w:p w14:paraId="639B387D">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4.温度设置：-20℃～40℃，步进1℃，超过45℃停机保护</w:t>
      </w:r>
    </w:p>
    <w:p w14:paraId="51D7C1D4">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★5.升降速级别：≥9级升速，≥10级减速</w:t>
      </w:r>
    </w:p>
    <w:p w14:paraId="7ECEC8ED">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★6. 多种转头、适配器可选：角转头≥10种可选，水平转头≥3种可选：   </w:t>
      </w:r>
    </w:p>
    <w:p w14:paraId="24CB0AB8">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7. 适用样品管：兼容尖底、圆底离心管，离心过滤柱，8连排PCR条板</w:t>
      </w:r>
    </w:p>
    <w:p w14:paraId="078E252F">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8. 转速范围：300-21000rpm</w:t>
      </w:r>
    </w:p>
    <w:p w14:paraId="5AD7F39C">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9. 时间设置：1s-99min59s或者1min-99h59min，连续，点动</w:t>
      </w:r>
    </w:p>
    <w:p w14:paraId="22010965">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10. 噪音水平：≤60dB</w:t>
      </w:r>
    </w:p>
    <w:p w14:paraId="1356C71A">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11. 程序存储数：≥100</w:t>
      </w:r>
    </w:p>
    <w:p w14:paraId="77D3E714">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★12. 程序模式：可创建≥100个离心程序，每个程序最多可设置10段程序流程，最少1段</w:t>
      </w:r>
    </w:p>
    <w:p w14:paraId="09789224">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13. 运行记录：具有运行记录存储功能，可查看“曲线记录”、“历史记录”等</w:t>
      </w:r>
    </w:p>
    <w:p w14:paraId="4E6A1AB5">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★14. 转子识别：自动识别</w:t>
      </w:r>
    </w:p>
    <w:p w14:paraId="000EAA33">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15. 不平衡检测：具有电子式不平衡检测系统</w:t>
      </w:r>
    </w:p>
    <w:p w14:paraId="31F27576">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16. 控制系统：微电脑控制</w:t>
      </w:r>
    </w:p>
    <w:p w14:paraId="22B8E39E">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★17. 显示系统：≥7英寸彩色触摸屏</w:t>
      </w:r>
    </w:p>
    <w:p w14:paraId="08375266">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18.驱动系统：变频无碳刷免维护电机</w:t>
      </w:r>
    </w:p>
    <w:p w14:paraId="57335536">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★19.配置：高速台式冷冻离心机主机 1台</w:t>
      </w:r>
    </w:p>
    <w:p w14:paraId="2F119995">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         角转子6×50ml尖底管，≥12000rpm/17000×g  1个</w:t>
      </w:r>
    </w:p>
    <w:p w14:paraId="7BAC6082">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         角转子12×15ml尖底管，≥12000rpm/17000×g  1个</w:t>
      </w:r>
    </w:p>
    <w:p w14:paraId="354D39D0">
      <w:pPr>
        <w:jc w:val="left"/>
        <w:rPr>
          <w:rFonts w:ascii="仿宋_GB2312" w:hAnsi="仿宋_GB2312" w:eastAsia="仿宋_GB2312" w:cs="仿宋_GB2312"/>
          <w:b/>
          <w:color w:val="auto"/>
          <w:sz w:val="24"/>
          <w:highlight w:val="none"/>
        </w:rPr>
      </w:pPr>
      <w:r>
        <w:rPr>
          <w:rFonts w:ascii="仿宋_GB2312" w:hAnsi="仿宋_GB2312" w:eastAsia="仿宋_GB2312" w:cs="仿宋_GB2312"/>
          <w:b/>
          <w:color w:val="auto"/>
          <w:sz w:val="24"/>
          <w:highlight w:val="none"/>
        </w:rPr>
        <w:t>三、</w:t>
      </w:r>
      <w:r>
        <w:rPr>
          <w:rFonts w:hint="eastAsia" w:ascii="仿宋_GB2312" w:hAnsi="仿宋_GB2312" w:eastAsia="仿宋_GB2312" w:cs="仿宋_GB2312"/>
          <w:b/>
          <w:color w:val="auto"/>
          <w:sz w:val="24"/>
          <w:highlight w:val="none"/>
        </w:rPr>
        <w:t>微量冷冻离心机</w:t>
      </w:r>
    </w:p>
    <w:p w14:paraId="13221096">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 最大转速：≥17500rpm</w:t>
      </w:r>
    </w:p>
    <w:p w14:paraId="7B04B197">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 最大离心力：≥23300×g</w:t>
      </w:r>
    </w:p>
    <w:p w14:paraId="37CE5A1A">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★3 升降速级别：≥10级升速，≥10级减速</w:t>
      </w:r>
    </w:p>
    <w:p w14:paraId="3DD290C6">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★4. 多种转头可选：角转头12×1.5ml/2.0ml（最高转速≥17500rpm，最大离心力≥23300×g）</w:t>
      </w:r>
    </w:p>
    <w:p w14:paraId="45B73CC7">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角转头24×1.5ml/2.0ml（最高转速≥15000rpm，最大离心力≥22100×g）</w:t>
      </w:r>
    </w:p>
    <w:p w14:paraId="183B9310">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角转头12×5.0ml（最高转速≥15000rpm，最大离心力≥22000×g）</w:t>
      </w:r>
    </w:p>
    <w:p w14:paraId="36EC6F5A">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角转头18×2.0ml spin column（最高转速≥15000rpm，最大离心力≥22000×g）</w:t>
      </w:r>
    </w:p>
    <w:p w14:paraId="2658ADE2">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角转头8×8×0.2ml PCR条板（最高转速≥15000rpm，最大离心力≥21900×g）</w:t>
      </w:r>
    </w:p>
    <w:p w14:paraId="16E4E60B">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5. 机体和离心腔：全金属机身，表面喷塑处理，防水防腐离心腔保护</w:t>
      </w:r>
    </w:p>
    <w:p w14:paraId="6A690014">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6. 适用样品管：兼容尖底、圆底离心管，离心过滤柱，8连排PCR条板</w:t>
      </w:r>
    </w:p>
    <w:p w14:paraId="7F5651F5">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★7. 温控范围：-20℃～40℃，超过45℃停机保护</w:t>
      </w:r>
    </w:p>
    <w:p w14:paraId="0CB29DA6">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8. 转速设置范围：300-17500rpm</w:t>
      </w:r>
    </w:p>
    <w:p w14:paraId="4C40380F">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★9. 时间设置：1s-99min59s或者1min-99h59min，连续，点动（瞬时离心）</w:t>
      </w:r>
    </w:p>
    <w:p w14:paraId="47E4681B">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10. 显示系统：≥5寸彩色触摸屏</w:t>
      </w:r>
    </w:p>
    <w:p w14:paraId="6FE0CB07">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11. 转头材质：气密性转头及转头盖</w:t>
      </w:r>
    </w:p>
    <w:p w14:paraId="2B5BB282">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12. 程序存储数：≥100</w:t>
      </w:r>
    </w:p>
    <w:p w14:paraId="1ADE0287">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★13. 程序模式：可创建≥100个离心程序，每个程序最多可设置10段程序流程，最少1段</w:t>
      </w:r>
    </w:p>
    <w:p w14:paraId="7B008A42">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14. 运行记录：具有运行记录存储功能，可查看“曲线记录”、“历史记录”等</w:t>
      </w:r>
    </w:p>
    <w:p w14:paraId="670433E9">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★15. 噪音水平：≤50dB</w:t>
      </w:r>
    </w:p>
    <w:p w14:paraId="7BEAF4F8">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16. 驱动系统：变频无碳刷免维护电机</w:t>
      </w:r>
    </w:p>
    <w:p w14:paraId="0D7252CF">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17. 安全防护：电子门锁，超温保护，超速保护</w:t>
      </w:r>
    </w:p>
    <w:p w14:paraId="3C5807DD">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★18.配置：高速微量冷冻离心机主机1台，角转头24×1.5ml/2.0ml（最高转速≥15000rpm，最大离心力≥22100×g）1个</w:t>
      </w:r>
    </w:p>
    <w:p w14:paraId="6B0B5DF5">
      <w:pPr>
        <w:jc w:val="left"/>
        <w:rPr>
          <w:rFonts w:ascii="仿宋_GB2312" w:hAnsi="仿宋_GB2312" w:eastAsia="仿宋_GB2312" w:cs="仿宋_GB2312"/>
          <w:b/>
          <w:color w:val="auto"/>
          <w:sz w:val="24"/>
          <w:highlight w:val="none"/>
        </w:rPr>
      </w:pPr>
      <w:r>
        <w:rPr>
          <w:rFonts w:ascii="仿宋_GB2312" w:hAnsi="仿宋_GB2312" w:eastAsia="仿宋_GB2312" w:cs="仿宋_GB2312"/>
          <w:b/>
          <w:color w:val="auto"/>
          <w:sz w:val="24"/>
          <w:highlight w:val="none"/>
        </w:rPr>
        <w:t>四、</w:t>
      </w:r>
      <w:r>
        <w:rPr>
          <w:rFonts w:hint="eastAsia" w:ascii="仿宋_GB2312" w:hAnsi="仿宋_GB2312" w:eastAsia="仿宋_GB2312" w:cs="仿宋_GB2312"/>
          <w:b/>
          <w:color w:val="auto"/>
          <w:sz w:val="24"/>
          <w:highlight w:val="none"/>
        </w:rPr>
        <w:t>倒置显微镜</w:t>
      </w:r>
    </w:p>
    <w:p w14:paraId="23FDA8DD">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1.工作条件</w:t>
      </w:r>
    </w:p>
    <w:p w14:paraId="41038130">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1.1 电源：220V±10,50Hz±2%</w:t>
      </w:r>
    </w:p>
    <w:p w14:paraId="18E07E38">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1.2 电压范围：90V—230V</w:t>
      </w:r>
    </w:p>
    <w:p w14:paraId="677D1790">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1.3 其它; 防尘，除湿，抗震动</w:t>
      </w:r>
    </w:p>
    <w:p w14:paraId="31BE480A">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1.4 工作环境：15～30℃; 相对湿度5%-65%</w:t>
      </w:r>
    </w:p>
    <w:p w14:paraId="5D1DC0DD">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2.主要技术指标</w:t>
      </w:r>
    </w:p>
    <w:p w14:paraId="2448E1D0">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2.1 显微镜系统</w:t>
      </w:r>
    </w:p>
    <w:p w14:paraId="344A8EE0">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★2.1.1 光学系统：无限远光学系统，齐焦距离≤45mm</w:t>
      </w:r>
    </w:p>
    <w:p w14:paraId="5319A527">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★2.1.2 观察镜筒：一体式双目镜筒，视场数≥22mm</w:t>
      </w:r>
    </w:p>
    <w:p w14:paraId="1667DD8B">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★2.1.3 照明装置：长寿命透射光LED照明，寿命≥5万小时, 色温6000K，2小时自动关电功能</w:t>
      </w:r>
    </w:p>
    <w:p w14:paraId="638131A9">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2.1.4 平场消色差相差物镜：</w:t>
      </w:r>
    </w:p>
    <w:p w14:paraId="37CD7D3D">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  5x物镜：N.A≥0.12</w:t>
      </w:r>
    </w:p>
    <w:p w14:paraId="3F8A8875">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  10x物镜：N.A≥0.22</w:t>
      </w:r>
    </w:p>
    <w:p w14:paraId="0AC616B3">
      <w:pPr>
        <w:ind w:firstLine="240" w:firstLineChars="100"/>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20x物镜：N.A≥0.30</w:t>
      </w:r>
    </w:p>
    <w:p w14:paraId="42ABB817">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  40x物镜：N.A≥0.50</w:t>
      </w:r>
    </w:p>
    <w:p w14:paraId="5E416C05">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2.1.5 高耐磨超硬载物台</w:t>
      </w:r>
    </w:p>
    <w:p w14:paraId="2F6AC405">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2.1.6 目镜：10x，视场数≥20mm</w:t>
      </w:r>
    </w:p>
    <w:p w14:paraId="2CAD3308">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★2.1.7 长工作距离聚光镜：40-80mm高度高低可调</w:t>
      </w:r>
    </w:p>
    <w:p w14:paraId="01E37E53">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★2.1.8 相差系统：10X、20X、40X对应同一个相差环板位置</w:t>
      </w:r>
    </w:p>
    <w:p w14:paraId="291C081C">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★2.1.9 自动光强管理功能：明场与相差观察方法切换时，图像亮度不变，不会因为相差环板的阻挡，造成光强的变化</w:t>
      </w:r>
    </w:p>
    <w:p w14:paraId="38158E42">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★2.1.10 相机接口：位于机身后部，内置相机接口，无需额外三目观察筒，不占用目镜分光</w:t>
      </w:r>
    </w:p>
    <w:p w14:paraId="01DBEF25">
      <w:pPr>
        <w:jc w:val="left"/>
        <w:rPr>
          <w:rFonts w:ascii="仿宋_GB2312" w:hAnsi="仿宋_GB2312" w:eastAsia="仿宋_GB2312" w:cs="仿宋_GB2312"/>
          <w:b/>
          <w:color w:val="auto"/>
          <w:sz w:val="24"/>
          <w:highlight w:val="none"/>
        </w:rPr>
      </w:pPr>
      <w:r>
        <w:rPr>
          <w:rFonts w:ascii="仿宋_GB2312" w:hAnsi="仿宋_GB2312" w:eastAsia="仿宋_GB2312" w:cs="仿宋_GB2312"/>
          <w:b/>
          <w:color w:val="auto"/>
          <w:sz w:val="24"/>
          <w:highlight w:val="none"/>
        </w:rPr>
        <w:t>五、</w:t>
      </w:r>
      <w:r>
        <w:rPr>
          <w:rFonts w:hint="eastAsia" w:ascii="仿宋_GB2312" w:hAnsi="仿宋_GB2312" w:eastAsia="仿宋_GB2312" w:cs="仿宋_GB2312"/>
          <w:b/>
          <w:color w:val="auto"/>
          <w:sz w:val="24"/>
          <w:highlight w:val="none"/>
        </w:rPr>
        <w:t>体式显微镜</w:t>
      </w:r>
    </w:p>
    <w:p w14:paraId="458E67C7">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★1、连续变焦显微镜镜体：可变焦比18:1，变倍调焦差异小于1%，平场复消色差校正；备有内装式孔径光阑。</w:t>
      </w:r>
    </w:p>
    <w:p w14:paraId="4FF4080B">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★2、放大倍数：7.5X-135X（1X物镜）</w:t>
      </w:r>
    </w:p>
    <w:p w14:paraId="042C7536">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3、聚焦机构：备有内装式配重和聚焦机构轴粗、微调旋钮（上/下约97mm/5mm）；</w:t>
      </w:r>
    </w:p>
    <w:p w14:paraId="3563E9C0">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4、倾角为20°的三目镜筒：光瞳间距调节范围约为52-76mm，备有目镜固定钮，视场数23 mm，可视视野下具备防眩光技术；</w:t>
      </w:r>
    </w:p>
    <w:p w14:paraId="19EEFCF6">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5、平场复消色差物镜：高分辨率500LP/mm复消色差1X物镜，数值孔径NA 0.15；工作距离60mm，波长范围：380-700nm；</w:t>
      </w:r>
    </w:p>
    <w:p w14:paraId="183300A7">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6、高接目点可调焦目镜：10×，视场数23mm；可屈光度补偿，视力修正范围+5到-5之间。目镜视野下具备三维立体观察和超景深扩展。色温自动补偿。</w:t>
      </w:r>
    </w:p>
    <w:p w14:paraId="61178B86">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7、多功能LED薄底透射光底座：长寿命LED冷光源；内置OCC照明器：OCC斜射光照明：增强不均匀样品对比度，达到最佳分辨率，有效照明面积：直径60mm；照明方式可拓展暗场、偏光观察；</w:t>
      </w:r>
    </w:p>
    <w:p w14:paraId="664EE08E">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8、反射光照明装置：LED环形冷光源照明；</w:t>
      </w:r>
    </w:p>
    <w:p w14:paraId="1DBC0603">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★9、成像系统：2000万像素，1英寸靶面芯片，USB3.0相机；</w:t>
      </w:r>
    </w:p>
    <w:p w14:paraId="3398D9C2">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10、显示帧频：15@5440x3648；50@2736x1824；60@1824x1216三挡可选</w:t>
      </w:r>
    </w:p>
    <w:p w14:paraId="3BC5E2A3">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11、图像采集及视频录制</w:t>
      </w:r>
    </w:p>
    <w:p w14:paraId="5581E205">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12、2D平面几何学测量</w:t>
      </w:r>
    </w:p>
    <w:p w14:paraId="6D9BE045">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13、图像三维形貌、图像剖面线以及弥散化马赛克等操作</w:t>
      </w:r>
    </w:p>
    <w:p w14:paraId="53B0FCFF">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14、多自由度图片及视频添加标尺</w:t>
      </w:r>
    </w:p>
    <w:p w14:paraId="34F8340B">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15、HDR/WDR宽动态范围图像获取</w:t>
      </w:r>
    </w:p>
    <w:p w14:paraId="67BE2309">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16、全景图像拼接工具</w:t>
      </w:r>
    </w:p>
    <w:p w14:paraId="00DDAFBE">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17、EDF景深扩展：将不同焦平面的图像较清晰部分替代不清晰的部分，从而得到一张大景深的清晰图片</w:t>
      </w:r>
    </w:p>
    <w:p w14:paraId="79F2D0E4">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18、彩色合成工具：具用于创建，着色，标记，合成图像的对比度增强功能以及减背景功能，主要用于合并和标记多个单色单波长的荧光图像为彩色合成图像。彩色合成也可用于合成亮视场图像与荧光图像，如将绿色荧光蛋白（GFP）与非常好的工具和微分干涉对比（DIC）图像进行合成操作</w:t>
      </w:r>
    </w:p>
    <w:p w14:paraId="0EF4C0DB">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19、全黑背景图像降噪（用于拍摄荧光图片）</w:t>
      </w:r>
    </w:p>
    <w:p w14:paraId="4026FE4C">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20、图像浮雕：浮雕对话框里面的预览按键可以提供预览功能，并且提供3种及以上卷积操作方法。</w:t>
      </w:r>
    </w:p>
    <w:p w14:paraId="43D3EB8A">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21、高阶色彩矫正</w:t>
      </w:r>
    </w:p>
    <w:p w14:paraId="384F28A5">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22、背景灰度校正</w:t>
      </w:r>
    </w:p>
    <w:p w14:paraId="7B7A7934">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23、预设参数加载、编辑、删除及导出导入</w:t>
      </w:r>
    </w:p>
    <w:p w14:paraId="277C94DA">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24、测量定标参数导出导入</w:t>
      </w:r>
    </w:p>
    <w:p w14:paraId="534243CF">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25、中/英文等多国语言包支持</w:t>
      </w:r>
    </w:p>
    <w:p w14:paraId="5D24EC61">
      <w:pPr>
        <w:jc w:val="left"/>
        <w:rPr>
          <w:rFonts w:ascii="仿宋_GB2312" w:hAnsi="仿宋_GB2312" w:eastAsia="仿宋_GB2312" w:cs="仿宋_GB2312"/>
          <w:b/>
          <w:color w:val="auto"/>
          <w:sz w:val="24"/>
          <w:highlight w:val="none"/>
        </w:rPr>
      </w:pPr>
      <w:r>
        <w:rPr>
          <w:rFonts w:ascii="仿宋_GB2312" w:hAnsi="仿宋_GB2312" w:eastAsia="仿宋_GB2312" w:cs="仿宋_GB2312"/>
          <w:b/>
          <w:color w:val="auto"/>
          <w:sz w:val="24"/>
          <w:highlight w:val="none"/>
        </w:rPr>
        <w:t>六、</w:t>
      </w:r>
      <w:r>
        <w:rPr>
          <w:rFonts w:hint="eastAsia" w:ascii="仿宋_GB2312" w:hAnsi="仿宋_GB2312" w:eastAsia="仿宋_GB2312" w:cs="仿宋_GB2312"/>
          <w:b/>
          <w:color w:val="auto"/>
          <w:sz w:val="24"/>
          <w:highlight w:val="none"/>
        </w:rPr>
        <w:t>正置显微镜</w:t>
      </w:r>
    </w:p>
    <w:p w14:paraId="26B3778D">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 NIS无限远光学系统，放大倍率：40X-1000X；</w:t>
      </w:r>
    </w:p>
    <w:p w14:paraId="605B20F8">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★2.铰链式三目观察镜筒：倾斜3.0°，瞳距47-78mm，分光比5：5；</w:t>
      </w:r>
    </w:p>
    <w:p w14:paraId="271F891C">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3.大视场目镜：10X/φ22；</w:t>
      </w:r>
    </w:p>
    <w:p w14:paraId="7FF60943">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★4.无限远平场物镜（有∞  PLAN标识）：4X，10X，40X(WD≥1.5)，100X（弹簧、水）；</w:t>
      </w:r>
    </w:p>
    <w:p w14:paraId="1E8AB7CA">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5.物镜转换器：内向式五孔转换器；</w:t>
      </w:r>
    </w:p>
    <w:p w14:paraId="180FCAF9">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6.粗微调：左右手粗微调同轴装置，上限位装置防挤压切片；带任意位置可上限位扳手装置，方便快速对焦。松紧可调装置。微调格值0.002mm，粗动行程每圈≥37.7mm，微动行程每圈≥0.2mm，升降范围≥30mm；</w:t>
      </w:r>
    </w:p>
    <w:p w14:paraId="218B8D6F">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7.精密同步带传动载物台:同步带传动, 防割伤设计，无突出齿条结构的载物台，尺寸≥230mmX150mm，移动范围≥78mmX54mm；</w:t>
      </w:r>
    </w:p>
    <w:p w14:paraId="3F270C51">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8.聚光镜：插入式阿贝聚光镜NA1.25（含空插板）;</w:t>
      </w:r>
    </w:p>
    <w:p w14:paraId="4BF2A8E0">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9.照明：1W LED照明;</w:t>
      </w:r>
    </w:p>
    <w:p w14:paraId="5E20E3E5">
      <w:pPr>
        <w:jc w:val="left"/>
        <w:rPr>
          <w:rFonts w:ascii="仿宋_GB2312" w:hAnsi="仿宋_GB2312" w:eastAsia="仿宋_GB2312" w:cs="仿宋_GB2312"/>
          <w:b/>
          <w:color w:val="auto"/>
          <w:sz w:val="24"/>
          <w:highlight w:val="none"/>
        </w:rPr>
      </w:pPr>
      <w:r>
        <w:rPr>
          <w:rFonts w:ascii="仿宋_GB2312" w:hAnsi="仿宋_GB2312" w:eastAsia="仿宋_GB2312" w:cs="仿宋_GB2312"/>
          <w:b/>
          <w:color w:val="auto"/>
          <w:sz w:val="24"/>
          <w:highlight w:val="none"/>
        </w:rPr>
        <w:t>七、</w:t>
      </w:r>
      <w:r>
        <w:rPr>
          <w:rFonts w:hint="eastAsia" w:ascii="仿宋_GB2312" w:hAnsi="仿宋_GB2312" w:eastAsia="仿宋_GB2312" w:cs="仿宋_GB2312"/>
          <w:b/>
          <w:color w:val="auto"/>
          <w:sz w:val="24"/>
          <w:highlight w:val="none"/>
        </w:rPr>
        <w:t>全自动雪花制冰机</w:t>
      </w:r>
    </w:p>
    <w:p w14:paraId="5FA8B622">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1.制冰量 (kg/24h)≥ 20</w:t>
      </w:r>
    </w:p>
    <w:p w14:paraId="46F05339">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2.储冰量 (kg):≥ 10</w:t>
      </w:r>
    </w:p>
    <w:p w14:paraId="74FE5CD8">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3.冷凝方式 :风冷</w:t>
      </w:r>
    </w:p>
    <w:p w14:paraId="2524D71B">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4.耗水量(L/H) ≤0.8</w:t>
      </w:r>
    </w:p>
    <w:p w14:paraId="2E464058">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5.压缩机/制冷剂:无氟/R134a</w:t>
      </w:r>
    </w:p>
    <w:p w14:paraId="64AE3184">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6.箱体外壳 :不锈钢</w:t>
      </w:r>
    </w:p>
    <w:p w14:paraId="799DE4D8">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7.输入功率(w): ≤180</w:t>
      </w:r>
    </w:p>
    <w:p w14:paraId="51C3B39C">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8.冰型: 不规则的细小颗粒状的雪花碎冰</w:t>
      </w:r>
    </w:p>
    <w:p w14:paraId="21292132">
      <w:pPr>
        <w:jc w:val="left"/>
        <w:rPr>
          <w:rFonts w:ascii="仿宋_GB2312" w:hAnsi="仿宋_GB2312" w:eastAsia="仿宋_GB2312" w:cs="仿宋_GB2312"/>
          <w:b/>
          <w:color w:val="auto"/>
          <w:sz w:val="24"/>
          <w:highlight w:val="none"/>
        </w:rPr>
      </w:pPr>
      <w:r>
        <w:rPr>
          <w:rFonts w:ascii="仿宋_GB2312" w:hAnsi="仿宋_GB2312" w:eastAsia="仿宋_GB2312" w:cs="仿宋_GB2312"/>
          <w:b/>
          <w:color w:val="auto"/>
          <w:sz w:val="24"/>
          <w:highlight w:val="none"/>
        </w:rPr>
        <w:t>八、</w:t>
      </w:r>
      <w:r>
        <w:rPr>
          <w:rFonts w:hint="eastAsia" w:ascii="仿宋_GB2312" w:hAnsi="仿宋_GB2312" w:eastAsia="仿宋_GB2312" w:cs="仿宋_GB2312"/>
          <w:b/>
          <w:color w:val="auto"/>
          <w:sz w:val="24"/>
          <w:highlight w:val="none"/>
        </w:rPr>
        <w:t>高压灭菌锅</w:t>
      </w:r>
    </w:p>
    <w:p w14:paraId="63356E18">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★1.容量:≥54L,立式结构,底部带脚轮</w:t>
      </w:r>
    </w:p>
    <w:p w14:paraId="400C3E1C">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★2.灭菌腔材料:SUS304不锈钢，设计使用年限≥10年</w:t>
      </w:r>
    </w:p>
    <w:p w14:paraId="612C1A15">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★3.开关盖方式：一键开盖(点击开盖键,自动解锁,盖子被打开)；感应式关盖（轻压腔盖，迅速自动锁盖）。</w:t>
      </w:r>
    </w:p>
    <w:p w14:paraId="1DB333B2">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4.时间范围:灭菌时间:1-5999分钟,融化时间:1-5999分钟,保温时间:1-9999分钟，定时器预置范围：0-15天延迟</w:t>
      </w:r>
    </w:p>
    <w:p w14:paraId="1676582D">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★5.温度和压力: 最高灭菌温度≥138℃ ，保温温度：45-79℃，融化温度60-115℃,设计压力≥0.35Mpa,安全阀起跳压力≥0.30Mpa </w:t>
      </w:r>
    </w:p>
    <w:p w14:paraId="74FE383A">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★6. 彩色液晶触摸屏：7英寸彩色液晶触摸屏，彩色（五种以上颜色）液晶显示灭菌器各种状态，戴上厚手套或用笔也可操作灭菌器，保护使用者安全</w:t>
      </w:r>
    </w:p>
    <w:p w14:paraId="18C96448">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★7. 三重干烧保护装置：灭菌腔底同时配备液胀式、铜质温度感应式、离子浓度式（水位传感器）三种不同干烧保护装置</w:t>
      </w:r>
    </w:p>
    <w:p w14:paraId="422A5E99">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8.记忆存储系统:可记忆存储60条灭菌程序</w:t>
      </w:r>
    </w:p>
    <w:p w14:paraId="37F69869">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★9.六级排汽方式：灭菌结束完成后，排气阀可按设定的六级排汽速度排汽，同时在排气过程中排汽速度可随时进行手动调整</w:t>
      </w:r>
    </w:p>
    <w:p w14:paraId="76BC876B">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10.USB存储功能：可插入U盘存储数据，</w:t>
      </w:r>
    </w:p>
    <w:p w14:paraId="72F46357">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11.集汽瓶：内置双蒸汽集汽瓶</w:t>
      </w:r>
    </w:p>
    <w:p w14:paraId="537330B0">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★12.权限管理和数据存储功能：具有五级密码权限控制，每级均有独立密码，控制系统存储器可存储500次以上灭菌进程记录，并可查询及打印方便追溯管理</w:t>
      </w:r>
    </w:p>
    <w:p w14:paraId="13B6714F">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13.标配冷却风扇：灭菌结束可快速降低腔体温度</w:t>
      </w:r>
    </w:p>
    <w:p w14:paraId="5EC0D494">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★14. 水质检测系统：具有水质检测功能，当灭菌腔水质脏污时机器可以自动进行提醒换水</w:t>
      </w:r>
    </w:p>
    <w:p w14:paraId="27BA1375">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15.温度和压力曲线：打印校验套装，温度和压力可以同时打印为数据和曲线方式</w:t>
      </w:r>
    </w:p>
    <w:p w14:paraId="4007B7F0">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16.顶置移动式温度计：顶置移动式温度计，可方便侦测腔体不同部位温度，特别适合对液体物质的灭菌</w:t>
      </w:r>
    </w:p>
    <w:p w14:paraId="188DBA8A">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17.检验接口：提供温度、压力校验接口，方便进行校验，可搭配3Q验证转接头，最多可同时接入15根温度探头</w:t>
      </w:r>
    </w:p>
    <w:p w14:paraId="153E8EE9">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18.具有六种灭菌模式:固体模式、液体保温模式、液体模式、琼脂模式、废弃物模式、自定义模式。</w:t>
      </w:r>
    </w:p>
    <w:p w14:paraId="1C87B681">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19.节省空间：实验室位置有限，要求仪器占地面积≤0.26平方米(长*宽) </w:t>
      </w:r>
    </w:p>
    <w:p w14:paraId="2C92731B">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20.附件:不锈钢提篮3个,冷却风扇1套, 排气管2条，证件1套，说明书1本</w:t>
      </w:r>
    </w:p>
    <w:p w14:paraId="0BD57357">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21.安全装置：</w:t>
      </w:r>
    </w:p>
    <w:p w14:paraId="718303C6">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电动锁，均分柱式锁盖装置，闭盖检查系统，电动式双内锁，冷却锁OPEN温度，缺水保护，过压双重保护， 自动故障检测系统，后台安全测试程序， 漏电保护，过流与短路保护</w:t>
      </w:r>
    </w:p>
    <w:p w14:paraId="10A0E33C">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22.资质要求</w:t>
      </w:r>
    </w:p>
    <w:p w14:paraId="6169AFB5">
      <w:pPr>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★（1）高压灭菌器属于特种设备,投标人所投高压灭菌锅的生产厂家须具有有效期内的《中华人民共和国特种设备生产许可证》（包括压力容器）及《消毒产品生产企业卫生许可证》</w:t>
      </w:r>
      <w:r>
        <w:rPr>
          <w:rFonts w:hint="eastAsia" w:ascii="仿宋_GB2312" w:hAnsi="仿宋_GB2312" w:eastAsia="仿宋_GB2312" w:cs="仿宋_GB2312"/>
          <w:b/>
          <w:color w:val="auto"/>
          <w:sz w:val="24"/>
          <w:highlight w:val="none"/>
        </w:rPr>
        <w:t>（投标文件中附上述资质复印件加盖投标人公章）</w:t>
      </w:r>
      <w:r>
        <w:rPr>
          <w:rFonts w:hint="eastAsia" w:ascii="仿宋_GB2312" w:hAnsi="仿宋_GB2312" w:eastAsia="仿宋_GB2312" w:cs="仿宋_GB2312"/>
          <w:bCs/>
          <w:color w:val="auto"/>
          <w:sz w:val="24"/>
          <w:highlight w:val="none"/>
        </w:rPr>
        <w:t>。</w:t>
      </w:r>
    </w:p>
    <w:p w14:paraId="3E427801">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★（2）由于灭菌器属于压力容器，供货后要办理特种设备使用登记证，生产厂家需在辽宁省特种设备追溯管理系统注册登记以便办理安装告知。</w:t>
      </w:r>
      <w:r>
        <w:rPr>
          <w:rFonts w:hint="eastAsia" w:ascii="仿宋_GB2312" w:hAnsi="仿宋_GB2312" w:eastAsia="仿宋_GB2312" w:cs="仿宋_GB2312"/>
          <w:b/>
          <w:color w:val="auto"/>
          <w:sz w:val="24"/>
          <w:highlight w:val="none"/>
        </w:rPr>
        <w:t>（须承诺中标后协调所投高压灭菌锅生产厂家按照招标人要求办理上述手续，承诺函加盖投标人公章）</w:t>
      </w:r>
    </w:p>
    <w:p w14:paraId="3211340C">
      <w:pPr>
        <w:jc w:val="left"/>
        <w:rPr>
          <w:rFonts w:hint="eastAsia" w:ascii="仿宋_GB2312" w:hAnsi="仿宋_GB2312" w:eastAsia="仿宋_GB2312" w:cs="仿宋_GB2312"/>
          <w:bCs/>
          <w:color w:val="auto"/>
          <w:sz w:val="24"/>
          <w:highlight w:val="none"/>
        </w:rPr>
      </w:pPr>
      <w:r>
        <w:rPr>
          <w:rFonts w:ascii="仿宋_GB2312" w:hAnsi="仿宋_GB2312" w:eastAsia="仿宋_GB2312" w:cs="仿宋_GB2312"/>
          <w:b/>
          <w:color w:val="auto"/>
          <w:sz w:val="24"/>
          <w:highlight w:val="none"/>
        </w:rPr>
        <w:t>九、</w:t>
      </w:r>
      <w:r>
        <w:rPr>
          <w:rFonts w:hint="eastAsia" w:ascii="仿宋_GB2312" w:hAnsi="仿宋_GB2312" w:eastAsia="仿宋_GB2312" w:cs="仿宋_GB2312"/>
          <w:b/>
          <w:color w:val="auto"/>
          <w:sz w:val="24"/>
          <w:highlight w:val="none"/>
        </w:rPr>
        <w:t>二氧化碳培养箱</w:t>
      </w:r>
    </w:p>
    <w:p w14:paraId="2B1A0276">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★1.箱体体积：≥180L</w:t>
      </w:r>
    </w:p>
    <w:p w14:paraId="6FA285E2">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2.温度范围：≥室温+5~60℃  </w:t>
      </w:r>
    </w:p>
    <w:p w14:paraId="34B4CA59">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3.温控精度：≤±0.1C （at 37℃）  </w:t>
      </w:r>
    </w:p>
    <w:p w14:paraId="4E89DCE5">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4.温度分辨率：≤0.1℃  </w:t>
      </w:r>
    </w:p>
    <w:p w14:paraId="3DF4293D">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5.CO2浓度范围：≤0%  ~ 20%  </w:t>
      </w:r>
    </w:p>
    <w:p w14:paraId="18013782">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6.CO2控制精度：≤±0.1% （at 5% at 37"c）  </w:t>
      </w:r>
    </w:p>
    <w:p w14:paraId="0CF63D76">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7.CO2分辨率：≤0.1%  </w:t>
      </w:r>
    </w:p>
    <w:p w14:paraId="745786F0">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★8.传感器：双光束红外CO2传感器  </w:t>
      </w:r>
    </w:p>
    <w:p w14:paraId="082FCCCE">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★9.O2浓度范围：≤0.5% ~ 19% 或 20% ~ 99%</w:t>
      </w:r>
    </w:p>
    <w:p w14:paraId="5B3023A4">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★10.具备紫外灭菌功能。</w:t>
      </w:r>
    </w:p>
    <w:p w14:paraId="3DB4093A">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11.传感器：二氧化皓氧电极</w:t>
      </w:r>
    </w:p>
    <w:p w14:paraId="1686082B">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12.显示：LED双显示屏  </w:t>
      </w:r>
    </w:p>
    <w:p w14:paraId="755C55A1">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13.操作面板：独立的双通道按键  </w:t>
      </w:r>
    </w:p>
    <w:p w14:paraId="2E547740">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14.夹套类型：气套式（六面梯度加热设计）</w:t>
      </w:r>
    </w:p>
    <w:p w14:paraId="0E3CB21E">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15.加热室分为三部分，每部分都有独立校准过的温度传感器进行监测。</w:t>
      </w:r>
    </w:p>
    <w:p w14:paraId="3D11675E">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16.灭菌周期：整个灭菌周期≤5个小时（包括升温，灭菌，降温，干燥整个周期），方便隔夜灭菌，提高使用效率  </w:t>
      </w:r>
    </w:p>
    <w:p w14:paraId="666C6DD1">
      <w:pPr>
        <w:rPr>
          <w:rFonts w:ascii="仿宋_GB2312" w:hAnsi="仿宋_GB2312" w:eastAsia="仿宋_GB2312" w:cs="仿宋_GB2312"/>
          <w:bCs/>
          <w:color w:val="auto"/>
          <w:sz w:val="24"/>
          <w:highlight w:val="none"/>
        </w:rPr>
      </w:pPr>
      <w:r>
        <w:rPr>
          <w:rFonts w:hint="eastAsia" w:ascii="仿宋_GB2312" w:hAnsi="仿宋_GB2312" w:eastAsia="仿宋_GB2312" w:cs="仿宋_GB2312"/>
          <w:b/>
          <w:color w:val="auto"/>
          <w:sz w:val="24"/>
          <w:highlight w:val="none"/>
        </w:rPr>
        <w:t>十、</w:t>
      </w:r>
      <w:r>
        <w:rPr>
          <w:rFonts w:hint="eastAsia" w:ascii="仿宋_GB2312" w:hAnsi="仿宋_GB2312" w:eastAsia="仿宋_GB2312" w:cs="仿宋_GB2312"/>
          <w:b/>
          <w:bCs/>
          <w:color w:val="auto"/>
          <w:kern w:val="0"/>
          <w:sz w:val="24"/>
          <w:highlight w:val="none"/>
        </w:rPr>
        <w:t>电泳转膜套装</w:t>
      </w:r>
    </w:p>
    <w:p w14:paraId="340164BA">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★每套电泳装置包含1台双稳定时电泳仪电源、1台小型垂直电泳槽、1台小型湿转槽。</w:t>
      </w:r>
    </w:p>
    <w:p w14:paraId="1294698F">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（一）</w:t>
      </w:r>
      <w:r>
        <w:rPr>
          <w:rFonts w:hint="eastAsia" w:ascii="仿宋_GB2312" w:hAnsi="仿宋_GB2312" w:eastAsia="仿宋_GB2312" w:cs="仿宋_GB2312"/>
          <w:bCs/>
          <w:color w:val="auto"/>
          <w:sz w:val="24"/>
          <w:szCs w:val="21"/>
          <w:highlight w:val="none"/>
        </w:rPr>
        <w:t>双稳定时电泳仪电源</w:t>
      </w:r>
    </w:p>
    <w:p w14:paraId="0AEEBC37">
      <w:pPr>
        <w:rPr>
          <w:rFonts w:ascii="仿宋_GB2312" w:hAnsi="仿宋_GB2312" w:eastAsia="仿宋_GB2312" w:cs="仿宋_GB2312"/>
          <w:color w:val="auto"/>
          <w:highlight w:val="none"/>
        </w:rPr>
      </w:pPr>
      <w:r>
        <w:rPr>
          <w:rFonts w:hint="eastAsia" w:ascii="仿宋_GB2312" w:hAnsi="仿宋_GB2312" w:eastAsia="仿宋_GB2312" w:cs="仿宋_GB2312"/>
          <w:bCs/>
          <w:color w:val="auto"/>
          <w:sz w:val="24"/>
          <w:highlight w:val="none"/>
        </w:rPr>
        <w:t xml:space="preserve">★1.输出范围：电压10-300 V；电流4-400 mA；功率≥75 W </w:t>
      </w:r>
    </w:p>
    <w:p w14:paraId="2F461104">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2.输出类型：恒压、恒流、恒功率，可定时1-999分钟</w:t>
      </w:r>
    </w:p>
    <w:p w14:paraId="464FF0F5">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★3. 具有暂停功能，暂停期间调整不影响电泳仪的控制精度和稳定性</w:t>
      </w:r>
    </w:p>
    <w:p w14:paraId="6F0E5E8A">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4.有断电后自动恢复功能</w:t>
      </w:r>
    </w:p>
    <w:p w14:paraId="197FE72F">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5.输出插孔4对并联，可同时对四个同类型的电泳槽进行电泳</w:t>
      </w:r>
    </w:p>
    <w:p w14:paraId="727701E3">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6.具有误操作、故障等智能提示功能                                                                                                                         </w:t>
      </w:r>
    </w:p>
    <w:p w14:paraId="1AFB6723">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（二） 小型垂直电泳槽</w:t>
      </w:r>
    </w:p>
    <w:p w14:paraId="08ABFF26">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★1.同一槽内可同时进行4块SDS-PAGE凝胶的电泳实验。</w:t>
      </w:r>
    </w:p>
    <w:p w14:paraId="300EA486">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2.胶面积：8.3×7.3 cm；短玻璃板：10.1×7.3 cm；长玻璃板：10.1×8.2 cm。</w:t>
      </w:r>
    </w:p>
    <w:p w14:paraId="509B60AA">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3.玻璃板：封边垫条永久性地固定在长玻板上，保证玻板精确对齐，防止漏胶。</w:t>
      </w:r>
    </w:p>
    <w:p w14:paraId="12D6E198">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★4.灌胶系统：平行排列设计和弹簧杠杆设计，保证良好的密封性。</w:t>
      </w:r>
    </w:p>
    <w:p w14:paraId="3AFB709E">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★5.上样引导装置：防止泳道的遗漏上样或重复上样。</w:t>
      </w:r>
    </w:p>
    <w:p w14:paraId="4055B292">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6.电泳梳：特殊的塑料电泳梳不会抑制凝胶聚合反应，制胶过程中，内置的脊可避免在灌胶过程时的空气接触，保证均一的凝胶聚合。</w:t>
      </w:r>
    </w:p>
    <w:p w14:paraId="38977F03">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★7.模块化：可换置转印（Western blot）等模块。</w:t>
      </w:r>
    </w:p>
    <w:p w14:paraId="312F5976">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★8.可提供预制胶PAGE和SDS-PAGE胶电泳实验。</w:t>
      </w:r>
    </w:p>
    <w:p w14:paraId="58816D7B">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★9.配置</w:t>
      </w:r>
    </w:p>
    <w:p w14:paraId="43EF8409">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9.1缓冲液槽和盖各1个</w:t>
      </w:r>
    </w:p>
    <w:p w14:paraId="3551B3E9">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9.2电泳芯2个</w:t>
      </w:r>
    </w:p>
    <w:p w14:paraId="1C88EFC7">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9.3灌胶架2个</w:t>
      </w:r>
    </w:p>
    <w:p w14:paraId="4FDBA96E">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9.4凝胶框架4个</w:t>
      </w:r>
    </w:p>
    <w:p w14:paraId="36C6AA40">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9.5玻璃板 5套</w:t>
      </w:r>
    </w:p>
    <w:p w14:paraId="2743B39F">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9.6梳子5把</w:t>
      </w:r>
    </w:p>
    <w:p w14:paraId="218AC644">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9.7上样引导1个</w:t>
      </w:r>
    </w:p>
    <w:p w14:paraId="58AB3210">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9.8胶铲 5个</w:t>
      </w:r>
    </w:p>
    <w:p w14:paraId="3C4CE369">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（三）小型湿转槽</w:t>
      </w:r>
    </w:p>
    <w:p w14:paraId="2B8478A2">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1.参数设置灵活。可以200V电压转移，仅需1个小时，也可以30V过夜转移。</w:t>
      </w:r>
    </w:p>
    <w:p w14:paraId="56C6CFDF">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2.在低压下也能获得高效、稳定的转移。</w:t>
      </w:r>
    </w:p>
    <w:p w14:paraId="1310961D">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3.具有超冷却芯和水循环装置，可用于酶(4℃)或高强度转移，即使进行24小时的转移也不存在缓冲液消耗的问题。</w:t>
      </w:r>
    </w:p>
    <w:p w14:paraId="3CE3E403">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4.阴极用涂有铂的钛作成，阳极采用不锈钢，能比其它电极产生更高强度的电场。</w:t>
      </w:r>
    </w:p>
    <w:p w14:paraId="72704C73">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5.整体大小：16×12×18 cm；最大胶尺寸：7.5×10 cm；缓冲液体积：450ml；胶容量：2块小胶。</w:t>
      </w:r>
    </w:p>
    <w:p w14:paraId="283E25F0">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★6.配置</w:t>
      </w:r>
    </w:p>
    <w:p w14:paraId="352E977D">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6.1缓冲液槽和盖各1个</w:t>
      </w:r>
    </w:p>
    <w:p w14:paraId="141DA2DF">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6.2转印芯1个</w:t>
      </w:r>
    </w:p>
    <w:p w14:paraId="6CFDC468">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6.3凝胶夹2套</w:t>
      </w:r>
    </w:p>
    <w:p w14:paraId="233A140D">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6.4纤维衬垫2套</w:t>
      </w:r>
    </w:p>
    <w:p w14:paraId="4AF7E1C0">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6.5冰盒1个</w:t>
      </w:r>
    </w:p>
    <w:p w14:paraId="3585748B">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6.6滤纸1包</w:t>
      </w:r>
    </w:p>
    <w:p w14:paraId="091CFFC5">
      <w:pPr>
        <w:jc w:val="left"/>
        <w:rPr>
          <w:rFonts w:hint="eastAsia" w:ascii="仿宋_GB2312" w:hAnsi="仿宋_GB2312" w:eastAsia="仿宋_GB2312" w:cs="仿宋_GB2312"/>
          <w:b/>
          <w:color w:val="auto"/>
          <w:sz w:val="24"/>
          <w:highlight w:val="none"/>
        </w:rPr>
      </w:pPr>
      <w:r>
        <w:rPr>
          <w:rFonts w:ascii="仿宋_GB2312" w:hAnsi="仿宋_GB2312" w:eastAsia="仿宋_GB2312" w:cs="仿宋_GB2312"/>
          <w:b/>
          <w:color w:val="auto"/>
          <w:sz w:val="24"/>
          <w:highlight w:val="none"/>
        </w:rPr>
        <w:t>十</w:t>
      </w:r>
      <w:r>
        <w:rPr>
          <w:rFonts w:hint="eastAsia" w:ascii="仿宋_GB2312" w:hAnsi="仿宋_GB2312" w:eastAsia="仿宋_GB2312" w:cs="仿宋_GB2312"/>
          <w:b/>
          <w:color w:val="auto"/>
          <w:sz w:val="24"/>
          <w:highlight w:val="none"/>
          <w:lang w:val="en-US" w:eastAsia="zh-CN"/>
        </w:rPr>
        <w:t>一</w:t>
      </w:r>
      <w:r>
        <w:rPr>
          <w:rFonts w:ascii="仿宋_GB2312" w:hAnsi="仿宋_GB2312" w:eastAsia="仿宋_GB2312" w:cs="仿宋_GB2312"/>
          <w:b/>
          <w:color w:val="auto"/>
          <w:sz w:val="24"/>
          <w:highlight w:val="none"/>
        </w:rPr>
        <w:t>、</w:t>
      </w:r>
      <w:r>
        <w:rPr>
          <w:rFonts w:hint="eastAsia" w:ascii="仿宋_GB2312" w:hAnsi="仿宋_GB2312" w:eastAsia="仿宋_GB2312" w:cs="仿宋_GB2312"/>
          <w:b/>
          <w:color w:val="auto"/>
          <w:sz w:val="24"/>
          <w:highlight w:val="none"/>
        </w:rPr>
        <w:t>超净台（双人）</w:t>
      </w:r>
    </w:p>
    <w:p w14:paraId="052808BB">
      <w:pPr>
        <w:jc w:val="left"/>
        <w:rPr>
          <w:rFonts w:hint="eastAsia" w:ascii="仿宋_GB2312" w:hAnsi="仿宋_GB2312" w:eastAsia="仿宋_GB2312" w:cs="仿宋_GB2312"/>
          <w:bCs/>
          <w:color w:val="auto"/>
          <w:sz w:val="24"/>
          <w:highlight w:val="none"/>
          <w:lang w:eastAsia="zh-CN"/>
        </w:rPr>
      </w:pPr>
      <w:r>
        <w:rPr>
          <w:rFonts w:hint="eastAsia" w:ascii="仿宋_GB2312" w:hAnsi="仿宋_GB2312" w:eastAsia="仿宋_GB2312" w:cs="仿宋_GB2312"/>
          <w:bCs/>
          <w:color w:val="auto"/>
          <w:sz w:val="24"/>
          <w:highlight w:val="none"/>
          <w:lang w:val="en-US" w:eastAsia="zh-CN"/>
        </w:rPr>
        <w:t>1、</w:t>
      </w:r>
      <w:r>
        <w:rPr>
          <w:rFonts w:hint="eastAsia" w:ascii="仿宋_GB2312" w:hAnsi="仿宋_GB2312" w:eastAsia="仿宋_GB2312" w:cs="仿宋_GB2312"/>
          <w:bCs/>
          <w:color w:val="auto"/>
          <w:sz w:val="24"/>
          <w:highlight w:val="none"/>
        </w:rPr>
        <w:t>外壳采用冷轧钢板，静电喷塑，操作台采用</w:t>
      </w:r>
      <w:r>
        <w:rPr>
          <w:rFonts w:hint="eastAsia" w:ascii="仿宋_GB2312" w:hAnsi="仿宋_GB2312" w:eastAsia="仿宋_GB2312" w:cs="仿宋_GB2312"/>
          <w:bCs/>
          <w:color w:val="auto"/>
          <w:sz w:val="24"/>
          <w:highlight w:val="none"/>
          <w:lang w:val="en-US" w:eastAsia="zh-CN"/>
        </w:rPr>
        <w:t>不低于</w:t>
      </w:r>
      <w:r>
        <w:rPr>
          <w:rFonts w:hint="eastAsia" w:ascii="仿宋_GB2312" w:hAnsi="仿宋_GB2312" w:eastAsia="仿宋_GB2312" w:cs="仿宋_GB2312"/>
          <w:bCs/>
          <w:color w:val="auto"/>
          <w:sz w:val="24"/>
          <w:highlight w:val="none"/>
        </w:rPr>
        <w:t>SUS304拉丝不锈钢；</w:t>
      </w:r>
      <w:r>
        <w:rPr>
          <w:rFonts w:hint="eastAsia" w:ascii="仿宋_GB2312" w:hAnsi="仿宋_GB2312" w:eastAsia="仿宋_GB2312" w:cs="仿宋_GB2312"/>
          <w:bCs/>
          <w:color w:val="auto"/>
          <w:sz w:val="24"/>
          <w:highlight w:val="none"/>
        </w:rPr>
        <w:br w:type="textWrapping"/>
      </w:r>
      <w:r>
        <w:rPr>
          <w:rFonts w:hint="eastAsia" w:ascii="仿宋_GB2312" w:hAnsi="仿宋_GB2312" w:eastAsia="仿宋_GB2312" w:cs="仿宋_GB2312"/>
          <w:bCs/>
          <w:color w:val="auto"/>
          <w:sz w:val="24"/>
          <w:highlight w:val="none"/>
          <w:lang w:val="en-US" w:eastAsia="zh-CN"/>
        </w:rPr>
        <w:t>2、</w:t>
      </w:r>
      <w:r>
        <w:rPr>
          <w:rFonts w:hint="default" w:ascii="仿宋_GB2312" w:hAnsi="仿宋_GB2312" w:eastAsia="仿宋_GB2312" w:cs="仿宋_GB2312"/>
          <w:bCs/>
          <w:color w:val="auto"/>
          <w:sz w:val="24"/>
          <w:highlight w:val="none"/>
          <w:lang w:val="en-US" w:eastAsia="zh-CN"/>
        </w:rPr>
        <w:t>LCD</w:t>
      </w:r>
      <w:r>
        <w:rPr>
          <w:rFonts w:hint="eastAsia" w:ascii="仿宋_GB2312" w:hAnsi="仿宋_GB2312" w:eastAsia="仿宋_GB2312" w:cs="仿宋_GB2312"/>
          <w:bCs/>
          <w:color w:val="auto"/>
          <w:sz w:val="24"/>
          <w:highlight w:val="none"/>
        </w:rPr>
        <w:t>液晶显示控制系统，配合轻触式微动开关，六段风速控制；</w:t>
      </w:r>
      <w:r>
        <w:rPr>
          <w:rFonts w:hint="eastAsia" w:ascii="仿宋_GB2312" w:hAnsi="仿宋_GB2312" w:eastAsia="仿宋_GB2312" w:cs="仿宋_GB2312"/>
          <w:bCs/>
          <w:color w:val="auto"/>
          <w:sz w:val="24"/>
          <w:highlight w:val="none"/>
        </w:rPr>
        <w:br w:type="textWrapping"/>
      </w:r>
      <w:r>
        <w:rPr>
          <w:rFonts w:hint="eastAsia" w:ascii="仿宋_GB2312" w:hAnsi="仿宋_GB2312" w:eastAsia="仿宋_GB2312" w:cs="仿宋_GB2312"/>
          <w:bCs/>
          <w:color w:val="auto"/>
          <w:sz w:val="24"/>
          <w:highlight w:val="none"/>
          <w:lang w:val="en-US" w:eastAsia="zh-CN"/>
        </w:rPr>
        <w:t>3、</w:t>
      </w:r>
      <w:r>
        <w:rPr>
          <w:rFonts w:hint="eastAsia" w:ascii="仿宋_GB2312" w:hAnsi="仿宋_GB2312" w:eastAsia="仿宋_GB2312" w:cs="仿宋_GB2312"/>
          <w:bCs/>
          <w:color w:val="auto"/>
          <w:sz w:val="24"/>
          <w:highlight w:val="none"/>
        </w:rPr>
        <w:t>配备杀菌灯、照明灯的独立控制，杀菌装置具有定时功能（</w:t>
      </w:r>
      <w:r>
        <w:rPr>
          <w:rFonts w:hint="default" w:ascii="仿宋_GB2312" w:hAnsi="仿宋_GB2312" w:eastAsia="仿宋_GB2312" w:cs="仿宋_GB2312"/>
          <w:bCs/>
          <w:color w:val="auto"/>
          <w:sz w:val="24"/>
          <w:highlight w:val="none"/>
          <w:lang w:val="en-US" w:eastAsia="zh-CN"/>
        </w:rPr>
        <w:t>≥</w:t>
      </w:r>
      <w:r>
        <w:rPr>
          <w:rFonts w:hint="eastAsia" w:ascii="仿宋_GB2312" w:hAnsi="仿宋_GB2312" w:eastAsia="仿宋_GB2312" w:cs="仿宋_GB2312"/>
          <w:bCs/>
          <w:color w:val="auto"/>
          <w:sz w:val="24"/>
          <w:highlight w:val="none"/>
        </w:rPr>
        <w:t>0-999min）；</w:t>
      </w:r>
      <w:r>
        <w:rPr>
          <w:rFonts w:hint="eastAsia" w:ascii="仿宋_GB2312" w:hAnsi="仿宋_GB2312" w:eastAsia="仿宋_GB2312" w:cs="仿宋_GB2312"/>
          <w:bCs/>
          <w:color w:val="auto"/>
          <w:sz w:val="24"/>
          <w:highlight w:val="none"/>
        </w:rPr>
        <w:br w:type="textWrapping"/>
      </w:r>
      <w:r>
        <w:rPr>
          <w:rFonts w:hint="eastAsia" w:ascii="仿宋_GB2312" w:hAnsi="仿宋_GB2312" w:eastAsia="仿宋_GB2312" w:cs="仿宋_GB2312"/>
          <w:bCs/>
          <w:color w:val="auto"/>
          <w:sz w:val="24"/>
          <w:highlight w:val="none"/>
          <w:lang w:val="en-US" w:eastAsia="zh-CN"/>
        </w:rPr>
        <w:t>4、</w:t>
      </w:r>
      <w:r>
        <w:rPr>
          <w:rFonts w:hint="eastAsia" w:ascii="仿宋_GB2312" w:hAnsi="仿宋_GB2312" w:eastAsia="仿宋_GB2312" w:cs="仿宋_GB2312"/>
          <w:bCs/>
          <w:color w:val="auto"/>
          <w:sz w:val="24"/>
          <w:highlight w:val="none"/>
        </w:rPr>
        <w:t>配置有</w:t>
      </w:r>
      <w:r>
        <w:rPr>
          <w:rFonts w:hint="eastAsia" w:ascii="仿宋_GB2312" w:hAnsi="仿宋_GB2312" w:eastAsia="仿宋_GB2312" w:cs="仿宋_GB2312"/>
          <w:color w:val="auto"/>
          <w:highlight w:val="none"/>
        </w:rPr>
        <w:t>≥</w:t>
      </w:r>
      <w:r>
        <w:rPr>
          <w:rFonts w:hint="eastAsia" w:ascii="仿宋_GB2312" w:hAnsi="仿宋_GB2312" w:eastAsia="仿宋_GB2312" w:cs="仿宋_GB2312"/>
          <w:bCs/>
          <w:color w:val="auto"/>
          <w:sz w:val="24"/>
          <w:highlight w:val="none"/>
        </w:rPr>
        <w:t>99.9995的HEPA空气过滤器，设有预过滤器为</w:t>
      </w:r>
      <w:r>
        <w:rPr>
          <w:rFonts w:hint="eastAsia" w:ascii="仿宋_GB2312" w:hAnsi="仿宋_GB2312" w:eastAsia="仿宋_GB2312" w:cs="仿宋_GB2312"/>
          <w:color w:val="auto"/>
          <w:highlight w:val="none"/>
        </w:rPr>
        <w:t>≥90%</w:t>
      </w:r>
      <w:r>
        <w:rPr>
          <w:rFonts w:hint="eastAsia" w:ascii="仿宋_GB2312" w:hAnsi="仿宋_GB2312" w:eastAsia="仿宋_GB2312" w:cs="仿宋_GB2312"/>
          <w:bCs/>
          <w:color w:val="auto"/>
          <w:sz w:val="24"/>
          <w:highlight w:val="none"/>
        </w:rPr>
        <w:t>过滤系统</w:t>
      </w:r>
      <w:r>
        <w:rPr>
          <w:rFonts w:hint="eastAsia" w:ascii="仿宋_GB2312" w:hAnsi="仿宋_GB2312" w:eastAsia="仿宋_GB2312" w:cs="仿宋_GB2312"/>
          <w:bCs/>
          <w:color w:val="auto"/>
          <w:sz w:val="24"/>
          <w:highlight w:val="none"/>
          <w:lang w:eastAsia="zh-CN"/>
        </w:rPr>
        <w:t>；</w:t>
      </w:r>
    </w:p>
    <w:p w14:paraId="22E4C145">
      <w:pPr>
        <w:jc w:val="left"/>
        <w:rPr>
          <w:rFonts w:hint="eastAsia" w:ascii="仿宋_GB2312" w:hAnsi="仿宋_GB2312" w:eastAsia="仿宋_GB2312" w:cs="仿宋_GB2312"/>
          <w:b/>
          <w:color w:val="auto"/>
          <w:sz w:val="24"/>
          <w:highlight w:val="none"/>
          <w:lang w:eastAsia="zh-CN"/>
        </w:rPr>
      </w:pPr>
      <w:r>
        <w:rPr>
          <w:rFonts w:hint="eastAsia" w:ascii="仿宋_GB2312" w:hAnsi="仿宋_GB2312" w:eastAsia="仿宋_GB2312" w:cs="仿宋_GB2312"/>
          <w:bCs/>
          <w:color w:val="auto"/>
          <w:sz w:val="24"/>
          <w:highlight w:val="none"/>
          <w:lang w:val="en-US" w:eastAsia="zh-CN"/>
        </w:rPr>
        <w:t>5、</w:t>
      </w:r>
      <w:r>
        <w:rPr>
          <w:rFonts w:hint="eastAsia" w:ascii="仿宋_GB2312" w:hAnsi="仿宋_GB2312" w:eastAsia="仿宋_GB2312" w:cs="仿宋_GB2312"/>
          <w:bCs/>
          <w:color w:val="auto"/>
          <w:sz w:val="24"/>
          <w:highlight w:val="none"/>
        </w:rPr>
        <w:t>产品类型：双人单面；</w:t>
      </w:r>
      <w:r>
        <w:rPr>
          <w:rFonts w:hint="default" w:ascii="仿宋_GB2312" w:hAnsi="仿宋_GB2312" w:eastAsia="仿宋_GB2312" w:cs="仿宋_GB2312"/>
          <w:bCs/>
          <w:color w:val="auto"/>
          <w:sz w:val="24"/>
          <w:highlight w:val="none"/>
          <w:lang w:val="en-US" w:eastAsia="zh-CN"/>
        </w:rPr>
        <w:br w:type="textWrapping"/>
      </w:r>
      <w:r>
        <w:rPr>
          <w:rFonts w:hint="eastAsia" w:ascii="仿宋_GB2312" w:hAnsi="仿宋_GB2312" w:eastAsia="仿宋_GB2312" w:cs="仿宋_GB2312"/>
          <w:bCs/>
          <w:color w:val="auto"/>
          <w:sz w:val="24"/>
          <w:highlight w:val="none"/>
          <w:lang w:val="en-US" w:eastAsia="zh-CN"/>
        </w:rPr>
        <w:t>6、</w:t>
      </w:r>
      <w:r>
        <w:rPr>
          <w:rFonts w:hint="default" w:ascii="仿宋_GB2312" w:hAnsi="仿宋_GB2312" w:eastAsia="仿宋_GB2312" w:cs="仿宋_GB2312"/>
          <w:bCs/>
          <w:color w:val="auto"/>
          <w:sz w:val="24"/>
          <w:highlight w:val="none"/>
          <w:lang w:val="en-US" w:eastAsia="zh-CN"/>
        </w:rPr>
        <w:t>空气流向：垂直流</w:t>
      </w:r>
      <w:r>
        <w:rPr>
          <w:rFonts w:hint="default" w:ascii="仿宋_GB2312" w:hAnsi="仿宋_GB2312" w:eastAsia="仿宋_GB2312" w:cs="仿宋_GB2312"/>
          <w:bCs/>
          <w:color w:val="auto"/>
          <w:sz w:val="24"/>
          <w:highlight w:val="none"/>
          <w:lang w:val="en-US" w:eastAsia="zh-CN"/>
        </w:rPr>
        <w:br w:type="textWrapping"/>
      </w:r>
      <w:r>
        <w:rPr>
          <w:rFonts w:hint="eastAsia" w:ascii="仿宋_GB2312" w:hAnsi="仿宋_GB2312" w:eastAsia="仿宋_GB2312" w:cs="仿宋_GB2312"/>
          <w:bCs/>
          <w:color w:val="auto"/>
          <w:sz w:val="24"/>
          <w:highlight w:val="none"/>
          <w:lang w:val="en-US" w:eastAsia="zh-CN"/>
        </w:rPr>
        <w:t>7、</w:t>
      </w:r>
      <w:r>
        <w:rPr>
          <w:rFonts w:hint="default" w:ascii="仿宋_GB2312" w:hAnsi="仿宋_GB2312" w:eastAsia="仿宋_GB2312" w:cs="仿宋_GB2312"/>
          <w:bCs/>
          <w:color w:val="auto"/>
          <w:sz w:val="24"/>
          <w:highlight w:val="none"/>
          <w:lang w:val="en-US" w:eastAsia="zh-CN"/>
        </w:rPr>
        <w:t>洁净等极：100级（≤0.5µm过滤效率达到99.99％）</w:t>
      </w:r>
      <w:r>
        <w:rPr>
          <w:rFonts w:hint="default" w:ascii="仿宋_GB2312" w:hAnsi="仿宋_GB2312" w:eastAsia="仿宋_GB2312" w:cs="仿宋_GB2312"/>
          <w:bCs/>
          <w:color w:val="auto"/>
          <w:sz w:val="24"/>
          <w:highlight w:val="none"/>
          <w:lang w:val="en-US" w:eastAsia="zh-CN"/>
        </w:rPr>
        <w:br w:type="textWrapping"/>
      </w:r>
      <w:r>
        <w:rPr>
          <w:rFonts w:hint="eastAsia" w:ascii="仿宋_GB2312" w:hAnsi="仿宋_GB2312" w:eastAsia="仿宋_GB2312" w:cs="仿宋_GB2312"/>
          <w:bCs/>
          <w:color w:val="auto"/>
          <w:sz w:val="24"/>
          <w:highlight w:val="none"/>
          <w:lang w:val="en-US" w:eastAsia="zh-CN"/>
        </w:rPr>
        <w:t>8、</w:t>
      </w:r>
      <w:r>
        <w:rPr>
          <w:rFonts w:hint="default" w:ascii="仿宋_GB2312" w:hAnsi="仿宋_GB2312" w:eastAsia="仿宋_GB2312" w:cs="仿宋_GB2312"/>
          <w:bCs/>
          <w:color w:val="auto"/>
          <w:sz w:val="24"/>
          <w:highlight w:val="none"/>
          <w:lang w:val="en-US" w:eastAsia="zh-CN"/>
        </w:rPr>
        <w:t>工作区风速范围：0.3-0.6m/s（可调）</w:t>
      </w:r>
      <w:r>
        <w:rPr>
          <w:rFonts w:hint="default" w:ascii="仿宋_GB2312" w:hAnsi="仿宋_GB2312" w:eastAsia="仿宋_GB2312" w:cs="仿宋_GB2312"/>
          <w:bCs/>
          <w:color w:val="auto"/>
          <w:sz w:val="24"/>
          <w:highlight w:val="none"/>
          <w:lang w:val="en-US" w:eastAsia="zh-CN"/>
        </w:rPr>
        <w:br w:type="textWrapping"/>
      </w:r>
      <w:r>
        <w:rPr>
          <w:rFonts w:hint="eastAsia" w:ascii="仿宋_GB2312" w:hAnsi="仿宋_GB2312" w:eastAsia="仿宋_GB2312" w:cs="仿宋_GB2312"/>
          <w:bCs/>
          <w:color w:val="auto"/>
          <w:sz w:val="24"/>
          <w:highlight w:val="none"/>
          <w:lang w:val="en-US" w:eastAsia="zh-CN"/>
        </w:rPr>
        <w:t>9、</w:t>
      </w:r>
      <w:r>
        <w:rPr>
          <w:rFonts w:hint="default" w:ascii="仿宋_GB2312" w:hAnsi="仿宋_GB2312" w:eastAsia="仿宋_GB2312" w:cs="仿宋_GB2312"/>
          <w:bCs/>
          <w:color w:val="auto"/>
          <w:sz w:val="24"/>
          <w:highlight w:val="none"/>
          <w:lang w:val="en-US" w:eastAsia="zh-CN"/>
        </w:rPr>
        <w:t>噪音：≤67dB</w:t>
      </w:r>
      <w:r>
        <w:rPr>
          <w:rFonts w:hint="default" w:ascii="仿宋_GB2312" w:hAnsi="仿宋_GB2312" w:eastAsia="仿宋_GB2312" w:cs="仿宋_GB2312"/>
          <w:bCs/>
          <w:color w:val="auto"/>
          <w:sz w:val="24"/>
          <w:highlight w:val="none"/>
          <w:lang w:val="en-US" w:eastAsia="zh-CN"/>
        </w:rPr>
        <w:br w:type="textWrapping"/>
      </w:r>
      <w:r>
        <w:rPr>
          <w:rFonts w:hint="eastAsia" w:ascii="仿宋_GB2312" w:hAnsi="仿宋_GB2312" w:eastAsia="仿宋_GB2312" w:cs="仿宋_GB2312"/>
          <w:bCs/>
          <w:color w:val="auto"/>
          <w:sz w:val="24"/>
          <w:highlight w:val="none"/>
          <w:lang w:val="en-US" w:eastAsia="zh-CN"/>
        </w:rPr>
        <w:t>10、</w:t>
      </w:r>
      <w:r>
        <w:rPr>
          <w:rFonts w:hint="default" w:ascii="仿宋_GB2312" w:hAnsi="仿宋_GB2312" w:eastAsia="仿宋_GB2312" w:cs="仿宋_GB2312"/>
          <w:bCs/>
          <w:color w:val="auto"/>
          <w:sz w:val="24"/>
          <w:highlight w:val="none"/>
          <w:lang w:val="en-US" w:eastAsia="zh-CN"/>
        </w:rPr>
        <w:t>振动半峰值：≤5µm（X、Y、Z方向）</w:t>
      </w:r>
      <w:r>
        <w:rPr>
          <w:rFonts w:hint="default" w:ascii="仿宋_GB2312" w:hAnsi="仿宋_GB2312" w:eastAsia="仿宋_GB2312" w:cs="仿宋_GB2312"/>
          <w:bCs/>
          <w:color w:val="auto"/>
          <w:sz w:val="24"/>
          <w:highlight w:val="none"/>
          <w:lang w:val="en-US" w:eastAsia="zh-CN"/>
        </w:rPr>
        <w:br w:type="textWrapping"/>
      </w:r>
      <w:r>
        <w:rPr>
          <w:rFonts w:hint="eastAsia" w:ascii="仿宋_GB2312" w:hAnsi="仿宋_GB2312" w:eastAsia="仿宋_GB2312" w:cs="仿宋_GB2312"/>
          <w:bCs/>
          <w:color w:val="auto"/>
          <w:sz w:val="24"/>
          <w:highlight w:val="none"/>
          <w:lang w:val="en-US" w:eastAsia="zh-CN"/>
        </w:rPr>
        <w:t>11、</w:t>
      </w:r>
      <w:r>
        <w:rPr>
          <w:rFonts w:hint="default" w:ascii="仿宋_GB2312" w:hAnsi="仿宋_GB2312" w:eastAsia="仿宋_GB2312" w:cs="仿宋_GB2312"/>
          <w:bCs/>
          <w:color w:val="auto"/>
          <w:sz w:val="24"/>
          <w:highlight w:val="none"/>
          <w:lang w:val="en-US" w:eastAsia="zh-CN"/>
        </w:rPr>
        <w:t>照度：≥300LX</w:t>
      </w:r>
      <w:r>
        <w:rPr>
          <w:rFonts w:hint="default" w:ascii="仿宋_GB2312" w:hAnsi="仿宋_GB2312" w:eastAsia="仿宋_GB2312" w:cs="仿宋_GB2312"/>
          <w:bCs/>
          <w:color w:val="auto"/>
          <w:sz w:val="24"/>
          <w:highlight w:val="none"/>
          <w:lang w:val="en-US" w:eastAsia="zh-CN"/>
        </w:rPr>
        <w:br w:type="textWrapping"/>
      </w:r>
      <w:r>
        <w:rPr>
          <w:rFonts w:hint="eastAsia" w:ascii="仿宋_GB2312" w:hAnsi="仿宋_GB2312" w:eastAsia="仿宋_GB2312" w:cs="仿宋_GB2312"/>
          <w:bCs/>
          <w:color w:val="auto"/>
          <w:sz w:val="24"/>
          <w:highlight w:val="none"/>
          <w:lang w:val="en-US" w:eastAsia="zh-CN"/>
        </w:rPr>
        <w:t>12、</w:t>
      </w:r>
      <w:r>
        <w:rPr>
          <w:rFonts w:hint="default" w:ascii="仿宋_GB2312" w:hAnsi="仿宋_GB2312" w:eastAsia="仿宋_GB2312" w:cs="仿宋_GB2312"/>
          <w:bCs/>
          <w:color w:val="auto"/>
          <w:sz w:val="24"/>
          <w:highlight w:val="none"/>
          <w:lang w:val="en-US" w:eastAsia="zh-CN"/>
        </w:rPr>
        <w:t>工作区尺寸(</w:t>
      </w:r>
      <w:r>
        <w:rPr>
          <w:rFonts w:hint="eastAsia" w:ascii="仿宋_GB2312" w:hAnsi="仿宋_GB2312" w:eastAsia="仿宋_GB2312" w:cs="仿宋_GB2312"/>
          <w:bCs/>
          <w:color w:val="auto"/>
          <w:sz w:val="24"/>
          <w:highlight w:val="none"/>
          <w:lang w:val="en-US" w:eastAsia="zh-CN"/>
        </w:rPr>
        <w:t>长*宽*高</w:t>
      </w:r>
      <w:r>
        <w:rPr>
          <w:rFonts w:hint="default" w:ascii="仿宋_GB2312" w:hAnsi="仿宋_GB2312" w:eastAsia="仿宋_GB2312" w:cs="仿宋_GB2312"/>
          <w:bCs/>
          <w:color w:val="auto"/>
          <w:sz w:val="24"/>
          <w:highlight w:val="none"/>
          <w:lang w:val="en-US" w:eastAsia="zh-CN"/>
        </w:rPr>
        <w:t>mm)：</w:t>
      </w:r>
      <w:r>
        <w:rPr>
          <w:rFonts w:hint="eastAsia" w:ascii="仿宋_GB2312" w:hAnsi="仿宋_GB2312" w:eastAsia="仿宋_GB2312" w:cs="仿宋_GB2312"/>
          <w:color w:val="auto"/>
          <w:highlight w:val="none"/>
        </w:rPr>
        <w:t>≥</w:t>
      </w:r>
      <w:r>
        <w:rPr>
          <w:rFonts w:hint="default" w:ascii="仿宋_GB2312" w:hAnsi="仿宋_GB2312" w:eastAsia="仿宋_GB2312" w:cs="仿宋_GB2312"/>
          <w:bCs/>
          <w:color w:val="auto"/>
          <w:sz w:val="24"/>
          <w:highlight w:val="none"/>
          <w:lang w:val="en-US" w:eastAsia="zh-CN"/>
        </w:rPr>
        <w:t>1300×650×520</w:t>
      </w:r>
      <w:r>
        <w:rPr>
          <w:rFonts w:hint="default" w:ascii="仿宋_GB2312" w:hAnsi="仿宋_GB2312" w:eastAsia="仿宋_GB2312" w:cs="仿宋_GB2312"/>
          <w:bCs/>
          <w:color w:val="auto"/>
          <w:sz w:val="24"/>
          <w:highlight w:val="none"/>
          <w:lang w:val="en-US" w:eastAsia="zh-CN"/>
        </w:rPr>
        <w:br w:type="textWrapping"/>
      </w:r>
      <w:r>
        <w:rPr>
          <w:rFonts w:hint="eastAsia" w:ascii="仿宋_GB2312" w:hAnsi="仿宋_GB2312" w:eastAsia="仿宋_GB2312" w:cs="仿宋_GB2312"/>
          <w:bCs/>
          <w:color w:val="auto"/>
          <w:sz w:val="24"/>
          <w:highlight w:val="none"/>
          <w:lang w:val="en-US" w:eastAsia="zh-CN"/>
        </w:rPr>
        <w:t>13、</w:t>
      </w:r>
      <w:r>
        <w:rPr>
          <w:rFonts w:hint="default" w:ascii="仿宋_GB2312" w:hAnsi="仿宋_GB2312" w:eastAsia="仿宋_GB2312" w:cs="仿宋_GB2312"/>
          <w:bCs/>
          <w:color w:val="auto"/>
          <w:sz w:val="24"/>
          <w:highlight w:val="none"/>
          <w:lang w:val="en-US" w:eastAsia="zh-CN"/>
        </w:rPr>
        <w:t>外型尺寸(</w:t>
      </w:r>
      <w:r>
        <w:rPr>
          <w:rFonts w:hint="eastAsia" w:ascii="仿宋_GB2312" w:hAnsi="仿宋_GB2312" w:eastAsia="仿宋_GB2312" w:cs="仿宋_GB2312"/>
          <w:bCs/>
          <w:color w:val="auto"/>
          <w:sz w:val="24"/>
          <w:highlight w:val="none"/>
          <w:lang w:val="en-US" w:eastAsia="zh-CN"/>
        </w:rPr>
        <w:t>长*宽*高</w:t>
      </w:r>
      <w:r>
        <w:rPr>
          <w:rFonts w:hint="default" w:ascii="仿宋_GB2312" w:hAnsi="仿宋_GB2312" w:eastAsia="仿宋_GB2312" w:cs="仿宋_GB2312"/>
          <w:bCs/>
          <w:color w:val="auto"/>
          <w:sz w:val="24"/>
          <w:highlight w:val="none"/>
          <w:lang w:val="en-US" w:eastAsia="zh-CN"/>
        </w:rPr>
        <w:t>mm)：</w:t>
      </w:r>
      <w:r>
        <w:rPr>
          <w:rFonts w:hint="eastAsia" w:ascii="仿宋_GB2312" w:hAnsi="仿宋_GB2312" w:eastAsia="仿宋_GB2312" w:cs="仿宋_GB2312"/>
          <w:color w:val="auto"/>
          <w:highlight w:val="none"/>
        </w:rPr>
        <w:t>≥</w:t>
      </w:r>
      <w:r>
        <w:rPr>
          <w:rFonts w:hint="default" w:ascii="仿宋_GB2312" w:hAnsi="仿宋_GB2312" w:eastAsia="仿宋_GB2312" w:cs="仿宋_GB2312"/>
          <w:bCs/>
          <w:color w:val="auto"/>
          <w:sz w:val="24"/>
          <w:highlight w:val="none"/>
          <w:lang w:val="en-US" w:eastAsia="zh-CN"/>
        </w:rPr>
        <w:t>1460×700×1650</w:t>
      </w:r>
      <w:r>
        <w:rPr>
          <w:rFonts w:hint="default" w:ascii="仿宋_GB2312" w:hAnsi="仿宋_GB2312" w:eastAsia="仿宋_GB2312" w:cs="仿宋_GB2312"/>
          <w:bCs/>
          <w:color w:val="auto"/>
          <w:sz w:val="24"/>
          <w:highlight w:val="none"/>
          <w:lang w:val="en-US" w:eastAsia="zh-CN"/>
        </w:rPr>
        <w:br w:type="textWrapping"/>
      </w:r>
      <w:r>
        <w:rPr>
          <w:rFonts w:hint="eastAsia" w:ascii="仿宋_GB2312" w:hAnsi="仿宋_GB2312" w:eastAsia="仿宋_GB2312" w:cs="仿宋_GB2312"/>
          <w:bCs/>
          <w:color w:val="auto"/>
          <w:sz w:val="24"/>
          <w:highlight w:val="none"/>
          <w:lang w:val="en-US" w:eastAsia="zh-CN"/>
        </w:rPr>
        <w:t>14、</w:t>
      </w:r>
      <w:r>
        <w:rPr>
          <w:rFonts w:hint="default" w:ascii="仿宋_GB2312" w:hAnsi="仿宋_GB2312" w:eastAsia="仿宋_GB2312" w:cs="仿宋_GB2312"/>
          <w:bCs/>
          <w:color w:val="auto"/>
          <w:sz w:val="24"/>
          <w:highlight w:val="none"/>
          <w:lang w:val="en-US" w:eastAsia="zh-CN"/>
        </w:rPr>
        <w:t>高效过滤器规格及数量(</w:t>
      </w:r>
      <w:r>
        <w:rPr>
          <w:rFonts w:hint="eastAsia" w:ascii="仿宋_GB2312" w:hAnsi="仿宋_GB2312" w:eastAsia="仿宋_GB2312" w:cs="仿宋_GB2312"/>
          <w:bCs/>
          <w:color w:val="auto"/>
          <w:sz w:val="24"/>
          <w:highlight w:val="none"/>
          <w:lang w:val="en-US" w:eastAsia="zh-CN"/>
        </w:rPr>
        <w:t>长*宽*高</w:t>
      </w:r>
      <w:r>
        <w:rPr>
          <w:rFonts w:hint="default" w:ascii="仿宋_GB2312" w:hAnsi="仿宋_GB2312" w:eastAsia="仿宋_GB2312" w:cs="仿宋_GB2312"/>
          <w:bCs/>
          <w:color w:val="auto"/>
          <w:sz w:val="24"/>
          <w:highlight w:val="none"/>
          <w:lang w:val="en-US" w:eastAsia="zh-CN"/>
        </w:rPr>
        <w:t>mm)：</w:t>
      </w:r>
      <w:r>
        <w:rPr>
          <w:rFonts w:hint="eastAsia" w:ascii="仿宋_GB2312" w:hAnsi="仿宋_GB2312" w:eastAsia="仿宋_GB2312" w:cs="仿宋_GB2312"/>
          <w:color w:val="auto"/>
          <w:highlight w:val="none"/>
        </w:rPr>
        <w:t>≥</w:t>
      </w:r>
      <w:r>
        <w:rPr>
          <w:rFonts w:hint="default" w:ascii="仿宋_GB2312" w:hAnsi="仿宋_GB2312" w:eastAsia="仿宋_GB2312" w:cs="仿宋_GB2312"/>
          <w:bCs/>
          <w:color w:val="auto"/>
          <w:sz w:val="24"/>
          <w:highlight w:val="none"/>
          <w:lang w:val="en-US" w:eastAsia="zh-CN"/>
        </w:rPr>
        <w:t>1250×560×50</w:t>
      </w:r>
      <w:r>
        <w:rPr>
          <w:rFonts w:hint="default" w:ascii="仿宋_GB2312" w:hAnsi="仿宋_GB2312" w:eastAsia="仿宋_GB2312" w:cs="仿宋_GB2312"/>
          <w:bCs/>
          <w:color w:val="auto"/>
          <w:sz w:val="24"/>
          <w:highlight w:val="none"/>
          <w:lang w:val="en-US" w:eastAsia="zh-CN"/>
        </w:rPr>
        <w:br w:type="textWrapping"/>
      </w:r>
      <w:r>
        <w:rPr>
          <w:rFonts w:hint="eastAsia" w:ascii="仿宋_GB2312" w:hAnsi="仿宋_GB2312" w:eastAsia="仿宋_GB2312" w:cs="仿宋_GB2312"/>
          <w:bCs/>
          <w:color w:val="auto"/>
          <w:sz w:val="24"/>
          <w:highlight w:val="none"/>
          <w:lang w:val="en-US" w:eastAsia="zh-CN"/>
        </w:rPr>
        <w:t>15、</w:t>
      </w:r>
      <w:r>
        <w:rPr>
          <w:rFonts w:hint="default" w:ascii="仿宋_GB2312" w:hAnsi="仿宋_GB2312" w:eastAsia="仿宋_GB2312" w:cs="仿宋_GB2312"/>
          <w:bCs/>
          <w:color w:val="auto"/>
          <w:sz w:val="24"/>
          <w:highlight w:val="none"/>
          <w:lang w:val="en-US" w:eastAsia="zh-CN"/>
        </w:rPr>
        <w:t>荧光灯/紫外线规格及数量：40W</w:t>
      </w:r>
      <w:r>
        <w:rPr>
          <w:rFonts w:hint="eastAsia" w:ascii="仿宋_GB2312" w:hAnsi="仿宋_GB2312" w:eastAsia="仿宋_GB2312" w:cs="仿宋_GB2312"/>
          <w:bCs/>
          <w:color w:val="auto"/>
          <w:sz w:val="24"/>
          <w:highlight w:val="none"/>
        </w:rPr>
        <w:t>（1支）</w:t>
      </w:r>
      <w:r>
        <w:rPr>
          <w:rFonts w:hint="default" w:ascii="仿宋_GB2312" w:hAnsi="仿宋_GB2312" w:eastAsia="仿宋_GB2312" w:cs="仿宋_GB2312"/>
          <w:bCs/>
          <w:color w:val="auto"/>
          <w:sz w:val="24"/>
          <w:highlight w:val="none"/>
          <w:lang w:val="en-US" w:eastAsia="zh-CN"/>
        </w:rPr>
        <w:t>/20W</w:t>
      </w:r>
      <w:r>
        <w:rPr>
          <w:rFonts w:hint="eastAsia" w:ascii="仿宋_GB2312" w:hAnsi="仿宋_GB2312" w:eastAsia="仿宋_GB2312" w:cs="仿宋_GB2312"/>
          <w:bCs/>
          <w:color w:val="auto"/>
          <w:sz w:val="24"/>
          <w:highlight w:val="none"/>
        </w:rPr>
        <w:t>（1支）</w:t>
      </w:r>
      <w:r>
        <w:rPr>
          <w:rFonts w:hint="default" w:ascii="仿宋_GB2312" w:hAnsi="仿宋_GB2312" w:eastAsia="仿宋_GB2312" w:cs="仿宋_GB2312"/>
          <w:bCs/>
          <w:color w:val="auto"/>
          <w:sz w:val="24"/>
          <w:highlight w:val="none"/>
          <w:lang w:val="en-US" w:eastAsia="zh-CN"/>
        </w:rPr>
        <w:br w:type="textWrapping"/>
      </w:r>
      <w:r>
        <w:rPr>
          <w:rFonts w:ascii="仿宋_GB2312" w:hAnsi="仿宋_GB2312" w:eastAsia="仿宋_GB2312" w:cs="仿宋_GB2312"/>
          <w:b/>
          <w:color w:val="auto"/>
          <w:sz w:val="24"/>
          <w:highlight w:val="none"/>
        </w:rPr>
        <w:t>十</w:t>
      </w:r>
      <w:r>
        <w:rPr>
          <w:rFonts w:hint="eastAsia" w:ascii="仿宋_GB2312" w:hAnsi="仿宋_GB2312" w:eastAsia="仿宋_GB2312" w:cs="仿宋_GB2312"/>
          <w:b/>
          <w:color w:val="auto"/>
          <w:sz w:val="24"/>
          <w:highlight w:val="none"/>
          <w:lang w:val="en-US" w:eastAsia="zh-CN"/>
        </w:rPr>
        <w:t>二</w:t>
      </w:r>
      <w:r>
        <w:rPr>
          <w:rFonts w:ascii="仿宋_GB2312" w:hAnsi="仿宋_GB2312" w:eastAsia="仿宋_GB2312" w:cs="仿宋_GB2312"/>
          <w:b/>
          <w:color w:val="auto"/>
          <w:sz w:val="24"/>
          <w:highlight w:val="none"/>
        </w:rPr>
        <w:t>、</w:t>
      </w:r>
      <w:r>
        <w:rPr>
          <w:rFonts w:hint="eastAsia" w:ascii="仿宋_GB2312" w:hAnsi="仿宋_GB2312" w:eastAsia="仿宋_GB2312" w:cs="仿宋_GB2312"/>
          <w:b/>
          <w:color w:val="auto"/>
          <w:sz w:val="24"/>
          <w:highlight w:val="none"/>
        </w:rPr>
        <w:t>超净台</w:t>
      </w:r>
      <w:r>
        <w:rPr>
          <w:rFonts w:hint="eastAsia" w:ascii="仿宋_GB2312" w:hAnsi="仿宋_GB2312" w:eastAsia="仿宋_GB2312" w:cs="仿宋_GB2312"/>
          <w:b/>
          <w:color w:val="auto"/>
          <w:sz w:val="24"/>
          <w:highlight w:val="none"/>
          <w:lang w:eastAsia="zh-CN"/>
        </w:rPr>
        <w:t>（</w:t>
      </w:r>
      <w:r>
        <w:rPr>
          <w:rFonts w:hint="eastAsia" w:ascii="仿宋_GB2312" w:hAnsi="仿宋_GB2312" w:eastAsia="仿宋_GB2312" w:cs="仿宋_GB2312"/>
          <w:b/>
          <w:color w:val="auto"/>
          <w:sz w:val="24"/>
          <w:highlight w:val="none"/>
          <w:lang w:val="en-US" w:eastAsia="zh-CN"/>
        </w:rPr>
        <w:t>单人</w:t>
      </w:r>
      <w:r>
        <w:rPr>
          <w:rFonts w:hint="eastAsia" w:ascii="仿宋_GB2312" w:hAnsi="仿宋_GB2312" w:eastAsia="仿宋_GB2312" w:cs="仿宋_GB2312"/>
          <w:b/>
          <w:color w:val="auto"/>
          <w:sz w:val="24"/>
          <w:highlight w:val="none"/>
          <w:lang w:eastAsia="zh-CN"/>
        </w:rPr>
        <w:t>）</w:t>
      </w:r>
    </w:p>
    <w:p w14:paraId="42A950BF">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1.外壳采用冷轧钢板，静电喷塑，操作台采用</w:t>
      </w:r>
      <w:r>
        <w:rPr>
          <w:rFonts w:hint="eastAsia" w:ascii="仿宋_GB2312" w:hAnsi="仿宋_GB2312" w:eastAsia="仿宋_GB2312" w:cs="仿宋_GB2312"/>
          <w:bCs/>
          <w:color w:val="auto"/>
          <w:sz w:val="24"/>
          <w:highlight w:val="none"/>
          <w:lang w:val="en-US" w:eastAsia="zh-CN"/>
        </w:rPr>
        <w:t>不低于</w:t>
      </w:r>
      <w:r>
        <w:rPr>
          <w:rFonts w:hint="eastAsia" w:ascii="仿宋_GB2312" w:hAnsi="仿宋_GB2312" w:eastAsia="仿宋_GB2312" w:cs="仿宋_GB2312"/>
          <w:bCs/>
          <w:color w:val="auto"/>
          <w:sz w:val="24"/>
          <w:highlight w:val="none"/>
        </w:rPr>
        <w:t>SUS304拉丝不锈钢，耐腐蚀，清洗方便；</w:t>
      </w:r>
    </w:p>
    <w:p w14:paraId="0E268E8C">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2.本机采用离心式风机，转速稳定、噪音小；</w:t>
      </w:r>
    </w:p>
    <w:p w14:paraId="20789D86">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3.液晶显示控制系统，配合轻触式微动开关，六段风速控制；</w:t>
      </w:r>
    </w:p>
    <w:p w14:paraId="79E744D6">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4.配备杀菌灯、照明灯的独立控制，杀菌装置具有定时功能（0-999min）；</w:t>
      </w:r>
    </w:p>
    <w:p w14:paraId="799DE3BD">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5.垂直准闭合式台面，操作室下降流气幕的形成，可有效防止外部气体透入和操作区洁净；</w:t>
      </w:r>
    </w:p>
    <w:p w14:paraId="125B9737">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6.采用配重平衡式结构，可使操作窗口任意在规定范围内定位；</w:t>
      </w:r>
    </w:p>
    <w:p w14:paraId="5392FB5B">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7.配置有</w:t>
      </w:r>
      <w:r>
        <w:rPr>
          <w:rFonts w:hint="eastAsia" w:ascii="仿宋_GB2312" w:hAnsi="仿宋_GB2312" w:eastAsia="仿宋_GB2312" w:cs="仿宋_GB2312"/>
          <w:color w:val="auto"/>
          <w:highlight w:val="none"/>
        </w:rPr>
        <w:t>≥</w:t>
      </w:r>
      <w:r>
        <w:rPr>
          <w:rFonts w:hint="eastAsia" w:ascii="仿宋_GB2312" w:hAnsi="仿宋_GB2312" w:eastAsia="仿宋_GB2312" w:cs="仿宋_GB2312"/>
          <w:bCs/>
          <w:color w:val="auto"/>
          <w:sz w:val="24"/>
          <w:highlight w:val="none"/>
        </w:rPr>
        <w:t>99.9995的HEPA空气过滤器，设有预过滤器为</w:t>
      </w:r>
      <w:r>
        <w:rPr>
          <w:rFonts w:hint="eastAsia" w:ascii="仿宋_GB2312" w:hAnsi="仿宋_GB2312" w:eastAsia="仿宋_GB2312" w:cs="仿宋_GB2312"/>
          <w:color w:val="auto"/>
          <w:highlight w:val="none"/>
        </w:rPr>
        <w:t>≥90%</w:t>
      </w:r>
      <w:r>
        <w:rPr>
          <w:rFonts w:hint="eastAsia" w:ascii="仿宋_GB2312" w:hAnsi="仿宋_GB2312" w:eastAsia="仿宋_GB2312" w:cs="仿宋_GB2312"/>
          <w:bCs/>
          <w:color w:val="auto"/>
          <w:sz w:val="24"/>
          <w:highlight w:val="none"/>
        </w:rPr>
        <w:t>过滤系统，可有效延长高效过滤器的使用寿命。</w:t>
      </w:r>
    </w:p>
    <w:p w14:paraId="20797450">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8.显示方式：LCD</w:t>
      </w:r>
    </w:p>
    <w:p w14:paraId="315C6FFB">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9.空气流向：垂直流</w:t>
      </w:r>
    </w:p>
    <w:p w14:paraId="6E551B1E">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10.洁净等极：100级@≥0.5µm</w:t>
      </w:r>
    </w:p>
    <w:p w14:paraId="545D7A87">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11.工作区风速范围：0.1-0.6m/s（可调）</w:t>
      </w:r>
    </w:p>
    <w:p w14:paraId="4671F062">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12.噪音：≤62dB</w:t>
      </w:r>
    </w:p>
    <w:p w14:paraId="6FAF366F">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13.振动半峰值：≤3µm（X、Y、Z方向）</w:t>
      </w:r>
    </w:p>
    <w:p w14:paraId="2D8F2E00">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14.照度：≥300LX</w:t>
      </w:r>
    </w:p>
    <w:p w14:paraId="152FCF6D">
      <w:pPr>
        <w:rPr>
          <w:rFonts w:ascii="仿宋_GB2312" w:hAnsi="仿宋_GB2312" w:eastAsia="仿宋_GB2312" w:cs="仿宋_GB2312"/>
          <w:color w:val="auto"/>
          <w:highlight w:val="none"/>
        </w:rPr>
      </w:pPr>
      <w:r>
        <w:rPr>
          <w:rFonts w:hint="eastAsia" w:ascii="仿宋_GB2312" w:hAnsi="仿宋_GB2312" w:eastAsia="仿宋_GB2312" w:cs="仿宋_GB2312"/>
          <w:bCs/>
          <w:color w:val="auto"/>
          <w:sz w:val="24"/>
          <w:highlight w:val="none"/>
        </w:rPr>
        <w:t>★15.工作区尺寸(</w:t>
      </w:r>
      <w:r>
        <w:rPr>
          <w:rFonts w:hint="eastAsia" w:ascii="仿宋_GB2312" w:hAnsi="仿宋_GB2312" w:eastAsia="仿宋_GB2312" w:cs="仿宋_GB2312"/>
          <w:bCs/>
          <w:color w:val="auto"/>
          <w:sz w:val="24"/>
          <w:highlight w:val="none"/>
          <w:lang w:val="en-US" w:eastAsia="zh-CN"/>
        </w:rPr>
        <w:t>长*宽*高</w:t>
      </w:r>
      <w:r>
        <w:rPr>
          <w:rFonts w:hint="eastAsia" w:ascii="仿宋_GB2312" w:hAnsi="仿宋_GB2312" w:eastAsia="仿宋_GB2312" w:cs="仿宋_GB2312"/>
          <w:bCs/>
          <w:color w:val="auto"/>
          <w:sz w:val="24"/>
          <w:highlight w:val="none"/>
        </w:rPr>
        <w:t>mm)：</w:t>
      </w:r>
      <w:r>
        <w:rPr>
          <w:rFonts w:hint="eastAsia" w:ascii="仿宋_GB2312" w:hAnsi="仿宋_GB2312" w:eastAsia="仿宋_GB2312" w:cs="仿宋_GB2312"/>
          <w:color w:val="auto"/>
          <w:highlight w:val="none"/>
        </w:rPr>
        <w:t>≥</w:t>
      </w:r>
      <w:r>
        <w:rPr>
          <w:rFonts w:hint="eastAsia" w:ascii="仿宋_GB2312" w:hAnsi="仿宋_GB2312" w:eastAsia="仿宋_GB2312" w:cs="仿宋_GB2312"/>
          <w:bCs/>
          <w:color w:val="auto"/>
          <w:sz w:val="24"/>
          <w:highlight w:val="none"/>
        </w:rPr>
        <w:t>830×650×520</w:t>
      </w:r>
    </w:p>
    <w:p w14:paraId="4AA5BC0A">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16.高效过滤器规格及数量(</w:t>
      </w:r>
      <w:r>
        <w:rPr>
          <w:rFonts w:hint="eastAsia" w:ascii="仿宋_GB2312" w:hAnsi="仿宋_GB2312" w:eastAsia="仿宋_GB2312" w:cs="仿宋_GB2312"/>
          <w:bCs/>
          <w:color w:val="auto"/>
          <w:sz w:val="24"/>
          <w:highlight w:val="none"/>
          <w:lang w:val="en-US" w:eastAsia="zh-CN"/>
        </w:rPr>
        <w:t>长*宽*高</w:t>
      </w:r>
      <w:r>
        <w:rPr>
          <w:rFonts w:hint="eastAsia" w:ascii="仿宋_GB2312" w:hAnsi="仿宋_GB2312" w:eastAsia="仿宋_GB2312" w:cs="仿宋_GB2312"/>
          <w:bCs/>
          <w:color w:val="auto"/>
          <w:sz w:val="24"/>
          <w:highlight w:val="none"/>
        </w:rPr>
        <w:t>mm)：</w:t>
      </w:r>
      <w:r>
        <w:rPr>
          <w:rFonts w:hint="eastAsia" w:ascii="仿宋_GB2312" w:hAnsi="仿宋_GB2312" w:eastAsia="仿宋_GB2312" w:cs="仿宋_GB2312"/>
          <w:color w:val="auto"/>
          <w:highlight w:val="none"/>
        </w:rPr>
        <w:t>≥</w:t>
      </w:r>
      <w:r>
        <w:rPr>
          <w:rFonts w:hint="eastAsia" w:ascii="仿宋_GB2312" w:hAnsi="仿宋_GB2312" w:eastAsia="仿宋_GB2312" w:cs="仿宋_GB2312"/>
          <w:bCs/>
          <w:color w:val="auto"/>
          <w:sz w:val="24"/>
          <w:highlight w:val="none"/>
        </w:rPr>
        <w:t>780×565×50（1个）</w:t>
      </w:r>
    </w:p>
    <w:p w14:paraId="3009F513">
      <w:pPr>
        <w:jc w:val="left"/>
        <w:rPr>
          <w:rFonts w:ascii="仿宋_GB2312" w:hAnsi="仿宋_GB2312" w:eastAsia="仿宋_GB2312" w:cs="仿宋_GB2312"/>
          <w:bCs/>
          <w:strike/>
          <w:color w:val="auto"/>
          <w:sz w:val="24"/>
          <w:highlight w:val="none"/>
        </w:rPr>
      </w:pPr>
      <w:r>
        <w:rPr>
          <w:rFonts w:hint="eastAsia" w:ascii="仿宋_GB2312" w:hAnsi="仿宋_GB2312" w:eastAsia="仿宋_GB2312" w:cs="仿宋_GB2312"/>
          <w:bCs/>
          <w:color w:val="auto"/>
          <w:sz w:val="24"/>
          <w:highlight w:val="none"/>
        </w:rPr>
        <w:t>17.荧光灯/紫外线规格及数量：</w:t>
      </w:r>
      <w:r>
        <w:rPr>
          <w:rFonts w:hint="eastAsia" w:ascii="仿宋_GB2312" w:hAnsi="仿宋_GB2312" w:eastAsia="仿宋_GB2312" w:cs="仿宋_GB2312"/>
          <w:color w:val="auto"/>
          <w:highlight w:val="none"/>
        </w:rPr>
        <w:t>≥</w:t>
      </w:r>
      <w:r>
        <w:rPr>
          <w:rFonts w:hint="eastAsia" w:ascii="仿宋_GB2312" w:hAnsi="仿宋_GB2312" w:eastAsia="仿宋_GB2312" w:cs="仿宋_GB2312"/>
          <w:bCs/>
          <w:color w:val="auto"/>
          <w:sz w:val="24"/>
          <w:highlight w:val="none"/>
        </w:rPr>
        <w:t xml:space="preserve">20W（1支）/ </w:t>
      </w:r>
      <w:r>
        <w:rPr>
          <w:rFonts w:hint="eastAsia" w:ascii="仿宋_GB2312" w:hAnsi="仿宋_GB2312" w:eastAsia="仿宋_GB2312" w:cs="仿宋_GB2312"/>
          <w:color w:val="auto"/>
          <w:highlight w:val="none"/>
        </w:rPr>
        <w:t>≥</w:t>
      </w:r>
      <w:r>
        <w:rPr>
          <w:rFonts w:hint="eastAsia" w:ascii="仿宋_GB2312" w:hAnsi="仿宋_GB2312" w:eastAsia="仿宋_GB2312" w:cs="仿宋_GB2312"/>
          <w:bCs/>
          <w:color w:val="auto"/>
          <w:sz w:val="24"/>
          <w:highlight w:val="none"/>
        </w:rPr>
        <w:t>20W（1支）</w:t>
      </w:r>
    </w:p>
    <w:p w14:paraId="36156DD9">
      <w:pPr>
        <w:jc w:val="left"/>
        <w:rPr>
          <w:rFonts w:ascii="仿宋_GB2312" w:hAnsi="仿宋_GB2312" w:eastAsia="仿宋_GB2312" w:cs="仿宋_GB2312"/>
          <w:b/>
          <w:color w:val="auto"/>
          <w:sz w:val="24"/>
          <w:highlight w:val="none"/>
        </w:rPr>
      </w:pPr>
      <w:r>
        <w:rPr>
          <w:rFonts w:ascii="仿宋_GB2312" w:hAnsi="仿宋_GB2312" w:eastAsia="仿宋_GB2312" w:cs="仿宋_GB2312"/>
          <w:b/>
          <w:color w:val="auto"/>
          <w:sz w:val="24"/>
          <w:highlight w:val="none"/>
        </w:rPr>
        <w:t>十</w:t>
      </w:r>
      <w:r>
        <w:rPr>
          <w:rFonts w:hint="eastAsia" w:ascii="仿宋_GB2312" w:hAnsi="仿宋_GB2312" w:eastAsia="仿宋_GB2312" w:cs="仿宋_GB2312"/>
          <w:b/>
          <w:color w:val="auto"/>
          <w:sz w:val="24"/>
          <w:highlight w:val="none"/>
          <w:lang w:val="en-US" w:eastAsia="zh-CN"/>
        </w:rPr>
        <w:t>三</w:t>
      </w:r>
      <w:r>
        <w:rPr>
          <w:rFonts w:ascii="仿宋_GB2312" w:hAnsi="仿宋_GB2312" w:eastAsia="仿宋_GB2312" w:cs="仿宋_GB2312"/>
          <w:b/>
          <w:color w:val="auto"/>
          <w:sz w:val="24"/>
          <w:highlight w:val="none"/>
        </w:rPr>
        <w:t>、</w:t>
      </w:r>
      <w:r>
        <w:rPr>
          <w:rFonts w:hint="eastAsia" w:ascii="仿宋_GB2312" w:hAnsi="仿宋_GB2312" w:eastAsia="仿宋_GB2312" w:cs="仿宋_GB2312"/>
          <w:b/>
          <w:color w:val="auto"/>
          <w:sz w:val="24"/>
          <w:highlight w:val="none"/>
        </w:rPr>
        <w:t>分子杂交炉</w:t>
      </w:r>
    </w:p>
    <w:p w14:paraId="2ECE91C2">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1.控温范围：室温+8℃～100℃，满足核酸分子杂交中对烤膜，预杂交，杂交，洗膜全过程可进行温度自动控制</w:t>
      </w:r>
    </w:p>
    <w:p w14:paraId="063BFD8D">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★2.控温精度：±0.5℃，温度控制系统采用微电脑控制，采用模糊PID算法，温度控制精确</w:t>
      </w:r>
    </w:p>
    <w:p w14:paraId="504422D6">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★3.温度均匀性误差：±0.03</w:t>
      </w:r>
    </w:p>
    <w:p w14:paraId="758B82E9">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★4.温度显示分辨率：0.1℃</w:t>
      </w:r>
    </w:p>
    <w:p w14:paraId="506AC0C4">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★5.温度平衡时间：&lt;20min</w:t>
      </w:r>
    </w:p>
    <w:p w14:paraId="7A415C86">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★6.一机多用：杂交管旋转装置+底部摇动基座，可应用杂交管、杂交袋、多孔板等多种严格要求的孵育实验</w:t>
      </w:r>
    </w:p>
    <w:p w14:paraId="076B634C">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7.旋转速度：0-30r/min 转速连续可调</w:t>
      </w:r>
    </w:p>
    <w:p w14:paraId="707F0C45">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8.连续工作时间：1-1440min(24小时)</w:t>
      </w:r>
    </w:p>
    <w:p w14:paraId="11EE3F0D">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★9.可定时关闭，也可连续工作（时间设0为长开）</w:t>
      </w:r>
    </w:p>
    <w:p w14:paraId="02D09133">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10.杂交管规格：标配：2根Φ35×240mm。</w:t>
      </w:r>
    </w:p>
    <w:p w14:paraId="195A9328">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11.操作简单：系统采用微电脑集中控制，操作简单实用</w:t>
      </w:r>
    </w:p>
    <w:p w14:paraId="143FE679">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12.转动方式：管式旋转，杂交管易装卸，密封性好</w:t>
      </w:r>
    </w:p>
    <w:p w14:paraId="6D82BB65">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13.可点动控制杂交管位置，也可设置连续转动时间</w:t>
      </w:r>
    </w:p>
    <w:p w14:paraId="1853ECEB">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14.摇匀功能：一键启停摇匀功能，能够使样品快速摇匀</w:t>
      </w:r>
    </w:p>
    <w:p w14:paraId="051FF65C">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15.热风恒温对流技术：实时显示当前实际温度，温度精准均匀</w:t>
      </w:r>
    </w:p>
    <w:p w14:paraId="4C2EB888">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16.一键式点动大屏幕上的各部分按钮，亮色代表此功能运行，灰色代表此功能未开启</w:t>
      </w:r>
    </w:p>
    <w:p w14:paraId="5FAB68DD">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17.交互界面：采用4.3寸真彩触摸屏，显示目标温度、 实时温度、恒温倒计时、旋转速度、旋转时间倒计时等，操作方便、运行状态一目了然</w:t>
      </w:r>
    </w:p>
    <w:p w14:paraId="638E75FE">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★18.开门电子感应器：相应功能开启前，门开关检测门未关则相应功能打不开，有效防止辐射等安全问题</w:t>
      </w:r>
    </w:p>
    <w:p w14:paraId="696A0063">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19.电源电压：220VAC,50Hz</w:t>
      </w:r>
    </w:p>
    <w:p w14:paraId="71A3D396">
      <w:pPr>
        <w:jc w:val="left"/>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20.功率：＜800W</w:t>
      </w:r>
    </w:p>
    <w:p w14:paraId="4DA000A3">
      <w:pPr>
        <w:jc w:val="left"/>
        <w:rPr>
          <w:rFonts w:ascii="仿宋_GB2312" w:hAnsi="仿宋_GB2312" w:eastAsia="仿宋_GB2312" w:cs="仿宋_GB2312"/>
          <w:bCs/>
          <w:color w:val="auto"/>
          <w:sz w:val="24"/>
          <w:highlight w:val="none"/>
        </w:rPr>
      </w:pPr>
    </w:p>
    <w:p w14:paraId="3EF527EB">
      <w:pPr>
        <w:jc w:val="left"/>
        <w:rPr>
          <w:rFonts w:hint="eastAsia" w:ascii="仿宋_GB2312" w:hAnsi="仿宋_GB2312" w:eastAsia="仿宋_GB2312" w:cs="仿宋_GB2312"/>
          <w:b/>
          <w:color w:val="auto"/>
          <w:sz w:val="24"/>
          <w:highlight w:val="none"/>
        </w:rPr>
      </w:pPr>
      <w:r>
        <w:rPr>
          <w:rFonts w:hint="eastAsia" w:ascii="仿宋_GB2312" w:hAnsi="仿宋_GB2312" w:eastAsia="仿宋_GB2312" w:cs="仿宋_GB2312"/>
          <w:b/>
          <w:color w:val="auto"/>
          <w:sz w:val="24"/>
          <w:highlight w:val="none"/>
        </w:rPr>
        <w:t xml:space="preserve">003包：口腔临床模拟教学实习系统 </w:t>
      </w:r>
    </w:p>
    <w:p w14:paraId="1014E5E7">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lang w:val="en-US" w:eastAsia="zh-CN"/>
        </w:rPr>
        <w:t>1.</w:t>
      </w:r>
      <w:r>
        <w:rPr>
          <w:rFonts w:hint="eastAsia" w:ascii="仿宋_GB2312" w:hAnsi="仿宋_GB2312" w:eastAsia="仿宋_GB2312" w:cs="仿宋_GB2312"/>
          <w:bCs/>
          <w:color w:val="auto"/>
          <w:sz w:val="24"/>
          <w:highlight w:val="none"/>
        </w:rPr>
        <w:t>仿真头模部件</w:t>
      </w:r>
    </w:p>
    <w:p w14:paraId="160260E0">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1.1包含模拟平均值颌架、面罩和头颅盖，配有仿真肩体，模拟人体结构。头盖骨采用可翻式设计，与咬合器采用隐藏式螺纹固定。头颅与肩体采取球形接头，可随意调整头模上下左右的角度。</w:t>
      </w:r>
    </w:p>
    <w:p w14:paraId="7AC40CE9">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1.2配有的平均值咬合器前伸髁道斜度≥30度，侧方髁道斜度≥15度，两侧髁头间距离≥110mm，Bonwill三角≥110mm，带有模拟人耳，可上面弓，可真实地模拟下颌数据的转移。</w:t>
      </w:r>
    </w:p>
    <w:p w14:paraId="20E58F83">
      <w:pPr>
        <w:jc w:val="left"/>
        <w:rPr>
          <w:rFonts w:hint="eastAsia" w:ascii="仿宋_GB2312" w:hAnsi="仿宋_GB2312" w:eastAsia="仿宋_GB2312" w:cs="仿宋_GB2312"/>
          <w:b/>
          <w:bCs w:val="0"/>
          <w:color w:val="auto"/>
          <w:sz w:val="24"/>
          <w:highlight w:val="none"/>
        </w:rPr>
      </w:pPr>
      <w:r>
        <w:rPr>
          <w:rFonts w:hint="eastAsia" w:ascii="仿宋_GB2312" w:hAnsi="仿宋_GB2312" w:eastAsia="仿宋_GB2312" w:cs="仿宋_GB2312"/>
          <w:bCs/>
          <w:color w:val="auto"/>
          <w:sz w:val="24"/>
          <w:highlight w:val="none"/>
        </w:rPr>
        <w:t>▲1.3配套的上下颌标准28颗牙列模型采用亚洲人牙齿形态设计，具有解剖形态的密胺制牙齿带单直根（牙齿材质性能接近天然牙釉质材质，流动率102mm±1mm，硬化指数不低于85S，绝缘抵抗指数 10～11Ω，抗弯强度大于100MPA，吸水性小于0.3，维氏硬度大于60HV；），采用隐藏式螺丝固位。牙体形态符合人民卫生出版社出版的《全国高等学校教材·口腔解剖生理学》，对于整个牙齿模型中上下颌牙弓的长度、宽度及28颗牙齿的颊舌侧、近远中、咬合面均保持一致。</w:t>
      </w:r>
      <w:r>
        <w:rPr>
          <w:rFonts w:hint="eastAsia" w:ascii="仿宋_GB2312" w:hAnsi="仿宋_GB2312" w:eastAsia="仿宋_GB2312" w:cs="仿宋_GB2312"/>
          <w:b/>
          <w:bCs w:val="0"/>
          <w:color w:val="auto"/>
          <w:sz w:val="24"/>
          <w:highlight w:val="none"/>
        </w:rPr>
        <w:t>（提供上下颌牙弓形态和28颗牙齿解剖形态模型与人卫教材上的标准数据对比材料）</w:t>
      </w:r>
    </w:p>
    <w:p w14:paraId="5DCB55D0">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▲1.4配套的上下颌牙齿模型牙龈由硅橡胶制成，可拆卸和更换。提供至少1种颜色的牙龈。</w:t>
      </w:r>
      <w:r>
        <w:rPr>
          <w:rFonts w:hint="eastAsia" w:ascii="仿宋_GB2312" w:hAnsi="仿宋_GB2312" w:eastAsia="仿宋_GB2312" w:cs="仿宋_GB2312"/>
          <w:b/>
          <w:bCs w:val="0"/>
          <w:color w:val="auto"/>
          <w:sz w:val="24"/>
          <w:highlight w:val="none"/>
        </w:rPr>
        <w:t>（</w:t>
      </w:r>
      <w:r>
        <w:rPr>
          <w:rFonts w:hint="eastAsia" w:ascii="仿宋_GB2312" w:hAnsi="仿宋_GB2312" w:eastAsia="仿宋_GB2312" w:cs="仿宋_GB2312"/>
          <w:b/>
          <w:bCs w:val="0"/>
          <w:color w:val="auto"/>
          <w:sz w:val="24"/>
          <w:highlight w:val="none"/>
          <w:lang w:eastAsia="zh-CN"/>
        </w:rPr>
        <w:t>提供产品实物照片</w:t>
      </w:r>
      <w:r>
        <w:rPr>
          <w:rFonts w:hint="eastAsia" w:ascii="仿宋_GB2312" w:hAnsi="仿宋_GB2312" w:eastAsia="仿宋_GB2312" w:cs="仿宋_GB2312"/>
          <w:b/>
          <w:bCs w:val="0"/>
          <w:color w:val="auto"/>
          <w:sz w:val="24"/>
          <w:highlight w:val="none"/>
        </w:rPr>
        <w:t>）</w:t>
      </w:r>
    </w:p>
    <w:p w14:paraId="5396143A">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▲1.5配套面罩模拟人体结构，密闭防水，可存储手机出水，牵拉力值：≥150N。</w:t>
      </w:r>
      <w:r>
        <w:rPr>
          <w:rFonts w:hint="eastAsia" w:ascii="仿宋_GB2312" w:hAnsi="仿宋_GB2312" w:eastAsia="仿宋_GB2312" w:cs="仿宋_GB2312"/>
          <w:b/>
          <w:bCs w:val="0"/>
          <w:color w:val="auto"/>
          <w:sz w:val="24"/>
          <w:highlight w:val="none"/>
        </w:rPr>
        <w:t>（</w:t>
      </w:r>
      <w:r>
        <w:rPr>
          <w:rFonts w:hint="eastAsia" w:ascii="仿宋_GB2312" w:hAnsi="仿宋_GB2312" w:eastAsia="仿宋_GB2312" w:cs="仿宋_GB2312"/>
          <w:b/>
          <w:bCs w:val="0"/>
          <w:color w:val="auto"/>
          <w:sz w:val="24"/>
          <w:highlight w:val="none"/>
          <w:lang w:eastAsia="zh-CN"/>
        </w:rPr>
        <w:t>提供第三方出具的具有CMA标志的检测报告</w:t>
      </w:r>
      <w:r>
        <w:rPr>
          <w:rFonts w:hint="eastAsia" w:ascii="仿宋_GB2312" w:hAnsi="仿宋_GB2312" w:eastAsia="仿宋_GB2312" w:cs="仿宋_GB2312"/>
          <w:b/>
          <w:bCs w:val="0"/>
          <w:color w:val="auto"/>
          <w:sz w:val="24"/>
          <w:highlight w:val="none"/>
        </w:rPr>
        <w:t>）</w:t>
      </w:r>
    </w:p>
    <w:p w14:paraId="46787987">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1.6配有完全模拟人体参数的平均值咬合器，包含眶耳平面，鼻翼耳平面，以及颌平面和下颌切点，可进行下颌开闭口位、前伸位和侧向位的模拟运动，配套的颌间距调节器可以把开口距离从50mm调整到22mm，从而进行全开口和半开口实习。</w:t>
      </w:r>
    </w:p>
    <w:p w14:paraId="6F28AACD">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★1.7配套实习模型与咬合器采用隐藏式螺纹固位，与头颅采用高磁性固位装置连接，并设置隐藏可弹式顶出按键。</w:t>
      </w:r>
    </w:p>
    <w:p w14:paraId="4CA63577">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▲1.8模型安装采用磁吸附式高磁性固位装置连接（非螺丝固位或磁吸后手动抠出），吸磁总力：≥13KG。</w:t>
      </w:r>
      <w:r>
        <w:rPr>
          <w:rFonts w:hint="eastAsia" w:ascii="仿宋_GB2312" w:hAnsi="仿宋_GB2312" w:eastAsia="仿宋_GB2312" w:cs="仿宋_GB2312"/>
          <w:b/>
          <w:bCs w:val="0"/>
          <w:color w:val="auto"/>
          <w:sz w:val="24"/>
          <w:highlight w:val="none"/>
        </w:rPr>
        <w:t>（</w:t>
      </w:r>
      <w:r>
        <w:rPr>
          <w:rFonts w:hint="eastAsia" w:ascii="仿宋_GB2312" w:hAnsi="仿宋_GB2312" w:eastAsia="仿宋_GB2312" w:cs="仿宋_GB2312"/>
          <w:b/>
          <w:bCs w:val="0"/>
          <w:color w:val="auto"/>
          <w:sz w:val="24"/>
          <w:highlight w:val="none"/>
          <w:lang w:eastAsia="zh-CN"/>
        </w:rPr>
        <w:t>提供第三方出具的具有CMA标志的检测报告</w:t>
      </w:r>
      <w:r>
        <w:rPr>
          <w:rFonts w:hint="eastAsia" w:ascii="仿宋_GB2312" w:hAnsi="仿宋_GB2312" w:eastAsia="仿宋_GB2312" w:cs="仿宋_GB2312"/>
          <w:b/>
          <w:bCs w:val="0"/>
          <w:color w:val="auto"/>
          <w:sz w:val="24"/>
          <w:highlight w:val="none"/>
        </w:rPr>
        <w:t>）</w:t>
      </w:r>
    </w:p>
    <w:p w14:paraId="2C72E70A">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lang w:val="en-US" w:eastAsia="zh-CN"/>
        </w:rPr>
        <w:t>2.</w:t>
      </w:r>
      <w:r>
        <w:rPr>
          <w:rFonts w:hint="eastAsia" w:ascii="仿宋_GB2312" w:hAnsi="仿宋_GB2312" w:eastAsia="仿宋_GB2312" w:cs="仿宋_GB2312"/>
          <w:bCs/>
          <w:color w:val="auto"/>
          <w:sz w:val="24"/>
          <w:highlight w:val="none"/>
        </w:rPr>
        <w:t>仿真治疗部件</w:t>
      </w:r>
    </w:p>
    <w:p w14:paraId="7E85F79A">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2.1系统尺寸为水平位：980～1100（L）×350～550（W）×(700～850)(H)m m(模型上颚中切齿距地面距离）主体外壳高400～600mm，收纳时500～700（L）×300～500（W）×900～1200（H）mm。</w:t>
      </w:r>
    </w:p>
    <w:p w14:paraId="100F387F">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2.2系统升降俯仰：肩体随作业台面整体升降、肩体可实现仰俯 →升降范围：700～850mm→仰俯范围：-5度～+90度</w:t>
      </w:r>
    </w:p>
    <w:p w14:paraId="772DCCFC">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2.3开关系统：系统有独立的总电防水开关，总气开关和供水开关。</w:t>
      </w:r>
    </w:p>
    <w:p w14:paraId="21EF9E6B">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2.4控制面板系统：控制板可控制仿头模升/降/仰/俯动作，同时控制面板可实现3组记忆位。</w:t>
      </w:r>
    </w:p>
    <w:p w14:paraId="7C0B1FCF">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2.5脚踏开关：可以控制高低速手机的运转、调控手机转速的大小，并可在不使用时进行收纳。</w:t>
      </w:r>
    </w:p>
    <w:p w14:paraId="0DD806C8">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2.6医生挂架系统: 4个挂架位（高速手机，低速手机，吸唾器和三用枪）</w:t>
      </w:r>
    </w:p>
    <w:p w14:paraId="7A87A9E8">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2.7器械托盘：200～300（L）×150～200（W）×8～15（D）mm。</w:t>
      </w:r>
    </w:p>
    <w:p w14:paraId="0ADF818A">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★2.8升降一体性：挂架系统将跟随系统柜一起升降，满足使用者在不同体位情况下均可以合理使用挂架上器械。</w:t>
      </w:r>
    </w:p>
    <w:p w14:paraId="597AC856">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2.9多位置调整性：挂架可根据使用者的操作习惯进行多位置的调整。</w:t>
      </w:r>
    </w:p>
    <w:p w14:paraId="75F7DF67">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★2.10左右互换性：可满足左手习惯者和右手习惯者以及特殊体位使用者的需求。</w:t>
      </w:r>
    </w:p>
    <w:p w14:paraId="7DF98CE6">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2.11供水系统：可以选择多种供水方式，如：内循环水瓶供水/外循环水管供水。</w:t>
      </w:r>
    </w:p>
    <w:p w14:paraId="62638E22">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2.12双重水调节：高、低速手机在使用方面需设置双重调整开关，一重为通用调水开关，另一重为水量微调开关。</w:t>
      </w:r>
    </w:p>
    <w:p w14:paraId="0527C687">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2.13安全指示性：所有外露带电部分需要有明显的标示，控制按键上应该有明确的指示灯。</w:t>
      </w:r>
    </w:p>
    <w:p w14:paraId="6E8EB288">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▲2.14一气化系统锁定设计：系统具有一气锁定设计，设备在通气使用状态时，整机可牢固吸附于地面，无法移动。</w:t>
      </w:r>
      <w:r>
        <w:rPr>
          <w:rFonts w:hint="eastAsia" w:ascii="仿宋_GB2312" w:hAnsi="仿宋_GB2312" w:eastAsia="仿宋_GB2312" w:cs="仿宋_GB2312"/>
          <w:b/>
          <w:bCs w:val="0"/>
          <w:color w:val="auto"/>
          <w:sz w:val="24"/>
          <w:highlight w:val="none"/>
        </w:rPr>
        <w:t>（提供产品具备此项功能的实物</w:t>
      </w:r>
      <w:r>
        <w:rPr>
          <w:rFonts w:hint="eastAsia" w:ascii="仿宋_GB2312" w:hAnsi="仿宋_GB2312" w:eastAsia="仿宋_GB2312" w:cs="仿宋_GB2312"/>
          <w:b/>
          <w:bCs w:val="0"/>
          <w:color w:val="auto"/>
          <w:sz w:val="24"/>
          <w:highlight w:val="none"/>
          <w:lang w:eastAsia="zh-CN"/>
        </w:rPr>
        <w:t>图</w:t>
      </w:r>
      <w:r>
        <w:rPr>
          <w:rFonts w:hint="eastAsia" w:ascii="仿宋_GB2312" w:hAnsi="仿宋_GB2312" w:eastAsia="仿宋_GB2312" w:cs="仿宋_GB2312"/>
          <w:b/>
          <w:bCs w:val="0"/>
          <w:color w:val="auto"/>
          <w:sz w:val="24"/>
          <w:highlight w:val="none"/>
        </w:rPr>
        <w:t>或者产品结构设计图）</w:t>
      </w:r>
    </w:p>
    <w:p w14:paraId="166B116F">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▲2.15整机系统可应用于世界技能大赛、可应用于大学生创新发明大赛（国赛）、可应用于中华口腔医学会全国本科生技能大赛（行业赛）、可应用于全国口腔住院医师规范化培训。</w:t>
      </w:r>
      <w:r>
        <w:rPr>
          <w:rFonts w:hint="eastAsia" w:ascii="仿宋_GB2312" w:hAnsi="仿宋_GB2312" w:eastAsia="仿宋_GB2312" w:cs="仿宋_GB2312"/>
          <w:b/>
          <w:bCs w:val="0"/>
          <w:color w:val="auto"/>
          <w:sz w:val="24"/>
          <w:highlight w:val="none"/>
        </w:rPr>
        <w:t>（</w:t>
      </w:r>
      <w:r>
        <w:rPr>
          <w:rFonts w:hint="eastAsia" w:ascii="仿宋_GB2312" w:hAnsi="仿宋_GB2312" w:eastAsia="仿宋_GB2312" w:cs="仿宋_GB2312"/>
          <w:b/>
          <w:bCs w:val="0"/>
          <w:color w:val="auto"/>
          <w:sz w:val="24"/>
          <w:highlight w:val="none"/>
          <w:lang w:val="en-US" w:eastAsia="zh-CN"/>
        </w:rPr>
        <w:t>需提供可参与此类竞赛的证明材料</w:t>
      </w:r>
      <w:r>
        <w:rPr>
          <w:rFonts w:hint="eastAsia" w:ascii="仿宋_GB2312" w:hAnsi="仿宋_GB2312" w:eastAsia="仿宋_GB2312" w:cs="仿宋_GB2312"/>
          <w:b/>
          <w:bCs w:val="0"/>
          <w:color w:val="auto"/>
          <w:sz w:val="24"/>
          <w:highlight w:val="none"/>
        </w:rPr>
        <w:t>）</w:t>
      </w:r>
    </w:p>
    <w:p w14:paraId="605A8EA0">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lang w:val="en-US" w:eastAsia="zh-CN"/>
        </w:rPr>
        <w:t>3.</w:t>
      </w:r>
      <w:r>
        <w:rPr>
          <w:rFonts w:hint="eastAsia" w:ascii="仿宋_GB2312" w:hAnsi="仿宋_GB2312" w:eastAsia="仿宋_GB2312" w:cs="仿宋_GB2312"/>
          <w:bCs/>
          <w:color w:val="auto"/>
          <w:sz w:val="24"/>
          <w:highlight w:val="none"/>
        </w:rPr>
        <w:t>工作桌体部件</w:t>
      </w:r>
    </w:p>
    <w:p w14:paraId="13E27E0A">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3.1主体表面平板结合处应无明显间隙，无螺钉外露，带有隐藏式多媒体走线装置。</w:t>
      </w:r>
    </w:p>
    <w:p w14:paraId="2B15C5D8">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3.2系统操作工作台桌体尺寸：≥1200mm（长）*600mm（宽）*800（高）mm（全钢结构）</w:t>
      </w:r>
    </w:p>
    <w:p w14:paraId="70A5A1B2">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3.3配备隐藏式电源6位5孔供电插座。</w:t>
      </w:r>
    </w:p>
    <w:p w14:paraId="31678518">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4</w:t>
      </w:r>
      <w:r>
        <w:rPr>
          <w:rFonts w:hint="eastAsia" w:ascii="仿宋_GB2312" w:hAnsi="仿宋_GB2312" w:eastAsia="仿宋_GB2312" w:cs="仿宋_GB2312"/>
          <w:bCs/>
          <w:color w:val="auto"/>
          <w:sz w:val="24"/>
          <w:highlight w:val="none"/>
          <w:lang w:eastAsia="zh-CN"/>
        </w:rPr>
        <w:t>.</w:t>
      </w:r>
      <w:r>
        <w:rPr>
          <w:rFonts w:hint="eastAsia" w:ascii="仿宋_GB2312" w:hAnsi="仿宋_GB2312" w:eastAsia="仿宋_GB2312" w:cs="仿宋_GB2312"/>
          <w:bCs/>
          <w:color w:val="auto"/>
          <w:sz w:val="24"/>
          <w:highlight w:val="none"/>
        </w:rPr>
        <w:t>医师椅部件</w:t>
      </w:r>
      <w:r>
        <w:rPr>
          <w:rFonts w:hint="eastAsia" w:ascii="仿宋_GB2312" w:hAnsi="仿宋_GB2312" w:eastAsia="仿宋_GB2312" w:cs="仿宋_GB2312"/>
          <w:bCs/>
          <w:color w:val="auto"/>
          <w:sz w:val="24"/>
          <w:highlight w:val="none"/>
          <w:lang w:eastAsia="zh-CN"/>
        </w:rPr>
        <w:t>：</w:t>
      </w:r>
      <w:r>
        <w:rPr>
          <w:rFonts w:hint="eastAsia" w:ascii="仿宋_GB2312" w:hAnsi="仿宋_GB2312" w:eastAsia="仿宋_GB2312" w:cs="仿宋_GB2312"/>
          <w:bCs/>
          <w:color w:val="auto"/>
          <w:sz w:val="24"/>
          <w:highlight w:val="none"/>
        </w:rPr>
        <w:t>医师椅载重≥135KG，升降420－530mm，脚轮可随意滑动，可随意调节高度。</w:t>
      </w:r>
    </w:p>
    <w:p w14:paraId="6B69B77E">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lang w:val="en-US" w:eastAsia="zh-CN"/>
        </w:rPr>
        <w:t>5.</w:t>
      </w:r>
      <w:r>
        <w:rPr>
          <w:rFonts w:hint="eastAsia" w:ascii="仿宋_GB2312" w:hAnsi="仿宋_GB2312" w:eastAsia="仿宋_GB2312" w:cs="仿宋_GB2312"/>
          <w:bCs/>
          <w:color w:val="auto"/>
          <w:sz w:val="24"/>
          <w:highlight w:val="none"/>
        </w:rPr>
        <w:t>照明部件</w:t>
      </w:r>
    </w:p>
    <w:p w14:paraId="047586B2">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5.1照明系统为LED无影灯，采用非接触式传感方式调节亮度，无级调节灯光亮度。</w:t>
      </w:r>
    </w:p>
    <w:p w14:paraId="639CE8D7">
      <w:pPr>
        <w:jc w:val="left"/>
        <w:rPr>
          <w:rFonts w:hint="eastAsia" w:ascii="仿宋_GB2312" w:hAnsi="仿宋_GB2312" w:eastAsia="仿宋_GB2312" w:cs="仿宋_GB2312"/>
          <w:bCs/>
          <w:color w:val="auto"/>
          <w:sz w:val="24"/>
          <w:highlight w:val="none"/>
          <w:lang w:eastAsia="zh-CN"/>
        </w:rPr>
      </w:pPr>
      <w:r>
        <w:rPr>
          <w:rFonts w:hint="eastAsia" w:ascii="仿宋_GB2312" w:hAnsi="仿宋_GB2312" w:eastAsia="仿宋_GB2312" w:cs="仿宋_GB2312"/>
          <w:bCs/>
          <w:color w:val="auto"/>
          <w:sz w:val="24"/>
          <w:highlight w:val="none"/>
        </w:rPr>
        <w:t>5.2灯光亮度记忆，用户调整到合适灯光后，关闭无影灯，当重新开启时灯光恢复至原有调整好的亮度</w:t>
      </w:r>
      <w:r>
        <w:rPr>
          <w:rFonts w:hint="eastAsia" w:ascii="仿宋_GB2312" w:hAnsi="仿宋_GB2312" w:eastAsia="仿宋_GB2312" w:cs="仿宋_GB2312"/>
          <w:bCs/>
          <w:color w:val="auto"/>
          <w:sz w:val="24"/>
          <w:highlight w:val="none"/>
          <w:lang w:eastAsia="zh-CN"/>
        </w:rPr>
        <w:t>。</w:t>
      </w:r>
    </w:p>
    <w:p w14:paraId="5FE7349E">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lang w:val="en-US" w:eastAsia="zh-CN"/>
        </w:rPr>
        <w:t>6.</w:t>
      </w:r>
      <w:r>
        <w:rPr>
          <w:rFonts w:hint="eastAsia" w:ascii="仿宋_GB2312" w:hAnsi="仿宋_GB2312" w:eastAsia="仿宋_GB2312" w:cs="仿宋_GB2312"/>
          <w:bCs/>
          <w:color w:val="auto"/>
          <w:sz w:val="24"/>
          <w:highlight w:val="none"/>
        </w:rPr>
        <w:t>手机部件</w:t>
      </w:r>
    </w:p>
    <w:p w14:paraId="138F3D3E">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6.1行业通用高速手机1把。通用按压式四孔接口，可进行135度高温高压灭菌消毒。</w:t>
      </w:r>
    </w:p>
    <w:p w14:paraId="2F1140A9">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6.2行业通用低速直机、弯机、马达1套。通用四孔接口，可进行135度高温高压灭菌消毒。</w:t>
      </w:r>
    </w:p>
    <w:p w14:paraId="7F22BF62">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lang w:val="en-US" w:eastAsia="zh-CN"/>
        </w:rPr>
        <w:t>7.</w:t>
      </w:r>
      <w:r>
        <w:rPr>
          <w:rFonts w:hint="eastAsia" w:ascii="仿宋_GB2312" w:hAnsi="仿宋_GB2312" w:eastAsia="仿宋_GB2312" w:cs="仿宋_GB2312"/>
          <w:bCs/>
          <w:color w:val="auto"/>
          <w:sz w:val="24"/>
          <w:highlight w:val="none"/>
        </w:rPr>
        <w:t>其他要求</w:t>
      </w:r>
    </w:p>
    <w:p w14:paraId="0F00DB6D">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7.1配套教学模型可涵盖口腔全科培训“第一阶段”、“第二阶段”相关学科实训科目要求。 </w:t>
      </w:r>
    </w:p>
    <w:p w14:paraId="2EEEA410">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7.1.1第一阶段</w:t>
      </w:r>
    </w:p>
    <w:p w14:paraId="1418CDE3">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▲7.1.1.1口腔颌面外科包含实训科目模型：口内伤口缝合、拆线、上牙槽后神经阻滞麻醉、下牙槽神经阻滞麻醉、脓肿切开引流术、各类牙拔除术、颞下颌关节复位等、阻生牙拔除术。</w:t>
      </w:r>
      <w:r>
        <w:rPr>
          <w:rFonts w:hint="eastAsia" w:ascii="仿宋_GB2312" w:hAnsi="仿宋_GB2312" w:eastAsia="仿宋_GB2312" w:cs="仿宋_GB2312"/>
          <w:b/>
          <w:bCs w:val="0"/>
          <w:color w:val="auto"/>
          <w:sz w:val="24"/>
          <w:highlight w:val="none"/>
        </w:rPr>
        <w:t>（提供产品名称、产品型号、功能介绍、适配要求说明、产品图片）</w:t>
      </w:r>
    </w:p>
    <w:p w14:paraId="169F294D">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▲7.1.1.2牙体牙髓病包含实训科目模型：前牙充填（活髓）、后牙充填（活髓）、根管治疗、前牙美学树脂修复。</w:t>
      </w:r>
      <w:r>
        <w:rPr>
          <w:rFonts w:hint="eastAsia" w:ascii="仿宋_GB2312" w:hAnsi="仿宋_GB2312" w:eastAsia="仿宋_GB2312" w:cs="仿宋_GB2312"/>
          <w:b/>
          <w:bCs w:val="0"/>
          <w:color w:val="auto"/>
          <w:sz w:val="24"/>
          <w:highlight w:val="none"/>
        </w:rPr>
        <w:t>（提供产品名称、产品型号、功能介绍、适配要求说明、产品图片）</w:t>
      </w:r>
    </w:p>
    <w:p w14:paraId="73002C69">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▲7.1.1.3牙周病包含实训科目模型：牙周检查、诊断及综合治疗设计、菌斑控制的指导（包含对正畸、修复患者）、全口龈上洁治（手工洁治）、全口龈下刮治和根面平整。</w:t>
      </w:r>
      <w:r>
        <w:rPr>
          <w:rFonts w:hint="eastAsia" w:ascii="仿宋_GB2312" w:hAnsi="仿宋_GB2312" w:eastAsia="仿宋_GB2312" w:cs="仿宋_GB2312"/>
          <w:b/>
          <w:bCs w:val="0"/>
          <w:color w:val="auto"/>
          <w:sz w:val="24"/>
          <w:highlight w:val="none"/>
        </w:rPr>
        <w:t>（提供产品名称、产品型号、功能介绍、适配要求说明、产品图片）</w:t>
      </w:r>
    </w:p>
    <w:p w14:paraId="68B4B63F">
      <w:pPr>
        <w:jc w:val="left"/>
        <w:rPr>
          <w:rFonts w:hint="eastAsia" w:ascii="仿宋_GB2312" w:hAnsi="仿宋_GB2312" w:eastAsia="仿宋_GB2312" w:cs="仿宋_GB2312"/>
          <w:b/>
          <w:bCs w:val="0"/>
          <w:color w:val="auto"/>
          <w:sz w:val="24"/>
          <w:highlight w:val="none"/>
        </w:rPr>
      </w:pPr>
      <w:r>
        <w:rPr>
          <w:rFonts w:hint="eastAsia" w:ascii="仿宋_GB2312" w:hAnsi="仿宋_GB2312" w:eastAsia="仿宋_GB2312" w:cs="仿宋_GB2312"/>
          <w:bCs/>
          <w:color w:val="auto"/>
          <w:sz w:val="24"/>
          <w:highlight w:val="none"/>
        </w:rPr>
        <w:t>▲7.1.1.4口腔修复包含实训科目模型：可摘局部义齿修复、各类桩核的修复、冠桥的修复（单位）</w:t>
      </w:r>
      <w:r>
        <w:rPr>
          <w:rFonts w:hint="eastAsia" w:ascii="仿宋_GB2312" w:hAnsi="仿宋_GB2312" w:eastAsia="仿宋_GB2312" w:cs="仿宋_GB2312"/>
          <w:b/>
          <w:bCs w:val="0"/>
          <w:color w:val="auto"/>
          <w:sz w:val="24"/>
          <w:highlight w:val="none"/>
        </w:rPr>
        <w:t>（提供产品名称、产品型号、功能介绍、适配要求说明、产品图片）</w:t>
      </w:r>
    </w:p>
    <w:p w14:paraId="77C083B2">
      <w:pPr>
        <w:jc w:val="left"/>
        <w:rPr>
          <w:rFonts w:hint="eastAsia" w:ascii="仿宋_GB2312" w:hAnsi="仿宋_GB2312" w:eastAsia="仿宋_GB2312" w:cs="仿宋_GB2312"/>
          <w:b/>
          <w:bCs w:val="0"/>
          <w:color w:val="auto"/>
          <w:sz w:val="24"/>
          <w:highlight w:val="none"/>
        </w:rPr>
      </w:pPr>
      <w:r>
        <w:rPr>
          <w:rFonts w:hint="eastAsia" w:ascii="仿宋_GB2312" w:hAnsi="仿宋_GB2312" w:eastAsia="仿宋_GB2312" w:cs="仿宋_GB2312"/>
          <w:bCs/>
          <w:color w:val="auto"/>
          <w:sz w:val="24"/>
          <w:highlight w:val="none"/>
        </w:rPr>
        <w:t>▲7.1.1.5口腔颌面影像包含实训科目模型：牙片投照、其他口腔X线片、CT片判读。</w:t>
      </w:r>
      <w:r>
        <w:rPr>
          <w:rFonts w:hint="eastAsia" w:ascii="仿宋_GB2312" w:hAnsi="仿宋_GB2312" w:eastAsia="仿宋_GB2312" w:cs="仿宋_GB2312"/>
          <w:b/>
          <w:bCs w:val="0"/>
          <w:color w:val="auto"/>
          <w:sz w:val="24"/>
          <w:highlight w:val="none"/>
        </w:rPr>
        <w:t>（提供产品名称、产品型号、功能介绍、适配要求说明、产品图片）</w:t>
      </w:r>
    </w:p>
    <w:p w14:paraId="2F894AB0">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▲7.1.1.6口腔预防包含实训科目模型：预防性充填、局部用氟化物防龋、窝沟封闭、口腔健康教育、龋病牙周病流行病学调查设计、社区口腔调研或宣教。</w:t>
      </w:r>
      <w:r>
        <w:rPr>
          <w:rFonts w:hint="eastAsia" w:ascii="仿宋_GB2312" w:hAnsi="仿宋_GB2312" w:eastAsia="仿宋_GB2312" w:cs="仿宋_GB2312"/>
          <w:b/>
          <w:bCs w:val="0"/>
          <w:color w:val="auto"/>
          <w:sz w:val="24"/>
          <w:highlight w:val="none"/>
        </w:rPr>
        <w:t>（提供产品名称、产品型号、功能介绍、适配要求说明、产品图片）</w:t>
      </w:r>
    </w:p>
    <w:p w14:paraId="410301B4">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7.1.2第二阶段</w:t>
      </w:r>
    </w:p>
    <w:p w14:paraId="2B651FF9">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▲7.1.2.1牙体牙髓病包含实训科目模型：前牙充填（活髓）、后牙充填（活髓）、根管治疗（包含根管在治疗）、前牙美学树脂修复、根尖外科手术。</w:t>
      </w:r>
      <w:r>
        <w:rPr>
          <w:rFonts w:hint="eastAsia" w:ascii="仿宋_GB2312" w:hAnsi="仿宋_GB2312" w:eastAsia="仿宋_GB2312" w:cs="仿宋_GB2312"/>
          <w:b/>
          <w:bCs w:val="0"/>
          <w:color w:val="auto"/>
          <w:sz w:val="24"/>
          <w:highlight w:val="none"/>
        </w:rPr>
        <w:t>（提供产品名称、产品型号、功能介绍、适配要求说明、产品图片）</w:t>
      </w:r>
    </w:p>
    <w:p w14:paraId="6188552B">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▲7.1.2.2牙周病包含实训科目模型：牙周检查、诊断及综合治疗设计、菌斑控制的指导（包含对正畸、修复患者）、全口龈上洁治、全口龈下刮治和根面平整、牙龈切除术、牙龈翻瓣术/牙冠延长术。</w:t>
      </w:r>
      <w:r>
        <w:rPr>
          <w:rFonts w:hint="eastAsia" w:ascii="仿宋_GB2312" w:hAnsi="仿宋_GB2312" w:eastAsia="仿宋_GB2312" w:cs="仿宋_GB2312"/>
          <w:b/>
          <w:bCs w:val="0"/>
          <w:color w:val="auto"/>
          <w:sz w:val="24"/>
          <w:highlight w:val="none"/>
        </w:rPr>
        <w:t>（提供产品名称、产品型号、功能介绍、适配要求说明、产品图片）</w:t>
      </w:r>
    </w:p>
    <w:p w14:paraId="463837ED">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▲7.1.2.3儿童口腔病包含实训科目模型：乳牙拔除、乳恒牙龋齿充填术、间接牙髓治疗术、乳牙牙髓摘除术、儿童橡皮障隔湿术、年轻恒牙牙髓治疗、乳牙牙髓切断术、间隙保持器、儿童牙外伤处理。</w:t>
      </w:r>
      <w:r>
        <w:rPr>
          <w:rFonts w:hint="eastAsia" w:ascii="仿宋_GB2312" w:hAnsi="仿宋_GB2312" w:eastAsia="仿宋_GB2312" w:cs="仿宋_GB2312"/>
          <w:b/>
          <w:bCs w:val="0"/>
          <w:color w:val="auto"/>
          <w:sz w:val="24"/>
          <w:highlight w:val="none"/>
        </w:rPr>
        <w:t>（提供产品名称、产品型号、功能介绍、适配要求说明、产品图片）</w:t>
      </w:r>
    </w:p>
    <w:p w14:paraId="75C648C0">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▲7.1.2.4口腔颌面外科包含实训科目模型：普通牙拔除、困难牙拔除（死髓牙、残根或残冠）、阻生牙、埋伏牙拔除、软组织肿物切除术、间隙感染切开引流术、清创缝合术。</w:t>
      </w:r>
      <w:r>
        <w:rPr>
          <w:rFonts w:hint="eastAsia" w:ascii="仿宋_GB2312" w:hAnsi="仿宋_GB2312" w:eastAsia="仿宋_GB2312" w:cs="仿宋_GB2312"/>
          <w:b/>
          <w:bCs w:val="0"/>
          <w:color w:val="auto"/>
          <w:sz w:val="24"/>
          <w:highlight w:val="none"/>
        </w:rPr>
        <w:t>（提供产品名称、产品型号、功能介绍、适配要求说明、产品图片）</w:t>
      </w:r>
    </w:p>
    <w:p w14:paraId="52E1DCCB">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▲7.1.2.5口腔修复包含实训科目模型：可摘局部义齿修复、贴面、嵌体、冠、桥修复（单位）、各类桩核的修复、总义齿（含单颌）的修复。</w:t>
      </w:r>
      <w:r>
        <w:rPr>
          <w:rFonts w:hint="eastAsia" w:ascii="仿宋_GB2312" w:hAnsi="仿宋_GB2312" w:eastAsia="仿宋_GB2312" w:cs="仿宋_GB2312"/>
          <w:b/>
          <w:bCs w:val="0"/>
          <w:color w:val="auto"/>
          <w:sz w:val="24"/>
          <w:highlight w:val="none"/>
        </w:rPr>
        <w:t>（提供产品名称、产品型号、功能介绍、适配要求说明、产品图片）</w:t>
      </w:r>
    </w:p>
    <w:p w14:paraId="3DE03914">
      <w:pPr>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7.1.2.6口腔正畸包含实训科目模型：选修正畸住院医师培训的部分相关课程:了解错畸形的病因、分类、诊断和矫治原则;熟悉与本学科相关错畸形的正畸治疗方法。临床见习:观摩活动矫正器的制作、固定矫治器临床简单操作(包括粘带环、结扎、粘托槽等),学会托槽、颊管脱落后的临时处理方法。</w:t>
      </w:r>
      <w:r>
        <w:rPr>
          <w:rFonts w:hint="eastAsia" w:ascii="仿宋_GB2312" w:hAnsi="仿宋_GB2312" w:eastAsia="仿宋_GB2312" w:cs="仿宋_GB2312"/>
          <w:b/>
          <w:bCs w:val="0"/>
          <w:color w:val="auto"/>
          <w:sz w:val="24"/>
          <w:highlight w:val="none"/>
        </w:rPr>
        <w:t>（提供产品名称、产品型号、功能介绍、适配要求说明、产品图片）</w:t>
      </w:r>
    </w:p>
    <w:p w14:paraId="5AC7945F">
      <w:pPr>
        <w:rPr>
          <w:rFonts w:ascii="宋体" w:hAnsi="宋体" w:cs="宋体"/>
          <w:color w:val="auto"/>
          <w:kern w:val="0"/>
          <w:sz w:val="24"/>
          <w:highlight w:val="none"/>
        </w:rPr>
      </w:pPr>
    </w:p>
    <w:p w14:paraId="726E76FE">
      <w:pPr>
        <w:jc w:val="left"/>
        <w:textAlignment w:val="baseline"/>
        <w:rPr>
          <w:rFonts w:ascii="仿宋_GB2312" w:hAnsi="仿宋_GB2312" w:eastAsia="仿宋_GB2312" w:cs="仿宋_GB2312"/>
          <w:color w:val="auto"/>
          <w:sz w:val="24"/>
          <w:highlight w:val="none"/>
        </w:rPr>
      </w:pPr>
    </w:p>
    <w:p w14:paraId="3B8A7A42">
      <w:pPr>
        <w:rPr>
          <w:rFonts w:ascii="仿宋_GB2312" w:hAnsi="仿宋_GB2312" w:eastAsia="仿宋_GB2312" w:cs="仿宋_GB2312"/>
          <w:b/>
          <w:color w:val="auto"/>
          <w:kern w:val="0"/>
          <w:sz w:val="24"/>
          <w:highlight w:val="none"/>
        </w:rPr>
      </w:pPr>
      <w:r>
        <w:rPr>
          <w:rFonts w:hint="eastAsia" w:ascii="仿宋_GB2312" w:hAnsi="仿宋_GB2312" w:eastAsia="仿宋_GB2312" w:cs="仿宋_GB2312"/>
          <w:b/>
          <w:color w:val="auto"/>
          <w:kern w:val="0"/>
          <w:sz w:val="24"/>
          <w:highlight w:val="none"/>
        </w:rPr>
        <w:t>注：（1）偏离表中投标参数不允许完全复制粘贴，否则视为无效投标。</w:t>
      </w:r>
    </w:p>
    <w:p w14:paraId="5341CB27">
      <w:pPr>
        <w:rPr>
          <w:rFonts w:ascii="仿宋_GB2312" w:hAnsi="仿宋_GB2312" w:eastAsia="仿宋_GB2312" w:cs="仿宋_GB2312"/>
          <w:color w:val="auto"/>
          <w:sz w:val="24"/>
          <w:highlight w:val="none"/>
        </w:rPr>
      </w:pPr>
      <w:r>
        <w:rPr>
          <w:rFonts w:hint="eastAsia" w:ascii="仿宋_GB2312" w:hAnsi="仿宋_GB2312" w:eastAsia="仿宋_GB2312" w:cs="仿宋_GB2312"/>
          <w:b/>
          <w:color w:val="auto"/>
          <w:kern w:val="0"/>
          <w:sz w:val="24"/>
          <w:highlight w:val="none"/>
        </w:rPr>
        <w:t>（2）★指标为必须满足条款。★项任一条参数不满足，则视为无效投标。▲指标为重点扣分项。</w:t>
      </w:r>
    </w:p>
    <w:p w14:paraId="3F9F4EFA">
      <w:pPr>
        <w:rPr>
          <w:rFonts w:ascii="仿宋_GB2312" w:hAnsi="仿宋_GB2312" w:eastAsia="仿宋_GB2312" w:cs="仿宋_GB2312"/>
          <w:color w:val="auto"/>
          <w:highlight w:val="none"/>
        </w:rPr>
      </w:pPr>
      <w:bookmarkStart w:id="120" w:name="_Toc25237"/>
      <w:bookmarkStart w:id="121" w:name="_Toc2821_WPSOffice_Level1"/>
      <w:r>
        <w:rPr>
          <w:rFonts w:hint="eastAsia" w:ascii="仿宋_GB2312" w:hAnsi="仿宋_GB2312" w:eastAsia="仿宋_GB2312" w:cs="仿宋_GB2312"/>
          <w:color w:val="auto"/>
          <w:highlight w:val="none"/>
        </w:rPr>
        <w:br w:type="page"/>
      </w:r>
    </w:p>
    <w:p w14:paraId="58720E38">
      <w:pPr>
        <w:pStyle w:val="2"/>
        <w:snapToGrid w:val="0"/>
        <w:spacing w:before="312" w:beforeLines="100" w:after="312" w:afterLines="100" w:line="360" w:lineRule="auto"/>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第四章 评标方法</w:t>
      </w:r>
      <w:bookmarkEnd w:id="120"/>
      <w:bookmarkEnd w:id="121"/>
    </w:p>
    <w:p w14:paraId="5C4734B7">
      <w:pPr>
        <w:adjustRightInd w:val="0"/>
        <w:snapToGrid w:val="0"/>
        <w:spacing w:line="360" w:lineRule="auto"/>
        <w:ind w:firstLine="420" w:firstLineChars="200"/>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Cs/>
          <w:color w:val="auto"/>
          <w:kern w:val="0"/>
          <w:szCs w:val="21"/>
          <w:highlight w:val="none"/>
        </w:rPr>
        <w:t>本项目将按照招标文件第一章投标人须知中“六 开标及评标”、“七 确定中标”及本章的规定评标。</w:t>
      </w:r>
    </w:p>
    <w:p w14:paraId="61BFEDB0">
      <w:pPr>
        <w:adjustRightInd w:val="0"/>
        <w:snapToGrid w:val="0"/>
        <w:spacing w:line="360" w:lineRule="auto"/>
        <w:ind w:firstLine="422" w:firstLineChars="200"/>
        <w:rPr>
          <w:rFonts w:ascii="仿宋_GB2312" w:hAnsi="仿宋_GB2312" w:eastAsia="仿宋_GB2312" w:cs="仿宋_GB2312"/>
          <w:b/>
          <w:color w:val="auto"/>
          <w:kern w:val="0"/>
          <w:szCs w:val="21"/>
          <w:highlight w:val="none"/>
        </w:rPr>
      </w:pPr>
      <w:bookmarkStart w:id="122" w:name="_Toc22313_WPSOffice_Level2"/>
      <w:r>
        <w:rPr>
          <w:rFonts w:hint="eastAsia" w:ascii="仿宋_GB2312" w:hAnsi="仿宋_GB2312" w:eastAsia="仿宋_GB2312" w:cs="仿宋_GB2312"/>
          <w:b/>
          <w:color w:val="auto"/>
          <w:kern w:val="0"/>
          <w:szCs w:val="21"/>
          <w:highlight w:val="none"/>
        </w:rPr>
        <w:t>一、评标方法</w:t>
      </w:r>
      <w:bookmarkEnd w:id="122"/>
    </w:p>
    <w:p w14:paraId="4C49AF47">
      <w:pPr>
        <w:adjustRightInd w:val="0"/>
        <w:snapToGri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本项目采用</w:t>
      </w:r>
      <w:r>
        <w:rPr>
          <w:rFonts w:hint="eastAsia" w:ascii="仿宋_GB2312" w:hAnsi="仿宋_GB2312" w:eastAsia="仿宋_GB2312" w:cs="仿宋_GB2312"/>
          <w:color w:val="auto"/>
          <w:kern w:val="0"/>
          <w:szCs w:val="21"/>
          <w:highlight w:val="none"/>
          <w:u w:val="single"/>
        </w:rPr>
        <w:t>综合评分法</w:t>
      </w:r>
      <w:r>
        <w:rPr>
          <w:rFonts w:hint="eastAsia" w:ascii="仿宋_GB2312" w:hAnsi="仿宋_GB2312" w:eastAsia="仿宋_GB2312" w:cs="仿宋_GB2312"/>
          <w:color w:val="auto"/>
          <w:kern w:val="0"/>
          <w:szCs w:val="21"/>
          <w:highlight w:val="none"/>
        </w:rPr>
        <w:t>进行评标。</w:t>
      </w:r>
    </w:p>
    <w:p w14:paraId="309F021A">
      <w:pPr>
        <w:adjustRightInd w:val="0"/>
        <w:snapToGrid w:val="0"/>
        <w:spacing w:line="360" w:lineRule="auto"/>
        <w:ind w:firstLine="422" w:firstLineChars="200"/>
        <w:textAlignment w:val="baseline"/>
        <w:rPr>
          <w:rFonts w:ascii="仿宋_GB2312" w:hAnsi="仿宋_GB2312" w:eastAsia="仿宋_GB2312" w:cs="仿宋_GB2312"/>
          <w:b/>
          <w:color w:val="auto"/>
          <w:kern w:val="0"/>
          <w:szCs w:val="21"/>
          <w:highlight w:val="none"/>
        </w:rPr>
      </w:pPr>
      <w:bookmarkStart w:id="123" w:name="_Toc21368_WPSOffice_Level2"/>
      <w:r>
        <w:rPr>
          <w:rFonts w:hint="eastAsia" w:ascii="仿宋_GB2312" w:hAnsi="仿宋_GB2312" w:eastAsia="仿宋_GB2312" w:cs="仿宋_GB2312"/>
          <w:b/>
          <w:color w:val="auto"/>
          <w:kern w:val="0"/>
          <w:szCs w:val="21"/>
          <w:highlight w:val="none"/>
        </w:rPr>
        <w:t>二、评标原则及程序</w:t>
      </w:r>
      <w:bookmarkEnd w:id="123"/>
    </w:p>
    <w:p w14:paraId="1B141E8A">
      <w:pPr>
        <w:adjustRightInd w:val="0"/>
        <w:snapToGrid w:val="0"/>
        <w:spacing w:line="360" w:lineRule="auto"/>
        <w:ind w:firstLine="422" w:firstLineChars="200"/>
        <w:textAlignment w:val="baseline"/>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
          <w:color w:val="auto"/>
          <w:kern w:val="0"/>
          <w:szCs w:val="21"/>
          <w:highlight w:val="none"/>
        </w:rPr>
        <w:t>（一）评标原则</w:t>
      </w:r>
    </w:p>
    <w:p w14:paraId="31A3CD5F">
      <w:pPr>
        <w:adjustRightInd w:val="0"/>
        <w:snapToGrid w:val="0"/>
        <w:spacing w:line="360" w:lineRule="auto"/>
        <w:ind w:firstLine="420" w:firstLineChars="200"/>
        <w:textAlignment w:val="baseline"/>
        <w:rPr>
          <w:rFonts w:ascii="仿宋_GB2312" w:hAnsi="仿宋_GB2312" w:eastAsia="仿宋_GB2312" w:cs="仿宋_GB2312"/>
          <w:b/>
          <w:color w:val="auto"/>
          <w:kern w:val="0"/>
          <w:szCs w:val="21"/>
          <w:highlight w:val="none"/>
        </w:rPr>
      </w:pPr>
      <w:r>
        <w:rPr>
          <w:rFonts w:hint="eastAsia" w:ascii="仿宋_GB2312" w:hAnsi="仿宋_GB2312" w:eastAsia="仿宋_GB2312" w:cs="仿宋_GB2312"/>
          <w:color w:val="auto"/>
          <w:kern w:val="0"/>
          <w:highlight w:val="none"/>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14:paraId="57BA5585">
      <w:pPr>
        <w:adjustRightInd w:val="0"/>
        <w:snapToGrid w:val="0"/>
        <w:spacing w:line="360" w:lineRule="auto"/>
        <w:ind w:firstLine="422" w:firstLineChars="200"/>
        <w:textAlignment w:val="baseline"/>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
          <w:color w:val="auto"/>
          <w:kern w:val="0"/>
          <w:szCs w:val="21"/>
          <w:highlight w:val="none"/>
        </w:rPr>
        <w:t>（二）评标程序</w:t>
      </w:r>
    </w:p>
    <w:p w14:paraId="76D4D6CB">
      <w:pPr>
        <w:adjustRightInd w:val="0"/>
        <w:snapToGrid w:val="0"/>
        <w:spacing w:line="360" w:lineRule="auto"/>
        <w:ind w:firstLine="422" w:firstLineChars="200"/>
        <w:textAlignment w:val="baseline"/>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
          <w:color w:val="auto"/>
          <w:kern w:val="0"/>
          <w:szCs w:val="21"/>
          <w:highlight w:val="none"/>
        </w:rPr>
        <w:t>★1、资格审查</w:t>
      </w:r>
    </w:p>
    <w:p w14:paraId="38475BE6">
      <w:pPr>
        <w:adjustRightInd w:val="0"/>
        <w:snapToGrid w:val="0"/>
        <w:spacing w:line="360" w:lineRule="auto"/>
        <w:ind w:firstLine="420" w:firstLineChars="200"/>
        <w:textAlignment w:val="baseline"/>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1.1详见投标人须知22条。资格审查表详见本章附件1。</w:t>
      </w:r>
    </w:p>
    <w:p w14:paraId="4D860A03">
      <w:pPr>
        <w:adjustRightInd w:val="0"/>
        <w:snapToGrid w:val="0"/>
        <w:spacing w:line="360" w:lineRule="auto"/>
        <w:ind w:firstLine="422" w:firstLineChars="200"/>
        <w:rPr>
          <w:rFonts w:ascii="仿宋_GB2312" w:hAnsi="仿宋_GB2312" w:eastAsia="仿宋_GB2312" w:cs="仿宋_GB2312"/>
          <w:b/>
          <w:bCs/>
          <w:color w:val="auto"/>
          <w:kern w:val="0"/>
          <w:szCs w:val="21"/>
          <w:highlight w:val="none"/>
        </w:rPr>
      </w:pPr>
      <w:r>
        <w:rPr>
          <w:rFonts w:hint="eastAsia" w:ascii="仿宋_GB2312" w:hAnsi="仿宋_GB2312" w:eastAsia="仿宋_GB2312" w:cs="仿宋_GB2312"/>
          <w:b/>
          <w:color w:val="auto"/>
          <w:kern w:val="0"/>
          <w:szCs w:val="21"/>
          <w:highlight w:val="none"/>
        </w:rPr>
        <w:t>★</w:t>
      </w:r>
      <w:r>
        <w:rPr>
          <w:rFonts w:hint="eastAsia" w:ascii="仿宋_GB2312" w:hAnsi="仿宋_GB2312" w:eastAsia="仿宋_GB2312" w:cs="仿宋_GB2312"/>
          <w:b/>
          <w:bCs/>
          <w:color w:val="auto"/>
          <w:kern w:val="0"/>
          <w:szCs w:val="21"/>
          <w:highlight w:val="none"/>
        </w:rPr>
        <w:t>2、符合性审查</w:t>
      </w:r>
    </w:p>
    <w:p w14:paraId="4905A087">
      <w:pPr>
        <w:adjustRightInd w:val="0"/>
        <w:snapToGri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2.1详见投标人须知23条。符合性审查表详见本章附件2。</w:t>
      </w:r>
    </w:p>
    <w:p w14:paraId="74EEBBA7">
      <w:pPr>
        <w:adjustRightInd w:val="0"/>
        <w:snapToGrid w:val="0"/>
        <w:spacing w:line="360" w:lineRule="auto"/>
        <w:ind w:firstLine="422" w:firstLineChars="200"/>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
          <w:color w:val="auto"/>
          <w:kern w:val="0"/>
          <w:szCs w:val="21"/>
          <w:highlight w:val="none"/>
        </w:rPr>
        <w:t>3、样品及演示</w:t>
      </w:r>
    </w:p>
    <w:p w14:paraId="0CFFFB81">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3.1</w:t>
      </w:r>
      <w:r>
        <w:rPr>
          <w:rFonts w:hint="eastAsia" w:ascii="仿宋_GB2312" w:hAnsi="仿宋_GB2312" w:eastAsia="仿宋_GB2312" w:cs="仿宋_GB2312"/>
          <w:color w:val="auto"/>
          <w:kern w:val="0"/>
          <w:szCs w:val="21"/>
          <w:highlight w:val="none"/>
        </w:rPr>
        <w:t>投标人须知表11.3条</w:t>
      </w:r>
      <w:r>
        <w:rPr>
          <w:rFonts w:hint="eastAsia" w:ascii="仿宋_GB2312" w:hAnsi="仿宋_GB2312" w:eastAsia="仿宋_GB2312" w:cs="仿宋_GB2312"/>
          <w:color w:val="auto"/>
          <w:szCs w:val="21"/>
          <w:highlight w:val="none"/>
        </w:rPr>
        <w:t>中要求投标人提供样品或演示的，按照</w:t>
      </w:r>
      <w:r>
        <w:rPr>
          <w:rFonts w:hint="eastAsia" w:ascii="仿宋_GB2312" w:hAnsi="仿宋_GB2312" w:eastAsia="仿宋_GB2312" w:cs="仿宋_GB2312"/>
          <w:color w:val="auto"/>
          <w:kern w:val="0"/>
          <w:szCs w:val="21"/>
          <w:highlight w:val="none"/>
        </w:rPr>
        <w:t>投标人须知表25.1条</w:t>
      </w:r>
      <w:r>
        <w:rPr>
          <w:rFonts w:hint="eastAsia" w:ascii="仿宋_GB2312" w:hAnsi="仿宋_GB2312" w:eastAsia="仿宋_GB2312" w:cs="仿宋_GB2312"/>
          <w:color w:val="auto"/>
          <w:szCs w:val="21"/>
          <w:highlight w:val="none"/>
        </w:rPr>
        <w:t>中确定的评审方法以及评审标准进行评审。(样品或演示属于符合性审查的，按照</w:t>
      </w:r>
      <w:r>
        <w:rPr>
          <w:rFonts w:hint="eastAsia" w:ascii="仿宋_GB2312" w:hAnsi="仿宋_GB2312" w:eastAsia="仿宋_GB2312" w:cs="仿宋_GB2312"/>
          <w:color w:val="auto"/>
          <w:kern w:val="0"/>
          <w:szCs w:val="21"/>
          <w:highlight w:val="none"/>
        </w:rPr>
        <w:t>投标人须知23条</w:t>
      </w:r>
      <w:r>
        <w:rPr>
          <w:rFonts w:hint="eastAsia" w:ascii="仿宋_GB2312" w:hAnsi="仿宋_GB2312" w:eastAsia="仿宋_GB2312" w:cs="仿宋_GB2312"/>
          <w:color w:val="auto"/>
          <w:szCs w:val="21"/>
          <w:highlight w:val="none"/>
        </w:rPr>
        <w:t>规定执行）</w:t>
      </w:r>
    </w:p>
    <w:p w14:paraId="7EB51A6E">
      <w:pPr>
        <w:adjustRightInd w:val="0"/>
        <w:snapToGrid w:val="0"/>
        <w:spacing w:line="360" w:lineRule="auto"/>
        <w:ind w:firstLine="422" w:firstLineChars="200"/>
        <w:rPr>
          <w:rFonts w:ascii="仿宋_GB2312" w:hAnsi="仿宋_GB2312" w:eastAsia="仿宋_GB2312" w:cs="仿宋_GB2312"/>
          <w:b/>
          <w:bCs/>
          <w:color w:val="auto"/>
          <w:kern w:val="0"/>
          <w:szCs w:val="21"/>
          <w:highlight w:val="none"/>
        </w:rPr>
      </w:pPr>
      <w:r>
        <w:rPr>
          <w:rFonts w:hint="eastAsia" w:ascii="仿宋_GB2312" w:hAnsi="仿宋_GB2312" w:eastAsia="仿宋_GB2312" w:cs="仿宋_GB2312"/>
          <w:b/>
          <w:color w:val="auto"/>
          <w:kern w:val="0"/>
          <w:szCs w:val="21"/>
          <w:highlight w:val="none"/>
        </w:rPr>
        <w:t>★4</w:t>
      </w:r>
      <w:r>
        <w:rPr>
          <w:rFonts w:hint="eastAsia" w:ascii="仿宋_GB2312" w:hAnsi="仿宋_GB2312" w:eastAsia="仿宋_GB2312" w:cs="仿宋_GB2312"/>
          <w:b/>
          <w:bCs/>
          <w:color w:val="auto"/>
          <w:kern w:val="0"/>
          <w:szCs w:val="21"/>
          <w:highlight w:val="none"/>
        </w:rPr>
        <w:t>、同一品牌产品</w:t>
      </w:r>
    </w:p>
    <w:p w14:paraId="73CEE5EF">
      <w:pPr>
        <w:adjustRightInd w:val="0"/>
        <w:snapToGrid w:val="0"/>
        <w:spacing w:line="360" w:lineRule="auto"/>
        <w:ind w:firstLine="420" w:firstLineChars="200"/>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4.1通过资格审查、符合性审查的不同品牌投标人不足3家的，按照</w:t>
      </w:r>
      <w:r>
        <w:rPr>
          <w:rFonts w:hint="eastAsia" w:ascii="仿宋_GB2312" w:hAnsi="仿宋_GB2312" w:eastAsia="仿宋_GB2312" w:cs="仿宋_GB2312"/>
          <w:color w:val="auto"/>
          <w:kern w:val="0"/>
          <w:szCs w:val="21"/>
          <w:highlight w:val="none"/>
        </w:rPr>
        <w:t>投标人须知28条第（1）款</w:t>
      </w:r>
      <w:r>
        <w:rPr>
          <w:rFonts w:hint="eastAsia" w:ascii="仿宋_GB2312" w:hAnsi="仿宋_GB2312" w:eastAsia="仿宋_GB2312" w:cs="仿宋_GB2312"/>
          <w:color w:val="auto"/>
          <w:szCs w:val="21"/>
          <w:highlight w:val="none"/>
        </w:rPr>
        <w:t>执行</w:t>
      </w:r>
      <w:r>
        <w:rPr>
          <w:rFonts w:hint="eastAsia" w:ascii="仿宋_GB2312" w:hAnsi="仿宋_GB2312" w:eastAsia="仿宋_GB2312" w:cs="仿宋_GB2312"/>
          <w:color w:val="auto"/>
          <w:kern w:val="0"/>
          <w:szCs w:val="21"/>
          <w:highlight w:val="none"/>
        </w:rPr>
        <w:t>。</w:t>
      </w:r>
    </w:p>
    <w:p w14:paraId="4029CE64">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4.2提供相同品牌产品且通过资格审查、符合性审查的不同投标人，按一家投标人计算。</w:t>
      </w:r>
    </w:p>
    <w:p w14:paraId="543B2468">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4.3如一个分包内只有一种产品，不同投标人所投产品为同一品牌的，按如下方式处理：</w:t>
      </w:r>
    </w:p>
    <w:p w14:paraId="466F76E0">
      <w:pPr>
        <w:numPr>
          <w:ilvl w:val="0"/>
          <w:numId w:val="6"/>
        </w:num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如本项目使用最低评标价法，提供相同品牌产品的不同投标人以其中通过资格审查、符合性审查且报价最低的参加比较及评价；报价相同的，按</w:t>
      </w:r>
      <w:r>
        <w:rPr>
          <w:rFonts w:hint="eastAsia" w:ascii="仿宋_GB2312" w:hAnsi="仿宋_GB2312" w:eastAsia="仿宋_GB2312" w:cs="仿宋_GB2312"/>
          <w:color w:val="auto"/>
          <w:kern w:val="0"/>
          <w:szCs w:val="21"/>
          <w:highlight w:val="none"/>
        </w:rPr>
        <w:t>本章第8条</w:t>
      </w:r>
      <w:r>
        <w:rPr>
          <w:rFonts w:hint="eastAsia" w:ascii="仿宋_GB2312" w:hAnsi="仿宋_GB2312" w:eastAsia="仿宋_GB2312" w:cs="仿宋_GB2312"/>
          <w:color w:val="auto"/>
          <w:szCs w:val="21"/>
          <w:highlight w:val="none"/>
        </w:rPr>
        <w:t>“推荐中标候选人的原则”规定执行；未规定的采取随机抽取方式确定，其他</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4ACC9C19">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14:paraId="3A5D1AD7">
      <w:pPr>
        <w:adjustRightInd w:val="0"/>
        <w:snapToGri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4.4如一个分包内包含多种产品的，采购人或采购代理机构将在招标文件中载明核心产品，多家投标人提供的核心产品品牌相同的，</w:t>
      </w:r>
      <w:r>
        <w:rPr>
          <w:rFonts w:hint="eastAsia" w:ascii="仿宋_GB2312" w:hAnsi="仿宋_GB2312" w:eastAsia="仿宋_GB2312" w:cs="仿宋_GB2312"/>
          <w:color w:val="auto"/>
          <w:kern w:val="0"/>
          <w:szCs w:val="21"/>
          <w:highlight w:val="none"/>
        </w:rPr>
        <w:t>按本章第4.3条规定处理。</w:t>
      </w:r>
    </w:p>
    <w:p w14:paraId="78622E00">
      <w:pPr>
        <w:adjustRightInd w:val="0"/>
        <w:snapToGrid w:val="0"/>
        <w:spacing w:line="360" w:lineRule="auto"/>
        <w:ind w:firstLine="422" w:firstLineChars="200"/>
        <w:rPr>
          <w:rFonts w:ascii="仿宋_GB2312" w:hAnsi="仿宋_GB2312" w:eastAsia="仿宋_GB2312" w:cs="仿宋_GB2312"/>
          <w:b/>
          <w:bCs/>
          <w:color w:val="auto"/>
          <w:kern w:val="0"/>
          <w:szCs w:val="21"/>
          <w:highlight w:val="none"/>
        </w:rPr>
      </w:pPr>
      <w:r>
        <w:rPr>
          <w:rFonts w:hint="eastAsia" w:ascii="仿宋_GB2312" w:hAnsi="仿宋_GB2312" w:eastAsia="仿宋_GB2312" w:cs="仿宋_GB2312"/>
          <w:b/>
          <w:color w:val="auto"/>
          <w:kern w:val="0"/>
          <w:szCs w:val="21"/>
          <w:highlight w:val="none"/>
        </w:rPr>
        <w:t>★5</w:t>
      </w:r>
      <w:r>
        <w:rPr>
          <w:rFonts w:hint="eastAsia" w:ascii="仿宋_GB2312" w:hAnsi="仿宋_GB2312" w:eastAsia="仿宋_GB2312" w:cs="仿宋_GB2312"/>
          <w:b/>
          <w:bCs/>
          <w:color w:val="auto"/>
          <w:kern w:val="0"/>
          <w:szCs w:val="21"/>
          <w:highlight w:val="none"/>
        </w:rPr>
        <w:t>、比较及评价</w:t>
      </w:r>
    </w:p>
    <w:p w14:paraId="11AAFA92">
      <w:pPr>
        <w:adjustRightInd w:val="0"/>
        <w:snapToGri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5.1评标委员会对通过符合性审查的投标文件进行比较和评价。</w:t>
      </w:r>
    </w:p>
    <w:p w14:paraId="33C9DB68">
      <w:pPr>
        <w:adjustRightInd w:val="0"/>
        <w:snapToGri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5.2在评标期间，对投标文件的澄清按投标人须知24条内容执行。</w:t>
      </w:r>
    </w:p>
    <w:p w14:paraId="5328E4A0">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5.3评标委员会认为投标人的报价明显低于其他通过符合性审查的投标人报价，有可能影响产品质量或者不能诚信履约的，评标委员会应当要求其在评标现场合理的时间（</w:t>
      </w:r>
      <w:r>
        <w:rPr>
          <w:rFonts w:hint="eastAsia" w:ascii="仿宋_GB2312" w:hAnsi="仿宋_GB2312" w:eastAsia="仿宋_GB2312" w:cs="仿宋_GB2312"/>
          <w:color w:val="auto"/>
          <w:kern w:val="0"/>
          <w:szCs w:val="21"/>
          <w:highlight w:val="none"/>
        </w:rPr>
        <w:t>接到通知后</w:t>
      </w:r>
      <w:r>
        <w:rPr>
          <w:rFonts w:hint="eastAsia" w:ascii="仿宋_GB2312" w:hAnsi="仿宋_GB2312" w:eastAsia="仿宋_GB2312" w:cs="仿宋_GB2312"/>
          <w:color w:val="auto"/>
          <w:kern w:val="0"/>
          <w:szCs w:val="21"/>
          <w:highlight w:val="none"/>
          <w:u w:val="single"/>
        </w:rPr>
        <w:t xml:space="preserve">0.5 </w:t>
      </w:r>
      <w:r>
        <w:rPr>
          <w:rFonts w:hint="eastAsia" w:ascii="仿宋_GB2312" w:hAnsi="仿宋_GB2312" w:eastAsia="仿宋_GB2312" w:cs="仿宋_GB2312"/>
          <w:color w:val="auto"/>
          <w:kern w:val="0"/>
          <w:szCs w:val="21"/>
          <w:highlight w:val="none"/>
        </w:rPr>
        <w:t>小时</w:t>
      </w:r>
      <w:r>
        <w:rPr>
          <w:rFonts w:hint="eastAsia" w:ascii="仿宋_GB2312" w:hAnsi="仿宋_GB2312" w:eastAsia="仿宋_GB2312" w:cs="仿宋_GB2312"/>
          <w:color w:val="auto"/>
          <w:szCs w:val="21"/>
          <w:highlight w:val="none"/>
        </w:rPr>
        <w:t>）内提供书面说明，并提交相关证明材料，</w:t>
      </w:r>
      <w:r>
        <w:rPr>
          <w:rFonts w:hint="eastAsia" w:ascii="仿宋_GB2312" w:hAnsi="仿宋_GB2312" w:eastAsia="仿宋_GB2312" w:cs="仿宋_GB2312"/>
          <w:color w:val="auto"/>
          <w:kern w:val="0"/>
          <w:szCs w:val="21"/>
          <w:highlight w:val="none"/>
        </w:rPr>
        <w:t>投标人不能证明其报价合理性的，评标委员会应当将</w:t>
      </w:r>
      <w:r>
        <w:rPr>
          <w:rFonts w:hint="eastAsia" w:ascii="仿宋_GB2312" w:hAnsi="仿宋_GB2312" w:eastAsia="仿宋_GB2312" w:cs="仿宋_GB2312"/>
          <w:color w:val="auto"/>
          <w:szCs w:val="21"/>
          <w:highlight w:val="none"/>
        </w:rPr>
        <w:t>其投标作为</w:t>
      </w:r>
      <w:r>
        <w:rPr>
          <w:rFonts w:hint="eastAsia" w:ascii="仿宋_GB2312" w:hAnsi="仿宋_GB2312" w:eastAsia="仿宋_GB2312" w:cs="仿宋_GB2312"/>
          <w:b/>
          <w:bCs/>
          <w:color w:val="auto"/>
          <w:szCs w:val="21"/>
          <w:highlight w:val="none"/>
        </w:rPr>
        <w:t>无效投标处理</w:t>
      </w:r>
      <w:r>
        <w:rPr>
          <w:rFonts w:hint="eastAsia" w:ascii="仿宋_GB2312" w:hAnsi="仿宋_GB2312" w:eastAsia="仿宋_GB2312" w:cs="仿宋_GB2312"/>
          <w:color w:val="auto"/>
          <w:szCs w:val="21"/>
          <w:highlight w:val="none"/>
        </w:rPr>
        <w:t>。</w:t>
      </w:r>
    </w:p>
    <w:p w14:paraId="5CA5F2BE">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投标人的书面说明材料包含货物本身成本、人工费用、运输、税收等，以及报价不会影响产品质量或诚信履约能力的说明等。</w:t>
      </w:r>
    </w:p>
    <w:p w14:paraId="75887D1F">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投标人的书面说明应当签字确认或者加盖公章，否则无效。书面说明的签字确认，由其法定代表人（非法人单位负责人或自然人本人）或者其授权代表签字确认。</w:t>
      </w:r>
    </w:p>
    <w:p w14:paraId="7214DD78">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14:paraId="5CA49F61">
      <w:pPr>
        <w:numPr>
          <w:ilvl w:val="0"/>
          <w:numId w:val="7"/>
        </w:num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拒绝或者变相拒绝提供有效书面说明；</w:t>
      </w:r>
    </w:p>
    <w:p w14:paraId="4A4D0745">
      <w:pPr>
        <w:numPr>
          <w:ilvl w:val="0"/>
          <w:numId w:val="7"/>
        </w:num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书面说明不能证明其报价合理性的；</w:t>
      </w:r>
    </w:p>
    <w:p w14:paraId="21A6C633">
      <w:pPr>
        <w:numPr>
          <w:ilvl w:val="0"/>
          <w:numId w:val="7"/>
        </w:num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未在规定时间内递交有效书面说明书的。</w:t>
      </w:r>
    </w:p>
    <w:p w14:paraId="26327859">
      <w:pPr>
        <w:adjustRightInd w:val="0"/>
        <w:snapToGrid w:val="0"/>
        <w:spacing w:line="360" w:lineRule="auto"/>
        <w:ind w:firstLine="422" w:firstLineChars="200"/>
        <w:rPr>
          <w:rFonts w:ascii="仿宋_GB2312" w:hAnsi="仿宋_GB2312" w:eastAsia="仿宋_GB2312" w:cs="仿宋_GB2312"/>
          <w:b/>
          <w:bCs/>
          <w:color w:val="auto"/>
          <w:kern w:val="0"/>
          <w:szCs w:val="21"/>
          <w:highlight w:val="none"/>
        </w:rPr>
      </w:pPr>
      <w:r>
        <w:rPr>
          <w:rFonts w:hint="eastAsia" w:ascii="仿宋_GB2312" w:hAnsi="仿宋_GB2312" w:eastAsia="仿宋_GB2312" w:cs="仿宋_GB2312"/>
          <w:b/>
          <w:color w:val="auto"/>
          <w:kern w:val="0"/>
          <w:szCs w:val="21"/>
          <w:highlight w:val="none"/>
        </w:rPr>
        <w:t>★6</w:t>
      </w:r>
      <w:r>
        <w:rPr>
          <w:rFonts w:hint="eastAsia" w:ascii="仿宋_GB2312" w:hAnsi="仿宋_GB2312" w:eastAsia="仿宋_GB2312" w:cs="仿宋_GB2312"/>
          <w:b/>
          <w:bCs/>
          <w:color w:val="auto"/>
          <w:kern w:val="0"/>
          <w:szCs w:val="21"/>
          <w:highlight w:val="none"/>
        </w:rPr>
        <w:t>、需落实的政府采购政策性规定：</w:t>
      </w:r>
    </w:p>
    <w:p w14:paraId="6B148FEB">
      <w:pPr>
        <w:adjustRightInd w:val="0"/>
        <w:snapToGrid w:val="0"/>
        <w:spacing w:line="360" w:lineRule="auto"/>
        <w:ind w:firstLine="422" w:firstLineChars="200"/>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
          <w:color w:val="auto"/>
          <w:kern w:val="0"/>
          <w:szCs w:val="21"/>
          <w:highlight w:val="none"/>
        </w:rPr>
        <w:t>6.1对于中小微企业的相关规定（本项目专门面向中小微企业，不享受政策优惠）</w:t>
      </w:r>
    </w:p>
    <w:p w14:paraId="5BCC121D">
      <w:pPr>
        <w:adjustRightInd w:val="0"/>
        <w:snapToGrid w:val="0"/>
        <w:spacing w:line="360" w:lineRule="auto"/>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6.1.1对于非专门面向中小企业的项目，在满足价格扣除条件且在投标文件中按要求提交了《中小企业声明函》、《制造商企业（单位）类型声明函》</w:t>
      </w:r>
      <w:r>
        <w:rPr>
          <w:rFonts w:hint="eastAsia" w:ascii="仿宋_GB2312" w:hAnsi="仿宋_GB2312" w:eastAsia="仿宋_GB2312" w:cs="仿宋_GB2312"/>
          <w:color w:val="auto"/>
          <w:kern w:val="0"/>
          <w:szCs w:val="21"/>
          <w:highlight w:val="none"/>
        </w:rPr>
        <w:t>（采购人采购的服务有伴随货物时，投标人所投货物为其它企业生产时须提供此声明函，仅作为价格扣除条件）的，</w:t>
      </w:r>
      <w:r>
        <w:rPr>
          <w:rFonts w:hint="eastAsia" w:ascii="仿宋_GB2312" w:hAnsi="仿宋_GB2312" w:eastAsia="仿宋_GB2312" w:cs="仿宋_GB2312"/>
          <w:color w:val="auto"/>
          <w:szCs w:val="21"/>
          <w:highlight w:val="none"/>
        </w:rPr>
        <w:t>对投标报价给予价格扣除，用扣除后的价格参与评审。投标报价扣除比例如下：</w:t>
      </w:r>
    </w:p>
    <w:p w14:paraId="0A8D67E7">
      <w:pPr>
        <w:adjustRightInd w:val="0"/>
        <w:snapToGrid w:val="0"/>
        <w:spacing w:line="360" w:lineRule="auto"/>
        <w:ind w:firstLine="210" w:firstLineChars="1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（1）非联合体投标</w:t>
      </w:r>
    </w:p>
    <w:p w14:paraId="07BBC96D">
      <w:pPr>
        <w:adjustRightInd w:val="0"/>
        <w:snapToGrid w:val="0"/>
        <w:spacing w:line="360" w:lineRule="auto"/>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小型和微型企业相应产品、服务投标报价的10%</w:t>
      </w:r>
      <w:r>
        <w:rPr>
          <w:rFonts w:hint="eastAsia" w:ascii="仿宋_GB2312" w:hAnsi="仿宋_GB2312" w:eastAsia="仿宋_GB2312" w:cs="仿宋_GB2312"/>
          <w:color w:val="auto"/>
          <w:kern w:val="0"/>
          <w:szCs w:val="21"/>
          <w:highlight w:val="none"/>
        </w:rPr>
        <w:t>（</w:t>
      </w:r>
      <w:r>
        <w:rPr>
          <w:rFonts w:hint="eastAsia" w:ascii="仿宋_GB2312" w:hAnsi="仿宋_GB2312" w:eastAsia="仿宋_GB2312" w:cs="仿宋_GB2312"/>
          <w:color w:val="auto"/>
          <w:szCs w:val="21"/>
          <w:highlight w:val="none"/>
        </w:rPr>
        <w:t>6-10%）</w:t>
      </w:r>
    </w:p>
    <w:p w14:paraId="1CA4CCCB">
      <w:pPr>
        <w:adjustRightInd w:val="0"/>
        <w:snapToGrid w:val="0"/>
        <w:spacing w:line="360" w:lineRule="auto"/>
        <w:ind w:firstLine="210" w:firstLineChars="1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（2）联合体投标</w:t>
      </w:r>
    </w:p>
    <w:p w14:paraId="02A8FFCA">
      <w:pPr>
        <w:adjustRightInd w:val="0"/>
        <w:snapToGrid w:val="0"/>
        <w:spacing w:line="360" w:lineRule="auto"/>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Pr>
          <w:rFonts w:hint="eastAsia" w:ascii="仿宋_GB2312" w:hAnsi="仿宋_GB2312" w:eastAsia="仿宋_GB2312" w:cs="仿宋_GB2312"/>
          <w:color w:val="auto"/>
          <w:kern w:val="0"/>
          <w:szCs w:val="21"/>
          <w:highlight w:val="none"/>
          <w:u w:val="single"/>
        </w:rPr>
        <w:t xml:space="preserve">      </w:t>
      </w:r>
      <w:r>
        <w:rPr>
          <w:rFonts w:hint="eastAsia" w:ascii="仿宋_GB2312" w:hAnsi="仿宋_GB2312" w:eastAsia="仿宋_GB2312" w:cs="仿宋_GB2312"/>
          <w:color w:val="auto"/>
          <w:kern w:val="0"/>
          <w:szCs w:val="21"/>
          <w:highlight w:val="none"/>
        </w:rPr>
        <w:t>（</w:t>
      </w:r>
      <w:r>
        <w:rPr>
          <w:rFonts w:hint="eastAsia" w:ascii="仿宋_GB2312" w:hAnsi="仿宋_GB2312" w:eastAsia="仿宋_GB2312" w:cs="仿宋_GB2312"/>
          <w:color w:val="auto"/>
          <w:szCs w:val="21"/>
          <w:highlight w:val="none"/>
        </w:rPr>
        <w:t>2-3%）。</w:t>
      </w:r>
    </w:p>
    <w:p w14:paraId="4F31AF32">
      <w:pPr>
        <w:adjustRightInd w:val="0"/>
        <w:snapToGrid w:val="0"/>
        <w:spacing w:line="360" w:lineRule="auto"/>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14:paraId="22E2A52A">
      <w:pPr>
        <w:adjustRightInd w:val="0"/>
        <w:snapToGrid w:val="0"/>
        <w:spacing w:line="360" w:lineRule="auto"/>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6.1.2监狱企业视同小型、微型企业，在满足价格扣除条件且在投标文件中按要求提交了省级以上监狱管理局、戒毒管理局（含新疆生产建设兵团）出具的属于监狱企业的证明文件的，对其投标报价按本章5.1.1条款的比例予以扣除，</w:t>
      </w:r>
      <w:r>
        <w:rPr>
          <w:rFonts w:hint="eastAsia" w:ascii="仿宋_GB2312" w:hAnsi="仿宋_GB2312" w:eastAsia="仿宋_GB2312" w:cs="仿宋_GB2312"/>
          <w:color w:val="auto"/>
          <w:kern w:val="0"/>
          <w:szCs w:val="21"/>
          <w:highlight w:val="none"/>
        </w:rPr>
        <w:t>用扣除后的价格参与评审</w:t>
      </w:r>
      <w:r>
        <w:rPr>
          <w:rFonts w:hint="eastAsia" w:ascii="仿宋_GB2312" w:hAnsi="仿宋_GB2312" w:eastAsia="仿宋_GB2312" w:cs="仿宋_GB2312"/>
          <w:color w:val="auto"/>
          <w:szCs w:val="21"/>
          <w:highlight w:val="none"/>
        </w:rPr>
        <w:t>。</w:t>
      </w:r>
    </w:p>
    <w:p w14:paraId="14D15F95">
      <w:pPr>
        <w:adjustRightInd w:val="0"/>
        <w:snapToGrid w:val="0"/>
        <w:spacing w:line="360" w:lineRule="auto"/>
        <w:ind w:firstLine="422"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kern w:val="0"/>
          <w:szCs w:val="21"/>
          <w:highlight w:val="none"/>
        </w:rPr>
        <w:t>6.1.3</w:t>
      </w:r>
      <w:r>
        <w:rPr>
          <w:rFonts w:hint="eastAsia" w:ascii="仿宋_GB2312" w:hAnsi="仿宋_GB2312" w:eastAsia="仿宋_GB2312" w:cs="仿宋_GB2312"/>
          <w:color w:val="auto"/>
          <w:szCs w:val="21"/>
          <w:highlight w:val="none"/>
        </w:rPr>
        <w:t>残疾人福利性单位视同小型、微型企业，在满足价格扣除条件且在</w:t>
      </w:r>
      <w:r>
        <w:rPr>
          <w:rFonts w:hint="eastAsia" w:ascii="仿宋_GB2312" w:hAnsi="仿宋_GB2312" w:eastAsia="仿宋_GB2312" w:cs="仿宋_GB2312"/>
          <w:color w:val="auto"/>
          <w:kern w:val="0"/>
          <w:szCs w:val="21"/>
          <w:highlight w:val="none"/>
        </w:rPr>
        <w:t>投标文件中提供了《残疾人福利性单位声明函》的，</w:t>
      </w:r>
      <w:r>
        <w:rPr>
          <w:rFonts w:hint="eastAsia" w:ascii="仿宋_GB2312" w:hAnsi="仿宋_GB2312" w:eastAsia="仿宋_GB2312" w:cs="仿宋_GB2312"/>
          <w:color w:val="auto"/>
          <w:szCs w:val="21"/>
          <w:highlight w:val="none"/>
        </w:rPr>
        <w:t>对其投标报价按本章5.1.1条款的比例予以扣除</w:t>
      </w:r>
      <w:r>
        <w:rPr>
          <w:rFonts w:hint="eastAsia" w:ascii="仿宋_GB2312" w:hAnsi="仿宋_GB2312" w:eastAsia="仿宋_GB2312" w:cs="仿宋_GB2312"/>
          <w:color w:val="auto"/>
          <w:kern w:val="0"/>
          <w:szCs w:val="21"/>
          <w:highlight w:val="none"/>
        </w:rPr>
        <w:t>，用扣除后的价格参与评审。</w:t>
      </w:r>
    </w:p>
    <w:p w14:paraId="23F40D71">
      <w:pPr>
        <w:adjustRightInd w:val="0"/>
        <w:snapToGrid w:val="0"/>
        <w:spacing w:line="360" w:lineRule="auto"/>
        <w:ind w:firstLine="422" w:firstLineChars="200"/>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6.1.4残疾人福利性单位属于小型、微型企业的，不重复享受政策。</w:t>
      </w:r>
    </w:p>
    <w:p w14:paraId="084BD937">
      <w:pPr>
        <w:adjustRightInd w:val="0"/>
        <w:snapToGrid w:val="0"/>
        <w:spacing w:line="360" w:lineRule="auto"/>
        <w:ind w:firstLine="422" w:firstLineChars="200"/>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
          <w:color w:val="auto"/>
          <w:kern w:val="0"/>
          <w:szCs w:val="21"/>
          <w:highlight w:val="none"/>
        </w:rPr>
        <w:t>6.2对于节能产品、环境标志产品的相关规定</w:t>
      </w:r>
    </w:p>
    <w:p w14:paraId="7C0CCF6D">
      <w:pPr>
        <w:numPr>
          <w:ilvl w:val="0"/>
          <w:numId w:val="8"/>
        </w:numPr>
        <w:adjustRightInd w:val="0"/>
        <w:snapToGrid w:val="0"/>
        <w:spacing w:line="360" w:lineRule="auto"/>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节能产品或环境标志产品，依据品目清单和认证证书或证明材料实施政府优先采购。</w:t>
      </w:r>
      <w:r>
        <w:rPr>
          <w:rFonts w:hint="eastAsia" w:ascii="仿宋_GB2312" w:hAnsi="仿宋_GB2312" w:eastAsia="仿宋_GB2312" w:cs="仿宋_GB2312"/>
          <w:color w:val="auto"/>
          <w:highlight w:val="none"/>
        </w:rPr>
        <w:t>供应商</w:t>
      </w:r>
      <w:r>
        <w:rPr>
          <w:rFonts w:hint="eastAsia" w:ascii="仿宋_GB2312" w:hAnsi="仿宋_GB2312" w:eastAsia="仿宋_GB2312" w:cs="仿宋_GB2312"/>
          <w:color w:val="auto"/>
          <w:szCs w:val="21"/>
          <w:highlight w:val="none"/>
        </w:rPr>
        <w:t>应正确填写政府采购节能产品、环境标志产品声明函并提供国家确定的认证机构出具的、处于有效期之内的节能产品、环境标志产品认证证书或法定信息发布平台公布的认证信息截图并加盖供应商公章，方可对获得相关产品优先推荐。</w:t>
      </w:r>
    </w:p>
    <w:p w14:paraId="13516AC6">
      <w:pPr>
        <w:adjustRightInd w:val="0"/>
        <w:snapToGrid w:val="0"/>
        <w:spacing w:line="360" w:lineRule="auto"/>
        <w:ind w:firstLine="630" w:firstLineChars="3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t>采用最低评标价法的，</w:t>
      </w:r>
      <w:r>
        <w:rPr>
          <w:rFonts w:hint="eastAsia" w:ascii="仿宋_GB2312" w:hAnsi="仿宋_GB2312" w:eastAsia="仿宋_GB2312" w:cs="仿宋_GB2312"/>
          <w:color w:val="auto"/>
          <w:szCs w:val="21"/>
          <w:highlight w:val="none"/>
        </w:rPr>
        <w:t>对</w:t>
      </w:r>
      <w:r>
        <w:rPr>
          <w:rFonts w:hint="eastAsia" w:ascii="仿宋_GB2312" w:hAnsi="仿宋_GB2312" w:eastAsia="仿宋_GB2312" w:cs="仿宋_GB2312"/>
          <w:color w:val="auto"/>
          <w:kern w:val="0"/>
          <w:szCs w:val="21"/>
          <w:highlight w:val="none"/>
        </w:rPr>
        <w:t>清单中投标产品的报价</w:t>
      </w:r>
      <w:r>
        <w:rPr>
          <w:rFonts w:hint="eastAsia" w:ascii="仿宋_GB2312" w:hAnsi="仿宋_GB2312" w:eastAsia="仿宋_GB2312" w:cs="仿宋_GB2312"/>
          <w:color w:val="auto"/>
          <w:szCs w:val="21"/>
          <w:highlight w:val="none"/>
        </w:rPr>
        <w:t>给予价格扣除，用扣除后的价格参与评审。报价扣除比例为</w:t>
      </w:r>
      <w:r>
        <w:rPr>
          <w:rFonts w:hint="eastAsia" w:ascii="仿宋_GB2312" w:hAnsi="仿宋_GB2312" w:eastAsia="仿宋_GB2312" w:cs="仿宋_GB2312"/>
          <w:color w:val="auto"/>
          <w:kern w:val="0"/>
          <w:szCs w:val="21"/>
          <w:highlight w:val="none"/>
        </w:rPr>
        <w:t>清单中产品报价的</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 xml:space="preserve"> %。</w:t>
      </w:r>
    </w:p>
    <w:p w14:paraId="6D4569D4">
      <w:pPr>
        <w:adjustRightInd w:val="0"/>
        <w:snapToGrid w:val="0"/>
        <w:spacing w:line="360" w:lineRule="auto"/>
        <w:ind w:firstLine="630" w:firstLineChars="3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t>采用综合评分法评标的项目，对清单中产品给予相应的加分。（详见评分细则）</w:t>
      </w:r>
    </w:p>
    <w:p w14:paraId="14D635A2">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（2）供应商应同时提供品目清单网络截图，并以明确标注所报产品信息和位置的方式，用以方便评审。</w:t>
      </w:r>
    </w:p>
    <w:p w14:paraId="079BA45E">
      <w:pPr>
        <w:adjustRightInd w:val="0"/>
        <w:snapToGri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（3）认证机构和获证产品信息发布媒体：详见中国政府采购网（www.ccgp.gov.cn）建立的与认证结果信息发布平台的链接。</w:t>
      </w:r>
    </w:p>
    <w:p w14:paraId="5D43D9E9">
      <w:pPr>
        <w:adjustRightInd w:val="0"/>
        <w:spacing w:line="360" w:lineRule="auto"/>
        <w:ind w:firstLine="422" w:firstLineChars="200"/>
        <w:jc w:val="left"/>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6.3对于列入《创新产品和服务目录》内的产品、服务的相关规定</w:t>
      </w:r>
    </w:p>
    <w:p w14:paraId="044AE31D">
      <w:pPr>
        <w:adjustRightInd w:val="0"/>
        <w:spacing w:line="360" w:lineRule="auto"/>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采用最低评标价法的：对列入《创新产品和服务目录》内的投标产品、服务给予其投标报价</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（6-8%）的价格扣除，用扣除后的价格参与评审。</w:t>
      </w:r>
    </w:p>
    <w:p w14:paraId="042545CE">
      <w:pPr>
        <w:adjustRightInd w:val="0"/>
        <w:spacing w:line="360" w:lineRule="auto"/>
        <w:ind w:firstLine="420" w:firstLineChars="200"/>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采用综合评分法评标的：对列入《创新产品和服务目录》内的投标产品、服务给予</w:t>
      </w:r>
      <w:r>
        <w:rPr>
          <w:rFonts w:hint="eastAsia" w:ascii="仿宋_GB2312" w:hAnsi="仿宋_GB2312" w:eastAsia="仿宋_GB2312" w:cs="仿宋_GB2312"/>
          <w:color w:val="auto"/>
          <w:szCs w:val="21"/>
          <w:highlight w:val="none"/>
          <w:u w:val="single"/>
        </w:rPr>
        <w:t xml:space="preserve">6% </w:t>
      </w:r>
      <w:r>
        <w:rPr>
          <w:rFonts w:hint="eastAsia" w:ascii="仿宋_GB2312" w:hAnsi="仿宋_GB2312" w:eastAsia="仿宋_GB2312" w:cs="仿宋_GB2312"/>
          <w:color w:val="auto"/>
          <w:szCs w:val="21"/>
          <w:highlight w:val="none"/>
        </w:rPr>
        <w:t>（6-8%）的加分（详见评分细则）。</w:t>
      </w:r>
    </w:p>
    <w:p w14:paraId="2C13FEF9">
      <w:pPr>
        <w:adjustRightInd w:val="0"/>
        <w:snapToGrid w:val="0"/>
        <w:spacing w:line="360" w:lineRule="auto"/>
        <w:ind w:firstLine="422" w:firstLineChars="200"/>
        <w:rPr>
          <w:rFonts w:ascii="仿宋_GB2312" w:hAnsi="仿宋_GB2312" w:eastAsia="仿宋_GB2312" w:cs="仿宋_GB2312"/>
          <w:b/>
          <w:bCs/>
          <w:color w:val="auto"/>
          <w:kern w:val="0"/>
          <w:szCs w:val="21"/>
          <w:highlight w:val="none"/>
        </w:rPr>
      </w:pPr>
      <w:r>
        <w:rPr>
          <w:rFonts w:hint="eastAsia" w:ascii="仿宋_GB2312" w:hAnsi="仿宋_GB2312" w:eastAsia="仿宋_GB2312" w:cs="仿宋_GB2312"/>
          <w:b/>
          <w:color w:val="auto"/>
          <w:kern w:val="0"/>
          <w:szCs w:val="21"/>
          <w:highlight w:val="none"/>
        </w:rPr>
        <w:t>★7</w:t>
      </w:r>
      <w:r>
        <w:rPr>
          <w:rFonts w:hint="eastAsia" w:ascii="仿宋_GB2312" w:hAnsi="仿宋_GB2312" w:eastAsia="仿宋_GB2312" w:cs="仿宋_GB2312"/>
          <w:b/>
          <w:bCs/>
          <w:color w:val="auto"/>
          <w:kern w:val="0"/>
          <w:szCs w:val="21"/>
          <w:highlight w:val="none"/>
        </w:rPr>
        <w:t>、投标无效情况详见投标人须知。</w:t>
      </w:r>
    </w:p>
    <w:p w14:paraId="2C59817E">
      <w:pPr>
        <w:adjustRightInd w:val="0"/>
        <w:snapToGrid w:val="0"/>
        <w:spacing w:line="360" w:lineRule="auto"/>
        <w:ind w:firstLine="422" w:firstLineChars="200"/>
        <w:rPr>
          <w:rFonts w:ascii="仿宋_GB2312" w:hAnsi="仿宋_GB2312" w:eastAsia="仿宋_GB2312" w:cs="仿宋_GB2312"/>
          <w:b/>
          <w:bCs/>
          <w:color w:val="auto"/>
          <w:kern w:val="0"/>
          <w:szCs w:val="21"/>
          <w:highlight w:val="none"/>
        </w:rPr>
      </w:pPr>
      <w:r>
        <w:rPr>
          <w:rFonts w:hint="eastAsia" w:ascii="仿宋_GB2312" w:hAnsi="仿宋_GB2312" w:eastAsia="仿宋_GB2312" w:cs="仿宋_GB2312"/>
          <w:b/>
          <w:color w:val="auto"/>
          <w:kern w:val="0"/>
          <w:szCs w:val="21"/>
          <w:highlight w:val="none"/>
        </w:rPr>
        <w:t>★8</w:t>
      </w:r>
      <w:r>
        <w:rPr>
          <w:rFonts w:hint="eastAsia" w:ascii="仿宋_GB2312" w:hAnsi="仿宋_GB2312" w:eastAsia="仿宋_GB2312" w:cs="仿宋_GB2312"/>
          <w:b/>
          <w:bCs/>
          <w:color w:val="auto"/>
          <w:kern w:val="0"/>
          <w:szCs w:val="21"/>
          <w:highlight w:val="none"/>
        </w:rPr>
        <w:t>、推荐中标候选人的原则</w:t>
      </w:r>
    </w:p>
    <w:p w14:paraId="74F095EF">
      <w:pPr>
        <w:adjustRightInd w:val="0"/>
        <w:snapToGri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详见第一章投标人须知第29条，具体处理办法如下：</w:t>
      </w:r>
    </w:p>
    <w:p w14:paraId="2541781E">
      <w:pPr>
        <w:numPr>
          <w:ilvl w:val="0"/>
          <w:numId w:val="9"/>
        </w:num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采用最低评标价法的：</w:t>
      </w:r>
    </w:p>
    <w:p w14:paraId="4A0EB695">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扣除后的投标报价相同时，按投标报价由低至高排序；</w:t>
      </w:r>
    </w:p>
    <w:p w14:paraId="5AEF03F0">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按前款不能区分的，优先采购节能产品、环境标志产品；</w:t>
      </w:r>
    </w:p>
    <w:p w14:paraId="64563DC7">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按前款不能区分的，按技术指标优劣排序；</w:t>
      </w:r>
    </w:p>
    <w:p w14:paraId="39C88FE3">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其他情况，由评标委员会投票处理。</w:t>
      </w:r>
    </w:p>
    <w:p w14:paraId="3030E82B">
      <w:pPr>
        <w:numPr>
          <w:ilvl w:val="0"/>
          <w:numId w:val="9"/>
        </w:num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采用综合评分法的：</w:t>
      </w:r>
    </w:p>
    <w:p w14:paraId="79DC4B08">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得分相同的，按扣除后的投标报价由低到高顺序排序；</w:t>
      </w:r>
    </w:p>
    <w:p w14:paraId="53560E56">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按前款不能区分的，按投标报价由低至高顺序排序；</w:t>
      </w:r>
    </w:p>
    <w:p w14:paraId="3903C5D5">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按前款不能区分的，按技术指标优劣排序；</w:t>
      </w:r>
    </w:p>
    <w:p w14:paraId="65440AD2">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其他情况，由评标委员会投票处理。</w:t>
      </w:r>
    </w:p>
    <w:p w14:paraId="4388E493">
      <w:pPr>
        <w:adjustRightInd w:val="0"/>
        <w:snapToGrid w:val="0"/>
        <w:spacing w:line="360" w:lineRule="auto"/>
        <w:ind w:firstLine="422" w:firstLineChars="200"/>
        <w:rPr>
          <w:rFonts w:ascii="仿宋_GB2312" w:hAnsi="仿宋_GB2312" w:eastAsia="仿宋_GB2312" w:cs="仿宋_GB2312"/>
          <w:b/>
          <w:color w:val="auto"/>
          <w:kern w:val="0"/>
          <w:szCs w:val="21"/>
          <w:highlight w:val="none"/>
        </w:rPr>
      </w:pPr>
      <w:bookmarkStart w:id="124" w:name="_Toc30297_WPSOffice_Level2"/>
      <w:r>
        <w:rPr>
          <w:rFonts w:hint="eastAsia" w:ascii="仿宋_GB2312" w:hAnsi="仿宋_GB2312" w:eastAsia="仿宋_GB2312" w:cs="仿宋_GB2312"/>
          <w:b/>
          <w:color w:val="auto"/>
          <w:szCs w:val="21"/>
          <w:highlight w:val="none"/>
        </w:rPr>
        <w:t>三、</w:t>
      </w:r>
      <w:r>
        <w:rPr>
          <w:rFonts w:hint="eastAsia" w:ascii="仿宋_GB2312" w:hAnsi="仿宋_GB2312" w:eastAsia="仿宋_GB2312" w:cs="仿宋_GB2312"/>
          <w:b/>
          <w:color w:val="auto"/>
          <w:kern w:val="0"/>
          <w:szCs w:val="21"/>
          <w:highlight w:val="none"/>
        </w:rPr>
        <w:t>确定中标人</w:t>
      </w:r>
      <w:bookmarkEnd w:id="124"/>
    </w:p>
    <w:p w14:paraId="15B0EED4">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评标委员会根据全体评标委员会成员签字的原始评标记录和评标结果编写评标报告，并向采购人提交书面评标报告。</w:t>
      </w:r>
    </w:p>
    <w:p w14:paraId="2752E5EF">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采购人按照评标报告确定的中标候选人名单按顺序确定中标人，或由采购人委托评标委员会按照第一章投标人须知第31条规定的方式确定中标人。</w:t>
      </w:r>
    </w:p>
    <w:p w14:paraId="08B77D6C">
      <w:pPr>
        <w:pStyle w:val="3"/>
        <w:adjustRightInd w:val="0"/>
        <w:snapToGrid w:val="0"/>
        <w:spacing w:before="0" w:after="0" w:line="240" w:lineRule="auto"/>
        <w:jc w:val="left"/>
        <w:rPr>
          <w:rFonts w:ascii="仿宋_GB2312" w:hAnsi="仿宋_GB2312" w:eastAsia="仿宋_GB2312" w:cs="仿宋_GB2312"/>
          <w:color w:val="auto"/>
          <w:szCs w:val="28"/>
          <w:highlight w:val="none"/>
        </w:rPr>
      </w:pPr>
      <w:r>
        <w:rPr>
          <w:rFonts w:hint="eastAsia" w:ascii="仿宋_GB2312" w:hAnsi="仿宋_GB2312" w:eastAsia="仿宋_GB2312" w:cs="仿宋_GB2312"/>
          <w:color w:val="auto"/>
          <w:highlight w:val="none"/>
        </w:rPr>
        <w:br w:type="page"/>
      </w:r>
      <w:bookmarkStart w:id="125" w:name="_Toc32318_WPSOffice_Level2"/>
      <w:r>
        <w:rPr>
          <w:rFonts w:hint="eastAsia" w:ascii="仿宋_GB2312" w:hAnsi="仿宋_GB2312" w:eastAsia="仿宋_GB2312" w:cs="仿宋_GB2312"/>
          <w:color w:val="auto"/>
          <w:szCs w:val="28"/>
          <w:highlight w:val="none"/>
        </w:rPr>
        <w:t xml:space="preserve">附件1 </w:t>
      </w:r>
    </w:p>
    <w:p w14:paraId="48921109">
      <w:pPr>
        <w:jc w:val="center"/>
        <w:rPr>
          <w:rFonts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资格审查表</w:t>
      </w:r>
      <w:bookmarkEnd w:id="125"/>
    </w:p>
    <w:tbl>
      <w:tblPr>
        <w:tblStyle w:val="22"/>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3837"/>
        <w:gridCol w:w="1982"/>
        <w:gridCol w:w="986"/>
        <w:gridCol w:w="962"/>
        <w:gridCol w:w="888"/>
      </w:tblGrid>
      <w:tr w14:paraId="3EE7F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68" w:type="dxa"/>
            <w:vMerge w:val="restart"/>
            <w:vAlign w:val="center"/>
          </w:tcPr>
          <w:p w14:paraId="6A5B83D5">
            <w:pPr>
              <w:ind w:left="-97" w:leftChars="-46" w:right="-86" w:rightChars="-41"/>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序号</w:t>
            </w:r>
          </w:p>
        </w:tc>
        <w:tc>
          <w:tcPr>
            <w:tcW w:w="3837" w:type="dxa"/>
            <w:vMerge w:val="restart"/>
            <w:vAlign w:val="center"/>
          </w:tcPr>
          <w:p w14:paraId="103F9E4D">
            <w:pPr>
              <w:pStyle w:val="3"/>
              <w:adjustRightInd w:val="0"/>
              <w:snapToGrid w:val="0"/>
              <w:spacing w:before="0" w:after="0" w:line="240" w:lineRule="auto"/>
              <w:ind w:left="-97" w:leftChars="-46" w:right="-86" w:rightChars="-41"/>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审查项目</w:t>
            </w:r>
          </w:p>
        </w:tc>
        <w:tc>
          <w:tcPr>
            <w:tcW w:w="1982" w:type="dxa"/>
            <w:vMerge w:val="restart"/>
            <w:vAlign w:val="center"/>
          </w:tcPr>
          <w:p w14:paraId="7932F9E1">
            <w:pPr>
              <w:pStyle w:val="3"/>
              <w:adjustRightInd w:val="0"/>
              <w:snapToGrid w:val="0"/>
              <w:spacing w:before="0" w:after="0" w:line="240" w:lineRule="auto"/>
              <w:ind w:left="-97" w:leftChars="-46" w:right="-86" w:rightChars="-41"/>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审查标准</w:t>
            </w:r>
          </w:p>
        </w:tc>
        <w:tc>
          <w:tcPr>
            <w:tcW w:w="2836" w:type="dxa"/>
            <w:gridSpan w:val="3"/>
            <w:vAlign w:val="center"/>
          </w:tcPr>
          <w:p w14:paraId="1853A910">
            <w:pPr>
              <w:pStyle w:val="3"/>
              <w:adjustRightInd w:val="0"/>
              <w:snapToGrid w:val="0"/>
              <w:spacing w:before="0" w:after="0" w:line="240" w:lineRule="auto"/>
              <w:ind w:left="-97" w:leftChars="-46" w:right="-86" w:rightChars="-41"/>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投标人名称</w:t>
            </w:r>
          </w:p>
        </w:tc>
      </w:tr>
      <w:tr w14:paraId="086F4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668" w:type="dxa"/>
            <w:vMerge w:val="continue"/>
            <w:vAlign w:val="center"/>
          </w:tcPr>
          <w:p w14:paraId="51614C5D">
            <w:pPr>
              <w:pStyle w:val="3"/>
              <w:adjustRightInd w:val="0"/>
              <w:snapToGrid w:val="0"/>
              <w:spacing w:before="0" w:after="0" w:line="240" w:lineRule="auto"/>
              <w:rPr>
                <w:rFonts w:ascii="仿宋_GB2312" w:hAnsi="仿宋_GB2312" w:eastAsia="仿宋_GB2312" w:cs="仿宋_GB2312"/>
                <w:color w:val="auto"/>
                <w:highlight w:val="none"/>
              </w:rPr>
            </w:pPr>
          </w:p>
        </w:tc>
        <w:tc>
          <w:tcPr>
            <w:tcW w:w="3837" w:type="dxa"/>
            <w:vMerge w:val="continue"/>
            <w:vAlign w:val="center"/>
          </w:tcPr>
          <w:p w14:paraId="643A0360">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1982" w:type="dxa"/>
            <w:vMerge w:val="continue"/>
            <w:vAlign w:val="center"/>
          </w:tcPr>
          <w:p w14:paraId="5870CDBB">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86" w:type="dxa"/>
            <w:vAlign w:val="center"/>
          </w:tcPr>
          <w:p w14:paraId="59395AD5">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62" w:type="dxa"/>
            <w:vAlign w:val="center"/>
          </w:tcPr>
          <w:p w14:paraId="430A5087">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888" w:type="dxa"/>
            <w:vAlign w:val="center"/>
          </w:tcPr>
          <w:p w14:paraId="2356CE12">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14:paraId="420B1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68" w:type="dxa"/>
            <w:vAlign w:val="center"/>
          </w:tcPr>
          <w:p w14:paraId="2C7BE71F">
            <w:pPr>
              <w:snapToGrid w:val="0"/>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w:t>
            </w:r>
          </w:p>
        </w:tc>
        <w:tc>
          <w:tcPr>
            <w:tcW w:w="3837" w:type="dxa"/>
            <w:vAlign w:val="center"/>
          </w:tcPr>
          <w:p w14:paraId="60B1F486">
            <w:pPr>
              <w:snapToGrid w:val="0"/>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highlight w:val="none"/>
              </w:rPr>
              <w:t>营业执照或事业单位法人证书或执业许可证等证明文件或自然人的身份证明</w:t>
            </w:r>
          </w:p>
        </w:tc>
        <w:tc>
          <w:tcPr>
            <w:tcW w:w="1982" w:type="dxa"/>
            <w:vAlign w:val="center"/>
          </w:tcPr>
          <w:p w14:paraId="7D4A0D7C">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1.按要求提供</w:t>
            </w:r>
          </w:p>
          <w:p w14:paraId="21225BAC">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2.合法有效</w:t>
            </w:r>
          </w:p>
        </w:tc>
        <w:tc>
          <w:tcPr>
            <w:tcW w:w="986" w:type="dxa"/>
            <w:vAlign w:val="center"/>
          </w:tcPr>
          <w:p w14:paraId="37D32650">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62" w:type="dxa"/>
            <w:vAlign w:val="center"/>
          </w:tcPr>
          <w:p w14:paraId="067DC477">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888" w:type="dxa"/>
            <w:vAlign w:val="center"/>
          </w:tcPr>
          <w:p w14:paraId="6B9352C0">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14:paraId="2D3D0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8" w:type="dxa"/>
            <w:vAlign w:val="center"/>
          </w:tcPr>
          <w:p w14:paraId="2EA73C20">
            <w:pPr>
              <w:widowControl/>
              <w:snapToGrid w:val="0"/>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2</w:t>
            </w:r>
          </w:p>
        </w:tc>
        <w:tc>
          <w:tcPr>
            <w:tcW w:w="3837" w:type="dxa"/>
            <w:vAlign w:val="center"/>
          </w:tcPr>
          <w:p w14:paraId="3A4178BC">
            <w:pPr>
              <w:widowControl/>
              <w:snapToGrid w:val="0"/>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highlight w:val="none"/>
              </w:rPr>
              <w:t>组织机构代码证</w:t>
            </w:r>
          </w:p>
        </w:tc>
        <w:tc>
          <w:tcPr>
            <w:tcW w:w="1982" w:type="dxa"/>
            <w:vAlign w:val="center"/>
          </w:tcPr>
          <w:p w14:paraId="6C9C74C9">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1.按要求提供</w:t>
            </w:r>
          </w:p>
          <w:p w14:paraId="58B2CC7F">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2.合法有效</w:t>
            </w:r>
          </w:p>
        </w:tc>
        <w:tc>
          <w:tcPr>
            <w:tcW w:w="986" w:type="dxa"/>
          </w:tcPr>
          <w:p w14:paraId="40F0BBFD">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62" w:type="dxa"/>
          </w:tcPr>
          <w:p w14:paraId="7D4A9731">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888" w:type="dxa"/>
          </w:tcPr>
          <w:p w14:paraId="571E33C4">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14:paraId="75E90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vAlign w:val="center"/>
          </w:tcPr>
          <w:p w14:paraId="150803D1">
            <w:pPr>
              <w:widowControl/>
              <w:snapToGrid w:val="0"/>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3</w:t>
            </w:r>
          </w:p>
        </w:tc>
        <w:tc>
          <w:tcPr>
            <w:tcW w:w="3837" w:type="dxa"/>
            <w:vAlign w:val="center"/>
          </w:tcPr>
          <w:p w14:paraId="532DB256">
            <w:pPr>
              <w:widowControl/>
              <w:snapToGrid w:val="0"/>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highlight w:val="none"/>
              </w:rPr>
              <w:t>税务登记证</w:t>
            </w:r>
          </w:p>
        </w:tc>
        <w:tc>
          <w:tcPr>
            <w:tcW w:w="1982" w:type="dxa"/>
            <w:vAlign w:val="center"/>
          </w:tcPr>
          <w:p w14:paraId="03E7C859">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1.按要求提供</w:t>
            </w:r>
          </w:p>
          <w:p w14:paraId="17E0620E">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2.合法有效</w:t>
            </w:r>
          </w:p>
        </w:tc>
        <w:tc>
          <w:tcPr>
            <w:tcW w:w="986" w:type="dxa"/>
          </w:tcPr>
          <w:p w14:paraId="0FC2F795">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62" w:type="dxa"/>
          </w:tcPr>
          <w:p w14:paraId="7631279D">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888" w:type="dxa"/>
          </w:tcPr>
          <w:p w14:paraId="39A60342">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14:paraId="50373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shd w:val="clear" w:color="auto" w:fill="auto"/>
            <w:vAlign w:val="center"/>
          </w:tcPr>
          <w:p w14:paraId="6DD6D850">
            <w:pPr>
              <w:widowControl/>
              <w:snapToGrid w:val="0"/>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szCs w:val="21"/>
                <w:highlight w:val="none"/>
              </w:rPr>
              <w:t>4</w:t>
            </w:r>
          </w:p>
        </w:tc>
        <w:tc>
          <w:tcPr>
            <w:tcW w:w="3837" w:type="dxa"/>
            <w:vAlign w:val="center"/>
          </w:tcPr>
          <w:p w14:paraId="2F37DA9C">
            <w:pPr>
              <w:widowControl/>
              <w:snapToGrid w:val="0"/>
              <w:jc w:val="left"/>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特定资格证明材料</w:t>
            </w:r>
          </w:p>
        </w:tc>
        <w:tc>
          <w:tcPr>
            <w:tcW w:w="1982" w:type="dxa"/>
            <w:vAlign w:val="center"/>
          </w:tcPr>
          <w:p w14:paraId="317B766A">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1.按要求提供</w:t>
            </w:r>
          </w:p>
          <w:p w14:paraId="0887A0D4">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2.合法有效</w:t>
            </w:r>
          </w:p>
        </w:tc>
        <w:tc>
          <w:tcPr>
            <w:tcW w:w="986" w:type="dxa"/>
          </w:tcPr>
          <w:p w14:paraId="4C6A7737">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62" w:type="dxa"/>
          </w:tcPr>
          <w:p w14:paraId="7D864010">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888" w:type="dxa"/>
          </w:tcPr>
          <w:p w14:paraId="77696184">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14:paraId="3389A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shd w:val="clear" w:color="auto" w:fill="auto"/>
            <w:vAlign w:val="center"/>
          </w:tcPr>
          <w:p w14:paraId="2C42D816">
            <w:pPr>
              <w:widowControl/>
              <w:snapToGrid w:val="0"/>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5</w:t>
            </w:r>
          </w:p>
        </w:tc>
        <w:tc>
          <w:tcPr>
            <w:tcW w:w="3837" w:type="dxa"/>
            <w:vAlign w:val="center"/>
          </w:tcPr>
          <w:p w14:paraId="783CCFDF">
            <w:pPr>
              <w:widowControl/>
              <w:snapToGrid w:val="0"/>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szCs w:val="21"/>
                <w:highlight w:val="none"/>
              </w:rPr>
              <w:t>法定代表人（或非法人组织负责人）身份证明书</w:t>
            </w:r>
          </w:p>
        </w:tc>
        <w:tc>
          <w:tcPr>
            <w:tcW w:w="1982" w:type="dxa"/>
            <w:vAlign w:val="center"/>
          </w:tcPr>
          <w:p w14:paraId="288A32DC">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1.按给定格式填写</w:t>
            </w:r>
          </w:p>
          <w:p w14:paraId="54433C7C">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2.按规定签章</w:t>
            </w:r>
          </w:p>
        </w:tc>
        <w:tc>
          <w:tcPr>
            <w:tcW w:w="986" w:type="dxa"/>
          </w:tcPr>
          <w:p w14:paraId="57C33418">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62" w:type="dxa"/>
          </w:tcPr>
          <w:p w14:paraId="33DB908D">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888" w:type="dxa"/>
          </w:tcPr>
          <w:p w14:paraId="4F5DCA46">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14:paraId="3D6D3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8" w:type="dxa"/>
            <w:shd w:val="clear" w:color="auto" w:fill="auto"/>
            <w:vAlign w:val="center"/>
          </w:tcPr>
          <w:p w14:paraId="1B91E121">
            <w:pPr>
              <w:widowControl/>
              <w:snapToGrid w:val="0"/>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6</w:t>
            </w:r>
          </w:p>
        </w:tc>
        <w:tc>
          <w:tcPr>
            <w:tcW w:w="3837" w:type="dxa"/>
            <w:vAlign w:val="center"/>
          </w:tcPr>
          <w:p w14:paraId="62BBA610">
            <w:pPr>
              <w:widowControl/>
              <w:snapToGrid w:val="0"/>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highlight w:val="none"/>
              </w:rPr>
              <w:t>法定代表人（或非法人组织</w:t>
            </w:r>
            <w:r>
              <w:rPr>
                <w:rFonts w:hint="eastAsia" w:ascii="仿宋_GB2312" w:hAnsi="仿宋_GB2312" w:eastAsia="仿宋_GB2312" w:cs="仿宋_GB2312"/>
                <w:color w:val="auto"/>
                <w:szCs w:val="21"/>
                <w:highlight w:val="none"/>
              </w:rPr>
              <w:t>负责人）</w:t>
            </w:r>
            <w:r>
              <w:rPr>
                <w:rFonts w:hint="eastAsia" w:ascii="仿宋_GB2312" w:hAnsi="仿宋_GB2312" w:eastAsia="仿宋_GB2312" w:cs="仿宋_GB2312"/>
                <w:color w:val="auto"/>
                <w:highlight w:val="none"/>
              </w:rPr>
              <w:t>授权委托书</w:t>
            </w:r>
            <w:r>
              <w:rPr>
                <w:rFonts w:hint="eastAsia" w:ascii="仿宋_GB2312" w:hAnsi="仿宋_GB2312" w:eastAsia="仿宋_GB2312" w:cs="仿宋_GB2312"/>
                <w:color w:val="auto"/>
                <w:szCs w:val="21"/>
                <w:highlight w:val="none"/>
              </w:rPr>
              <w:t>（授权委托人参加投标的须提供）</w:t>
            </w:r>
          </w:p>
        </w:tc>
        <w:tc>
          <w:tcPr>
            <w:tcW w:w="1982" w:type="dxa"/>
            <w:vAlign w:val="center"/>
          </w:tcPr>
          <w:p w14:paraId="01CEAEF6">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1.按给定格式填写</w:t>
            </w:r>
          </w:p>
          <w:p w14:paraId="55F90B28">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2.按规定签章</w:t>
            </w:r>
          </w:p>
        </w:tc>
        <w:tc>
          <w:tcPr>
            <w:tcW w:w="986" w:type="dxa"/>
          </w:tcPr>
          <w:p w14:paraId="26A984FA">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62" w:type="dxa"/>
          </w:tcPr>
          <w:p w14:paraId="3D64F647">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888" w:type="dxa"/>
          </w:tcPr>
          <w:p w14:paraId="4B655D77">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14:paraId="70DBB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68" w:type="dxa"/>
            <w:shd w:val="clear" w:color="auto" w:fill="auto"/>
            <w:vAlign w:val="center"/>
          </w:tcPr>
          <w:p w14:paraId="17C13046">
            <w:pPr>
              <w:snapToGrid w:val="0"/>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7</w:t>
            </w:r>
          </w:p>
        </w:tc>
        <w:tc>
          <w:tcPr>
            <w:tcW w:w="3837" w:type="dxa"/>
            <w:vAlign w:val="center"/>
          </w:tcPr>
          <w:p w14:paraId="46C5C58A">
            <w:pPr>
              <w:widowControl/>
              <w:snapToGrid w:val="0"/>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highlight w:val="none"/>
              </w:rPr>
              <w:t>具有良好的商业信誉和健全的财务会计制度的承诺</w:t>
            </w:r>
          </w:p>
        </w:tc>
        <w:tc>
          <w:tcPr>
            <w:tcW w:w="1982" w:type="dxa"/>
            <w:vAlign w:val="center"/>
          </w:tcPr>
          <w:p w14:paraId="44A6E4CB">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1.信息完整</w:t>
            </w:r>
          </w:p>
          <w:p w14:paraId="28126FF8">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2.按规定签章</w:t>
            </w:r>
          </w:p>
        </w:tc>
        <w:tc>
          <w:tcPr>
            <w:tcW w:w="986" w:type="dxa"/>
          </w:tcPr>
          <w:p w14:paraId="1FCC5EEB">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62" w:type="dxa"/>
          </w:tcPr>
          <w:p w14:paraId="0CA51D9A">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888" w:type="dxa"/>
          </w:tcPr>
          <w:p w14:paraId="7329C45F">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14:paraId="64646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shd w:val="clear" w:color="auto" w:fill="auto"/>
            <w:vAlign w:val="center"/>
          </w:tcPr>
          <w:p w14:paraId="69DB1165">
            <w:pPr>
              <w:snapToGrid w:val="0"/>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8</w:t>
            </w:r>
          </w:p>
        </w:tc>
        <w:tc>
          <w:tcPr>
            <w:tcW w:w="3837" w:type="dxa"/>
            <w:vAlign w:val="center"/>
          </w:tcPr>
          <w:p w14:paraId="09D3E333">
            <w:pPr>
              <w:snapToGrid w:val="0"/>
              <w:jc w:val="left"/>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开标时间前六个月内任一个月的依法缴纳税收的缴款凭据复印件</w:t>
            </w:r>
          </w:p>
        </w:tc>
        <w:tc>
          <w:tcPr>
            <w:tcW w:w="1982" w:type="dxa"/>
            <w:vAlign w:val="center"/>
          </w:tcPr>
          <w:p w14:paraId="728D161E">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1.按要求提供</w:t>
            </w:r>
          </w:p>
          <w:p w14:paraId="2C1D4F48">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2.合法有效</w:t>
            </w:r>
          </w:p>
        </w:tc>
        <w:tc>
          <w:tcPr>
            <w:tcW w:w="986" w:type="dxa"/>
          </w:tcPr>
          <w:p w14:paraId="16D5C4FA">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62" w:type="dxa"/>
          </w:tcPr>
          <w:p w14:paraId="19747DF8">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888" w:type="dxa"/>
          </w:tcPr>
          <w:p w14:paraId="6365EDBF">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14:paraId="4F8BA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shd w:val="clear" w:color="auto" w:fill="auto"/>
            <w:vAlign w:val="center"/>
          </w:tcPr>
          <w:p w14:paraId="2841A058">
            <w:pPr>
              <w:snapToGrid w:val="0"/>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9</w:t>
            </w:r>
          </w:p>
        </w:tc>
        <w:tc>
          <w:tcPr>
            <w:tcW w:w="3837" w:type="dxa"/>
            <w:vAlign w:val="center"/>
          </w:tcPr>
          <w:p w14:paraId="050F0808">
            <w:pPr>
              <w:snapToGrid w:val="0"/>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highlight w:val="none"/>
              </w:rPr>
              <w:t>开标时间前六个月内任一个月的依法缴纳社会保障资金的缴款凭据复印件</w:t>
            </w:r>
          </w:p>
        </w:tc>
        <w:tc>
          <w:tcPr>
            <w:tcW w:w="1982" w:type="dxa"/>
            <w:vAlign w:val="center"/>
          </w:tcPr>
          <w:p w14:paraId="5E090C71">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1.按要求提供</w:t>
            </w:r>
          </w:p>
          <w:p w14:paraId="4E32A13B">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2.合法有效</w:t>
            </w:r>
          </w:p>
        </w:tc>
        <w:tc>
          <w:tcPr>
            <w:tcW w:w="986" w:type="dxa"/>
          </w:tcPr>
          <w:p w14:paraId="7AF2FA7B">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62" w:type="dxa"/>
          </w:tcPr>
          <w:p w14:paraId="3112D35E">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888" w:type="dxa"/>
          </w:tcPr>
          <w:p w14:paraId="6ABF08BF">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14:paraId="47CA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8" w:type="dxa"/>
            <w:shd w:val="clear" w:color="auto" w:fill="auto"/>
            <w:vAlign w:val="center"/>
          </w:tcPr>
          <w:p w14:paraId="0E9D91BC">
            <w:pPr>
              <w:snapToGrid w:val="0"/>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szCs w:val="21"/>
                <w:highlight w:val="none"/>
              </w:rPr>
              <w:t>10</w:t>
            </w:r>
          </w:p>
        </w:tc>
        <w:tc>
          <w:tcPr>
            <w:tcW w:w="3837" w:type="dxa"/>
            <w:vAlign w:val="center"/>
          </w:tcPr>
          <w:p w14:paraId="7D351767">
            <w:pPr>
              <w:snapToGrid w:val="0"/>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highlight w:val="none"/>
              </w:rPr>
              <w:t>具备履行合同所必需的设备和专业技术能力声明函</w:t>
            </w:r>
          </w:p>
        </w:tc>
        <w:tc>
          <w:tcPr>
            <w:tcW w:w="1982" w:type="dxa"/>
            <w:vAlign w:val="center"/>
          </w:tcPr>
          <w:p w14:paraId="7508CC7B">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1.信息完整</w:t>
            </w:r>
          </w:p>
          <w:p w14:paraId="52414FEC">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2.按规定签章</w:t>
            </w:r>
          </w:p>
        </w:tc>
        <w:tc>
          <w:tcPr>
            <w:tcW w:w="986" w:type="dxa"/>
          </w:tcPr>
          <w:p w14:paraId="39F4795E">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62" w:type="dxa"/>
          </w:tcPr>
          <w:p w14:paraId="60626558">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888" w:type="dxa"/>
          </w:tcPr>
          <w:p w14:paraId="0765B5F8">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14:paraId="52BDD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shd w:val="clear" w:color="auto" w:fill="auto"/>
            <w:vAlign w:val="center"/>
          </w:tcPr>
          <w:p w14:paraId="1B4D5822">
            <w:pPr>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11</w:t>
            </w:r>
          </w:p>
        </w:tc>
        <w:tc>
          <w:tcPr>
            <w:tcW w:w="3837" w:type="dxa"/>
            <w:vAlign w:val="center"/>
          </w:tcPr>
          <w:p w14:paraId="0E3E91D0">
            <w:pPr>
              <w:snapToGrid w:val="0"/>
              <w:jc w:val="left"/>
              <w:rPr>
                <w:rFonts w:ascii="仿宋_GB2312" w:hAnsi="仿宋_GB2312" w:eastAsia="仿宋_GB2312" w:cs="仿宋_GB2312"/>
                <w:color w:val="auto"/>
                <w:highlight w:val="none"/>
              </w:rPr>
            </w:pPr>
            <w:r>
              <w:rPr>
                <w:rFonts w:hint="eastAsia" w:ascii="仿宋_GB2312" w:hAnsi="仿宋_GB2312" w:eastAsia="仿宋_GB2312" w:cs="仿宋_GB2312"/>
                <w:color w:val="auto"/>
                <w:szCs w:val="21"/>
                <w:highlight w:val="none"/>
              </w:rPr>
              <w:t>参加政府采购活动前3年内在经营活动中没有重大违法记录的书面声明</w:t>
            </w:r>
          </w:p>
        </w:tc>
        <w:tc>
          <w:tcPr>
            <w:tcW w:w="1982" w:type="dxa"/>
            <w:vAlign w:val="center"/>
          </w:tcPr>
          <w:p w14:paraId="11DF76FB">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1.按给定格式填写</w:t>
            </w:r>
          </w:p>
          <w:p w14:paraId="12B1CFB2">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2.按规定签章</w:t>
            </w:r>
          </w:p>
        </w:tc>
        <w:tc>
          <w:tcPr>
            <w:tcW w:w="986" w:type="dxa"/>
          </w:tcPr>
          <w:p w14:paraId="7C547FC1">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62" w:type="dxa"/>
          </w:tcPr>
          <w:p w14:paraId="1A696802">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888" w:type="dxa"/>
          </w:tcPr>
          <w:p w14:paraId="535797C6">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14:paraId="246E9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shd w:val="clear" w:color="auto" w:fill="auto"/>
            <w:vAlign w:val="center"/>
          </w:tcPr>
          <w:p w14:paraId="71C5012A">
            <w:pPr>
              <w:snapToGrid w:val="0"/>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szCs w:val="21"/>
                <w:highlight w:val="none"/>
              </w:rPr>
              <w:t>12</w:t>
            </w:r>
          </w:p>
        </w:tc>
        <w:tc>
          <w:tcPr>
            <w:tcW w:w="3837" w:type="dxa"/>
            <w:vAlign w:val="center"/>
          </w:tcPr>
          <w:p w14:paraId="2ECA3D92">
            <w:pPr>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中小企业声明函</w:t>
            </w:r>
          </w:p>
        </w:tc>
        <w:tc>
          <w:tcPr>
            <w:tcW w:w="1982" w:type="dxa"/>
            <w:vAlign w:val="center"/>
          </w:tcPr>
          <w:p w14:paraId="316714E1">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.按给定格式填写</w:t>
            </w:r>
          </w:p>
          <w:p w14:paraId="06EEF577">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2.按规定签章</w:t>
            </w:r>
          </w:p>
        </w:tc>
        <w:tc>
          <w:tcPr>
            <w:tcW w:w="986" w:type="dxa"/>
          </w:tcPr>
          <w:p w14:paraId="36333179">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62" w:type="dxa"/>
          </w:tcPr>
          <w:p w14:paraId="3046104A">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888" w:type="dxa"/>
          </w:tcPr>
          <w:p w14:paraId="1C22F800">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14:paraId="5F18F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668" w:type="dxa"/>
            <w:vAlign w:val="center"/>
          </w:tcPr>
          <w:p w14:paraId="62E5E15E">
            <w:pPr>
              <w:snapToGrid w:val="0"/>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13</w:t>
            </w:r>
          </w:p>
        </w:tc>
        <w:tc>
          <w:tcPr>
            <w:tcW w:w="3837" w:type="dxa"/>
            <w:vAlign w:val="center"/>
          </w:tcPr>
          <w:p w14:paraId="11D1B788">
            <w:pPr>
              <w:snapToGrid w:val="0"/>
              <w:jc w:val="left"/>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信用记录（</w:t>
            </w:r>
            <w:r>
              <w:rPr>
                <w:rFonts w:hint="eastAsia" w:ascii="仿宋_GB2312" w:hAnsi="仿宋_GB2312" w:eastAsia="仿宋_GB2312" w:cs="仿宋_GB2312"/>
                <w:color w:val="auto"/>
                <w:szCs w:val="21"/>
                <w:highlight w:val="none"/>
              </w:rPr>
              <w:t>招标人或采购代理机构将按照招标文件规定的审查期间内进行查询</w:t>
            </w:r>
            <w:r>
              <w:rPr>
                <w:rFonts w:hint="eastAsia" w:ascii="仿宋_GB2312" w:hAnsi="仿宋_GB2312" w:eastAsia="仿宋_GB2312" w:cs="仿宋_GB2312"/>
                <w:color w:val="auto"/>
                <w:highlight w:val="none"/>
              </w:rPr>
              <w:t>）</w:t>
            </w:r>
          </w:p>
        </w:tc>
        <w:tc>
          <w:tcPr>
            <w:tcW w:w="1982" w:type="dxa"/>
            <w:vAlign w:val="center"/>
          </w:tcPr>
          <w:p w14:paraId="1446543D">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1.按给定格式填写</w:t>
            </w:r>
          </w:p>
          <w:p w14:paraId="3AEB4499">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2.按规定签章</w:t>
            </w:r>
          </w:p>
        </w:tc>
        <w:tc>
          <w:tcPr>
            <w:tcW w:w="986" w:type="dxa"/>
          </w:tcPr>
          <w:p w14:paraId="3F79631B">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62" w:type="dxa"/>
          </w:tcPr>
          <w:p w14:paraId="36E02445">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888" w:type="dxa"/>
          </w:tcPr>
          <w:p w14:paraId="4D88C45D">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14:paraId="64BFB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vAlign w:val="center"/>
          </w:tcPr>
          <w:p w14:paraId="58D0B47F">
            <w:pPr>
              <w:snapToGrid w:val="0"/>
              <w:jc w:val="center"/>
              <w:rPr>
                <w:rFonts w:ascii="仿宋_GB2312" w:hAnsi="仿宋_GB2312" w:eastAsia="仿宋_GB2312" w:cs="仿宋_GB2312"/>
                <w:color w:val="auto"/>
                <w:highlight w:val="none"/>
              </w:rPr>
            </w:pPr>
          </w:p>
        </w:tc>
        <w:tc>
          <w:tcPr>
            <w:tcW w:w="3837" w:type="dxa"/>
            <w:vAlign w:val="center"/>
          </w:tcPr>
          <w:p w14:paraId="388A776B">
            <w:pPr>
              <w:snapToGrid w:val="0"/>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结论</w:t>
            </w:r>
          </w:p>
        </w:tc>
        <w:tc>
          <w:tcPr>
            <w:tcW w:w="1982" w:type="dxa"/>
          </w:tcPr>
          <w:p w14:paraId="6C94CC9E">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86" w:type="dxa"/>
          </w:tcPr>
          <w:p w14:paraId="1531F42F">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62" w:type="dxa"/>
          </w:tcPr>
          <w:p w14:paraId="7C4C9FEA">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888" w:type="dxa"/>
          </w:tcPr>
          <w:p w14:paraId="23D8E050">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bl>
    <w:p w14:paraId="40C4E232">
      <w:pPr>
        <w:snapToGrid w:val="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填表说明：1、每项内容审查合格，在表中填写“√”；不合格填写“×”</w:t>
      </w:r>
    </w:p>
    <w:p w14:paraId="7EBD49BC">
      <w:pPr>
        <w:snapToGrid w:val="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 xml:space="preserve">          2、审查结论填写“通过”或“不通过”</w:t>
      </w:r>
    </w:p>
    <w:p w14:paraId="0DDE9436">
      <w:pPr>
        <w:rPr>
          <w:rFonts w:ascii="仿宋_GB2312" w:hAnsi="仿宋_GB2312" w:eastAsia="仿宋_GB2312" w:cs="仿宋_GB2312"/>
          <w:color w:val="auto"/>
          <w:highlight w:val="none"/>
        </w:rPr>
      </w:pPr>
    </w:p>
    <w:p w14:paraId="5D4E2AD6">
      <w:pPr>
        <w:rPr>
          <w:rFonts w:ascii="仿宋_GB2312" w:hAnsi="仿宋_GB2312" w:eastAsia="仿宋_GB2312" w:cs="仿宋_GB2312"/>
          <w:color w:val="auto"/>
          <w:highlight w:val="none"/>
        </w:rPr>
      </w:pPr>
    </w:p>
    <w:p w14:paraId="1D8E7906">
      <w:pPr>
        <w:pStyle w:val="19"/>
        <w:widowControl w:val="0"/>
        <w:snapToGrid w:val="0"/>
        <w:spacing w:before="0" w:beforeAutospacing="0" w:after="0" w:afterAutospacing="0" w:line="480" w:lineRule="auto"/>
        <w:jc w:val="both"/>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审查人签字：</w:t>
      </w:r>
    </w:p>
    <w:p w14:paraId="1D71C860">
      <w:pPr>
        <w:pStyle w:val="19"/>
        <w:widowControl w:val="0"/>
        <w:snapToGrid w:val="0"/>
        <w:spacing w:before="0" w:beforeAutospacing="0" w:after="0" w:afterAutospacing="0" w:line="480" w:lineRule="auto"/>
        <w:jc w:val="both"/>
        <w:rPr>
          <w:rFonts w:ascii="仿宋_GB2312" w:hAnsi="仿宋_GB2312" w:eastAsia="仿宋_GB2312" w:cs="仿宋_GB2312"/>
          <w:b/>
          <w:color w:val="auto"/>
          <w:sz w:val="21"/>
          <w:szCs w:val="21"/>
          <w:highlight w:val="none"/>
        </w:rPr>
      </w:pPr>
      <w:r>
        <w:rPr>
          <w:rFonts w:hint="eastAsia" w:ascii="仿宋_GB2312" w:hAnsi="仿宋_GB2312" w:eastAsia="仿宋_GB2312" w:cs="仿宋_GB2312"/>
          <w:bCs/>
          <w:color w:val="auto"/>
          <w:sz w:val="21"/>
          <w:szCs w:val="21"/>
          <w:highlight w:val="none"/>
        </w:rPr>
        <w:t>日      期：</w:t>
      </w:r>
    </w:p>
    <w:p w14:paraId="7EB642FC">
      <w:pPr>
        <w:pStyle w:val="3"/>
        <w:adjustRightInd w:val="0"/>
        <w:snapToGrid w:val="0"/>
        <w:spacing w:before="0" w:after="0" w:line="240" w:lineRule="auto"/>
        <w:jc w:val="left"/>
        <w:rPr>
          <w:rFonts w:ascii="仿宋_GB2312" w:hAnsi="仿宋_GB2312" w:eastAsia="仿宋_GB2312" w:cs="仿宋_GB2312"/>
          <w:color w:val="auto"/>
          <w:szCs w:val="28"/>
          <w:highlight w:val="none"/>
        </w:rPr>
      </w:pPr>
      <w:bookmarkStart w:id="126" w:name="_Toc11558_WPSOffice_Level2"/>
      <w:r>
        <w:rPr>
          <w:rFonts w:hint="eastAsia" w:ascii="仿宋_GB2312" w:hAnsi="仿宋_GB2312" w:eastAsia="仿宋_GB2312" w:cs="仿宋_GB2312"/>
          <w:color w:val="auto"/>
          <w:szCs w:val="28"/>
          <w:highlight w:val="none"/>
        </w:rPr>
        <w:br w:type="page"/>
      </w:r>
      <w:r>
        <w:rPr>
          <w:rFonts w:hint="eastAsia" w:ascii="仿宋_GB2312" w:hAnsi="仿宋_GB2312" w:eastAsia="仿宋_GB2312" w:cs="仿宋_GB2312"/>
          <w:color w:val="auto"/>
          <w:szCs w:val="28"/>
          <w:highlight w:val="none"/>
        </w:rPr>
        <w:t xml:space="preserve">附件2                  </w:t>
      </w:r>
    </w:p>
    <w:p w14:paraId="27F0B3A3">
      <w:pPr>
        <w:jc w:val="center"/>
        <w:rPr>
          <w:rFonts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符合性审查表</w:t>
      </w:r>
      <w:bookmarkEnd w:id="126"/>
    </w:p>
    <w:tbl>
      <w:tblPr>
        <w:tblStyle w:val="22"/>
        <w:tblW w:w="9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2606"/>
        <w:gridCol w:w="3004"/>
        <w:gridCol w:w="1095"/>
        <w:gridCol w:w="985"/>
        <w:gridCol w:w="912"/>
      </w:tblGrid>
      <w:tr w14:paraId="533A2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48" w:type="dxa"/>
            <w:vMerge w:val="restart"/>
            <w:vAlign w:val="center"/>
          </w:tcPr>
          <w:p w14:paraId="303CBDF8">
            <w:pPr>
              <w:ind w:left="-84" w:leftChars="-40" w:right="-76" w:rightChars="-36"/>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序号</w:t>
            </w:r>
          </w:p>
        </w:tc>
        <w:tc>
          <w:tcPr>
            <w:tcW w:w="2606" w:type="dxa"/>
            <w:vMerge w:val="restart"/>
            <w:vAlign w:val="center"/>
          </w:tcPr>
          <w:p w14:paraId="4ADA2690">
            <w:pPr>
              <w:ind w:left="-84" w:leftChars="-40" w:right="-76" w:rightChars="-36"/>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审查项目</w:t>
            </w:r>
          </w:p>
        </w:tc>
        <w:tc>
          <w:tcPr>
            <w:tcW w:w="3004" w:type="dxa"/>
            <w:vMerge w:val="restart"/>
            <w:vAlign w:val="center"/>
          </w:tcPr>
          <w:p w14:paraId="454F0F84">
            <w:pPr>
              <w:ind w:left="-84" w:leftChars="-40" w:right="-76" w:rightChars="-36"/>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审查标准</w:t>
            </w:r>
          </w:p>
        </w:tc>
        <w:tc>
          <w:tcPr>
            <w:tcW w:w="2992" w:type="dxa"/>
            <w:gridSpan w:val="3"/>
            <w:vAlign w:val="center"/>
          </w:tcPr>
          <w:p w14:paraId="69771F6D">
            <w:pPr>
              <w:ind w:left="-84" w:leftChars="-40" w:right="-76" w:rightChars="-36"/>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投标人名称</w:t>
            </w:r>
          </w:p>
        </w:tc>
      </w:tr>
      <w:tr w14:paraId="582AF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8" w:type="dxa"/>
            <w:vMerge w:val="continue"/>
            <w:vAlign w:val="center"/>
          </w:tcPr>
          <w:p w14:paraId="3E3F32EA">
            <w:pPr>
              <w:pStyle w:val="3"/>
              <w:adjustRightInd w:val="0"/>
              <w:snapToGrid w:val="0"/>
              <w:spacing w:before="0" w:after="0" w:line="240" w:lineRule="auto"/>
              <w:rPr>
                <w:rFonts w:ascii="仿宋_GB2312" w:hAnsi="仿宋_GB2312" w:eastAsia="仿宋_GB2312" w:cs="仿宋_GB2312"/>
                <w:color w:val="auto"/>
                <w:highlight w:val="none"/>
              </w:rPr>
            </w:pPr>
          </w:p>
        </w:tc>
        <w:tc>
          <w:tcPr>
            <w:tcW w:w="2606" w:type="dxa"/>
            <w:vMerge w:val="continue"/>
            <w:vAlign w:val="center"/>
          </w:tcPr>
          <w:p w14:paraId="48642F59">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3004" w:type="dxa"/>
            <w:vMerge w:val="continue"/>
            <w:vAlign w:val="center"/>
          </w:tcPr>
          <w:p w14:paraId="10634E24">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1095" w:type="dxa"/>
            <w:vAlign w:val="center"/>
          </w:tcPr>
          <w:p w14:paraId="6A94A163">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85" w:type="dxa"/>
            <w:vAlign w:val="center"/>
          </w:tcPr>
          <w:p w14:paraId="680F782A">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12" w:type="dxa"/>
            <w:vAlign w:val="center"/>
          </w:tcPr>
          <w:p w14:paraId="1E91F98A">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14:paraId="3ECDF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vAlign w:val="center"/>
          </w:tcPr>
          <w:p w14:paraId="52FCD069">
            <w:pPr>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kern w:val="0"/>
                <w:sz w:val="20"/>
                <w:szCs w:val="21"/>
                <w:highlight w:val="none"/>
              </w:rPr>
              <w:t>1</w:t>
            </w:r>
          </w:p>
        </w:tc>
        <w:tc>
          <w:tcPr>
            <w:tcW w:w="2606" w:type="dxa"/>
            <w:vAlign w:val="center"/>
          </w:tcPr>
          <w:p w14:paraId="6077F180">
            <w:pPr>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kern w:val="0"/>
                <w:szCs w:val="21"/>
                <w:highlight w:val="none"/>
              </w:rPr>
              <w:t>投标函</w:t>
            </w:r>
          </w:p>
        </w:tc>
        <w:tc>
          <w:tcPr>
            <w:tcW w:w="3004" w:type="dxa"/>
          </w:tcPr>
          <w:p w14:paraId="68CD1FC1">
            <w:pPr>
              <w:pStyle w:val="3"/>
              <w:adjustRightInd w:val="0"/>
              <w:snapToGrid w:val="0"/>
              <w:spacing w:before="0" w:after="0" w:line="240" w:lineRule="auto"/>
              <w:jc w:val="left"/>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1、按给定格式填写</w:t>
            </w:r>
          </w:p>
          <w:p w14:paraId="0725AB5C">
            <w:pPr>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2、响应招标文件实质性要求</w:t>
            </w:r>
          </w:p>
          <w:p w14:paraId="0835DB63">
            <w:pPr>
              <w:pStyle w:val="3"/>
              <w:adjustRightInd w:val="0"/>
              <w:snapToGrid w:val="0"/>
              <w:spacing w:before="0" w:after="0" w:line="240" w:lineRule="auto"/>
              <w:jc w:val="left"/>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3、按规定签章</w:t>
            </w:r>
          </w:p>
        </w:tc>
        <w:tc>
          <w:tcPr>
            <w:tcW w:w="1095" w:type="dxa"/>
            <w:vAlign w:val="center"/>
          </w:tcPr>
          <w:p w14:paraId="16687C6D">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85" w:type="dxa"/>
            <w:vAlign w:val="center"/>
          </w:tcPr>
          <w:p w14:paraId="33B7FCFD">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12" w:type="dxa"/>
            <w:vAlign w:val="center"/>
          </w:tcPr>
          <w:p w14:paraId="376AF3D6">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14:paraId="59F34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648" w:type="dxa"/>
            <w:vAlign w:val="center"/>
          </w:tcPr>
          <w:p w14:paraId="467F5A23">
            <w:pPr>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kern w:val="0"/>
                <w:szCs w:val="21"/>
                <w:highlight w:val="none"/>
              </w:rPr>
              <w:t>2</w:t>
            </w:r>
          </w:p>
        </w:tc>
        <w:tc>
          <w:tcPr>
            <w:tcW w:w="2606" w:type="dxa"/>
            <w:vAlign w:val="center"/>
          </w:tcPr>
          <w:p w14:paraId="3F3CCCDA">
            <w:pPr>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kern w:val="0"/>
                <w:szCs w:val="21"/>
                <w:highlight w:val="none"/>
              </w:rPr>
              <w:t>开标一览表</w:t>
            </w:r>
          </w:p>
        </w:tc>
        <w:tc>
          <w:tcPr>
            <w:tcW w:w="3004" w:type="dxa"/>
          </w:tcPr>
          <w:p w14:paraId="66FD51E3">
            <w:pPr>
              <w:pStyle w:val="3"/>
              <w:adjustRightInd w:val="0"/>
              <w:snapToGrid w:val="0"/>
              <w:spacing w:before="0" w:after="0" w:line="240" w:lineRule="auto"/>
              <w:jc w:val="left"/>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1、按给定格式填写</w:t>
            </w:r>
          </w:p>
          <w:p w14:paraId="56B47F7A">
            <w:pPr>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2、响应招标文件实质性要求</w:t>
            </w:r>
          </w:p>
          <w:p w14:paraId="29283F1E">
            <w:pPr>
              <w:pStyle w:val="3"/>
              <w:adjustRightInd w:val="0"/>
              <w:snapToGrid w:val="0"/>
              <w:spacing w:before="0" w:after="0" w:line="240" w:lineRule="auto"/>
              <w:jc w:val="left"/>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3、按规定签章</w:t>
            </w:r>
          </w:p>
        </w:tc>
        <w:tc>
          <w:tcPr>
            <w:tcW w:w="1095" w:type="dxa"/>
          </w:tcPr>
          <w:p w14:paraId="2ED7A4CB">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85" w:type="dxa"/>
          </w:tcPr>
          <w:p w14:paraId="20952C5E">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12" w:type="dxa"/>
          </w:tcPr>
          <w:p w14:paraId="67F877B5">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14:paraId="1BA1B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vAlign w:val="center"/>
          </w:tcPr>
          <w:p w14:paraId="33B8F3C5">
            <w:pPr>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kern w:val="0"/>
                <w:szCs w:val="21"/>
                <w:highlight w:val="none"/>
              </w:rPr>
              <w:t>3</w:t>
            </w:r>
          </w:p>
        </w:tc>
        <w:tc>
          <w:tcPr>
            <w:tcW w:w="2606" w:type="dxa"/>
            <w:vAlign w:val="center"/>
          </w:tcPr>
          <w:p w14:paraId="37EE81B7">
            <w:pPr>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kern w:val="0"/>
                <w:szCs w:val="21"/>
                <w:highlight w:val="none"/>
              </w:rPr>
              <w:t>分项报价表</w:t>
            </w:r>
          </w:p>
        </w:tc>
        <w:tc>
          <w:tcPr>
            <w:tcW w:w="3004" w:type="dxa"/>
          </w:tcPr>
          <w:p w14:paraId="497C04E6">
            <w:pPr>
              <w:pStyle w:val="3"/>
              <w:adjustRightInd w:val="0"/>
              <w:snapToGrid w:val="0"/>
              <w:spacing w:before="0" w:after="0" w:line="240" w:lineRule="auto"/>
              <w:jc w:val="left"/>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1、按给定格式填写</w:t>
            </w:r>
          </w:p>
          <w:p w14:paraId="72D4F8C7">
            <w:pPr>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2、响应招标文件实质性要求</w:t>
            </w:r>
          </w:p>
          <w:p w14:paraId="07CFFD56">
            <w:pPr>
              <w:pStyle w:val="3"/>
              <w:adjustRightInd w:val="0"/>
              <w:snapToGrid w:val="0"/>
              <w:spacing w:before="0" w:after="0" w:line="240" w:lineRule="auto"/>
              <w:jc w:val="left"/>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3、按规定签章</w:t>
            </w:r>
          </w:p>
        </w:tc>
        <w:tc>
          <w:tcPr>
            <w:tcW w:w="1095" w:type="dxa"/>
          </w:tcPr>
          <w:p w14:paraId="33C2D96B">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85" w:type="dxa"/>
          </w:tcPr>
          <w:p w14:paraId="7FC43070">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12" w:type="dxa"/>
          </w:tcPr>
          <w:p w14:paraId="1B7F976F">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14:paraId="2E8BD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vAlign w:val="center"/>
          </w:tcPr>
          <w:p w14:paraId="76AD2024">
            <w:pPr>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kern w:val="0"/>
                <w:szCs w:val="21"/>
                <w:highlight w:val="none"/>
              </w:rPr>
              <w:t>4</w:t>
            </w:r>
          </w:p>
        </w:tc>
        <w:tc>
          <w:tcPr>
            <w:tcW w:w="2606" w:type="dxa"/>
            <w:vAlign w:val="center"/>
          </w:tcPr>
          <w:p w14:paraId="25DD822A">
            <w:pPr>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kern w:val="0"/>
                <w:szCs w:val="21"/>
                <w:highlight w:val="none"/>
              </w:rPr>
              <w:t>技术规格偏离表</w:t>
            </w:r>
          </w:p>
        </w:tc>
        <w:tc>
          <w:tcPr>
            <w:tcW w:w="3004" w:type="dxa"/>
          </w:tcPr>
          <w:p w14:paraId="01F3239C">
            <w:pPr>
              <w:pStyle w:val="3"/>
              <w:adjustRightInd w:val="0"/>
              <w:snapToGrid w:val="0"/>
              <w:spacing w:before="0" w:after="0" w:line="240" w:lineRule="auto"/>
              <w:jc w:val="left"/>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1、按给定格式及填表要求填写</w:t>
            </w:r>
          </w:p>
          <w:p w14:paraId="5D8C4A98">
            <w:pPr>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2、响应招标文件实质性要求</w:t>
            </w:r>
          </w:p>
          <w:p w14:paraId="1C016649">
            <w:pPr>
              <w:pStyle w:val="3"/>
              <w:adjustRightInd w:val="0"/>
              <w:snapToGrid w:val="0"/>
              <w:spacing w:before="0" w:after="0" w:line="240" w:lineRule="auto"/>
              <w:jc w:val="left"/>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3、按规定签章</w:t>
            </w:r>
          </w:p>
        </w:tc>
        <w:tc>
          <w:tcPr>
            <w:tcW w:w="1095" w:type="dxa"/>
          </w:tcPr>
          <w:p w14:paraId="5DDCFB32">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85" w:type="dxa"/>
          </w:tcPr>
          <w:p w14:paraId="2455084D">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12" w:type="dxa"/>
          </w:tcPr>
          <w:p w14:paraId="06D9BDF0">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14:paraId="30D61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vAlign w:val="center"/>
          </w:tcPr>
          <w:p w14:paraId="6BE71D62">
            <w:pPr>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kern w:val="0"/>
                <w:szCs w:val="21"/>
                <w:highlight w:val="none"/>
              </w:rPr>
              <w:t>5</w:t>
            </w:r>
          </w:p>
        </w:tc>
        <w:tc>
          <w:tcPr>
            <w:tcW w:w="2606" w:type="dxa"/>
            <w:vAlign w:val="center"/>
          </w:tcPr>
          <w:p w14:paraId="43FA1736">
            <w:pPr>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kern w:val="0"/>
                <w:szCs w:val="21"/>
                <w:highlight w:val="none"/>
              </w:rPr>
              <w:t>商务条款偏离表</w:t>
            </w:r>
          </w:p>
        </w:tc>
        <w:tc>
          <w:tcPr>
            <w:tcW w:w="3004" w:type="dxa"/>
          </w:tcPr>
          <w:p w14:paraId="176C0175">
            <w:pPr>
              <w:pStyle w:val="3"/>
              <w:adjustRightInd w:val="0"/>
              <w:snapToGrid w:val="0"/>
              <w:spacing w:before="0" w:after="0" w:line="240" w:lineRule="auto"/>
              <w:jc w:val="left"/>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1、按给定格式及填表要求填写</w:t>
            </w:r>
          </w:p>
          <w:p w14:paraId="2861A794">
            <w:pPr>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2、响应招标文件实质性要求</w:t>
            </w:r>
          </w:p>
          <w:p w14:paraId="10BB323B">
            <w:pPr>
              <w:pStyle w:val="3"/>
              <w:adjustRightInd w:val="0"/>
              <w:snapToGrid w:val="0"/>
              <w:spacing w:before="0" w:after="0" w:line="240" w:lineRule="auto"/>
              <w:jc w:val="left"/>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3、按规定签章</w:t>
            </w:r>
          </w:p>
        </w:tc>
        <w:tc>
          <w:tcPr>
            <w:tcW w:w="1095" w:type="dxa"/>
          </w:tcPr>
          <w:p w14:paraId="3B4580C0">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85" w:type="dxa"/>
          </w:tcPr>
          <w:p w14:paraId="28C7DB3E">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12" w:type="dxa"/>
          </w:tcPr>
          <w:p w14:paraId="107E2F0D">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14:paraId="21388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648" w:type="dxa"/>
            <w:vAlign w:val="center"/>
          </w:tcPr>
          <w:p w14:paraId="75835024">
            <w:pPr>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kern w:val="0"/>
                <w:szCs w:val="21"/>
                <w:highlight w:val="none"/>
              </w:rPr>
              <w:t>6</w:t>
            </w:r>
          </w:p>
        </w:tc>
        <w:tc>
          <w:tcPr>
            <w:tcW w:w="2606" w:type="dxa"/>
            <w:vAlign w:val="center"/>
          </w:tcPr>
          <w:p w14:paraId="55E8A52E">
            <w:pPr>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kern w:val="0"/>
                <w:szCs w:val="21"/>
                <w:highlight w:val="none"/>
              </w:rPr>
              <w:t>投标人关联单位说明</w:t>
            </w:r>
          </w:p>
        </w:tc>
        <w:tc>
          <w:tcPr>
            <w:tcW w:w="3004" w:type="dxa"/>
            <w:vAlign w:val="center"/>
          </w:tcPr>
          <w:p w14:paraId="0424F0B0">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无投标须知1.5所述情形</w:t>
            </w:r>
          </w:p>
        </w:tc>
        <w:tc>
          <w:tcPr>
            <w:tcW w:w="1095" w:type="dxa"/>
          </w:tcPr>
          <w:p w14:paraId="557E0E2D">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85" w:type="dxa"/>
          </w:tcPr>
          <w:p w14:paraId="637A8C29">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12" w:type="dxa"/>
          </w:tcPr>
          <w:p w14:paraId="16FCD101">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14:paraId="0CC38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48" w:type="dxa"/>
            <w:vAlign w:val="center"/>
          </w:tcPr>
          <w:p w14:paraId="77C594A0">
            <w:pPr>
              <w:snapToGrid w:val="0"/>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szCs w:val="21"/>
                <w:highlight w:val="none"/>
              </w:rPr>
              <w:t>7</w:t>
            </w:r>
          </w:p>
        </w:tc>
        <w:tc>
          <w:tcPr>
            <w:tcW w:w="2606" w:type="dxa"/>
            <w:vAlign w:val="center"/>
          </w:tcPr>
          <w:p w14:paraId="51C908AD">
            <w:pPr>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投标报价</w:t>
            </w:r>
          </w:p>
        </w:tc>
        <w:tc>
          <w:tcPr>
            <w:tcW w:w="3004" w:type="dxa"/>
          </w:tcPr>
          <w:p w14:paraId="4919857D">
            <w:pPr>
              <w:pStyle w:val="3"/>
              <w:adjustRightInd w:val="0"/>
              <w:snapToGrid w:val="0"/>
              <w:spacing w:before="0" w:after="0" w:line="240" w:lineRule="auto"/>
              <w:jc w:val="left"/>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1、响应招标文件实质性要求</w:t>
            </w:r>
          </w:p>
          <w:p w14:paraId="2F50C3BD">
            <w:pPr>
              <w:pStyle w:val="3"/>
              <w:adjustRightInd w:val="0"/>
              <w:snapToGrid w:val="0"/>
              <w:spacing w:before="0" w:after="0" w:line="240" w:lineRule="auto"/>
              <w:jc w:val="left"/>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2、无投标须知26.2所述情形</w:t>
            </w:r>
          </w:p>
        </w:tc>
        <w:tc>
          <w:tcPr>
            <w:tcW w:w="1095" w:type="dxa"/>
          </w:tcPr>
          <w:p w14:paraId="510A5A89">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85" w:type="dxa"/>
          </w:tcPr>
          <w:p w14:paraId="253B2A7C">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12" w:type="dxa"/>
          </w:tcPr>
          <w:p w14:paraId="16D0DDD2">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14:paraId="70530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48" w:type="dxa"/>
            <w:vAlign w:val="center"/>
          </w:tcPr>
          <w:p w14:paraId="20C2ECC1">
            <w:pPr>
              <w:snapToGrid w:val="0"/>
              <w:jc w:val="center"/>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color w:val="auto"/>
                <w:szCs w:val="21"/>
                <w:highlight w:val="none"/>
                <w:lang w:val="en-US" w:eastAsia="zh-CN"/>
              </w:rPr>
              <w:t>8</w:t>
            </w:r>
          </w:p>
        </w:tc>
        <w:tc>
          <w:tcPr>
            <w:tcW w:w="2606" w:type="dxa"/>
            <w:vAlign w:val="center"/>
          </w:tcPr>
          <w:p w14:paraId="4F825FC1">
            <w:pPr>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核心产品品牌满足三个及以上</w:t>
            </w:r>
          </w:p>
        </w:tc>
        <w:tc>
          <w:tcPr>
            <w:tcW w:w="3004" w:type="dxa"/>
            <w:vAlign w:val="center"/>
          </w:tcPr>
          <w:p w14:paraId="1C43D7FE">
            <w:pPr>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响应招标文件实质性要求</w:t>
            </w:r>
          </w:p>
        </w:tc>
        <w:tc>
          <w:tcPr>
            <w:tcW w:w="1095" w:type="dxa"/>
          </w:tcPr>
          <w:p w14:paraId="474B12DB">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85" w:type="dxa"/>
          </w:tcPr>
          <w:p w14:paraId="35E726C9">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12" w:type="dxa"/>
          </w:tcPr>
          <w:p w14:paraId="2E88A42A">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14:paraId="07A5A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48" w:type="dxa"/>
            <w:vAlign w:val="center"/>
          </w:tcPr>
          <w:p w14:paraId="61113D9A">
            <w:pPr>
              <w:snapToGrid w:val="0"/>
              <w:jc w:val="center"/>
              <w:rPr>
                <w:rFonts w:hint="eastAsia" w:ascii="仿宋_GB2312" w:hAnsi="仿宋_GB2312" w:eastAsia="仿宋_GB2312" w:cs="仿宋_GB2312"/>
                <w:color w:val="auto"/>
                <w:highlight w:val="none"/>
                <w:lang w:eastAsia="zh-CN"/>
              </w:rPr>
            </w:pPr>
            <w:r>
              <w:rPr>
                <w:rFonts w:hint="eastAsia" w:ascii="仿宋_GB2312" w:hAnsi="仿宋_GB2312" w:eastAsia="仿宋_GB2312" w:cs="仿宋_GB2312"/>
                <w:color w:val="auto"/>
                <w:szCs w:val="21"/>
                <w:highlight w:val="none"/>
                <w:lang w:val="en-US" w:eastAsia="zh-CN"/>
              </w:rPr>
              <w:t>9</w:t>
            </w:r>
          </w:p>
        </w:tc>
        <w:tc>
          <w:tcPr>
            <w:tcW w:w="2606" w:type="dxa"/>
            <w:vAlign w:val="center"/>
          </w:tcPr>
          <w:p w14:paraId="51C62F62">
            <w:pPr>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招标文件或法律规定的其他实质性要求</w:t>
            </w:r>
          </w:p>
        </w:tc>
        <w:tc>
          <w:tcPr>
            <w:tcW w:w="3004" w:type="dxa"/>
          </w:tcPr>
          <w:p w14:paraId="6F5E7C08">
            <w:pPr>
              <w:pStyle w:val="3"/>
              <w:adjustRightInd w:val="0"/>
              <w:snapToGrid w:val="0"/>
              <w:spacing w:before="0" w:after="0" w:line="240" w:lineRule="auto"/>
              <w:jc w:val="left"/>
              <w:rPr>
                <w:rFonts w:ascii="仿宋_GB2312" w:hAnsi="仿宋_GB2312" w:eastAsia="仿宋_GB2312" w:cs="仿宋_GB2312"/>
                <w:color w:val="auto"/>
                <w:sz w:val="21"/>
                <w:szCs w:val="21"/>
                <w:highlight w:val="none"/>
              </w:rPr>
            </w:pPr>
          </w:p>
        </w:tc>
        <w:tc>
          <w:tcPr>
            <w:tcW w:w="1095" w:type="dxa"/>
          </w:tcPr>
          <w:p w14:paraId="7703DABE">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85" w:type="dxa"/>
          </w:tcPr>
          <w:p w14:paraId="01271A53">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12" w:type="dxa"/>
          </w:tcPr>
          <w:p w14:paraId="15C3DAD1">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14:paraId="3846E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648" w:type="dxa"/>
            <w:vAlign w:val="center"/>
          </w:tcPr>
          <w:p w14:paraId="54ACE467">
            <w:pPr>
              <w:snapToGrid w:val="0"/>
              <w:jc w:val="center"/>
              <w:rPr>
                <w:rFonts w:ascii="仿宋_GB2312" w:hAnsi="仿宋_GB2312" w:eastAsia="仿宋_GB2312" w:cs="仿宋_GB2312"/>
                <w:color w:val="auto"/>
                <w:highlight w:val="none"/>
              </w:rPr>
            </w:pPr>
          </w:p>
        </w:tc>
        <w:tc>
          <w:tcPr>
            <w:tcW w:w="2606" w:type="dxa"/>
            <w:vAlign w:val="center"/>
          </w:tcPr>
          <w:p w14:paraId="580A21DE">
            <w:pPr>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结论</w:t>
            </w:r>
          </w:p>
        </w:tc>
        <w:tc>
          <w:tcPr>
            <w:tcW w:w="3004" w:type="dxa"/>
          </w:tcPr>
          <w:p w14:paraId="660C5F98">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1095" w:type="dxa"/>
          </w:tcPr>
          <w:p w14:paraId="51287BEE">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85" w:type="dxa"/>
          </w:tcPr>
          <w:p w14:paraId="2F55FD2F">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912" w:type="dxa"/>
          </w:tcPr>
          <w:p w14:paraId="2695003A">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bl>
    <w:p w14:paraId="7FD4D480">
      <w:pP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填表说明：1、每项内容审查合格，在表中填写“√”；不合格填写“×”</w:t>
      </w:r>
    </w:p>
    <w:p w14:paraId="79D30F9D">
      <w:pP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 xml:space="preserve">          2、审查结论填写“通过”或“不通过”</w:t>
      </w:r>
    </w:p>
    <w:p w14:paraId="095586ED">
      <w:pPr>
        <w:rPr>
          <w:rFonts w:ascii="仿宋_GB2312" w:hAnsi="仿宋_GB2312" w:eastAsia="仿宋_GB2312" w:cs="仿宋_GB2312"/>
          <w:color w:val="auto"/>
          <w:highlight w:val="none"/>
        </w:rPr>
      </w:pPr>
    </w:p>
    <w:p w14:paraId="5C4614BA">
      <w:pPr>
        <w:rPr>
          <w:rFonts w:ascii="仿宋_GB2312" w:hAnsi="仿宋_GB2312" w:eastAsia="仿宋_GB2312" w:cs="仿宋_GB2312"/>
          <w:color w:val="auto"/>
          <w:highlight w:val="none"/>
        </w:rPr>
      </w:pPr>
    </w:p>
    <w:p w14:paraId="235F6505">
      <w:pPr>
        <w:pStyle w:val="19"/>
        <w:widowControl w:val="0"/>
        <w:snapToGrid w:val="0"/>
        <w:spacing w:before="0" w:beforeAutospacing="0" w:after="0" w:afterAutospacing="0" w:line="480" w:lineRule="auto"/>
        <w:ind w:left="5880" w:hanging="5880" w:hangingChars="2800"/>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 xml:space="preserve">审查人签字： </w:t>
      </w:r>
    </w:p>
    <w:p w14:paraId="69B5FDE1">
      <w:pPr>
        <w:pStyle w:val="19"/>
        <w:widowControl w:val="0"/>
        <w:snapToGrid w:val="0"/>
        <w:spacing w:before="0" w:beforeAutospacing="0" w:after="0" w:afterAutospacing="0" w:line="480" w:lineRule="auto"/>
        <w:ind w:left="5880" w:hanging="5880" w:hangingChars="2800"/>
        <w:rPr>
          <w:rFonts w:ascii="仿宋_GB2312" w:hAnsi="仿宋_GB2312" w:eastAsia="仿宋_GB2312" w:cs="仿宋_GB2312"/>
          <w:b/>
          <w:color w:val="auto"/>
          <w:sz w:val="21"/>
          <w:szCs w:val="21"/>
          <w:highlight w:val="none"/>
        </w:rPr>
      </w:pPr>
      <w:r>
        <w:rPr>
          <w:rFonts w:hint="eastAsia" w:ascii="仿宋_GB2312" w:hAnsi="仿宋_GB2312" w:eastAsia="仿宋_GB2312" w:cs="仿宋_GB2312"/>
          <w:bCs/>
          <w:color w:val="auto"/>
          <w:sz w:val="21"/>
          <w:szCs w:val="21"/>
          <w:highlight w:val="none"/>
        </w:rPr>
        <w:t>日      期：</w:t>
      </w:r>
      <w:r>
        <w:rPr>
          <w:rFonts w:hint="eastAsia" w:ascii="仿宋_GB2312" w:hAnsi="仿宋_GB2312" w:eastAsia="仿宋_GB2312" w:cs="仿宋_GB2312"/>
          <w:b/>
          <w:color w:val="auto"/>
          <w:sz w:val="21"/>
          <w:szCs w:val="21"/>
          <w:highlight w:val="none"/>
        </w:rPr>
        <w:t xml:space="preserve"> </w:t>
      </w:r>
    </w:p>
    <w:p w14:paraId="61B32160">
      <w:pPr>
        <w:rPr>
          <w:rFonts w:ascii="仿宋_GB2312" w:hAnsi="仿宋_GB2312" w:eastAsia="仿宋_GB2312" w:cs="仿宋_GB2312"/>
          <w:color w:val="auto"/>
          <w:szCs w:val="28"/>
          <w:highlight w:val="none"/>
        </w:rPr>
      </w:pPr>
      <w:bookmarkStart w:id="127" w:name="_Toc17433_WPSOffice_Level2"/>
      <w:r>
        <w:rPr>
          <w:rFonts w:hint="eastAsia" w:ascii="仿宋_GB2312" w:hAnsi="仿宋_GB2312" w:eastAsia="仿宋_GB2312" w:cs="仿宋_GB2312"/>
          <w:color w:val="auto"/>
          <w:szCs w:val="28"/>
          <w:highlight w:val="none"/>
        </w:rPr>
        <w:br w:type="page"/>
      </w:r>
    </w:p>
    <w:p w14:paraId="6C68559D">
      <w:pPr>
        <w:pStyle w:val="3"/>
        <w:adjustRightInd w:val="0"/>
        <w:snapToGrid w:val="0"/>
        <w:spacing w:before="0" w:after="0" w:line="240" w:lineRule="auto"/>
        <w:jc w:val="left"/>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Cs w:val="28"/>
          <w:highlight w:val="none"/>
        </w:rPr>
        <w:t xml:space="preserve">附件3                   </w:t>
      </w:r>
      <w:r>
        <w:rPr>
          <w:rFonts w:hint="eastAsia" w:ascii="仿宋_GB2312" w:hAnsi="仿宋_GB2312" w:eastAsia="仿宋_GB2312" w:cs="仿宋_GB2312"/>
          <w:color w:val="auto"/>
          <w:sz w:val="32"/>
          <w:szCs w:val="32"/>
          <w:highlight w:val="none"/>
        </w:rPr>
        <w:t xml:space="preserve"> </w:t>
      </w:r>
    </w:p>
    <w:p w14:paraId="4BE363F6">
      <w:pPr>
        <w:jc w:val="center"/>
        <w:rPr>
          <w:rFonts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评分细则</w:t>
      </w:r>
      <w:bookmarkEnd w:id="127"/>
    </w:p>
    <w:p w14:paraId="62774894">
      <w:pPr>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（一）基本评分标准</w:t>
      </w:r>
    </w:p>
    <w:p w14:paraId="1A52CF1C">
      <w:pPr>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包号：001包</w:t>
      </w:r>
    </w:p>
    <w:tbl>
      <w:tblPr>
        <w:tblStyle w:val="2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8"/>
        <w:gridCol w:w="1050"/>
        <w:gridCol w:w="5856"/>
        <w:gridCol w:w="805"/>
      </w:tblGrid>
      <w:tr w14:paraId="7ADE8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474" w:type="pct"/>
            <w:tcBorders>
              <w:top w:val="single" w:color="auto" w:sz="4" w:space="0"/>
              <w:left w:val="single" w:color="auto" w:sz="4" w:space="0"/>
              <w:bottom w:val="single" w:color="auto" w:sz="4" w:space="0"/>
              <w:right w:val="single" w:color="auto" w:sz="4" w:space="0"/>
            </w:tcBorders>
            <w:vAlign w:val="center"/>
          </w:tcPr>
          <w:p w14:paraId="7B4B4CEE">
            <w:pPr>
              <w:pStyle w:val="19"/>
              <w:adjustRightInd w:val="0"/>
              <w:snapToGrid w:val="0"/>
              <w:spacing w:before="0" w:beforeAutospacing="0" w:after="0" w:afterAutospacing="0"/>
              <w:jc w:val="center"/>
              <w:rPr>
                <w:rFonts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sz w:val="21"/>
                <w:szCs w:val="21"/>
                <w:highlight w:val="none"/>
              </w:rPr>
              <w:t>项目</w:t>
            </w:r>
          </w:p>
        </w:tc>
        <w:tc>
          <w:tcPr>
            <w:tcW w:w="616" w:type="pct"/>
            <w:tcBorders>
              <w:top w:val="single" w:color="auto" w:sz="4" w:space="0"/>
              <w:left w:val="single" w:color="auto" w:sz="4" w:space="0"/>
              <w:bottom w:val="single" w:color="auto" w:sz="4" w:space="0"/>
              <w:right w:val="single" w:color="auto" w:sz="4" w:space="0"/>
            </w:tcBorders>
            <w:vAlign w:val="center"/>
          </w:tcPr>
          <w:p w14:paraId="518C4E34">
            <w:pPr>
              <w:pStyle w:val="19"/>
              <w:adjustRightInd w:val="0"/>
              <w:snapToGrid w:val="0"/>
              <w:spacing w:before="0" w:beforeAutospacing="0" w:after="0" w:afterAutospacing="0"/>
              <w:jc w:val="center"/>
              <w:rPr>
                <w:rFonts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sz w:val="21"/>
                <w:szCs w:val="21"/>
                <w:highlight w:val="none"/>
              </w:rPr>
              <w:t>分项名称</w:t>
            </w:r>
          </w:p>
        </w:tc>
        <w:tc>
          <w:tcPr>
            <w:tcW w:w="3435" w:type="pct"/>
            <w:tcBorders>
              <w:top w:val="single" w:color="auto" w:sz="4" w:space="0"/>
              <w:left w:val="single" w:color="auto" w:sz="4" w:space="0"/>
              <w:bottom w:val="single" w:color="auto" w:sz="4" w:space="0"/>
              <w:right w:val="single" w:color="auto" w:sz="4" w:space="0"/>
            </w:tcBorders>
            <w:vAlign w:val="center"/>
          </w:tcPr>
          <w:p w14:paraId="689C48F1">
            <w:pPr>
              <w:pStyle w:val="19"/>
              <w:adjustRightInd w:val="0"/>
              <w:snapToGrid w:val="0"/>
              <w:spacing w:before="0" w:beforeAutospacing="0" w:after="0" w:afterAutospacing="0"/>
              <w:jc w:val="center"/>
              <w:rPr>
                <w:rFonts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sz w:val="21"/>
                <w:szCs w:val="21"/>
                <w:highlight w:val="none"/>
              </w:rPr>
              <w:t>评分标准</w:t>
            </w:r>
          </w:p>
        </w:tc>
        <w:tc>
          <w:tcPr>
            <w:tcW w:w="472" w:type="pct"/>
            <w:tcBorders>
              <w:top w:val="single" w:color="auto" w:sz="4" w:space="0"/>
              <w:left w:val="single" w:color="auto" w:sz="4" w:space="0"/>
              <w:bottom w:val="single" w:color="auto" w:sz="4" w:space="0"/>
              <w:right w:val="single" w:color="auto" w:sz="4" w:space="0"/>
            </w:tcBorders>
            <w:vAlign w:val="center"/>
          </w:tcPr>
          <w:p w14:paraId="7CD02A71">
            <w:pPr>
              <w:pStyle w:val="19"/>
              <w:adjustRightInd w:val="0"/>
              <w:snapToGrid w:val="0"/>
              <w:spacing w:before="0" w:beforeAutospacing="0" w:after="0" w:afterAutospacing="0"/>
              <w:jc w:val="center"/>
              <w:rPr>
                <w:rFonts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sz w:val="21"/>
                <w:szCs w:val="21"/>
                <w:highlight w:val="none"/>
              </w:rPr>
              <w:t>满分</w:t>
            </w:r>
          </w:p>
        </w:tc>
      </w:tr>
      <w:tr w14:paraId="31836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4" w:type="pct"/>
            <w:tcBorders>
              <w:top w:val="single" w:color="auto" w:sz="4" w:space="0"/>
              <w:left w:val="single" w:color="auto" w:sz="4" w:space="0"/>
              <w:bottom w:val="single" w:color="auto" w:sz="4" w:space="0"/>
              <w:right w:val="single" w:color="auto" w:sz="4" w:space="0"/>
            </w:tcBorders>
            <w:vAlign w:val="center"/>
          </w:tcPr>
          <w:p w14:paraId="039818E5">
            <w:pPr>
              <w:pStyle w:val="19"/>
              <w:adjustRightInd w:val="0"/>
              <w:snapToGrid w:val="0"/>
              <w:spacing w:before="0" w:beforeAutospacing="0" w:after="0" w:afterAutospacing="0"/>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价格部分</w:t>
            </w:r>
          </w:p>
        </w:tc>
        <w:tc>
          <w:tcPr>
            <w:tcW w:w="616" w:type="pct"/>
            <w:tcBorders>
              <w:top w:val="single" w:color="auto" w:sz="4" w:space="0"/>
              <w:left w:val="single" w:color="auto" w:sz="4" w:space="0"/>
              <w:bottom w:val="single" w:color="auto" w:sz="4" w:space="0"/>
              <w:right w:val="single" w:color="auto" w:sz="4" w:space="0"/>
            </w:tcBorders>
            <w:vAlign w:val="center"/>
          </w:tcPr>
          <w:p w14:paraId="08C194C5">
            <w:pPr>
              <w:pStyle w:val="19"/>
              <w:adjustRightInd w:val="0"/>
              <w:snapToGrid w:val="0"/>
              <w:spacing w:before="0" w:beforeAutospacing="0" w:after="0" w:afterAutospacing="0"/>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投标报价</w:t>
            </w:r>
          </w:p>
        </w:tc>
        <w:tc>
          <w:tcPr>
            <w:tcW w:w="3435" w:type="pct"/>
            <w:tcBorders>
              <w:top w:val="single" w:color="auto" w:sz="4" w:space="0"/>
              <w:left w:val="single" w:color="auto" w:sz="4" w:space="0"/>
              <w:bottom w:val="single" w:color="auto" w:sz="4" w:space="0"/>
              <w:right w:val="single" w:color="auto" w:sz="4" w:space="0"/>
            </w:tcBorders>
            <w:vAlign w:val="center"/>
          </w:tcPr>
          <w:p w14:paraId="0E28ACD5">
            <w:pPr>
              <w:pStyle w:val="19"/>
              <w:adjustRightInd w:val="0"/>
              <w:snapToGrid w:val="0"/>
              <w:spacing w:before="0" w:beforeAutospacing="0" w:after="0" w:afterAutospacing="0"/>
              <w:jc w:val="both"/>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投标人报价得分＝（评标基准价/投标报价）×30</w:t>
            </w:r>
          </w:p>
          <w:p w14:paraId="4ECCB88A">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注解：</w:t>
            </w:r>
          </w:p>
          <w:p w14:paraId="2C9DC12C">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1、评标基准价为满足招标文件要求且投标报价最低的投标报价。</w:t>
            </w:r>
          </w:p>
          <w:p w14:paraId="1CBAEE54">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2、投标人报价为投标函中投标总价。</w:t>
            </w:r>
          </w:p>
        </w:tc>
        <w:tc>
          <w:tcPr>
            <w:tcW w:w="472" w:type="pct"/>
            <w:tcBorders>
              <w:top w:val="single" w:color="auto" w:sz="4" w:space="0"/>
              <w:left w:val="single" w:color="auto" w:sz="4" w:space="0"/>
              <w:bottom w:val="single" w:color="auto" w:sz="4" w:space="0"/>
              <w:right w:val="single" w:color="auto" w:sz="4" w:space="0"/>
            </w:tcBorders>
            <w:vAlign w:val="center"/>
          </w:tcPr>
          <w:p w14:paraId="7065521A">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30分</w:t>
            </w:r>
          </w:p>
        </w:tc>
      </w:tr>
      <w:tr w14:paraId="68168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4" w:type="pct"/>
            <w:vMerge w:val="restart"/>
            <w:tcBorders>
              <w:left w:val="single" w:color="auto" w:sz="4" w:space="0"/>
              <w:right w:val="single" w:color="auto" w:sz="4" w:space="0"/>
            </w:tcBorders>
            <w:vAlign w:val="center"/>
          </w:tcPr>
          <w:p w14:paraId="7BDC259F">
            <w:pPr>
              <w:pStyle w:val="19"/>
              <w:adjustRightInd w:val="0"/>
              <w:snapToGrid w:val="0"/>
              <w:spacing w:before="0" w:beforeAutospacing="0" w:after="0" w:afterAutospacing="0"/>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技术部分</w:t>
            </w:r>
          </w:p>
        </w:tc>
        <w:tc>
          <w:tcPr>
            <w:tcW w:w="616" w:type="pct"/>
            <w:tcBorders>
              <w:top w:val="single" w:color="auto" w:sz="4" w:space="0"/>
              <w:left w:val="single" w:color="auto" w:sz="4" w:space="0"/>
              <w:bottom w:val="single" w:color="auto" w:sz="4" w:space="0"/>
              <w:right w:val="single" w:color="auto" w:sz="4" w:space="0"/>
            </w:tcBorders>
            <w:vAlign w:val="center"/>
          </w:tcPr>
          <w:p w14:paraId="27848ACD">
            <w:pPr>
              <w:pStyle w:val="19"/>
              <w:adjustRightInd w:val="0"/>
              <w:snapToGrid w:val="0"/>
              <w:spacing w:before="0" w:beforeAutospacing="0" w:after="0" w:afterAutospacing="0"/>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技术功能要求响应程度</w:t>
            </w:r>
          </w:p>
        </w:tc>
        <w:tc>
          <w:tcPr>
            <w:tcW w:w="3435" w:type="pct"/>
            <w:tcBorders>
              <w:top w:val="single" w:color="auto" w:sz="4" w:space="0"/>
              <w:left w:val="single" w:color="auto" w:sz="4" w:space="0"/>
              <w:bottom w:val="single" w:color="auto" w:sz="4" w:space="0"/>
              <w:right w:val="single" w:color="auto" w:sz="4" w:space="0"/>
            </w:tcBorders>
            <w:vAlign w:val="center"/>
          </w:tcPr>
          <w:p w14:paraId="10F9F8E6">
            <w:pPr>
              <w:adjustRightIn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投标文件对招标文件的响应程度评审不包括采购需求中的★项。</w:t>
            </w:r>
          </w:p>
          <w:p w14:paraId="4791E7CA">
            <w:pPr>
              <w:adjustRightIn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1、无偏离：全部符合，没有负偏离得30分；</w:t>
            </w:r>
          </w:p>
          <w:p w14:paraId="55EA7C8E">
            <w:pPr>
              <w:adjustRightIn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2、有一定偏离：有1-49项负偏离，每负偏离一项扣0.5分；</w:t>
            </w:r>
          </w:p>
          <w:p w14:paraId="268055E7">
            <w:pPr>
              <w:adjustRightIn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3、有较大偏离：有50-59项负偏离，得5分；有60-69项负偏离，得4分；有70-79项负偏离，得3分；有80-89项负偏离，得2分；</w:t>
            </w:r>
          </w:p>
          <w:p w14:paraId="6CFECA5F">
            <w:pPr>
              <w:adjustRightIn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4、有大量偏离：有90项及以上负偏离得1分；</w:t>
            </w:r>
          </w:p>
          <w:p w14:paraId="4B8B404E">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5、全部负偏离不得分。</w:t>
            </w:r>
          </w:p>
          <w:p w14:paraId="6D1B2C63">
            <w:pPr>
              <w:adjustRightInd w:val="0"/>
              <w:snapToGrid w:val="0"/>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6、投标人编制投标文件中的“技术规格偏离表”时应对“负偏离”项目依次编码，例如“负偏离1、负偏离2......”，如因投标人对负偏离编码错误而影响评审，则由投标人自行承担相应后果。</w:t>
            </w:r>
          </w:p>
        </w:tc>
        <w:tc>
          <w:tcPr>
            <w:tcW w:w="472" w:type="pct"/>
            <w:tcBorders>
              <w:top w:val="single" w:color="auto" w:sz="4" w:space="0"/>
              <w:left w:val="single" w:color="auto" w:sz="4" w:space="0"/>
              <w:bottom w:val="single" w:color="auto" w:sz="4" w:space="0"/>
              <w:right w:val="single" w:color="auto" w:sz="4" w:space="0"/>
            </w:tcBorders>
            <w:vAlign w:val="center"/>
          </w:tcPr>
          <w:p w14:paraId="12FA5A1E">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30分</w:t>
            </w:r>
          </w:p>
        </w:tc>
      </w:tr>
      <w:tr w14:paraId="07388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74" w:type="pct"/>
            <w:vMerge w:val="continue"/>
            <w:tcBorders>
              <w:left w:val="single" w:color="auto" w:sz="4" w:space="0"/>
              <w:right w:val="single" w:color="auto" w:sz="4" w:space="0"/>
            </w:tcBorders>
            <w:vAlign w:val="center"/>
          </w:tcPr>
          <w:p w14:paraId="3C134F53">
            <w:pPr>
              <w:adjustRightInd w:val="0"/>
              <w:snapToGrid w:val="0"/>
              <w:rPr>
                <w:rFonts w:ascii="仿宋_GB2312" w:hAnsi="仿宋_GB2312" w:eastAsia="仿宋_GB2312" w:cs="仿宋_GB2312"/>
                <w:color w:val="auto"/>
                <w:szCs w:val="21"/>
                <w:highlight w:val="none"/>
              </w:rPr>
            </w:pPr>
          </w:p>
        </w:tc>
        <w:tc>
          <w:tcPr>
            <w:tcW w:w="616" w:type="pct"/>
            <w:tcBorders>
              <w:top w:val="single" w:color="auto" w:sz="4" w:space="0"/>
              <w:left w:val="single" w:color="auto" w:sz="4" w:space="0"/>
              <w:right w:val="single" w:color="auto" w:sz="4" w:space="0"/>
            </w:tcBorders>
            <w:vAlign w:val="center"/>
          </w:tcPr>
          <w:p w14:paraId="39DD0305">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供货及安装实施方案</w:t>
            </w:r>
          </w:p>
        </w:tc>
        <w:tc>
          <w:tcPr>
            <w:tcW w:w="3435" w:type="pct"/>
            <w:tcBorders>
              <w:top w:val="single" w:color="auto" w:sz="4" w:space="0"/>
              <w:left w:val="single" w:color="auto" w:sz="4" w:space="0"/>
              <w:bottom w:val="single" w:color="auto" w:sz="4" w:space="0"/>
              <w:right w:val="single" w:color="auto" w:sz="4" w:space="0"/>
            </w:tcBorders>
            <w:vAlign w:val="center"/>
          </w:tcPr>
          <w:p w14:paraId="487DEE62">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投标人应根据采购需求，结合项目实际，提供供货及安装实施方案，至少包括如下内容①</w:t>
            </w:r>
            <w:r>
              <w:rPr>
                <w:rFonts w:hint="eastAsia" w:ascii="仿宋_GB2312" w:hAnsi="仿宋_GB2312" w:eastAsia="仿宋_GB2312" w:cs="仿宋_GB2312"/>
                <w:color w:val="auto"/>
                <w:szCs w:val="21"/>
                <w:highlight w:val="none"/>
                <w:lang w:bidi="ar"/>
              </w:rPr>
              <w:t>实施计划</w:t>
            </w:r>
            <w:r>
              <w:rPr>
                <w:rFonts w:hint="eastAsia" w:ascii="仿宋_GB2312" w:hAnsi="仿宋_GB2312" w:eastAsia="仿宋_GB2312" w:cs="仿宋_GB2312"/>
                <w:color w:val="auto"/>
                <w:kern w:val="0"/>
                <w:szCs w:val="21"/>
                <w:highlight w:val="none"/>
              </w:rPr>
              <w:t>②</w:t>
            </w:r>
            <w:r>
              <w:rPr>
                <w:rFonts w:hint="eastAsia" w:ascii="仿宋_GB2312" w:hAnsi="仿宋_GB2312" w:eastAsia="仿宋_GB2312" w:cs="仿宋_GB2312"/>
                <w:color w:val="auto"/>
                <w:szCs w:val="21"/>
                <w:highlight w:val="none"/>
                <w:lang w:bidi="ar"/>
              </w:rPr>
              <w:t>供货时间保障</w:t>
            </w:r>
            <w:r>
              <w:rPr>
                <w:rFonts w:hint="eastAsia" w:ascii="仿宋_GB2312" w:hAnsi="仿宋_GB2312" w:eastAsia="仿宋_GB2312" w:cs="仿宋_GB2312"/>
                <w:color w:val="auto"/>
                <w:szCs w:val="21"/>
                <w:highlight w:val="none"/>
              </w:rPr>
              <w:t>③</w:t>
            </w:r>
            <w:r>
              <w:rPr>
                <w:rFonts w:hint="eastAsia" w:ascii="仿宋_GB2312" w:hAnsi="仿宋_GB2312" w:eastAsia="仿宋_GB2312" w:cs="仿宋_GB2312"/>
                <w:color w:val="auto"/>
                <w:szCs w:val="21"/>
                <w:highlight w:val="none"/>
                <w:lang w:bidi="ar"/>
              </w:rPr>
              <w:t>货物运输及配送保障</w:t>
            </w:r>
            <w:r>
              <w:rPr>
                <w:rFonts w:hint="eastAsia" w:ascii="仿宋_GB2312" w:hAnsi="仿宋_GB2312" w:eastAsia="仿宋_GB2312" w:cs="仿宋_GB2312"/>
                <w:color w:val="auto"/>
                <w:kern w:val="0"/>
                <w:szCs w:val="21"/>
                <w:highlight w:val="none"/>
              </w:rPr>
              <w:t>④</w:t>
            </w:r>
            <w:r>
              <w:rPr>
                <w:rFonts w:hint="eastAsia" w:ascii="仿宋_GB2312" w:hAnsi="仿宋_GB2312" w:eastAsia="仿宋_GB2312" w:cs="仿宋_GB2312"/>
                <w:color w:val="auto"/>
                <w:szCs w:val="21"/>
                <w:highlight w:val="none"/>
                <w:lang w:bidi="ar"/>
              </w:rPr>
              <w:t>安装实施</w:t>
            </w:r>
            <w:r>
              <w:rPr>
                <w:rFonts w:hint="eastAsia" w:ascii="仿宋_GB2312" w:hAnsi="仿宋_GB2312" w:eastAsia="仿宋_GB2312" w:cs="仿宋_GB2312"/>
                <w:color w:val="auto"/>
                <w:kern w:val="0"/>
                <w:szCs w:val="21"/>
                <w:highlight w:val="none"/>
              </w:rPr>
              <w:t>⑤</w:t>
            </w:r>
            <w:r>
              <w:rPr>
                <w:rFonts w:hint="eastAsia" w:ascii="仿宋_GB2312" w:hAnsi="仿宋_GB2312" w:eastAsia="仿宋_GB2312" w:cs="仿宋_GB2312"/>
                <w:color w:val="auto"/>
                <w:szCs w:val="21"/>
                <w:highlight w:val="none"/>
                <w:lang w:bidi="ar"/>
              </w:rPr>
              <w:t>安装技术人员简介及证明材料</w:t>
            </w:r>
            <w:r>
              <w:rPr>
                <w:rFonts w:hint="eastAsia" w:ascii="仿宋_GB2312" w:hAnsi="仿宋_GB2312" w:eastAsia="仿宋_GB2312" w:cs="仿宋_GB2312"/>
                <w:color w:val="auto"/>
                <w:kern w:val="0"/>
                <w:szCs w:val="21"/>
                <w:highlight w:val="none"/>
              </w:rPr>
              <w:t>⑥</w:t>
            </w:r>
            <w:r>
              <w:rPr>
                <w:rFonts w:hint="eastAsia" w:ascii="仿宋_GB2312" w:hAnsi="仿宋_GB2312" w:eastAsia="仿宋_GB2312" w:cs="仿宋_GB2312"/>
                <w:color w:val="auto"/>
                <w:szCs w:val="21"/>
                <w:highlight w:val="none"/>
                <w:lang w:bidi="ar"/>
              </w:rPr>
              <w:t>突发情况应急</w:t>
            </w:r>
            <w:r>
              <w:rPr>
                <w:rFonts w:hint="eastAsia" w:ascii="仿宋_GB2312" w:hAnsi="仿宋_GB2312" w:eastAsia="仿宋_GB2312" w:cs="仿宋_GB2312"/>
                <w:color w:val="auto"/>
                <w:kern w:val="0"/>
                <w:szCs w:val="21"/>
                <w:highlight w:val="none"/>
              </w:rPr>
              <w:t>。</w:t>
            </w:r>
          </w:p>
          <w:p w14:paraId="439C6390">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1、提供优于采购需求的方案，内容完整、无缺陷，得9分；</w:t>
            </w:r>
          </w:p>
          <w:p w14:paraId="07C396D6">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2、提供符合采购需求的方案，内容完整，得6分；</w:t>
            </w:r>
          </w:p>
          <w:p w14:paraId="1C343C48">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3、提供方案，内容完整，但方案内容存在缺陷或存在不符合项目需求的，得3分；</w:t>
            </w:r>
          </w:p>
          <w:p w14:paraId="61A05F8A">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4、方案中缺少上述6项中任意一项内容或机械复制采购需求，得1分；</w:t>
            </w:r>
          </w:p>
          <w:p w14:paraId="189D994F">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5、未提供方案，得0分。</w:t>
            </w:r>
          </w:p>
          <w:p w14:paraId="092413CB">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注:</w:t>
            </w:r>
            <w:r>
              <w:rPr>
                <w:rFonts w:hint="eastAsia" w:ascii="仿宋_GB2312" w:hAnsi="仿宋_GB2312" w:eastAsia="仿宋_GB2312" w:cs="仿宋_GB2312"/>
                <w:b/>
                <w:color w:val="auto"/>
                <w:szCs w:val="21"/>
                <w:highlight w:val="none"/>
              </w:rPr>
              <w:t>完整</w:t>
            </w:r>
            <w:r>
              <w:rPr>
                <w:rFonts w:hint="eastAsia" w:ascii="仿宋_GB2312" w:hAnsi="仿宋_GB2312" w:eastAsia="仿宋_GB2312" w:cs="仿宋_GB2312"/>
                <w:color w:val="auto"/>
                <w:szCs w:val="21"/>
                <w:highlight w:val="none"/>
              </w:rPr>
              <w:t>指包括但不限于上述6项全部内容且不能机械复制采购需求内容。</w:t>
            </w:r>
          </w:p>
          <w:p w14:paraId="40241C39">
            <w:pPr>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rPr>
              <w:t>优于采购需求</w:t>
            </w:r>
            <w:r>
              <w:rPr>
                <w:rFonts w:hint="eastAsia" w:ascii="仿宋_GB2312" w:hAnsi="仿宋_GB2312" w:eastAsia="仿宋_GB2312" w:cs="仿宋_GB2312"/>
                <w:color w:val="auto"/>
                <w:szCs w:val="21"/>
                <w:highlight w:val="none"/>
              </w:rPr>
              <w:t>是指供应商所提供的方案能够保障供应商在实际工作中达成的效果高于采购需求要求（采购需求中的时间要求、服务内容要求等方面）。</w:t>
            </w:r>
          </w:p>
          <w:p w14:paraId="4D1AF097">
            <w:pPr>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rPr>
              <w:t>缺陷</w:t>
            </w:r>
            <w:r>
              <w:rPr>
                <w:rFonts w:hint="eastAsia" w:ascii="仿宋_GB2312" w:hAnsi="仿宋_GB2312" w:eastAsia="仿宋_GB2312" w:cs="仿宋_GB2312"/>
                <w:color w:val="auto"/>
                <w:szCs w:val="21"/>
                <w:highlight w:val="none"/>
              </w:rPr>
              <w:t>是指方案内容与项目需求不一致、存在相互矛盾内容、不符合客观逻辑以及未针对本项目编写的任意一种情形。</w:t>
            </w:r>
          </w:p>
          <w:p w14:paraId="3D5C6FEA">
            <w:pPr>
              <w:adjustRightInd w:val="0"/>
              <w:snapToGrid w:val="0"/>
              <w:jc w:val="left"/>
              <w:rPr>
                <w:rFonts w:ascii="仿宋_GB2312" w:hAnsi="仿宋_GB2312" w:eastAsia="仿宋_GB2312" w:cs="仿宋_GB2312"/>
                <w:color w:val="auto"/>
                <w:szCs w:val="21"/>
                <w:highlight w:val="none"/>
                <w:lang w:bidi="ar"/>
              </w:rPr>
            </w:pPr>
            <w:r>
              <w:rPr>
                <w:rFonts w:hint="eastAsia" w:ascii="仿宋_GB2312" w:hAnsi="仿宋_GB2312" w:eastAsia="仿宋_GB2312" w:cs="仿宋_GB2312"/>
                <w:b/>
                <w:color w:val="auto"/>
                <w:szCs w:val="21"/>
                <w:highlight w:val="none"/>
              </w:rPr>
              <w:t>不符合项目需求</w:t>
            </w:r>
            <w:r>
              <w:rPr>
                <w:rFonts w:hint="eastAsia" w:ascii="仿宋_GB2312" w:hAnsi="仿宋_GB2312" w:eastAsia="仿宋_GB2312" w:cs="仿宋_GB2312"/>
                <w:color w:val="auto"/>
                <w:szCs w:val="21"/>
                <w:highlight w:val="none"/>
              </w:rPr>
              <w:t>是指存在与本项目执行无关的内容、存在相关内容在实际操作中不能运用的任意一种情形。</w:t>
            </w:r>
          </w:p>
        </w:tc>
        <w:tc>
          <w:tcPr>
            <w:tcW w:w="472" w:type="pct"/>
            <w:tcBorders>
              <w:top w:val="single" w:color="auto" w:sz="4" w:space="0"/>
              <w:left w:val="single" w:color="auto" w:sz="4" w:space="0"/>
              <w:right w:val="single" w:color="auto" w:sz="4" w:space="0"/>
            </w:tcBorders>
            <w:vAlign w:val="center"/>
          </w:tcPr>
          <w:p w14:paraId="16271D8D">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9</w:t>
            </w:r>
            <w:r>
              <w:rPr>
                <w:rFonts w:hint="eastAsia" w:ascii="仿宋_GB2312" w:hAnsi="仿宋_GB2312" w:eastAsia="仿宋_GB2312" w:cs="仿宋_GB2312"/>
                <w:color w:val="auto"/>
                <w:szCs w:val="21"/>
                <w:highlight w:val="none"/>
              </w:rPr>
              <w:t>分</w:t>
            </w:r>
          </w:p>
        </w:tc>
      </w:tr>
      <w:tr w14:paraId="77D16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4" w:type="pct"/>
            <w:vMerge w:val="continue"/>
            <w:tcBorders>
              <w:left w:val="single" w:color="auto" w:sz="4" w:space="0"/>
              <w:right w:val="single" w:color="auto" w:sz="4" w:space="0"/>
            </w:tcBorders>
            <w:vAlign w:val="center"/>
          </w:tcPr>
          <w:p w14:paraId="41E44067">
            <w:pPr>
              <w:adjustRightInd w:val="0"/>
              <w:snapToGrid w:val="0"/>
              <w:rPr>
                <w:rFonts w:ascii="仿宋_GB2312" w:hAnsi="仿宋_GB2312" w:eastAsia="仿宋_GB2312" w:cs="仿宋_GB2312"/>
                <w:color w:val="auto"/>
                <w:szCs w:val="21"/>
                <w:highlight w:val="none"/>
              </w:rPr>
            </w:pPr>
          </w:p>
        </w:tc>
        <w:tc>
          <w:tcPr>
            <w:tcW w:w="616" w:type="pct"/>
            <w:tcBorders>
              <w:left w:val="single" w:color="auto" w:sz="4" w:space="0"/>
              <w:right w:val="single" w:color="auto" w:sz="4" w:space="0"/>
            </w:tcBorders>
            <w:vAlign w:val="center"/>
          </w:tcPr>
          <w:p w14:paraId="5F437B6E">
            <w:pPr>
              <w:pStyle w:val="19"/>
              <w:adjustRightInd w:val="0"/>
              <w:snapToGrid w:val="0"/>
              <w:spacing w:before="0" w:beforeAutospacing="0" w:after="0" w:afterAutospacing="0"/>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产品质量控制保障措施方案</w:t>
            </w:r>
          </w:p>
        </w:tc>
        <w:tc>
          <w:tcPr>
            <w:tcW w:w="3435" w:type="pct"/>
            <w:tcBorders>
              <w:top w:val="single" w:color="auto" w:sz="4" w:space="0"/>
              <w:left w:val="single" w:color="auto" w:sz="4" w:space="0"/>
              <w:right w:val="single" w:color="auto" w:sz="4" w:space="0"/>
            </w:tcBorders>
            <w:vAlign w:val="center"/>
          </w:tcPr>
          <w:p w14:paraId="73DCCDC1">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投标人应根据采购需求，结合项目实际，提供产品质量控制保障措施方案，至少包括如下内容①产品质量检查②检查技术人员简介及证明材料③检测设备配备④检查流程⑤质量控制管理制度。</w:t>
            </w:r>
          </w:p>
          <w:p w14:paraId="39230D5D">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1、提供优于采购需求的方案，内容完整、无缺陷，得9分；</w:t>
            </w:r>
          </w:p>
          <w:p w14:paraId="3B50A624">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2、提供符合采购需求的方案，内容完整，得6分；</w:t>
            </w:r>
          </w:p>
          <w:p w14:paraId="097E28A6">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3、提供方案，内容完整，但方案内容存在缺陷或存在不符合项目需求的，得3分；</w:t>
            </w:r>
          </w:p>
          <w:p w14:paraId="3B28374D">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4、方案中缺少上述5项中任意一项内容或机械复制采购需求，得1分；</w:t>
            </w:r>
          </w:p>
          <w:p w14:paraId="1260CD13">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5、未提供方案，得0分。</w:t>
            </w:r>
          </w:p>
          <w:p w14:paraId="3FCAAE70">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注:</w:t>
            </w:r>
            <w:r>
              <w:rPr>
                <w:rFonts w:hint="eastAsia" w:ascii="仿宋_GB2312" w:hAnsi="仿宋_GB2312" w:eastAsia="仿宋_GB2312" w:cs="仿宋_GB2312"/>
                <w:b/>
                <w:color w:val="auto"/>
                <w:szCs w:val="21"/>
                <w:highlight w:val="none"/>
              </w:rPr>
              <w:t>完整</w:t>
            </w:r>
            <w:r>
              <w:rPr>
                <w:rFonts w:hint="eastAsia" w:ascii="仿宋_GB2312" w:hAnsi="仿宋_GB2312" w:eastAsia="仿宋_GB2312" w:cs="仿宋_GB2312"/>
                <w:color w:val="auto"/>
                <w:szCs w:val="21"/>
                <w:highlight w:val="none"/>
              </w:rPr>
              <w:t>指包括但不限于上述5项全部内容且不能机械复制采购需求内容。</w:t>
            </w:r>
          </w:p>
          <w:p w14:paraId="5E04FA32">
            <w:pPr>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rPr>
              <w:t>优于采购需求</w:t>
            </w:r>
            <w:r>
              <w:rPr>
                <w:rFonts w:hint="eastAsia" w:ascii="仿宋_GB2312" w:hAnsi="仿宋_GB2312" w:eastAsia="仿宋_GB2312" w:cs="仿宋_GB2312"/>
                <w:color w:val="auto"/>
                <w:szCs w:val="21"/>
                <w:highlight w:val="none"/>
              </w:rPr>
              <w:t>是指供应商所提供的方案能够保障供应商在实际工作中达成的效果高于采购需求要求（采购需求中的时间要求、服务内容要求等方面）。</w:t>
            </w:r>
          </w:p>
          <w:p w14:paraId="359CFBB8">
            <w:pPr>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rPr>
              <w:t>缺陷</w:t>
            </w:r>
            <w:r>
              <w:rPr>
                <w:rFonts w:hint="eastAsia" w:ascii="仿宋_GB2312" w:hAnsi="仿宋_GB2312" w:eastAsia="仿宋_GB2312" w:cs="仿宋_GB2312"/>
                <w:color w:val="auto"/>
                <w:szCs w:val="21"/>
                <w:highlight w:val="none"/>
              </w:rPr>
              <w:t>是指方案内容与项目需求不一致、存在相互矛盾内容、不符合客观逻辑以及未针对本项目编写的任意一种情形。</w:t>
            </w:r>
          </w:p>
          <w:p w14:paraId="5422E46F">
            <w:pPr>
              <w:adjustRightInd w:val="0"/>
              <w:snapToGrid w:val="0"/>
              <w:jc w:val="left"/>
              <w:rPr>
                <w:rFonts w:ascii="仿宋_GB2312" w:hAnsi="仿宋_GB2312" w:eastAsia="仿宋_GB2312" w:cs="仿宋_GB2312"/>
                <w:color w:val="auto"/>
                <w:szCs w:val="21"/>
                <w:highlight w:val="none"/>
                <w:lang w:bidi="ar"/>
              </w:rPr>
            </w:pPr>
            <w:r>
              <w:rPr>
                <w:rFonts w:hint="eastAsia" w:ascii="仿宋_GB2312" w:hAnsi="仿宋_GB2312" w:eastAsia="仿宋_GB2312" w:cs="仿宋_GB2312"/>
                <w:b/>
                <w:color w:val="auto"/>
                <w:szCs w:val="21"/>
                <w:highlight w:val="none"/>
              </w:rPr>
              <w:t>不符合项目需求</w:t>
            </w:r>
            <w:r>
              <w:rPr>
                <w:rFonts w:hint="eastAsia" w:ascii="仿宋_GB2312" w:hAnsi="仿宋_GB2312" w:eastAsia="仿宋_GB2312" w:cs="仿宋_GB2312"/>
                <w:color w:val="auto"/>
                <w:szCs w:val="21"/>
                <w:highlight w:val="none"/>
              </w:rPr>
              <w:t>是指存在与本项目执行无关的内容、存在相关内容在实际操作中不能运用的任意一种情形。</w:t>
            </w:r>
          </w:p>
        </w:tc>
        <w:tc>
          <w:tcPr>
            <w:tcW w:w="472" w:type="pct"/>
            <w:tcBorders>
              <w:left w:val="single" w:color="auto" w:sz="4" w:space="0"/>
              <w:bottom w:val="single" w:color="auto" w:sz="4" w:space="0"/>
              <w:right w:val="single" w:color="auto" w:sz="4" w:space="0"/>
            </w:tcBorders>
            <w:vAlign w:val="center"/>
          </w:tcPr>
          <w:p w14:paraId="4E830316">
            <w:pPr>
              <w:pStyle w:val="19"/>
              <w:adjustRightInd w:val="0"/>
              <w:snapToGrid w:val="0"/>
              <w:spacing w:before="0" w:beforeAutospacing="0" w:after="0" w:afterAutospacing="0"/>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9分</w:t>
            </w:r>
          </w:p>
        </w:tc>
      </w:tr>
      <w:tr w14:paraId="054B2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4" w:type="pct"/>
            <w:vMerge w:val="continue"/>
            <w:tcBorders>
              <w:left w:val="single" w:color="auto" w:sz="4" w:space="0"/>
              <w:right w:val="single" w:color="auto" w:sz="4" w:space="0"/>
            </w:tcBorders>
            <w:vAlign w:val="center"/>
          </w:tcPr>
          <w:p w14:paraId="588B6CA7">
            <w:pPr>
              <w:adjustRightInd w:val="0"/>
              <w:snapToGrid w:val="0"/>
              <w:rPr>
                <w:rFonts w:ascii="仿宋_GB2312" w:hAnsi="仿宋_GB2312" w:eastAsia="仿宋_GB2312" w:cs="仿宋_GB2312"/>
                <w:color w:val="auto"/>
                <w:szCs w:val="21"/>
                <w:highlight w:val="none"/>
              </w:rPr>
            </w:pPr>
          </w:p>
        </w:tc>
        <w:tc>
          <w:tcPr>
            <w:tcW w:w="616" w:type="pct"/>
            <w:tcBorders>
              <w:left w:val="single" w:color="auto" w:sz="4" w:space="0"/>
              <w:right w:val="single" w:color="auto" w:sz="4" w:space="0"/>
            </w:tcBorders>
            <w:vAlign w:val="center"/>
          </w:tcPr>
          <w:p w14:paraId="36C22BDA">
            <w:pPr>
              <w:pStyle w:val="19"/>
              <w:adjustRightInd w:val="0"/>
              <w:snapToGrid w:val="0"/>
              <w:spacing w:before="0" w:beforeAutospacing="0" w:after="0" w:afterAutospacing="0"/>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培训方案</w:t>
            </w:r>
          </w:p>
        </w:tc>
        <w:tc>
          <w:tcPr>
            <w:tcW w:w="3435" w:type="pct"/>
            <w:tcBorders>
              <w:top w:val="single" w:color="auto" w:sz="4" w:space="0"/>
              <w:left w:val="single" w:color="auto" w:sz="4" w:space="0"/>
              <w:right w:val="single" w:color="auto" w:sz="4" w:space="0"/>
            </w:tcBorders>
            <w:vAlign w:val="center"/>
          </w:tcPr>
          <w:p w14:paraId="04A2F855">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投标人应根据采购需求，结合项目实际，提供培训方案，至少包括①</w:t>
            </w:r>
            <w:r>
              <w:rPr>
                <w:rFonts w:hint="eastAsia" w:ascii="仿宋_GB2312" w:hAnsi="仿宋_GB2312" w:eastAsia="仿宋_GB2312" w:cs="仿宋_GB2312"/>
                <w:color w:val="auto"/>
                <w:szCs w:val="21"/>
                <w:highlight w:val="none"/>
                <w:lang w:bidi="ar"/>
              </w:rPr>
              <w:t>培训人员简介及证明材料</w:t>
            </w:r>
            <w:r>
              <w:rPr>
                <w:rFonts w:hint="eastAsia" w:ascii="仿宋_GB2312" w:hAnsi="仿宋_GB2312" w:eastAsia="仿宋_GB2312" w:cs="仿宋_GB2312"/>
                <w:color w:val="auto"/>
                <w:kern w:val="0"/>
                <w:szCs w:val="21"/>
                <w:highlight w:val="none"/>
              </w:rPr>
              <w:t>②</w:t>
            </w:r>
            <w:r>
              <w:rPr>
                <w:rFonts w:hint="eastAsia" w:ascii="仿宋_GB2312" w:hAnsi="仿宋_GB2312" w:eastAsia="仿宋_GB2312" w:cs="仿宋_GB2312"/>
                <w:color w:val="auto"/>
                <w:szCs w:val="21"/>
                <w:highlight w:val="none"/>
                <w:lang w:bidi="ar"/>
              </w:rPr>
              <w:t>培训计划</w:t>
            </w:r>
            <w:r>
              <w:rPr>
                <w:rFonts w:hint="eastAsia" w:ascii="仿宋_GB2312" w:hAnsi="仿宋_GB2312" w:eastAsia="仿宋_GB2312" w:cs="仿宋_GB2312"/>
                <w:color w:val="auto"/>
                <w:szCs w:val="21"/>
                <w:highlight w:val="none"/>
              </w:rPr>
              <w:t>③</w:t>
            </w:r>
            <w:r>
              <w:rPr>
                <w:rFonts w:hint="eastAsia" w:ascii="仿宋_GB2312" w:hAnsi="仿宋_GB2312" w:eastAsia="仿宋_GB2312" w:cs="仿宋_GB2312"/>
                <w:color w:val="auto"/>
                <w:szCs w:val="21"/>
                <w:highlight w:val="none"/>
                <w:lang w:bidi="ar"/>
              </w:rPr>
              <w:t>培训内容</w:t>
            </w:r>
            <w:r>
              <w:rPr>
                <w:rFonts w:hint="eastAsia" w:ascii="仿宋_GB2312" w:hAnsi="仿宋_GB2312" w:eastAsia="仿宋_GB2312" w:cs="仿宋_GB2312"/>
                <w:color w:val="auto"/>
                <w:kern w:val="0"/>
                <w:szCs w:val="21"/>
                <w:highlight w:val="none"/>
              </w:rPr>
              <w:t>④</w:t>
            </w:r>
            <w:r>
              <w:rPr>
                <w:rFonts w:hint="eastAsia" w:ascii="仿宋_GB2312" w:hAnsi="仿宋_GB2312" w:eastAsia="仿宋_GB2312" w:cs="仿宋_GB2312"/>
                <w:color w:val="auto"/>
                <w:szCs w:val="21"/>
                <w:highlight w:val="none"/>
                <w:lang w:bidi="ar"/>
              </w:rPr>
              <w:t>培训目标</w:t>
            </w:r>
            <w:r>
              <w:rPr>
                <w:rFonts w:hint="eastAsia" w:ascii="仿宋_GB2312" w:hAnsi="仿宋_GB2312" w:eastAsia="仿宋_GB2312" w:cs="仿宋_GB2312"/>
                <w:color w:val="auto"/>
                <w:kern w:val="0"/>
                <w:szCs w:val="21"/>
                <w:highlight w:val="none"/>
              </w:rPr>
              <w:t>⑤</w:t>
            </w:r>
            <w:r>
              <w:rPr>
                <w:rFonts w:hint="eastAsia" w:ascii="仿宋_GB2312" w:hAnsi="仿宋_GB2312" w:eastAsia="仿宋_GB2312" w:cs="仿宋_GB2312"/>
                <w:color w:val="auto"/>
                <w:szCs w:val="21"/>
                <w:highlight w:val="none"/>
                <w:lang w:bidi="ar"/>
              </w:rPr>
              <w:t>培训资源</w:t>
            </w:r>
            <w:r>
              <w:rPr>
                <w:rFonts w:hint="eastAsia" w:ascii="仿宋_GB2312" w:hAnsi="仿宋_GB2312" w:eastAsia="仿宋_GB2312" w:cs="仿宋_GB2312"/>
                <w:color w:val="auto"/>
                <w:kern w:val="0"/>
                <w:szCs w:val="21"/>
                <w:highlight w:val="none"/>
              </w:rPr>
              <w:t>。</w:t>
            </w:r>
          </w:p>
          <w:p w14:paraId="14DF57CA">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1、提供优于采购需求的方案，内容完整、无缺陷，得9分；</w:t>
            </w:r>
          </w:p>
          <w:p w14:paraId="6D3373B1">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2、提供符合采购需求的方案，内容完整，得6分；</w:t>
            </w:r>
          </w:p>
          <w:p w14:paraId="40F7B17A">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3、提供方案，内容完整，但方案内容存在缺陷或存在不符合项目需求的，得3分；</w:t>
            </w:r>
          </w:p>
          <w:p w14:paraId="04DFDEAD">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4、方案中缺少上述5项中任意一项内容或机械复制采购需求，得1分；</w:t>
            </w:r>
          </w:p>
          <w:p w14:paraId="689CC35F">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5、未提供方案，得0分。</w:t>
            </w:r>
          </w:p>
          <w:p w14:paraId="7ED16195">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注:</w:t>
            </w:r>
            <w:r>
              <w:rPr>
                <w:rFonts w:hint="eastAsia" w:ascii="仿宋_GB2312" w:hAnsi="仿宋_GB2312" w:eastAsia="仿宋_GB2312" w:cs="仿宋_GB2312"/>
                <w:b/>
                <w:color w:val="auto"/>
                <w:szCs w:val="21"/>
                <w:highlight w:val="none"/>
              </w:rPr>
              <w:t>完整</w:t>
            </w:r>
            <w:r>
              <w:rPr>
                <w:rFonts w:hint="eastAsia" w:ascii="仿宋_GB2312" w:hAnsi="仿宋_GB2312" w:eastAsia="仿宋_GB2312" w:cs="仿宋_GB2312"/>
                <w:color w:val="auto"/>
                <w:szCs w:val="21"/>
                <w:highlight w:val="none"/>
              </w:rPr>
              <w:t>指包括但不限于上述5项全部内容且不能机械复制采购需求内容。</w:t>
            </w:r>
          </w:p>
          <w:p w14:paraId="056F2599">
            <w:pPr>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rPr>
              <w:t>优于采购需求</w:t>
            </w:r>
            <w:r>
              <w:rPr>
                <w:rFonts w:hint="eastAsia" w:ascii="仿宋_GB2312" w:hAnsi="仿宋_GB2312" w:eastAsia="仿宋_GB2312" w:cs="仿宋_GB2312"/>
                <w:color w:val="auto"/>
                <w:szCs w:val="21"/>
                <w:highlight w:val="none"/>
              </w:rPr>
              <w:t>是指供应商所提供的方案能够保障供应商在实际工作中达成的效果高于采购需求要求（采购需求中的时间要求、服务内容要求等方面）。</w:t>
            </w:r>
          </w:p>
          <w:p w14:paraId="3A02CFF2">
            <w:pPr>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rPr>
              <w:t>缺陷</w:t>
            </w:r>
            <w:r>
              <w:rPr>
                <w:rFonts w:hint="eastAsia" w:ascii="仿宋_GB2312" w:hAnsi="仿宋_GB2312" w:eastAsia="仿宋_GB2312" w:cs="仿宋_GB2312"/>
                <w:color w:val="auto"/>
                <w:szCs w:val="21"/>
                <w:highlight w:val="none"/>
              </w:rPr>
              <w:t>是指方案内容与项目需求不一致、存在相互矛盾内容、不符合客观逻辑以及未针对本项目编写的任意一种情形。</w:t>
            </w:r>
          </w:p>
          <w:p w14:paraId="4BAC1383">
            <w:pPr>
              <w:adjustRightInd w:val="0"/>
              <w:snapToGrid w:val="0"/>
              <w:jc w:val="left"/>
              <w:rPr>
                <w:rFonts w:ascii="仿宋_GB2312" w:hAnsi="仿宋_GB2312" w:eastAsia="仿宋_GB2312" w:cs="仿宋_GB2312"/>
                <w:color w:val="auto"/>
                <w:szCs w:val="21"/>
                <w:highlight w:val="none"/>
                <w:lang w:bidi="ar"/>
              </w:rPr>
            </w:pPr>
            <w:r>
              <w:rPr>
                <w:rFonts w:hint="eastAsia" w:ascii="仿宋_GB2312" w:hAnsi="仿宋_GB2312" w:eastAsia="仿宋_GB2312" w:cs="仿宋_GB2312"/>
                <w:b/>
                <w:color w:val="auto"/>
                <w:szCs w:val="21"/>
                <w:highlight w:val="none"/>
              </w:rPr>
              <w:t>不符合项目需求</w:t>
            </w:r>
            <w:r>
              <w:rPr>
                <w:rFonts w:hint="eastAsia" w:ascii="仿宋_GB2312" w:hAnsi="仿宋_GB2312" w:eastAsia="仿宋_GB2312" w:cs="仿宋_GB2312"/>
                <w:color w:val="auto"/>
                <w:szCs w:val="21"/>
                <w:highlight w:val="none"/>
              </w:rPr>
              <w:t>是指存在与本项目执行无关的内容、存在相关内容在实际操作中不能运用的任意一种情形。</w:t>
            </w:r>
          </w:p>
        </w:tc>
        <w:tc>
          <w:tcPr>
            <w:tcW w:w="472" w:type="pct"/>
            <w:tcBorders>
              <w:left w:val="single" w:color="auto" w:sz="4" w:space="0"/>
              <w:bottom w:val="single" w:color="auto" w:sz="4" w:space="0"/>
              <w:right w:val="single" w:color="auto" w:sz="4" w:space="0"/>
            </w:tcBorders>
            <w:vAlign w:val="center"/>
          </w:tcPr>
          <w:p w14:paraId="247AA0AF">
            <w:pPr>
              <w:pStyle w:val="19"/>
              <w:adjustRightInd w:val="0"/>
              <w:snapToGrid w:val="0"/>
              <w:spacing w:before="0" w:beforeAutospacing="0" w:after="0" w:afterAutospacing="0"/>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9分</w:t>
            </w:r>
          </w:p>
        </w:tc>
      </w:tr>
      <w:tr w14:paraId="2B2B9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4" w:type="pct"/>
            <w:vMerge w:val="continue"/>
            <w:tcBorders>
              <w:left w:val="single" w:color="auto" w:sz="4" w:space="0"/>
              <w:right w:val="single" w:color="auto" w:sz="4" w:space="0"/>
            </w:tcBorders>
            <w:vAlign w:val="center"/>
          </w:tcPr>
          <w:p w14:paraId="13556179">
            <w:pPr>
              <w:pStyle w:val="19"/>
              <w:adjustRightInd w:val="0"/>
              <w:snapToGrid w:val="0"/>
              <w:spacing w:before="0" w:beforeAutospacing="0" w:after="0" w:afterAutospacing="0"/>
              <w:jc w:val="center"/>
              <w:rPr>
                <w:rFonts w:ascii="仿宋_GB2312" w:hAnsi="仿宋_GB2312" w:eastAsia="仿宋_GB2312" w:cs="仿宋_GB2312"/>
                <w:color w:val="auto"/>
                <w:sz w:val="21"/>
                <w:szCs w:val="21"/>
                <w:highlight w:val="none"/>
              </w:rPr>
            </w:pPr>
          </w:p>
        </w:tc>
        <w:tc>
          <w:tcPr>
            <w:tcW w:w="616" w:type="pct"/>
            <w:tcBorders>
              <w:top w:val="single" w:color="auto" w:sz="4" w:space="0"/>
              <w:left w:val="single" w:color="auto" w:sz="4" w:space="0"/>
              <w:bottom w:val="single" w:color="auto" w:sz="4" w:space="0"/>
              <w:right w:val="single" w:color="auto" w:sz="4" w:space="0"/>
            </w:tcBorders>
            <w:vAlign w:val="center"/>
          </w:tcPr>
          <w:p w14:paraId="30AB3834">
            <w:pPr>
              <w:pStyle w:val="19"/>
              <w:adjustRightInd w:val="0"/>
              <w:snapToGrid w:val="0"/>
              <w:spacing w:before="0" w:beforeAutospacing="0" w:after="0" w:afterAutospacing="0"/>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售后服务保障方案</w:t>
            </w:r>
          </w:p>
        </w:tc>
        <w:tc>
          <w:tcPr>
            <w:tcW w:w="3435" w:type="pct"/>
            <w:tcBorders>
              <w:top w:val="single" w:color="auto" w:sz="4" w:space="0"/>
              <w:left w:val="single" w:color="auto" w:sz="4" w:space="0"/>
              <w:bottom w:val="single" w:color="auto" w:sz="4" w:space="0"/>
              <w:right w:val="single" w:color="auto" w:sz="4" w:space="0"/>
            </w:tcBorders>
            <w:vAlign w:val="center"/>
          </w:tcPr>
          <w:p w14:paraId="0BF69507">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t>投标人应根据采购需求，结合项目实际，提供</w:t>
            </w:r>
            <w:r>
              <w:rPr>
                <w:rFonts w:hint="eastAsia" w:ascii="仿宋_GB2312" w:hAnsi="仿宋_GB2312" w:eastAsia="仿宋_GB2312" w:cs="仿宋_GB2312"/>
                <w:color w:val="auto"/>
                <w:szCs w:val="21"/>
                <w:highlight w:val="none"/>
              </w:rPr>
              <w:t>售后服务方案，至少包括</w:t>
            </w:r>
            <w:r>
              <w:rPr>
                <w:rFonts w:hint="eastAsia" w:ascii="仿宋_GB2312" w:hAnsi="仿宋_GB2312" w:eastAsia="仿宋_GB2312" w:cs="仿宋_GB2312"/>
                <w:color w:val="auto"/>
                <w:kern w:val="0"/>
                <w:szCs w:val="21"/>
                <w:highlight w:val="none"/>
              </w:rPr>
              <w:t>①</w:t>
            </w:r>
            <w:r>
              <w:rPr>
                <w:rFonts w:hint="eastAsia" w:ascii="仿宋_GB2312" w:hAnsi="仿宋_GB2312" w:eastAsia="仿宋_GB2312" w:cs="仿宋_GB2312"/>
                <w:color w:val="auto"/>
                <w:szCs w:val="21"/>
                <w:highlight w:val="none"/>
                <w:lang w:bidi="ar"/>
              </w:rPr>
              <w:t>售后服务人员简介及证明材料</w:t>
            </w:r>
            <w:r>
              <w:rPr>
                <w:rFonts w:hint="eastAsia" w:ascii="仿宋_GB2312" w:hAnsi="仿宋_GB2312" w:eastAsia="仿宋_GB2312" w:cs="仿宋_GB2312"/>
                <w:color w:val="auto"/>
                <w:kern w:val="0"/>
                <w:szCs w:val="21"/>
                <w:highlight w:val="none"/>
              </w:rPr>
              <w:t>②</w:t>
            </w:r>
            <w:r>
              <w:rPr>
                <w:rFonts w:hint="eastAsia" w:ascii="仿宋_GB2312" w:hAnsi="仿宋_GB2312" w:eastAsia="仿宋_GB2312" w:cs="仿宋_GB2312"/>
                <w:color w:val="auto"/>
                <w:szCs w:val="21"/>
                <w:highlight w:val="none"/>
                <w:lang w:bidi="ar"/>
              </w:rPr>
              <w:t>人员岗位职责</w:t>
            </w:r>
            <w:r>
              <w:rPr>
                <w:rFonts w:hint="eastAsia" w:ascii="仿宋_GB2312" w:hAnsi="仿宋_GB2312" w:eastAsia="仿宋_GB2312" w:cs="仿宋_GB2312"/>
                <w:color w:val="auto"/>
                <w:szCs w:val="21"/>
                <w:highlight w:val="none"/>
              </w:rPr>
              <w:t>③</w:t>
            </w:r>
            <w:r>
              <w:rPr>
                <w:rFonts w:hint="eastAsia" w:ascii="仿宋_GB2312" w:hAnsi="仿宋_GB2312" w:eastAsia="仿宋_GB2312" w:cs="仿宋_GB2312"/>
                <w:color w:val="auto"/>
                <w:szCs w:val="21"/>
                <w:highlight w:val="none"/>
                <w:lang w:bidi="ar"/>
              </w:rPr>
              <w:t>服务响应时间</w:t>
            </w:r>
            <w:r>
              <w:rPr>
                <w:rFonts w:hint="eastAsia" w:ascii="仿宋_GB2312" w:hAnsi="仿宋_GB2312" w:eastAsia="仿宋_GB2312" w:cs="仿宋_GB2312"/>
                <w:color w:val="auto"/>
                <w:kern w:val="0"/>
                <w:szCs w:val="21"/>
                <w:highlight w:val="none"/>
              </w:rPr>
              <w:t>④</w:t>
            </w:r>
            <w:r>
              <w:rPr>
                <w:rFonts w:hint="eastAsia" w:ascii="仿宋_GB2312" w:hAnsi="仿宋_GB2312" w:eastAsia="仿宋_GB2312" w:cs="仿宋_GB2312"/>
                <w:color w:val="auto"/>
                <w:szCs w:val="21"/>
                <w:highlight w:val="none"/>
                <w:lang w:bidi="ar"/>
              </w:rPr>
              <w:t>售后服务人员的管理制度</w:t>
            </w:r>
            <w:r>
              <w:rPr>
                <w:rFonts w:hint="eastAsia" w:ascii="仿宋_GB2312" w:hAnsi="仿宋_GB2312" w:eastAsia="仿宋_GB2312" w:cs="仿宋_GB2312"/>
                <w:color w:val="auto"/>
                <w:kern w:val="0"/>
                <w:szCs w:val="21"/>
                <w:highlight w:val="none"/>
              </w:rPr>
              <w:t>⑤</w:t>
            </w:r>
            <w:r>
              <w:rPr>
                <w:rFonts w:hint="eastAsia" w:ascii="仿宋_GB2312" w:hAnsi="仿宋_GB2312" w:eastAsia="仿宋_GB2312" w:cs="仿宋_GB2312"/>
                <w:color w:val="auto"/>
                <w:szCs w:val="21"/>
                <w:highlight w:val="none"/>
                <w:lang w:bidi="ar"/>
              </w:rPr>
              <w:t>常用备品备件的准备</w:t>
            </w:r>
            <w:r>
              <w:rPr>
                <w:rFonts w:hint="eastAsia" w:ascii="仿宋_GB2312" w:hAnsi="仿宋_GB2312" w:eastAsia="仿宋_GB2312" w:cs="仿宋_GB2312"/>
                <w:color w:val="auto"/>
                <w:kern w:val="0"/>
                <w:szCs w:val="21"/>
                <w:highlight w:val="none"/>
              </w:rPr>
              <w:t>⑥</w:t>
            </w:r>
            <w:r>
              <w:rPr>
                <w:rFonts w:hint="eastAsia" w:ascii="仿宋_GB2312" w:hAnsi="仿宋_GB2312" w:eastAsia="仿宋_GB2312" w:cs="仿宋_GB2312"/>
                <w:color w:val="auto"/>
                <w:szCs w:val="21"/>
                <w:highlight w:val="none"/>
                <w:lang w:bidi="ar"/>
              </w:rPr>
              <w:t>巡检巡修的方式、频率</w:t>
            </w:r>
            <w:r>
              <w:rPr>
                <w:rFonts w:hint="eastAsia" w:ascii="仿宋_GB2312" w:hAnsi="仿宋_GB2312" w:eastAsia="仿宋_GB2312" w:cs="仿宋_GB2312"/>
                <w:color w:val="auto"/>
                <w:kern w:val="0"/>
                <w:szCs w:val="21"/>
                <w:highlight w:val="none"/>
              </w:rPr>
              <w:t>⑦</w:t>
            </w:r>
            <w:r>
              <w:rPr>
                <w:rFonts w:hint="eastAsia" w:ascii="仿宋_GB2312" w:hAnsi="仿宋_GB2312" w:eastAsia="仿宋_GB2312" w:cs="仿宋_GB2312"/>
                <w:color w:val="auto"/>
                <w:szCs w:val="21"/>
                <w:highlight w:val="none"/>
                <w:lang w:bidi="ar"/>
              </w:rPr>
              <w:t>巡检保养情况档案记录整理⑧优化及合理建议</w:t>
            </w:r>
            <w:r>
              <w:rPr>
                <w:rFonts w:hint="eastAsia" w:ascii="仿宋_GB2312" w:hAnsi="仿宋_GB2312" w:eastAsia="仿宋_GB2312" w:cs="仿宋_GB2312"/>
                <w:color w:val="auto"/>
                <w:szCs w:val="21"/>
                <w:highlight w:val="none"/>
              </w:rPr>
              <w:t>。</w:t>
            </w:r>
          </w:p>
          <w:p w14:paraId="1876FD16">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1、提供优于采购需求的方案，内容完整、无缺陷，得9分；</w:t>
            </w:r>
          </w:p>
          <w:p w14:paraId="6615557B">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2、提供符合采购需求的方案，内容完整，得6分；</w:t>
            </w:r>
          </w:p>
          <w:p w14:paraId="0EB2C425">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3、提供方案，内容完整，但方案内容存在缺陷或存在不符合项目需求的，得3分；</w:t>
            </w:r>
          </w:p>
          <w:p w14:paraId="68DFDFB7">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4、方案中缺少上述8项中任意一项内容或机械复制采购需求，得1分；</w:t>
            </w:r>
          </w:p>
          <w:p w14:paraId="60B36346">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5、未提供方案，得0分。</w:t>
            </w:r>
          </w:p>
          <w:p w14:paraId="605166D4">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注:</w:t>
            </w:r>
            <w:r>
              <w:rPr>
                <w:rFonts w:hint="eastAsia" w:ascii="仿宋_GB2312" w:hAnsi="仿宋_GB2312" w:eastAsia="仿宋_GB2312" w:cs="仿宋_GB2312"/>
                <w:b/>
                <w:color w:val="auto"/>
                <w:szCs w:val="21"/>
                <w:highlight w:val="none"/>
              </w:rPr>
              <w:t>完整</w:t>
            </w:r>
            <w:r>
              <w:rPr>
                <w:rFonts w:hint="eastAsia" w:ascii="仿宋_GB2312" w:hAnsi="仿宋_GB2312" w:eastAsia="仿宋_GB2312" w:cs="仿宋_GB2312"/>
                <w:color w:val="auto"/>
                <w:szCs w:val="21"/>
                <w:highlight w:val="none"/>
              </w:rPr>
              <w:t>指包括但不限于上述8项全部内容且不能机械复制采购需求内容。</w:t>
            </w:r>
          </w:p>
          <w:p w14:paraId="7A6746A6">
            <w:pPr>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rPr>
              <w:t>优于采购需求</w:t>
            </w:r>
            <w:r>
              <w:rPr>
                <w:rFonts w:hint="eastAsia" w:ascii="仿宋_GB2312" w:hAnsi="仿宋_GB2312" w:eastAsia="仿宋_GB2312" w:cs="仿宋_GB2312"/>
                <w:color w:val="auto"/>
                <w:szCs w:val="21"/>
                <w:highlight w:val="none"/>
              </w:rPr>
              <w:t>是指供应商所提供的方案能够保障供应商在实际工作中达成的效果高于采购需求要求（采购需求中的时间要求、服务内容要求等方面）。</w:t>
            </w:r>
          </w:p>
          <w:p w14:paraId="74B07E84">
            <w:pPr>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rPr>
              <w:t>缺陷</w:t>
            </w:r>
            <w:r>
              <w:rPr>
                <w:rFonts w:hint="eastAsia" w:ascii="仿宋_GB2312" w:hAnsi="仿宋_GB2312" w:eastAsia="仿宋_GB2312" w:cs="仿宋_GB2312"/>
                <w:color w:val="auto"/>
                <w:szCs w:val="21"/>
                <w:highlight w:val="none"/>
              </w:rPr>
              <w:t>是指方案内容与项目需求不一致、存在相互矛盾内容、不符合客观逻辑以及未针对本项目编写的任意一种情形。</w:t>
            </w:r>
          </w:p>
          <w:p w14:paraId="7F34448E">
            <w:pPr>
              <w:adjustRightInd w:val="0"/>
              <w:snapToGrid w:val="0"/>
              <w:jc w:val="left"/>
              <w:rPr>
                <w:rFonts w:ascii="仿宋_GB2312" w:hAnsi="仿宋_GB2312" w:eastAsia="仿宋_GB2312" w:cs="仿宋_GB2312"/>
                <w:color w:val="auto"/>
                <w:szCs w:val="21"/>
                <w:highlight w:val="none"/>
                <w:lang w:bidi="ar"/>
              </w:rPr>
            </w:pPr>
            <w:r>
              <w:rPr>
                <w:rFonts w:hint="eastAsia" w:ascii="仿宋_GB2312" w:hAnsi="仿宋_GB2312" w:eastAsia="仿宋_GB2312" w:cs="仿宋_GB2312"/>
                <w:b/>
                <w:color w:val="auto"/>
                <w:szCs w:val="21"/>
                <w:highlight w:val="none"/>
              </w:rPr>
              <w:t>不符合项目需求</w:t>
            </w:r>
            <w:r>
              <w:rPr>
                <w:rFonts w:hint="eastAsia" w:ascii="仿宋_GB2312" w:hAnsi="仿宋_GB2312" w:eastAsia="仿宋_GB2312" w:cs="仿宋_GB2312"/>
                <w:color w:val="auto"/>
                <w:szCs w:val="21"/>
                <w:highlight w:val="none"/>
              </w:rPr>
              <w:t>是指存在与本项目执行无关的内容、存在相关内容在实际操作中不能运用的任意一种情形。</w:t>
            </w:r>
          </w:p>
        </w:tc>
        <w:tc>
          <w:tcPr>
            <w:tcW w:w="472" w:type="pct"/>
            <w:tcBorders>
              <w:top w:val="single" w:color="auto" w:sz="4" w:space="0"/>
              <w:left w:val="single" w:color="auto" w:sz="4" w:space="0"/>
              <w:bottom w:val="single" w:color="auto" w:sz="4" w:space="0"/>
              <w:right w:val="single" w:color="auto" w:sz="4" w:space="0"/>
            </w:tcBorders>
            <w:vAlign w:val="center"/>
          </w:tcPr>
          <w:p w14:paraId="6554E6E3">
            <w:pPr>
              <w:pStyle w:val="19"/>
              <w:adjustRightInd w:val="0"/>
              <w:snapToGrid w:val="0"/>
              <w:spacing w:before="0" w:beforeAutospacing="0" w:after="0" w:afterAutospacing="0"/>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9分</w:t>
            </w:r>
          </w:p>
        </w:tc>
      </w:tr>
      <w:tr w14:paraId="65F0A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4" w:hRule="atLeast"/>
          <w:jc w:val="center"/>
        </w:trPr>
        <w:tc>
          <w:tcPr>
            <w:tcW w:w="474" w:type="pct"/>
            <w:tcBorders>
              <w:left w:val="single" w:color="auto" w:sz="4" w:space="0"/>
              <w:right w:val="single" w:color="auto" w:sz="4" w:space="0"/>
            </w:tcBorders>
            <w:vAlign w:val="center"/>
          </w:tcPr>
          <w:p w14:paraId="6EB9E1E7">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商务部分</w:t>
            </w:r>
          </w:p>
        </w:tc>
        <w:tc>
          <w:tcPr>
            <w:tcW w:w="616" w:type="pct"/>
            <w:tcBorders>
              <w:top w:val="single" w:color="auto" w:sz="4" w:space="0"/>
              <w:left w:val="single" w:color="auto" w:sz="4" w:space="0"/>
              <w:right w:val="single" w:color="auto" w:sz="4" w:space="0"/>
            </w:tcBorders>
            <w:vAlign w:val="center"/>
          </w:tcPr>
          <w:p w14:paraId="13DEE1AF">
            <w:pPr>
              <w:pStyle w:val="19"/>
              <w:adjustRightInd w:val="0"/>
              <w:snapToGrid w:val="0"/>
              <w:spacing w:before="0" w:beforeAutospacing="0" w:after="0" w:afterAutospacing="0"/>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投标人业绩</w:t>
            </w:r>
          </w:p>
        </w:tc>
        <w:tc>
          <w:tcPr>
            <w:tcW w:w="3435" w:type="pct"/>
            <w:tcBorders>
              <w:top w:val="single" w:color="auto" w:sz="4" w:space="0"/>
              <w:left w:val="single" w:color="auto" w:sz="4" w:space="0"/>
              <w:right w:val="single" w:color="auto" w:sz="4" w:space="0"/>
            </w:tcBorders>
            <w:vAlign w:val="center"/>
          </w:tcPr>
          <w:p w14:paraId="3AC5730A">
            <w:pPr>
              <w:adjustRightInd w:val="0"/>
              <w:snapToGrid w:val="0"/>
              <w:jc w:val="left"/>
              <w:rPr>
                <w:rFonts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评标委员会根据投标单位提供的2022年1月1日至今投标人的类似项目业绩证明材料情况进行评定，每提供一个投标人的类似项目业绩证明文件的得1分，满分4分。</w:t>
            </w:r>
          </w:p>
          <w:p w14:paraId="5B8BFAC7">
            <w:pPr>
              <w:adjustRightInd w:val="0"/>
              <w:snapToGrid w:val="0"/>
              <w:jc w:val="left"/>
              <w:rPr>
                <w:rFonts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业绩以合同为准（须提供完整合同，包含供货清单明细页），业绩时间以合同签订时间为准。</w:t>
            </w:r>
          </w:p>
          <w:p w14:paraId="597EE562">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注：未提供证明材料得0分。</w:t>
            </w:r>
          </w:p>
        </w:tc>
        <w:tc>
          <w:tcPr>
            <w:tcW w:w="472" w:type="pct"/>
            <w:tcBorders>
              <w:top w:val="single" w:color="auto" w:sz="4" w:space="0"/>
              <w:left w:val="single" w:color="auto" w:sz="4" w:space="0"/>
              <w:bottom w:val="single" w:color="auto" w:sz="4" w:space="0"/>
              <w:right w:val="single" w:color="auto" w:sz="4" w:space="0"/>
            </w:tcBorders>
            <w:vAlign w:val="center"/>
          </w:tcPr>
          <w:p w14:paraId="5ACC4E76">
            <w:pPr>
              <w:pStyle w:val="19"/>
              <w:adjustRightInd w:val="0"/>
              <w:snapToGrid w:val="0"/>
              <w:spacing w:before="0" w:beforeAutospacing="0" w:after="0" w:afterAutospacing="0"/>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4分</w:t>
            </w:r>
          </w:p>
        </w:tc>
      </w:tr>
      <w:tr w14:paraId="37CE2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4" w:type="pct"/>
            <w:tcBorders>
              <w:top w:val="single" w:color="auto" w:sz="4" w:space="0"/>
              <w:left w:val="single" w:color="auto" w:sz="4" w:space="0"/>
              <w:bottom w:val="single" w:color="auto" w:sz="4" w:space="0"/>
              <w:right w:val="single" w:color="auto" w:sz="4" w:space="0"/>
            </w:tcBorders>
            <w:vAlign w:val="center"/>
          </w:tcPr>
          <w:p w14:paraId="408B2E56">
            <w:pPr>
              <w:pStyle w:val="19"/>
              <w:adjustRightInd w:val="0"/>
              <w:snapToGrid w:val="0"/>
              <w:spacing w:before="0" w:beforeAutospacing="0" w:after="0" w:afterAutospacing="0"/>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合  计</w:t>
            </w:r>
          </w:p>
        </w:tc>
        <w:tc>
          <w:tcPr>
            <w:tcW w:w="616" w:type="pct"/>
            <w:tcBorders>
              <w:top w:val="single" w:color="auto" w:sz="4" w:space="0"/>
              <w:left w:val="single" w:color="auto" w:sz="4" w:space="0"/>
              <w:bottom w:val="single" w:color="auto" w:sz="4" w:space="0"/>
              <w:right w:val="single" w:color="auto" w:sz="4" w:space="0"/>
            </w:tcBorders>
            <w:vAlign w:val="center"/>
          </w:tcPr>
          <w:p w14:paraId="7AAD17A7">
            <w:pPr>
              <w:pStyle w:val="19"/>
              <w:adjustRightInd w:val="0"/>
              <w:snapToGrid w:val="0"/>
              <w:spacing w:before="0" w:beforeAutospacing="0" w:after="0" w:afterAutospacing="0"/>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w:t>
            </w:r>
          </w:p>
        </w:tc>
        <w:tc>
          <w:tcPr>
            <w:tcW w:w="3435" w:type="pct"/>
            <w:tcBorders>
              <w:top w:val="single" w:color="auto" w:sz="4" w:space="0"/>
              <w:left w:val="single" w:color="auto" w:sz="4" w:space="0"/>
              <w:bottom w:val="single" w:color="auto" w:sz="4" w:space="0"/>
              <w:right w:val="single" w:color="auto" w:sz="4" w:space="0"/>
            </w:tcBorders>
            <w:vAlign w:val="center"/>
          </w:tcPr>
          <w:p w14:paraId="65EB4E61">
            <w:pPr>
              <w:pStyle w:val="19"/>
              <w:adjustRightInd w:val="0"/>
              <w:snapToGrid w:val="0"/>
              <w:spacing w:before="0" w:beforeAutospacing="0" w:after="0" w:afterAutospacing="0"/>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w:t>
            </w:r>
          </w:p>
        </w:tc>
        <w:tc>
          <w:tcPr>
            <w:tcW w:w="472" w:type="pct"/>
            <w:tcBorders>
              <w:top w:val="single" w:color="auto" w:sz="4" w:space="0"/>
              <w:left w:val="single" w:color="auto" w:sz="4" w:space="0"/>
              <w:bottom w:val="single" w:color="auto" w:sz="4" w:space="0"/>
              <w:right w:val="single" w:color="auto" w:sz="4" w:space="0"/>
            </w:tcBorders>
            <w:vAlign w:val="center"/>
          </w:tcPr>
          <w:p w14:paraId="4DAC938A">
            <w:pPr>
              <w:pStyle w:val="19"/>
              <w:adjustRightInd w:val="0"/>
              <w:snapToGrid w:val="0"/>
              <w:spacing w:before="0" w:beforeAutospacing="0" w:after="0" w:afterAutospacing="0"/>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100分</w:t>
            </w:r>
          </w:p>
        </w:tc>
      </w:tr>
    </w:tbl>
    <w:p w14:paraId="7963DBA3">
      <w:pPr>
        <w:widowControl/>
        <w:spacing w:line="240" w:lineRule="exact"/>
        <w:jc w:val="left"/>
        <w:rPr>
          <w:rFonts w:ascii="仿宋_GB2312" w:hAnsi="仿宋_GB2312" w:eastAsia="仿宋_GB2312" w:cs="仿宋_GB2312"/>
          <w:color w:val="auto"/>
          <w:kern w:val="0"/>
          <w:szCs w:val="21"/>
          <w:highlight w:val="none"/>
        </w:rPr>
      </w:pPr>
    </w:p>
    <w:p w14:paraId="4165FB6A">
      <w:pPr>
        <w:widowControl/>
        <w:spacing w:line="240" w:lineRule="exact"/>
        <w:jc w:val="left"/>
        <w:rPr>
          <w:rFonts w:ascii="仿宋_GB2312" w:hAnsi="仿宋_GB2312" w:eastAsia="仿宋_GB2312" w:cs="仿宋_GB2312"/>
          <w:color w:val="auto"/>
          <w:kern w:val="0"/>
          <w:szCs w:val="21"/>
          <w:highlight w:val="none"/>
        </w:rPr>
      </w:pPr>
    </w:p>
    <w:p w14:paraId="0D005317">
      <w:pPr>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b/>
          <w:color w:val="auto"/>
          <w:szCs w:val="21"/>
          <w:highlight w:val="none"/>
        </w:rPr>
        <w:t>包号：003包</w:t>
      </w:r>
    </w:p>
    <w:tbl>
      <w:tblPr>
        <w:tblStyle w:val="2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8"/>
        <w:gridCol w:w="1050"/>
        <w:gridCol w:w="5782"/>
        <w:gridCol w:w="879"/>
      </w:tblGrid>
      <w:tr w14:paraId="36228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474" w:type="pct"/>
            <w:tcBorders>
              <w:top w:val="single" w:color="auto" w:sz="4" w:space="0"/>
              <w:left w:val="single" w:color="auto" w:sz="4" w:space="0"/>
              <w:bottom w:val="single" w:color="auto" w:sz="4" w:space="0"/>
              <w:right w:val="single" w:color="auto" w:sz="4" w:space="0"/>
            </w:tcBorders>
            <w:vAlign w:val="center"/>
          </w:tcPr>
          <w:p w14:paraId="2A3101FD">
            <w:pPr>
              <w:pStyle w:val="19"/>
              <w:adjustRightInd w:val="0"/>
              <w:snapToGrid w:val="0"/>
              <w:spacing w:before="0" w:beforeAutospacing="0" w:after="0" w:afterAutospacing="0"/>
              <w:jc w:val="center"/>
              <w:rPr>
                <w:rFonts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sz w:val="21"/>
                <w:szCs w:val="21"/>
                <w:highlight w:val="none"/>
              </w:rPr>
              <w:t>项目</w:t>
            </w:r>
          </w:p>
        </w:tc>
        <w:tc>
          <w:tcPr>
            <w:tcW w:w="616" w:type="pct"/>
            <w:tcBorders>
              <w:top w:val="single" w:color="auto" w:sz="4" w:space="0"/>
              <w:left w:val="single" w:color="auto" w:sz="4" w:space="0"/>
              <w:bottom w:val="single" w:color="auto" w:sz="4" w:space="0"/>
              <w:right w:val="single" w:color="auto" w:sz="4" w:space="0"/>
            </w:tcBorders>
            <w:vAlign w:val="center"/>
          </w:tcPr>
          <w:p w14:paraId="2ACD526B">
            <w:pPr>
              <w:pStyle w:val="19"/>
              <w:adjustRightInd w:val="0"/>
              <w:snapToGrid w:val="0"/>
              <w:spacing w:before="0" w:beforeAutospacing="0" w:after="0" w:afterAutospacing="0"/>
              <w:jc w:val="center"/>
              <w:rPr>
                <w:rFonts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sz w:val="21"/>
                <w:szCs w:val="21"/>
                <w:highlight w:val="none"/>
              </w:rPr>
              <w:t>分项名称</w:t>
            </w:r>
          </w:p>
        </w:tc>
        <w:tc>
          <w:tcPr>
            <w:tcW w:w="3393" w:type="pct"/>
            <w:tcBorders>
              <w:top w:val="single" w:color="auto" w:sz="4" w:space="0"/>
              <w:left w:val="single" w:color="auto" w:sz="4" w:space="0"/>
              <w:bottom w:val="single" w:color="auto" w:sz="4" w:space="0"/>
              <w:right w:val="single" w:color="auto" w:sz="4" w:space="0"/>
            </w:tcBorders>
            <w:vAlign w:val="center"/>
          </w:tcPr>
          <w:p w14:paraId="11006D8E">
            <w:pPr>
              <w:pStyle w:val="19"/>
              <w:adjustRightInd w:val="0"/>
              <w:snapToGrid w:val="0"/>
              <w:spacing w:before="0" w:beforeAutospacing="0" w:after="0" w:afterAutospacing="0"/>
              <w:jc w:val="center"/>
              <w:rPr>
                <w:rFonts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sz w:val="21"/>
                <w:szCs w:val="21"/>
                <w:highlight w:val="none"/>
              </w:rPr>
              <w:t>评分标准</w:t>
            </w:r>
          </w:p>
        </w:tc>
        <w:tc>
          <w:tcPr>
            <w:tcW w:w="516" w:type="pct"/>
            <w:tcBorders>
              <w:top w:val="single" w:color="auto" w:sz="4" w:space="0"/>
              <w:left w:val="single" w:color="auto" w:sz="4" w:space="0"/>
              <w:bottom w:val="single" w:color="auto" w:sz="4" w:space="0"/>
              <w:right w:val="single" w:color="auto" w:sz="4" w:space="0"/>
            </w:tcBorders>
            <w:vAlign w:val="center"/>
          </w:tcPr>
          <w:p w14:paraId="0EFC7078">
            <w:pPr>
              <w:pStyle w:val="19"/>
              <w:adjustRightInd w:val="0"/>
              <w:snapToGrid w:val="0"/>
              <w:spacing w:before="0" w:beforeAutospacing="0" w:after="0" w:afterAutospacing="0"/>
              <w:jc w:val="center"/>
              <w:rPr>
                <w:rFonts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sz w:val="21"/>
                <w:szCs w:val="21"/>
                <w:highlight w:val="none"/>
              </w:rPr>
              <w:t>满分</w:t>
            </w:r>
          </w:p>
        </w:tc>
      </w:tr>
      <w:tr w14:paraId="5F7F7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4" w:type="pct"/>
            <w:tcBorders>
              <w:top w:val="single" w:color="auto" w:sz="4" w:space="0"/>
              <w:left w:val="single" w:color="auto" w:sz="4" w:space="0"/>
              <w:bottom w:val="single" w:color="auto" w:sz="4" w:space="0"/>
              <w:right w:val="single" w:color="auto" w:sz="4" w:space="0"/>
            </w:tcBorders>
            <w:vAlign w:val="center"/>
          </w:tcPr>
          <w:p w14:paraId="61C818DF">
            <w:pPr>
              <w:pStyle w:val="19"/>
              <w:adjustRightInd w:val="0"/>
              <w:snapToGrid w:val="0"/>
              <w:spacing w:before="0" w:beforeAutospacing="0" w:after="0" w:afterAutospacing="0"/>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价格部分</w:t>
            </w:r>
          </w:p>
        </w:tc>
        <w:tc>
          <w:tcPr>
            <w:tcW w:w="616" w:type="pct"/>
            <w:tcBorders>
              <w:top w:val="single" w:color="auto" w:sz="4" w:space="0"/>
              <w:left w:val="single" w:color="auto" w:sz="4" w:space="0"/>
              <w:bottom w:val="single" w:color="auto" w:sz="4" w:space="0"/>
              <w:right w:val="single" w:color="auto" w:sz="4" w:space="0"/>
            </w:tcBorders>
            <w:vAlign w:val="center"/>
          </w:tcPr>
          <w:p w14:paraId="6B7D4AC5">
            <w:pPr>
              <w:pStyle w:val="19"/>
              <w:adjustRightInd w:val="0"/>
              <w:snapToGrid w:val="0"/>
              <w:spacing w:before="0" w:beforeAutospacing="0" w:after="0" w:afterAutospacing="0"/>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投标报价</w:t>
            </w:r>
          </w:p>
        </w:tc>
        <w:tc>
          <w:tcPr>
            <w:tcW w:w="3393" w:type="pct"/>
            <w:tcBorders>
              <w:top w:val="single" w:color="auto" w:sz="4" w:space="0"/>
              <w:left w:val="single" w:color="auto" w:sz="4" w:space="0"/>
              <w:bottom w:val="single" w:color="auto" w:sz="4" w:space="0"/>
              <w:right w:val="single" w:color="auto" w:sz="4" w:space="0"/>
            </w:tcBorders>
            <w:vAlign w:val="center"/>
          </w:tcPr>
          <w:p w14:paraId="24629D13">
            <w:pPr>
              <w:pStyle w:val="19"/>
              <w:adjustRightInd w:val="0"/>
              <w:snapToGrid w:val="0"/>
              <w:spacing w:before="0" w:beforeAutospacing="0" w:after="0" w:afterAutospacing="0"/>
              <w:jc w:val="both"/>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投标人报价得分＝（评标基准价/投标报价）×30</w:t>
            </w:r>
          </w:p>
          <w:p w14:paraId="7E8A6780">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注解：</w:t>
            </w:r>
          </w:p>
          <w:p w14:paraId="0D08E7E9">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1、评标基准价为满足招标文件要求且投标报价最低的投标报价。</w:t>
            </w:r>
          </w:p>
          <w:p w14:paraId="01165D6E">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2、投标人报价为投标函中投标总价。</w:t>
            </w:r>
          </w:p>
        </w:tc>
        <w:tc>
          <w:tcPr>
            <w:tcW w:w="516" w:type="pct"/>
            <w:tcBorders>
              <w:top w:val="single" w:color="auto" w:sz="4" w:space="0"/>
              <w:left w:val="single" w:color="auto" w:sz="4" w:space="0"/>
              <w:bottom w:val="single" w:color="auto" w:sz="4" w:space="0"/>
              <w:right w:val="single" w:color="auto" w:sz="4" w:space="0"/>
            </w:tcBorders>
            <w:vAlign w:val="center"/>
          </w:tcPr>
          <w:p w14:paraId="63EDC078">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30分</w:t>
            </w:r>
          </w:p>
        </w:tc>
      </w:tr>
      <w:tr w14:paraId="7FB97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4" w:type="pct"/>
            <w:vMerge w:val="restart"/>
            <w:tcBorders>
              <w:left w:val="single" w:color="auto" w:sz="4" w:space="0"/>
              <w:right w:val="single" w:color="auto" w:sz="4" w:space="0"/>
            </w:tcBorders>
            <w:vAlign w:val="center"/>
          </w:tcPr>
          <w:p w14:paraId="29D37303">
            <w:pPr>
              <w:pStyle w:val="19"/>
              <w:adjustRightInd w:val="0"/>
              <w:snapToGrid w:val="0"/>
              <w:spacing w:before="0" w:beforeAutospacing="0" w:after="0" w:afterAutospacing="0"/>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技术部分</w:t>
            </w:r>
          </w:p>
        </w:tc>
        <w:tc>
          <w:tcPr>
            <w:tcW w:w="616" w:type="pct"/>
            <w:vMerge w:val="restart"/>
            <w:tcBorders>
              <w:top w:val="single" w:color="auto" w:sz="4" w:space="0"/>
              <w:left w:val="single" w:color="auto" w:sz="4" w:space="0"/>
              <w:right w:val="single" w:color="auto" w:sz="4" w:space="0"/>
            </w:tcBorders>
            <w:vAlign w:val="center"/>
          </w:tcPr>
          <w:p w14:paraId="72CE73A1">
            <w:pPr>
              <w:pStyle w:val="19"/>
              <w:adjustRightInd w:val="0"/>
              <w:snapToGrid w:val="0"/>
              <w:spacing w:before="0" w:beforeAutospacing="0" w:after="0" w:afterAutospacing="0"/>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技术功能要求响应程度</w:t>
            </w:r>
          </w:p>
        </w:tc>
        <w:tc>
          <w:tcPr>
            <w:tcW w:w="3393" w:type="pct"/>
            <w:tcBorders>
              <w:top w:val="single" w:color="auto" w:sz="4" w:space="0"/>
              <w:left w:val="single" w:color="auto" w:sz="4" w:space="0"/>
              <w:bottom w:val="single" w:color="auto" w:sz="4" w:space="0"/>
              <w:right w:val="single" w:color="auto" w:sz="4" w:space="0"/>
            </w:tcBorders>
            <w:vAlign w:val="center"/>
          </w:tcPr>
          <w:p w14:paraId="3B4DA1C0">
            <w:pPr>
              <w:adjustRightIn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未标注★项及▲项的技术指标参数，每项偏离扣除0.</w:t>
            </w:r>
            <w:r>
              <w:rPr>
                <w:rFonts w:hint="eastAsia" w:ascii="仿宋_GB2312" w:hAnsi="仿宋_GB2312" w:eastAsia="仿宋_GB2312" w:cs="仿宋_GB2312"/>
                <w:color w:val="auto"/>
                <w:szCs w:val="21"/>
                <w:highlight w:val="none"/>
                <w:lang w:val="en-US" w:eastAsia="zh-CN"/>
              </w:rPr>
              <w:t>5</w:t>
            </w:r>
            <w:r>
              <w:rPr>
                <w:rFonts w:hint="eastAsia" w:ascii="仿宋_GB2312" w:hAnsi="仿宋_GB2312" w:eastAsia="仿宋_GB2312" w:cs="仿宋_GB2312"/>
                <w:color w:val="auto"/>
                <w:szCs w:val="21"/>
                <w:highlight w:val="none"/>
              </w:rPr>
              <w:t>分，共计</w:t>
            </w:r>
            <w:r>
              <w:rPr>
                <w:rFonts w:hint="eastAsia" w:ascii="仿宋_GB2312" w:hAnsi="仿宋_GB2312" w:eastAsia="仿宋_GB2312" w:cs="仿宋_GB2312"/>
                <w:color w:val="auto"/>
                <w:szCs w:val="21"/>
                <w:highlight w:val="none"/>
                <w:lang w:val="en-US" w:eastAsia="zh-CN"/>
              </w:rPr>
              <w:t>22</w:t>
            </w:r>
            <w:r>
              <w:rPr>
                <w:rFonts w:hint="eastAsia" w:ascii="仿宋_GB2312" w:hAnsi="仿宋_GB2312" w:eastAsia="仿宋_GB2312" w:cs="仿宋_GB2312"/>
                <w:color w:val="auto"/>
                <w:szCs w:val="21"/>
                <w:highlight w:val="none"/>
              </w:rPr>
              <w:t>项；全部负偏离不得分。</w:t>
            </w:r>
          </w:p>
          <w:p w14:paraId="5DAFA62C">
            <w:pPr>
              <w:adjustRightInd w:val="0"/>
              <w:snapToGrid w:val="0"/>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投标人编制投标文件中的“技术规格偏离表”时应对“负偏离”项目依次编码，例如“负偏离1、负偏离2......”，如因投标人对负偏离编码错误而影响评审，则由投标人自行承担相应后果。</w:t>
            </w:r>
          </w:p>
        </w:tc>
        <w:tc>
          <w:tcPr>
            <w:tcW w:w="516" w:type="pct"/>
            <w:tcBorders>
              <w:top w:val="single" w:color="auto" w:sz="4" w:space="0"/>
              <w:left w:val="single" w:color="auto" w:sz="4" w:space="0"/>
              <w:bottom w:val="single" w:color="auto" w:sz="4" w:space="0"/>
              <w:right w:val="single" w:color="auto" w:sz="4" w:space="0"/>
            </w:tcBorders>
            <w:vAlign w:val="center"/>
          </w:tcPr>
          <w:p w14:paraId="016E2F17">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11</w:t>
            </w:r>
            <w:r>
              <w:rPr>
                <w:rFonts w:hint="eastAsia" w:ascii="仿宋_GB2312" w:hAnsi="仿宋_GB2312" w:eastAsia="仿宋_GB2312" w:cs="仿宋_GB2312"/>
                <w:color w:val="auto"/>
                <w:szCs w:val="21"/>
                <w:highlight w:val="none"/>
              </w:rPr>
              <w:t>分</w:t>
            </w:r>
          </w:p>
        </w:tc>
      </w:tr>
      <w:tr w14:paraId="6F5C5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474" w:type="pct"/>
            <w:vMerge w:val="continue"/>
            <w:tcBorders>
              <w:left w:val="single" w:color="auto" w:sz="4" w:space="0"/>
              <w:right w:val="single" w:color="auto" w:sz="4" w:space="0"/>
            </w:tcBorders>
            <w:vAlign w:val="center"/>
          </w:tcPr>
          <w:p w14:paraId="550FA9D2">
            <w:pPr>
              <w:pStyle w:val="19"/>
              <w:adjustRightInd w:val="0"/>
              <w:snapToGrid w:val="0"/>
              <w:spacing w:before="0" w:beforeAutospacing="0" w:after="0" w:afterAutospacing="0"/>
              <w:jc w:val="center"/>
              <w:rPr>
                <w:rFonts w:ascii="仿宋_GB2312" w:hAnsi="仿宋_GB2312" w:eastAsia="仿宋_GB2312" w:cs="仿宋_GB2312"/>
                <w:color w:val="auto"/>
                <w:sz w:val="21"/>
                <w:szCs w:val="21"/>
                <w:highlight w:val="none"/>
              </w:rPr>
            </w:pPr>
          </w:p>
        </w:tc>
        <w:tc>
          <w:tcPr>
            <w:tcW w:w="616" w:type="pct"/>
            <w:vMerge w:val="continue"/>
            <w:tcBorders>
              <w:left w:val="single" w:color="auto" w:sz="4" w:space="0"/>
              <w:bottom w:val="single" w:color="auto" w:sz="4" w:space="0"/>
              <w:right w:val="single" w:color="auto" w:sz="4" w:space="0"/>
            </w:tcBorders>
            <w:vAlign w:val="center"/>
          </w:tcPr>
          <w:p w14:paraId="53D98D82">
            <w:pPr>
              <w:pStyle w:val="19"/>
              <w:adjustRightInd w:val="0"/>
              <w:snapToGrid w:val="0"/>
              <w:spacing w:before="0" w:beforeAutospacing="0" w:after="0" w:afterAutospacing="0"/>
              <w:jc w:val="center"/>
              <w:rPr>
                <w:rFonts w:ascii="仿宋_GB2312" w:hAnsi="仿宋_GB2312" w:eastAsia="仿宋_GB2312" w:cs="仿宋_GB2312"/>
                <w:color w:val="auto"/>
                <w:sz w:val="21"/>
                <w:szCs w:val="21"/>
                <w:highlight w:val="none"/>
              </w:rPr>
            </w:pPr>
          </w:p>
        </w:tc>
        <w:tc>
          <w:tcPr>
            <w:tcW w:w="3393" w:type="pct"/>
            <w:tcBorders>
              <w:top w:val="single" w:color="auto" w:sz="4" w:space="0"/>
              <w:left w:val="single" w:color="auto" w:sz="4" w:space="0"/>
              <w:bottom w:val="single" w:color="auto" w:sz="4" w:space="0"/>
              <w:right w:val="single" w:color="auto" w:sz="4" w:space="0"/>
            </w:tcBorders>
            <w:vAlign w:val="center"/>
          </w:tcPr>
          <w:p w14:paraId="2ED1A9FB">
            <w:pPr>
              <w:adjustRightIn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标注▲项的重要技术指标参数</w:t>
            </w:r>
          </w:p>
          <w:p w14:paraId="5676BFDC">
            <w:pPr>
              <w:adjustRightInd w:val="0"/>
              <w:snapToGrid w:val="0"/>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szCs w:val="21"/>
                <w:highlight w:val="none"/>
              </w:rPr>
              <w:t>每项▲负偏离扣除1</w:t>
            </w:r>
            <w:r>
              <w:rPr>
                <w:rFonts w:hint="eastAsia" w:ascii="仿宋_GB2312" w:hAnsi="仿宋_GB2312" w:eastAsia="仿宋_GB2312" w:cs="仿宋_GB2312"/>
                <w:color w:val="auto"/>
                <w:szCs w:val="21"/>
                <w:highlight w:val="none"/>
                <w:lang w:val="en-US" w:eastAsia="zh-CN"/>
              </w:rPr>
              <w:t>.5</w:t>
            </w:r>
            <w:r>
              <w:rPr>
                <w:rFonts w:hint="eastAsia" w:ascii="仿宋_GB2312" w:hAnsi="仿宋_GB2312" w:eastAsia="仿宋_GB2312" w:cs="仿宋_GB2312"/>
                <w:color w:val="auto"/>
                <w:szCs w:val="21"/>
                <w:highlight w:val="none"/>
              </w:rPr>
              <w:t>分，共</w:t>
            </w:r>
            <w:r>
              <w:rPr>
                <w:rFonts w:hint="eastAsia" w:ascii="仿宋_GB2312" w:hAnsi="仿宋_GB2312" w:eastAsia="仿宋_GB2312" w:cs="仿宋_GB2312"/>
                <w:color w:val="auto"/>
                <w:szCs w:val="21"/>
                <w:highlight w:val="none"/>
                <w:lang w:val="en-US" w:eastAsia="zh-CN"/>
              </w:rPr>
              <w:t>18</w:t>
            </w:r>
            <w:r>
              <w:rPr>
                <w:rFonts w:hint="eastAsia" w:ascii="仿宋_GB2312" w:hAnsi="仿宋_GB2312" w:eastAsia="仿宋_GB2312" w:cs="仿宋_GB2312"/>
                <w:color w:val="auto"/>
                <w:szCs w:val="21"/>
                <w:highlight w:val="none"/>
              </w:rPr>
              <w:t>项参数；全部负偏离不得分。</w:t>
            </w:r>
          </w:p>
        </w:tc>
        <w:tc>
          <w:tcPr>
            <w:tcW w:w="516" w:type="pct"/>
            <w:tcBorders>
              <w:top w:val="single" w:color="auto" w:sz="4" w:space="0"/>
              <w:left w:val="single" w:color="auto" w:sz="4" w:space="0"/>
              <w:bottom w:val="single" w:color="auto" w:sz="4" w:space="0"/>
              <w:right w:val="single" w:color="auto" w:sz="4" w:space="0"/>
            </w:tcBorders>
            <w:vAlign w:val="center"/>
          </w:tcPr>
          <w:p w14:paraId="1932369D">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27</w:t>
            </w:r>
            <w:r>
              <w:rPr>
                <w:rFonts w:hint="eastAsia" w:ascii="仿宋_GB2312" w:hAnsi="仿宋_GB2312" w:eastAsia="仿宋_GB2312" w:cs="仿宋_GB2312"/>
                <w:color w:val="auto"/>
                <w:szCs w:val="21"/>
                <w:highlight w:val="none"/>
              </w:rPr>
              <w:t>分</w:t>
            </w:r>
          </w:p>
        </w:tc>
      </w:tr>
      <w:tr w14:paraId="7AF94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74" w:type="pct"/>
            <w:vMerge w:val="continue"/>
            <w:tcBorders>
              <w:left w:val="single" w:color="auto" w:sz="4" w:space="0"/>
              <w:right w:val="single" w:color="auto" w:sz="4" w:space="0"/>
            </w:tcBorders>
            <w:vAlign w:val="center"/>
          </w:tcPr>
          <w:p w14:paraId="244D229E">
            <w:pPr>
              <w:adjustRightInd w:val="0"/>
              <w:snapToGrid w:val="0"/>
              <w:rPr>
                <w:rFonts w:ascii="仿宋_GB2312" w:hAnsi="仿宋_GB2312" w:eastAsia="仿宋_GB2312" w:cs="仿宋_GB2312"/>
                <w:color w:val="auto"/>
                <w:szCs w:val="21"/>
                <w:highlight w:val="none"/>
              </w:rPr>
            </w:pPr>
          </w:p>
        </w:tc>
        <w:tc>
          <w:tcPr>
            <w:tcW w:w="616" w:type="pct"/>
            <w:tcBorders>
              <w:top w:val="single" w:color="auto" w:sz="4" w:space="0"/>
              <w:left w:val="single" w:color="auto" w:sz="4" w:space="0"/>
              <w:right w:val="single" w:color="auto" w:sz="4" w:space="0"/>
            </w:tcBorders>
            <w:vAlign w:val="center"/>
          </w:tcPr>
          <w:p w14:paraId="20F5BDB2">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供货及安装实施方案</w:t>
            </w:r>
          </w:p>
        </w:tc>
        <w:tc>
          <w:tcPr>
            <w:tcW w:w="3393" w:type="pct"/>
            <w:tcBorders>
              <w:top w:val="single" w:color="auto" w:sz="4" w:space="0"/>
              <w:left w:val="single" w:color="auto" w:sz="4" w:space="0"/>
              <w:bottom w:val="single" w:color="auto" w:sz="4" w:space="0"/>
              <w:right w:val="single" w:color="auto" w:sz="4" w:space="0"/>
            </w:tcBorders>
            <w:vAlign w:val="center"/>
          </w:tcPr>
          <w:p w14:paraId="48408927">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投标人应根据采购需求，结合项目实际，提供供货及安装实施方案，至少包括如下内容①</w:t>
            </w:r>
            <w:r>
              <w:rPr>
                <w:rFonts w:hint="eastAsia" w:ascii="仿宋_GB2312" w:hAnsi="仿宋_GB2312" w:eastAsia="仿宋_GB2312" w:cs="仿宋_GB2312"/>
                <w:color w:val="auto"/>
                <w:szCs w:val="21"/>
                <w:highlight w:val="none"/>
                <w:lang w:bidi="ar"/>
              </w:rPr>
              <w:t>实施计划</w:t>
            </w:r>
            <w:r>
              <w:rPr>
                <w:rFonts w:hint="eastAsia" w:ascii="仿宋_GB2312" w:hAnsi="仿宋_GB2312" w:eastAsia="仿宋_GB2312" w:cs="仿宋_GB2312"/>
                <w:color w:val="auto"/>
                <w:kern w:val="0"/>
                <w:szCs w:val="21"/>
                <w:highlight w:val="none"/>
              </w:rPr>
              <w:t>②</w:t>
            </w:r>
            <w:r>
              <w:rPr>
                <w:rFonts w:hint="eastAsia" w:ascii="仿宋_GB2312" w:hAnsi="仿宋_GB2312" w:eastAsia="仿宋_GB2312" w:cs="仿宋_GB2312"/>
                <w:color w:val="auto"/>
                <w:szCs w:val="21"/>
                <w:highlight w:val="none"/>
                <w:lang w:bidi="ar"/>
              </w:rPr>
              <w:t>供货时间保障</w:t>
            </w:r>
            <w:r>
              <w:rPr>
                <w:rFonts w:hint="eastAsia" w:ascii="仿宋_GB2312" w:hAnsi="仿宋_GB2312" w:eastAsia="仿宋_GB2312" w:cs="仿宋_GB2312"/>
                <w:color w:val="auto"/>
                <w:szCs w:val="21"/>
                <w:highlight w:val="none"/>
              </w:rPr>
              <w:t>③</w:t>
            </w:r>
            <w:r>
              <w:rPr>
                <w:rFonts w:hint="eastAsia" w:ascii="仿宋_GB2312" w:hAnsi="仿宋_GB2312" w:eastAsia="仿宋_GB2312" w:cs="仿宋_GB2312"/>
                <w:color w:val="auto"/>
                <w:szCs w:val="21"/>
                <w:highlight w:val="none"/>
                <w:lang w:bidi="ar"/>
              </w:rPr>
              <w:t>货物运输及配送保障</w:t>
            </w:r>
            <w:r>
              <w:rPr>
                <w:rFonts w:hint="eastAsia" w:ascii="仿宋_GB2312" w:hAnsi="仿宋_GB2312" w:eastAsia="仿宋_GB2312" w:cs="仿宋_GB2312"/>
                <w:color w:val="auto"/>
                <w:kern w:val="0"/>
                <w:szCs w:val="21"/>
                <w:highlight w:val="none"/>
              </w:rPr>
              <w:t>④</w:t>
            </w:r>
            <w:r>
              <w:rPr>
                <w:rFonts w:hint="eastAsia" w:ascii="仿宋_GB2312" w:hAnsi="仿宋_GB2312" w:eastAsia="仿宋_GB2312" w:cs="仿宋_GB2312"/>
                <w:color w:val="auto"/>
                <w:szCs w:val="21"/>
                <w:highlight w:val="none"/>
                <w:lang w:bidi="ar"/>
              </w:rPr>
              <w:t>安装实施</w:t>
            </w:r>
            <w:r>
              <w:rPr>
                <w:rFonts w:hint="eastAsia" w:ascii="仿宋_GB2312" w:hAnsi="仿宋_GB2312" w:eastAsia="仿宋_GB2312" w:cs="仿宋_GB2312"/>
                <w:color w:val="auto"/>
                <w:kern w:val="0"/>
                <w:szCs w:val="21"/>
                <w:highlight w:val="none"/>
              </w:rPr>
              <w:t>⑤</w:t>
            </w:r>
            <w:r>
              <w:rPr>
                <w:rFonts w:hint="eastAsia" w:ascii="仿宋_GB2312" w:hAnsi="仿宋_GB2312" w:eastAsia="仿宋_GB2312" w:cs="仿宋_GB2312"/>
                <w:color w:val="auto"/>
                <w:szCs w:val="21"/>
                <w:highlight w:val="none"/>
                <w:lang w:bidi="ar"/>
              </w:rPr>
              <w:t>安装技术人员简介及证明材料</w:t>
            </w:r>
            <w:r>
              <w:rPr>
                <w:rFonts w:hint="eastAsia" w:ascii="仿宋_GB2312" w:hAnsi="仿宋_GB2312" w:eastAsia="仿宋_GB2312" w:cs="仿宋_GB2312"/>
                <w:color w:val="auto"/>
                <w:kern w:val="0"/>
                <w:szCs w:val="21"/>
                <w:highlight w:val="none"/>
              </w:rPr>
              <w:t>⑥</w:t>
            </w:r>
            <w:r>
              <w:rPr>
                <w:rFonts w:hint="eastAsia" w:ascii="仿宋_GB2312" w:hAnsi="仿宋_GB2312" w:eastAsia="仿宋_GB2312" w:cs="仿宋_GB2312"/>
                <w:color w:val="auto"/>
                <w:szCs w:val="21"/>
                <w:highlight w:val="none"/>
                <w:lang w:bidi="ar"/>
              </w:rPr>
              <w:t>突发情况应急</w:t>
            </w:r>
            <w:r>
              <w:rPr>
                <w:rFonts w:hint="eastAsia" w:ascii="仿宋_GB2312" w:hAnsi="仿宋_GB2312" w:eastAsia="仿宋_GB2312" w:cs="仿宋_GB2312"/>
                <w:color w:val="auto"/>
                <w:kern w:val="0"/>
                <w:szCs w:val="21"/>
                <w:highlight w:val="none"/>
              </w:rPr>
              <w:t>。</w:t>
            </w:r>
          </w:p>
          <w:p w14:paraId="5E040D24">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1、提供优于采购需求的方案，内容完整、无缺陷，得</w:t>
            </w:r>
            <w:r>
              <w:rPr>
                <w:rFonts w:hint="eastAsia" w:ascii="仿宋_GB2312" w:hAnsi="仿宋_GB2312" w:eastAsia="仿宋_GB2312" w:cs="仿宋_GB2312"/>
                <w:color w:val="auto"/>
                <w:szCs w:val="21"/>
                <w:highlight w:val="none"/>
                <w:lang w:val="en-US" w:eastAsia="zh-CN"/>
              </w:rPr>
              <w:t>7</w:t>
            </w:r>
            <w:r>
              <w:rPr>
                <w:rFonts w:hint="eastAsia" w:ascii="仿宋_GB2312" w:hAnsi="仿宋_GB2312" w:eastAsia="仿宋_GB2312" w:cs="仿宋_GB2312"/>
                <w:color w:val="auto"/>
                <w:szCs w:val="21"/>
                <w:highlight w:val="none"/>
              </w:rPr>
              <w:t>分；</w:t>
            </w:r>
          </w:p>
          <w:p w14:paraId="63122863">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2、提供符合采购需求的方案，内容完整，得</w:t>
            </w:r>
            <w:r>
              <w:rPr>
                <w:rFonts w:hint="eastAsia" w:ascii="仿宋_GB2312" w:hAnsi="仿宋_GB2312" w:eastAsia="仿宋_GB2312" w:cs="仿宋_GB2312"/>
                <w:color w:val="auto"/>
                <w:szCs w:val="21"/>
                <w:highlight w:val="none"/>
                <w:lang w:val="en-US" w:eastAsia="zh-CN"/>
              </w:rPr>
              <w:t>5</w:t>
            </w:r>
            <w:r>
              <w:rPr>
                <w:rFonts w:hint="eastAsia" w:ascii="仿宋_GB2312" w:hAnsi="仿宋_GB2312" w:eastAsia="仿宋_GB2312" w:cs="仿宋_GB2312"/>
                <w:color w:val="auto"/>
                <w:szCs w:val="21"/>
                <w:highlight w:val="none"/>
              </w:rPr>
              <w:t>分；</w:t>
            </w:r>
          </w:p>
          <w:p w14:paraId="20553C3C">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3、提供方案，内容完整，但方案内容存在缺陷或存在不符合项目需求的，得3分；</w:t>
            </w:r>
          </w:p>
          <w:p w14:paraId="1E0178D6">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4、方案中缺少上述6项中任意一项内容或机械复制采购需求，得1分；</w:t>
            </w:r>
          </w:p>
          <w:p w14:paraId="32EB6491">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5、未提供方案，得0分。</w:t>
            </w:r>
          </w:p>
          <w:p w14:paraId="6A78B592">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注:</w:t>
            </w:r>
            <w:r>
              <w:rPr>
                <w:rFonts w:hint="eastAsia" w:ascii="仿宋_GB2312" w:hAnsi="仿宋_GB2312" w:eastAsia="仿宋_GB2312" w:cs="仿宋_GB2312"/>
                <w:b/>
                <w:color w:val="auto"/>
                <w:szCs w:val="21"/>
                <w:highlight w:val="none"/>
              </w:rPr>
              <w:t>完整</w:t>
            </w:r>
            <w:r>
              <w:rPr>
                <w:rFonts w:hint="eastAsia" w:ascii="仿宋_GB2312" w:hAnsi="仿宋_GB2312" w:eastAsia="仿宋_GB2312" w:cs="仿宋_GB2312"/>
                <w:color w:val="auto"/>
                <w:szCs w:val="21"/>
                <w:highlight w:val="none"/>
              </w:rPr>
              <w:t>指包括但不限于上述6项全部内容且不能机械复制采购需求内容。</w:t>
            </w:r>
          </w:p>
          <w:p w14:paraId="36AE360A">
            <w:pPr>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rPr>
              <w:t>优于采购需求</w:t>
            </w:r>
            <w:r>
              <w:rPr>
                <w:rFonts w:hint="eastAsia" w:ascii="仿宋_GB2312" w:hAnsi="仿宋_GB2312" w:eastAsia="仿宋_GB2312" w:cs="仿宋_GB2312"/>
                <w:color w:val="auto"/>
                <w:szCs w:val="21"/>
                <w:highlight w:val="none"/>
              </w:rPr>
              <w:t>是指供应商所提供的方案能够保障供应商在实际工作中达成的效果高于采购需求要求（采购需求中的时间要求、服务内容要求等方面）。</w:t>
            </w:r>
          </w:p>
          <w:p w14:paraId="69C4605D">
            <w:pPr>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rPr>
              <w:t>缺陷</w:t>
            </w:r>
            <w:r>
              <w:rPr>
                <w:rFonts w:hint="eastAsia" w:ascii="仿宋_GB2312" w:hAnsi="仿宋_GB2312" w:eastAsia="仿宋_GB2312" w:cs="仿宋_GB2312"/>
                <w:color w:val="auto"/>
                <w:szCs w:val="21"/>
                <w:highlight w:val="none"/>
              </w:rPr>
              <w:t>是指方案内容与项目需求不一致、存在相互矛盾内容、不符合客观逻辑以及未针对本项目编写的任意一种情形。</w:t>
            </w:r>
          </w:p>
          <w:p w14:paraId="63EEC499">
            <w:pPr>
              <w:adjustRightInd w:val="0"/>
              <w:snapToGrid w:val="0"/>
              <w:jc w:val="left"/>
              <w:rPr>
                <w:rFonts w:ascii="仿宋_GB2312" w:hAnsi="仿宋_GB2312" w:eastAsia="仿宋_GB2312" w:cs="仿宋_GB2312"/>
                <w:color w:val="auto"/>
                <w:szCs w:val="21"/>
                <w:highlight w:val="none"/>
                <w:lang w:bidi="ar"/>
              </w:rPr>
            </w:pPr>
            <w:r>
              <w:rPr>
                <w:rFonts w:hint="eastAsia" w:ascii="仿宋_GB2312" w:hAnsi="仿宋_GB2312" w:eastAsia="仿宋_GB2312" w:cs="仿宋_GB2312"/>
                <w:b/>
                <w:color w:val="auto"/>
                <w:szCs w:val="21"/>
                <w:highlight w:val="none"/>
              </w:rPr>
              <w:t>不符合项目需求</w:t>
            </w:r>
            <w:r>
              <w:rPr>
                <w:rFonts w:hint="eastAsia" w:ascii="仿宋_GB2312" w:hAnsi="仿宋_GB2312" w:eastAsia="仿宋_GB2312" w:cs="仿宋_GB2312"/>
                <w:color w:val="auto"/>
                <w:szCs w:val="21"/>
                <w:highlight w:val="none"/>
              </w:rPr>
              <w:t>是指存在与本项目执行无关的内容、存在相关内容在实际操作中不能运用的任意一种情形。</w:t>
            </w:r>
          </w:p>
        </w:tc>
        <w:tc>
          <w:tcPr>
            <w:tcW w:w="516" w:type="pct"/>
            <w:tcBorders>
              <w:top w:val="single" w:color="auto" w:sz="4" w:space="0"/>
              <w:left w:val="single" w:color="auto" w:sz="4" w:space="0"/>
              <w:right w:val="single" w:color="auto" w:sz="4" w:space="0"/>
            </w:tcBorders>
            <w:vAlign w:val="center"/>
          </w:tcPr>
          <w:p w14:paraId="36D3C8BA">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bidi="ar"/>
              </w:rPr>
              <w:t>7</w:t>
            </w:r>
            <w:r>
              <w:rPr>
                <w:rFonts w:hint="eastAsia" w:ascii="仿宋_GB2312" w:hAnsi="仿宋_GB2312" w:eastAsia="仿宋_GB2312" w:cs="仿宋_GB2312"/>
                <w:color w:val="auto"/>
                <w:szCs w:val="21"/>
                <w:highlight w:val="none"/>
              </w:rPr>
              <w:t>分</w:t>
            </w:r>
          </w:p>
        </w:tc>
      </w:tr>
      <w:tr w14:paraId="593BF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4" w:type="pct"/>
            <w:vMerge w:val="continue"/>
            <w:tcBorders>
              <w:left w:val="single" w:color="auto" w:sz="4" w:space="0"/>
              <w:right w:val="single" w:color="auto" w:sz="4" w:space="0"/>
            </w:tcBorders>
            <w:vAlign w:val="center"/>
          </w:tcPr>
          <w:p w14:paraId="468E4C97">
            <w:pPr>
              <w:adjustRightInd w:val="0"/>
              <w:snapToGrid w:val="0"/>
              <w:rPr>
                <w:rFonts w:ascii="仿宋_GB2312" w:hAnsi="仿宋_GB2312" w:eastAsia="仿宋_GB2312" w:cs="仿宋_GB2312"/>
                <w:color w:val="auto"/>
                <w:szCs w:val="21"/>
                <w:highlight w:val="none"/>
              </w:rPr>
            </w:pPr>
          </w:p>
        </w:tc>
        <w:tc>
          <w:tcPr>
            <w:tcW w:w="616" w:type="pct"/>
            <w:tcBorders>
              <w:left w:val="single" w:color="auto" w:sz="4" w:space="0"/>
              <w:right w:val="single" w:color="auto" w:sz="4" w:space="0"/>
            </w:tcBorders>
            <w:vAlign w:val="center"/>
          </w:tcPr>
          <w:p w14:paraId="1C93E715">
            <w:pPr>
              <w:pStyle w:val="19"/>
              <w:adjustRightInd w:val="0"/>
              <w:snapToGrid w:val="0"/>
              <w:spacing w:before="0" w:beforeAutospacing="0" w:after="0" w:afterAutospacing="0"/>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产品质量控制保障措施方案</w:t>
            </w:r>
          </w:p>
        </w:tc>
        <w:tc>
          <w:tcPr>
            <w:tcW w:w="3393" w:type="pct"/>
            <w:tcBorders>
              <w:top w:val="single" w:color="auto" w:sz="4" w:space="0"/>
              <w:left w:val="single" w:color="auto" w:sz="4" w:space="0"/>
              <w:right w:val="single" w:color="auto" w:sz="4" w:space="0"/>
            </w:tcBorders>
            <w:vAlign w:val="center"/>
          </w:tcPr>
          <w:p w14:paraId="1D9AE2FA">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投标人应根据采购需求，结合项目实际，提供产品质量控制保障措施方案，至少包括如下内容①产品质量检查②检查技术人员简介及证明材料③检测设备配备④检查流程⑤质量控制管理制度。</w:t>
            </w:r>
          </w:p>
          <w:p w14:paraId="26C3AC4B">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1、提供优于采购需求的方案，内容完整、无缺陷，得7分；</w:t>
            </w:r>
          </w:p>
          <w:p w14:paraId="275C4B0B">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2、提供符合采购需求的方案，内容完整，得5分；</w:t>
            </w:r>
          </w:p>
          <w:p w14:paraId="1C23573B">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3、提供方案，内容完整，但方案内容存在缺陷或存在不符合项目需求的，得3分；</w:t>
            </w:r>
          </w:p>
          <w:p w14:paraId="35C9CA52">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4、方案中缺少上述5项中任意一项内容或机械复制采购需求，得1分；</w:t>
            </w:r>
          </w:p>
          <w:p w14:paraId="787B7A4B">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5、未提供方案，得0分。</w:t>
            </w:r>
          </w:p>
          <w:p w14:paraId="07B8AD5F">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注:</w:t>
            </w:r>
            <w:r>
              <w:rPr>
                <w:rFonts w:hint="eastAsia" w:ascii="仿宋_GB2312" w:hAnsi="仿宋_GB2312" w:eastAsia="仿宋_GB2312" w:cs="仿宋_GB2312"/>
                <w:b/>
                <w:color w:val="auto"/>
                <w:szCs w:val="21"/>
                <w:highlight w:val="none"/>
              </w:rPr>
              <w:t>完整</w:t>
            </w:r>
            <w:r>
              <w:rPr>
                <w:rFonts w:hint="eastAsia" w:ascii="仿宋_GB2312" w:hAnsi="仿宋_GB2312" w:eastAsia="仿宋_GB2312" w:cs="仿宋_GB2312"/>
                <w:color w:val="auto"/>
                <w:szCs w:val="21"/>
                <w:highlight w:val="none"/>
              </w:rPr>
              <w:t>指包括但不限于上述5项全部内容且不能机械复制采购需求内容。</w:t>
            </w:r>
          </w:p>
          <w:p w14:paraId="288E03C7">
            <w:pPr>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rPr>
              <w:t>优于采购需求</w:t>
            </w:r>
            <w:r>
              <w:rPr>
                <w:rFonts w:hint="eastAsia" w:ascii="仿宋_GB2312" w:hAnsi="仿宋_GB2312" w:eastAsia="仿宋_GB2312" w:cs="仿宋_GB2312"/>
                <w:color w:val="auto"/>
                <w:szCs w:val="21"/>
                <w:highlight w:val="none"/>
              </w:rPr>
              <w:t>是指供应商所提供的方案能够保障供应商在实际工作中达成的效果高于采购需求要求（采购需求中的时间要求、服务内容要求等方面）。</w:t>
            </w:r>
          </w:p>
          <w:p w14:paraId="467310D9">
            <w:pPr>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rPr>
              <w:t>缺陷</w:t>
            </w:r>
            <w:r>
              <w:rPr>
                <w:rFonts w:hint="eastAsia" w:ascii="仿宋_GB2312" w:hAnsi="仿宋_GB2312" w:eastAsia="仿宋_GB2312" w:cs="仿宋_GB2312"/>
                <w:color w:val="auto"/>
                <w:szCs w:val="21"/>
                <w:highlight w:val="none"/>
              </w:rPr>
              <w:t>是指方案内容与项目需求不一致、存在相互矛盾内容、不符合客观逻辑以及未针对本项目编写的任意一种情形。</w:t>
            </w:r>
          </w:p>
          <w:p w14:paraId="26D71762">
            <w:pPr>
              <w:adjustRightInd w:val="0"/>
              <w:snapToGrid w:val="0"/>
              <w:jc w:val="left"/>
              <w:rPr>
                <w:rFonts w:ascii="仿宋_GB2312" w:hAnsi="仿宋_GB2312" w:eastAsia="仿宋_GB2312" w:cs="仿宋_GB2312"/>
                <w:color w:val="auto"/>
                <w:szCs w:val="21"/>
                <w:highlight w:val="none"/>
                <w:lang w:bidi="ar"/>
              </w:rPr>
            </w:pPr>
            <w:r>
              <w:rPr>
                <w:rFonts w:hint="eastAsia" w:ascii="仿宋_GB2312" w:hAnsi="仿宋_GB2312" w:eastAsia="仿宋_GB2312" w:cs="仿宋_GB2312"/>
                <w:b/>
                <w:color w:val="auto"/>
                <w:szCs w:val="21"/>
                <w:highlight w:val="none"/>
              </w:rPr>
              <w:t>不符合项目需求</w:t>
            </w:r>
            <w:r>
              <w:rPr>
                <w:rFonts w:hint="eastAsia" w:ascii="仿宋_GB2312" w:hAnsi="仿宋_GB2312" w:eastAsia="仿宋_GB2312" w:cs="仿宋_GB2312"/>
                <w:color w:val="auto"/>
                <w:szCs w:val="21"/>
                <w:highlight w:val="none"/>
              </w:rPr>
              <w:t>是指存在与本项目执行无关的内容、存在相关内容在实际操作中不能运用的任意一种情形。</w:t>
            </w:r>
          </w:p>
        </w:tc>
        <w:tc>
          <w:tcPr>
            <w:tcW w:w="516" w:type="pct"/>
            <w:tcBorders>
              <w:left w:val="single" w:color="auto" w:sz="4" w:space="0"/>
              <w:bottom w:val="single" w:color="auto" w:sz="4" w:space="0"/>
              <w:right w:val="single" w:color="auto" w:sz="4" w:space="0"/>
            </w:tcBorders>
            <w:vAlign w:val="center"/>
          </w:tcPr>
          <w:p w14:paraId="15666C14">
            <w:pPr>
              <w:pStyle w:val="19"/>
              <w:adjustRightInd w:val="0"/>
              <w:snapToGrid w:val="0"/>
              <w:spacing w:before="0" w:beforeAutospacing="0" w:after="0" w:afterAutospacing="0"/>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7分</w:t>
            </w:r>
          </w:p>
        </w:tc>
      </w:tr>
      <w:tr w14:paraId="6C60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4" w:type="pct"/>
            <w:vMerge w:val="continue"/>
            <w:tcBorders>
              <w:left w:val="single" w:color="auto" w:sz="4" w:space="0"/>
              <w:right w:val="single" w:color="auto" w:sz="4" w:space="0"/>
            </w:tcBorders>
            <w:vAlign w:val="center"/>
          </w:tcPr>
          <w:p w14:paraId="728B3BE2">
            <w:pPr>
              <w:adjustRightInd w:val="0"/>
              <w:snapToGrid w:val="0"/>
              <w:rPr>
                <w:rFonts w:ascii="仿宋_GB2312" w:hAnsi="仿宋_GB2312" w:eastAsia="仿宋_GB2312" w:cs="仿宋_GB2312"/>
                <w:color w:val="auto"/>
                <w:szCs w:val="21"/>
                <w:highlight w:val="none"/>
              </w:rPr>
            </w:pPr>
          </w:p>
        </w:tc>
        <w:tc>
          <w:tcPr>
            <w:tcW w:w="616" w:type="pct"/>
            <w:tcBorders>
              <w:left w:val="single" w:color="auto" w:sz="4" w:space="0"/>
              <w:right w:val="single" w:color="auto" w:sz="4" w:space="0"/>
            </w:tcBorders>
            <w:vAlign w:val="center"/>
          </w:tcPr>
          <w:p w14:paraId="5E40D0B6">
            <w:pPr>
              <w:pStyle w:val="19"/>
              <w:adjustRightInd w:val="0"/>
              <w:snapToGrid w:val="0"/>
              <w:spacing w:before="0" w:beforeAutospacing="0" w:after="0" w:afterAutospacing="0"/>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培训方案</w:t>
            </w:r>
          </w:p>
        </w:tc>
        <w:tc>
          <w:tcPr>
            <w:tcW w:w="3393" w:type="pct"/>
            <w:tcBorders>
              <w:top w:val="single" w:color="auto" w:sz="4" w:space="0"/>
              <w:left w:val="single" w:color="auto" w:sz="4" w:space="0"/>
              <w:right w:val="single" w:color="auto" w:sz="4" w:space="0"/>
            </w:tcBorders>
            <w:vAlign w:val="center"/>
          </w:tcPr>
          <w:p w14:paraId="28A1BF4C">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投标人应根据采购需求，结合项目实际，提供培训方案，至少包括①</w:t>
            </w:r>
            <w:r>
              <w:rPr>
                <w:rFonts w:hint="eastAsia" w:ascii="仿宋_GB2312" w:hAnsi="仿宋_GB2312" w:eastAsia="仿宋_GB2312" w:cs="仿宋_GB2312"/>
                <w:color w:val="auto"/>
                <w:szCs w:val="21"/>
                <w:highlight w:val="none"/>
                <w:lang w:bidi="ar"/>
              </w:rPr>
              <w:t>培训人员简介及证明材料</w:t>
            </w:r>
            <w:r>
              <w:rPr>
                <w:rFonts w:hint="eastAsia" w:ascii="仿宋_GB2312" w:hAnsi="仿宋_GB2312" w:eastAsia="仿宋_GB2312" w:cs="仿宋_GB2312"/>
                <w:color w:val="auto"/>
                <w:kern w:val="0"/>
                <w:szCs w:val="21"/>
                <w:highlight w:val="none"/>
              </w:rPr>
              <w:t>②</w:t>
            </w:r>
            <w:r>
              <w:rPr>
                <w:rFonts w:hint="eastAsia" w:ascii="仿宋_GB2312" w:hAnsi="仿宋_GB2312" w:eastAsia="仿宋_GB2312" w:cs="仿宋_GB2312"/>
                <w:color w:val="auto"/>
                <w:szCs w:val="21"/>
                <w:highlight w:val="none"/>
                <w:lang w:bidi="ar"/>
              </w:rPr>
              <w:t>培训计划</w:t>
            </w:r>
            <w:r>
              <w:rPr>
                <w:rFonts w:hint="eastAsia" w:ascii="仿宋_GB2312" w:hAnsi="仿宋_GB2312" w:eastAsia="仿宋_GB2312" w:cs="仿宋_GB2312"/>
                <w:color w:val="auto"/>
                <w:szCs w:val="21"/>
                <w:highlight w:val="none"/>
              </w:rPr>
              <w:t>③</w:t>
            </w:r>
            <w:r>
              <w:rPr>
                <w:rFonts w:hint="eastAsia" w:ascii="仿宋_GB2312" w:hAnsi="仿宋_GB2312" w:eastAsia="仿宋_GB2312" w:cs="仿宋_GB2312"/>
                <w:color w:val="auto"/>
                <w:szCs w:val="21"/>
                <w:highlight w:val="none"/>
                <w:lang w:bidi="ar"/>
              </w:rPr>
              <w:t>培训内容</w:t>
            </w:r>
            <w:r>
              <w:rPr>
                <w:rFonts w:hint="eastAsia" w:ascii="仿宋_GB2312" w:hAnsi="仿宋_GB2312" w:eastAsia="仿宋_GB2312" w:cs="仿宋_GB2312"/>
                <w:color w:val="auto"/>
                <w:kern w:val="0"/>
                <w:szCs w:val="21"/>
                <w:highlight w:val="none"/>
              </w:rPr>
              <w:t>④</w:t>
            </w:r>
            <w:r>
              <w:rPr>
                <w:rFonts w:hint="eastAsia" w:ascii="仿宋_GB2312" w:hAnsi="仿宋_GB2312" w:eastAsia="仿宋_GB2312" w:cs="仿宋_GB2312"/>
                <w:color w:val="auto"/>
                <w:szCs w:val="21"/>
                <w:highlight w:val="none"/>
                <w:lang w:bidi="ar"/>
              </w:rPr>
              <w:t>培训目标</w:t>
            </w:r>
            <w:r>
              <w:rPr>
                <w:rFonts w:hint="eastAsia" w:ascii="仿宋_GB2312" w:hAnsi="仿宋_GB2312" w:eastAsia="仿宋_GB2312" w:cs="仿宋_GB2312"/>
                <w:color w:val="auto"/>
                <w:kern w:val="0"/>
                <w:szCs w:val="21"/>
                <w:highlight w:val="none"/>
              </w:rPr>
              <w:t>⑤</w:t>
            </w:r>
            <w:r>
              <w:rPr>
                <w:rFonts w:hint="eastAsia" w:ascii="仿宋_GB2312" w:hAnsi="仿宋_GB2312" w:eastAsia="仿宋_GB2312" w:cs="仿宋_GB2312"/>
                <w:color w:val="auto"/>
                <w:szCs w:val="21"/>
                <w:highlight w:val="none"/>
                <w:lang w:bidi="ar"/>
              </w:rPr>
              <w:t>培训资源</w:t>
            </w:r>
            <w:r>
              <w:rPr>
                <w:rFonts w:hint="eastAsia" w:ascii="仿宋_GB2312" w:hAnsi="仿宋_GB2312" w:eastAsia="仿宋_GB2312" w:cs="仿宋_GB2312"/>
                <w:color w:val="auto"/>
                <w:kern w:val="0"/>
                <w:szCs w:val="21"/>
                <w:highlight w:val="none"/>
              </w:rPr>
              <w:t>。</w:t>
            </w:r>
          </w:p>
          <w:p w14:paraId="4F58CCA2">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1、提供优于采购需求的方案，内容完整、无缺陷，得</w:t>
            </w:r>
            <w:r>
              <w:rPr>
                <w:rFonts w:hint="eastAsia" w:ascii="仿宋_GB2312" w:hAnsi="仿宋_GB2312" w:eastAsia="仿宋_GB2312" w:cs="仿宋_GB2312"/>
                <w:color w:val="auto"/>
                <w:szCs w:val="21"/>
                <w:highlight w:val="none"/>
                <w:lang w:val="en-US" w:eastAsia="zh-CN"/>
              </w:rPr>
              <w:t>7</w:t>
            </w:r>
            <w:r>
              <w:rPr>
                <w:rFonts w:hint="eastAsia" w:ascii="仿宋_GB2312" w:hAnsi="仿宋_GB2312" w:eastAsia="仿宋_GB2312" w:cs="仿宋_GB2312"/>
                <w:color w:val="auto"/>
                <w:szCs w:val="21"/>
                <w:highlight w:val="none"/>
              </w:rPr>
              <w:t>分；</w:t>
            </w:r>
          </w:p>
          <w:p w14:paraId="18BC84D8">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2、提供符合采购需求的方案，内容完整，得5分；</w:t>
            </w:r>
          </w:p>
          <w:p w14:paraId="1E863855">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3、提供方案，内容完整，但方案内容存在缺陷或存在不符合项目需求的，得3分；</w:t>
            </w:r>
          </w:p>
          <w:p w14:paraId="1B8231A6">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4、方案中缺少上述5项中任意一项内容或机械复制采购需求，得1分；</w:t>
            </w:r>
          </w:p>
          <w:p w14:paraId="6015CC8B">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5、未提供方案，得0分。</w:t>
            </w:r>
          </w:p>
          <w:p w14:paraId="028B13B9">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注:</w:t>
            </w:r>
            <w:r>
              <w:rPr>
                <w:rFonts w:hint="eastAsia" w:ascii="仿宋_GB2312" w:hAnsi="仿宋_GB2312" w:eastAsia="仿宋_GB2312" w:cs="仿宋_GB2312"/>
                <w:b/>
                <w:color w:val="auto"/>
                <w:szCs w:val="21"/>
                <w:highlight w:val="none"/>
              </w:rPr>
              <w:t>完整</w:t>
            </w:r>
            <w:r>
              <w:rPr>
                <w:rFonts w:hint="eastAsia" w:ascii="仿宋_GB2312" w:hAnsi="仿宋_GB2312" w:eastAsia="仿宋_GB2312" w:cs="仿宋_GB2312"/>
                <w:color w:val="auto"/>
                <w:szCs w:val="21"/>
                <w:highlight w:val="none"/>
              </w:rPr>
              <w:t>指包括但不限于上述5项全部内容且不能机械复制采购需求内容。</w:t>
            </w:r>
          </w:p>
          <w:p w14:paraId="1A8AAC4A">
            <w:pPr>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rPr>
              <w:t>优于采购需求</w:t>
            </w:r>
            <w:r>
              <w:rPr>
                <w:rFonts w:hint="eastAsia" w:ascii="仿宋_GB2312" w:hAnsi="仿宋_GB2312" w:eastAsia="仿宋_GB2312" w:cs="仿宋_GB2312"/>
                <w:color w:val="auto"/>
                <w:szCs w:val="21"/>
                <w:highlight w:val="none"/>
              </w:rPr>
              <w:t>是指供应商所提供的方案能够保障供应商在实际工作中达成的效果高于采购需求要求（采购需求中的时间要求、服务内容要求等方面）。</w:t>
            </w:r>
          </w:p>
          <w:p w14:paraId="7872A4BB">
            <w:pPr>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rPr>
              <w:t>缺陷</w:t>
            </w:r>
            <w:r>
              <w:rPr>
                <w:rFonts w:hint="eastAsia" w:ascii="仿宋_GB2312" w:hAnsi="仿宋_GB2312" w:eastAsia="仿宋_GB2312" w:cs="仿宋_GB2312"/>
                <w:color w:val="auto"/>
                <w:szCs w:val="21"/>
                <w:highlight w:val="none"/>
              </w:rPr>
              <w:t>是指方案内容与项目需求不一致、存在相互矛盾内容、不符合客观逻辑以及未针对本项目编写的任意一种情形。</w:t>
            </w:r>
          </w:p>
          <w:p w14:paraId="5E6CD13B">
            <w:pPr>
              <w:adjustRightInd w:val="0"/>
              <w:snapToGrid w:val="0"/>
              <w:jc w:val="left"/>
              <w:rPr>
                <w:rFonts w:ascii="仿宋_GB2312" w:hAnsi="仿宋_GB2312" w:eastAsia="仿宋_GB2312" w:cs="仿宋_GB2312"/>
                <w:color w:val="auto"/>
                <w:szCs w:val="21"/>
                <w:highlight w:val="none"/>
                <w:lang w:bidi="ar"/>
              </w:rPr>
            </w:pPr>
            <w:r>
              <w:rPr>
                <w:rFonts w:hint="eastAsia" w:ascii="仿宋_GB2312" w:hAnsi="仿宋_GB2312" w:eastAsia="仿宋_GB2312" w:cs="仿宋_GB2312"/>
                <w:b/>
                <w:color w:val="auto"/>
                <w:szCs w:val="21"/>
                <w:highlight w:val="none"/>
              </w:rPr>
              <w:t>不符合项目需求</w:t>
            </w:r>
            <w:r>
              <w:rPr>
                <w:rFonts w:hint="eastAsia" w:ascii="仿宋_GB2312" w:hAnsi="仿宋_GB2312" w:eastAsia="仿宋_GB2312" w:cs="仿宋_GB2312"/>
                <w:color w:val="auto"/>
                <w:szCs w:val="21"/>
                <w:highlight w:val="none"/>
              </w:rPr>
              <w:t>是指存在与本项目执行无关的内容、存在相关内容在实际操作中不能运用的任意一种情形。</w:t>
            </w:r>
          </w:p>
        </w:tc>
        <w:tc>
          <w:tcPr>
            <w:tcW w:w="516" w:type="pct"/>
            <w:tcBorders>
              <w:left w:val="single" w:color="auto" w:sz="4" w:space="0"/>
              <w:bottom w:val="single" w:color="auto" w:sz="4" w:space="0"/>
              <w:right w:val="single" w:color="auto" w:sz="4" w:space="0"/>
            </w:tcBorders>
            <w:vAlign w:val="center"/>
          </w:tcPr>
          <w:p w14:paraId="155FA334">
            <w:pPr>
              <w:pStyle w:val="19"/>
              <w:adjustRightInd w:val="0"/>
              <w:snapToGrid w:val="0"/>
              <w:spacing w:before="0" w:beforeAutospacing="0" w:after="0" w:afterAutospacing="0"/>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val="en-US" w:eastAsia="zh-CN"/>
              </w:rPr>
              <w:t>7</w:t>
            </w:r>
            <w:r>
              <w:rPr>
                <w:rFonts w:hint="eastAsia" w:ascii="仿宋_GB2312" w:hAnsi="仿宋_GB2312" w:eastAsia="仿宋_GB2312" w:cs="仿宋_GB2312"/>
                <w:color w:val="auto"/>
                <w:sz w:val="21"/>
                <w:szCs w:val="21"/>
                <w:highlight w:val="none"/>
              </w:rPr>
              <w:t>分</w:t>
            </w:r>
          </w:p>
        </w:tc>
      </w:tr>
      <w:tr w14:paraId="0D95F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4" w:type="pct"/>
            <w:vMerge w:val="continue"/>
            <w:tcBorders>
              <w:left w:val="single" w:color="auto" w:sz="4" w:space="0"/>
              <w:right w:val="single" w:color="auto" w:sz="4" w:space="0"/>
            </w:tcBorders>
            <w:vAlign w:val="center"/>
          </w:tcPr>
          <w:p w14:paraId="5A25C3B2">
            <w:pPr>
              <w:pStyle w:val="19"/>
              <w:adjustRightInd w:val="0"/>
              <w:snapToGrid w:val="0"/>
              <w:spacing w:before="0" w:beforeAutospacing="0" w:after="0" w:afterAutospacing="0"/>
              <w:jc w:val="center"/>
              <w:rPr>
                <w:rFonts w:ascii="仿宋_GB2312" w:hAnsi="仿宋_GB2312" w:eastAsia="仿宋_GB2312" w:cs="仿宋_GB2312"/>
                <w:color w:val="auto"/>
                <w:sz w:val="21"/>
                <w:szCs w:val="21"/>
                <w:highlight w:val="none"/>
              </w:rPr>
            </w:pPr>
          </w:p>
        </w:tc>
        <w:tc>
          <w:tcPr>
            <w:tcW w:w="616" w:type="pct"/>
            <w:tcBorders>
              <w:top w:val="single" w:color="auto" w:sz="4" w:space="0"/>
              <w:left w:val="single" w:color="auto" w:sz="4" w:space="0"/>
              <w:bottom w:val="single" w:color="auto" w:sz="4" w:space="0"/>
              <w:right w:val="single" w:color="auto" w:sz="4" w:space="0"/>
            </w:tcBorders>
            <w:vAlign w:val="center"/>
          </w:tcPr>
          <w:p w14:paraId="1462A57A">
            <w:pPr>
              <w:pStyle w:val="19"/>
              <w:adjustRightInd w:val="0"/>
              <w:snapToGrid w:val="0"/>
              <w:spacing w:before="0" w:beforeAutospacing="0" w:after="0" w:afterAutospacing="0"/>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售后服务保障方案</w:t>
            </w:r>
          </w:p>
        </w:tc>
        <w:tc>
          <w:tcPr>
            <w:tcW w:w="3393" w:type="pct"/>
            <w:tcBorders>
              <w:top w:val="single" w:color="auto" w:sz="4" w:space="0"/>
              <w:left w:val="single" w:color="auto" w:sz="4" w:space="0"/>
              <w:bottom w:val="single" w:color="auto" w:sz="4" w:space="0"/>
              <w:right w:val="single" w:color="auto" w:sz="4" w:space="0"/>
            </w:tcBorders>
            <w:vAlign w:val="center"/>
          </w:tcPr>
          <w:p w14:paraId="3564F811">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t>投标人应根据采购需求，结合项目实际，提供</w:t>
            </w:r>
            <w:r>
              <w:rPr>
                <w:rFonts w:hint="eastAsia" w:ascii="仿宋_GB2312" w:hAnsi="仿宋_GB2312" w:eastAsia="仿宋_GB2312" w:cs="仿宋_GB2312"/>
                <w:color w:val="auto"/>
                <w:szCs w:val="21"/>
                <w:highlight w:val="none"/>
              </w:rPr>
              <w:t>售后服务方案，至少包括</w:t>
            </w:r>
            <w:r>
              <w:rPr>
                <w:rFonts w:hint="eastAsia" w:ascii="仿宋_GB2312" w:hAnsi="仿宋_GB2312" w:eastAsia="仿宋_GB2312" w:cs="仿宋_GB2312"/>
                <w:color w:val="auto"/>
                <w:kern w:val="0"/>
                <w:szCs w:val="21"/>
                <w:highlight w:val="none"/>
              </w:rPr>
              <w:t>①</w:t>
            </w:r>
            <w:r>
              <w:rPr>
                <w:rFonts w:hint="eastAsia" w:ascii="仿宋_GB2312" w:hAnsi="仿宋_GB2312" w:eastAsia="仿宋_GB2312" w:cs="仿宋_GB2312"/>
                <w:color w:val="auto"/>
                <w:szCs w:val="21"/>
                <w:highlight w:val="none"/>
                <w:lang w:bidi="ar"/>
              </w:rPr>
              <w:t>售后服务人员简介及证明材料</w:t>
            </w:r>
            <w:r>
              <w:rPr>
                <w:rFonts w:hint="eastAsia" w:ascii="仿宋_GB2312" w:hAnsi="仿宋_GB2312" w:eastAsia="仿宋_GB2312" w:cs="仿宋_GB2312"/>
                <w:color w:val="auto"/>
                <w:kern w:val="0"/>
                <w:szCs w:val="21"/>
                <w:highlight w:val="none"/>
              </w:rPr>
              <w:t>②</w:t>
            </w:r>
            <w:r>
              <w:rPr>
                <w:rFonts w:hint="eastAsia" w:ascii="仿宋_GB2312" w:hAnsi="仿宋_GB2312" w:eastAsia="仿宋_GB2312" w:cs="仿宋_GB2312"/>
                <w:color w:val="auto"/>
                <w:szCs w:val="21"/>
                <w:highlight w:val="none"/>
                <w:lang w:bidi="ar"/>
              </w:rPr>
              <w:t>人员岗位职责</w:t>
            </w:r>
            <w:r>
              <w:rPr>
                <w:rFonts w:hint="eastAsia" w:ascii="仿宋_GB2312" w:hAnsi="仿宋_GB2312" w:eastAsia="仿宋_GB2312" w:cs="仿宋_GB2312"/>
                <w:color w:val="auto"/>
                <w:szCs w:val="21"/>
                <w:highlight w:val="none"/>
              </w:rPr>
              <w:t>③</w:t>
            </w:r>
            <w:r>
              <w:rPr>
                <w:rFonts w:hint="eastAsia" w:ascii="仿宋_GB2312" w:hAnsi="仿宋_GB2312" w:eastAsia="仿宋_GB2312" w:cs="仿宋_GB2312"/>
                <w:color w:val="auto"/>
                <w:szCs w:val="21"/>
                <w:highlight w:val="none"/>
                <w:lang w:bidi="ar"/>
              </w:rPr>
              <w:t>服务响应时间</w:t>
            </w:r>
            <w:r>
              <w:rPr>
                <w:rFonts w:hint="eastAsia" w:ascii="仿宋_GB2312" w:hAnsi="仿宋_GB2312" w:eastAsia="仿宋_GB2312" w:cs="仿宋_GB2312"/>
                <w:color w:val="auto"/>
                <w:kern w:val="0"/>
                <w:szCs w:val="21"/>
                <w:highlight w:val="none"/>
              </w:rPr>
              <w:t>④</w:t>
            </w:r>
            <w:r>
              <w:rPr>
                <w:rFonts w:hint="eastAsia" w:ascii="仿宋_GB2312" w:hAnsi="仿宋_GB2312" w:eastAsia="仿宋_GB2312" w:cs="仿宋_GB2312"/>
                <w:color w:val="auto"/>
                <w:szCs w:val="21"/>
                <w:highlight w:val="none"/>
                <w:lang w:bidi="ar"/>
              </w:rPr>
              <w:t>售后服务人员的管理制度</w:t>
            </w:r>
            <w:r>
              <w:rPr>
                <w:rFonts w:hint="eastAsia" w:ascii="仿宋_GB2312" w:hAnsi="仿宋_GB2312" w:eastAsia="仿宋_GB2312" w:cs="仿宋_GB2312"/>
                <w:color w:val="auto"/>
                <w:kern w:val="0"/>
                <w:szCs w:val="21"/>
                <w:highlight w:val="none"/>
              </w:rPr>
              <w:t>⑤</w:t>
            </w:r>
            <w:r>
              <w:rPr>
                <w:rFonts w:hint="eastAsia" w:ascii="仿宋_GB2312" w:hAnsi="仿宋_GB2312" w:eastAsia="仿宋_GB2312" w:cs="仿宋_GB2312"/>
                <w:color w:val="auto"/>
                <w:szCs w:val="21"/>
                <w:highlight w:val="none"/>
                <w:lang w:bidi="ar"/>
              </w:rPr>
              <w:t>常用备品备件的准备</w:t>
            </w:r>
            <w:r>
              <w:rPr>
                <w:rFonts w:hint="eastAsia" w:ascii="仿宋_GB2312" w:hAnsi="仿宋_GB2312" w:eastAsia="仿宋_GB2312" w:cs="仿宋_GB2312"/>
                <w:color w:val="auto"/>
                <w:kern w:val="0"/>
                <w:szCs w:val="21"/>
                <w:highlight w:val="none"/>
              </w:rPr>
              <w:t>⑥</w:t>
            </w:r>
            <w:r>
              <w:rPr>
                <w:rFonts w:hint="eastAsia" w:ascii="仿宋_GB2312" w:hAnsi="仿宋_GB2312" w:eastAsia="仿宋_GB2312" w:cs="仿宋_GB2312"/>
                <w:color w:val="auto"/>
                <w:szCs w:val="21"/>
                <w:highlight w:val="none"/>
                <w:lang w:bidi="ar"/>
              </w:rPr>
              <w:t>巡检巡修的方式、频率</w:t>
            </w:r>
            <w:r>
              <w:rPr>
                <w:rFonts w:hint="eastAsia" w:ascii="仿宋_GB2312" w:hAnsi="仿宋_GB2312" w:eastAsia="仿宋_GB2312" w:cs="仿宋_GB2312"/>
                <w:color w:val="auto"/>
                <w:kern w:val="0"/>
                <w:szCs w:val="21"/>
                <w:highlight w:val="none"/>
              </w:rPr>
              <w:t>⑦</w:t>
            </w:r>
            <w:r>
              <w:rPr>
                <w:rFonts w:hint="eastAsia" w:ascii="仿宋_GB2312" w:hAnsi="仿宋_GB2312" w:eastAsia="仿宋_GB2312" w:cs="仿宋_GB2312"/>
                <w:color w:val="auto"/>
                <w:szCs w:val="21"/>
                <w:highlight w:val="none"/>
                <w:lang w:bidi="ar"/>
              </w:rPr>
              <w:t>巡检保养情况档案记录整理⑧优化及合理建议</w:t>
            </w:r>
            <w:r>
              <w:rPr>
                <w:rFonts w:hint="eastAsia" w:ascii="仿宋_GB2312" w:hAnsi="仿宋_GB2312" w:eastAsia="仿宋_GB2312" w:cs="仿宋_GB2312"/>
                <w:color w:val="auto"/>
                <w:szCs w:val="21"/>
                <w:highlight w:val="none"/>
              </w:rPr>
              <w:t>。</w:t>
            </w:r>
          </w:p>
          <w:p w14:paraId="4E30BC64">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1、提供优于采购需求的方案，内容完整、无缺陷，得</w:t>
            </w:r>
            <w:r>
              <w:rPr>
                <w:rFonts w:hint="eastAsia" w:ascii="仿宋_GB2312" w:hAnsi="仿宋_GB2312" w:eastAsia="仿宋_GB2312" w:cs="仿宋_GB2312"/>
                <w:color w:val="auto"/>
                <w:szCs w:val="21"/>
                <w:highlight w:val="none"/>
                <w:lang w:val="en-US" w:eastAsia="zh-CN"/>
              </w:rPr>
              <w:t>7</w:t>
            </w:r>
            <w:r>
              <w:rPr>
                <w:rFonts w:hint="eastAsia" w:ascii="仿宋_GB2312" w:hAnsi="仿宋_GB2312" w:eastAsia="仿宋_GB2312" w:cs="仿宋_GB2312"/>
                <w:color w:val="auto"/>
                <w:szCs w:val="21"/>
                <w:highlight w:val="none"/>
              </w:rPr>
              <w:t>分；</w:t>
            </w:r>
          </w:p>
          <w:p w14:paraId="4503090F">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2、提供符合采购需求的方案，内容完整，得</w:t>
            </w:r>
            <w:r>
              <w:rPr>
                <w:rFonts w:hint="eastAsia" w:ascii="仿宋_GB2312" w:hAnsi="仿宋_GB2312" w:eastAsia="仿宋_GB2312" w:cs="仿宋_GB2312"/>
                <w:color w:val="auto"/>
                <w:szCs w:val="21"/>
                <w:highlight w:val="none"/>
                <w:lang w:val="en-US" w:eastAsia="zh-CN"/>
              </w:rPr>
              <w:t>5</w:t>
            </w:r>
            <w:r>
              <w:rPr>
                <w:rFonts w:hint="eastAsia" w:ascii="仿宋_GB2312" w:hAnsi="仿宋_GB2312" w:eastAsia="仿宋_GB2312" w:cs="仿宋_GB2312"/>
                <w:color w:val="auto"/>
                <w:szCs w:val="21"/>
                <w:highlight w:val="none"/>
              </w:rPr>
              <w:t>分；</w:t>
            </w:r>
          </w:p>
          <w:p w14:paraId="7CB12358">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3、提供方案，内容完整，但方案内容存在缺陷或存在不符合项目需求的，得3分；</w:t>
            </w:r>
          </w:p>
          <w:p w14:paraId="56827179">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4、方案中缺少上述8项中任意一项内容或机械复制采购需求，得1分；</w:t>
            </w:r>
          </w:p>
          <w:p w14:paraId="74C1D7CB">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5、未提供方案，得0分。</w:t>
            </w:r>
          </w:p>
          <w:p w14:paraId="01B81C98">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注:</w:t>
            </w:r>
            <w:r>
              <w:rPr>
                <w:rFonts w:hint="eastAsia" w:ascii="仿宋_GB2312" w:hAnsi="仿宋_GB2312" w:eastAsia="仿宋_GB2312" w:cs="仿宋_GB2312"/>
                <w:b/>
                <w:color w:val="auto"/>
                <w:szCs w:val="21"/>
                <w:highlight w:val="none"/>
              </w:rPr>
              <w:t>完整</w:t>
            </w:r>
            <w:r>
              <w:rPr>
                <w:rFonts w:hint="eastAsia" w:ascii="仿宋_GB2312" w:hAnsi="仿宋_GB2312" w:eastAsia="仿宋_GB2312" w:cs="仿宋_GB2312"/>
                <w:color w:val="auto"/>
                <w:szCs w:val="21"/>
                <w:highlight w:val="none"/>
              </w:rPr>
              <w:t>指包括但不限于上述8项全部内容且不能机械复制采购需求内容。</w:t>
            </w:r>
          </w:p>
          <w:p w14:paraId="1FEE3BBA">
            <w:pPr>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rPr>
              <w:t>优于采购需求</w:t>
            </w:r>
            <w:r>
              <w:rPr>
                <w:rFonts w:hint="eastAsia" w:ascii="仿宋_GB2312" w:hAnsi="仿宋_GB2312" w:eastAsia="仿宋_GB2312" w:cs="仿宋_GB2312"/>
                <w:color w:val="auto"/>
                <w:szCs w:val="21"/>
                <w:highlight w:val="none"/>
              </w:rPr>
              <w:t>是指供应商所提供的方案能够保障供应商在实际工作中达成的效果高于采购需求要求（采购需求中的时间要求、服务内容要求等方面）。</w:t>
            </w:r>
          </w:p>
          <w:p w14:paraId="5DE625D6">
            <w:pPr>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rPr>
              <w:t>缺陷</w:t>
            </w:r>
            <w:r>
              <w:rPr>
                <w:rFonts w:hint="eastAsia" w:ascii="仿宋_GB2312" w:hAnsi="仿宋_GB2312" w:eastAsia="仿宋_GB2312" w:cs="仿宋_GB2312"/>
                <w:color w:val="auto"/>
                <w:szCs w:val="21"/>
                <w:highlight w:val="none"/>
              </w:rPr>
              <w:t>是指方案内容与项目需求不一致、存在相互矛盾内容、不符合客观逻辑以及未针对本项目编写的任意一种情形。</w:t>
            </w:r>
          </w:p>
          <w:p w14:paraId="68512830">
            <w:pPr>
              <w:adjustRightInd w:val="0"/>
              <w:snapToGrid w:val="0"/>
              <w:jc w:val="left"/>
              <w:rPr>
                <w:rFonts w:ascii="仿宋_GB2312" w:hAnsi="仿宋_GB2312" w:eastAsia="仿宋_GB2312" w:cs="仿宋_GB2312"/>
                <w:color w:val="auto"/>
                <w:szCs w:val="21"/>
                <w:highlight w:val="none"/>
                <w:lang w:bidi="ar"/>
              </w:rPr>
            </w:pPr>
            <w:r>
              <w:rPr>
                <w:rFonts w:hint="eastAsia" w:ascii="仿宋_GB2312" w:hAnsi="仿宋_GB2312" w:eastAsia="仿宋_GB2312" w:cs="仿宋_GB2312"/>
                <w:b/>
                <w:color w:val="auto"/>
                <w:szCs w:val="21"/>
                <w:highlight w:val="none"/>
              </w:rPr>
              <w:t>不符合项目需求</w:t>
            </w:r>
            <w:r>
              <w:rPr>
                <w:rFonts w:hint="eastAsia" w:ascii="仿宋_GB2312" w:hAnsi="仿宋_GB2312" w:eastAsia="仿宋_GB2312" w:cs="仿宋_GB2312"/>
                <w:color w:val="auto"/>
                <w:szCs w:val="21"/>
                <w:highlight w:val="none"/>
              </w:rPr>
              <w:t>是指存在与本项目执行无关的内容、存在相关内容在实际操作中不能运用的任意一种情形。</w:t>
            </w:r>
          </w:p>
        </w:tc>
        <w:tc>
          <w:tcPr>
            <w:tcW w:w="516" w:type="pct"/>
            <w:tcBorders>
              <w:top w:val="single" w:color="auto" w:sz="4" w:space="0"/>
              <w:left w:val="single" w:color="auto" w:sz="4" w:space="0"/>
              <w:bottom w:val="single" w:color="auto" w:sz="4" w:space="0"/>
              <w:right w:val="single" w:color="auto" w:sz="4" w:space="0"/>
            </w:tcBorders>
            <w:vAlign w:val="center"/>
          </w:tcPr>
          <w:p w14:paraId="3860A01E">
            <w:pPr>
              <w:pStyle w:val="19"/>
              <w:adjustRightInd w:val="0"/>
              <w:snapToGrid w:val="0"/>
              <w:spacing w:before="0" w:beforeAutospacing="0" w:after="0" w:afterAutospacing="0"/>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val="en-US" w:eastAsia="zh-CN"/>
              </w:rPr>
              <w:t>7</w:t>
            </w:r>
            <w:r>
              <w:rPr>
                <w:rFonts w:hint="eastAsia" w:ascii="仿宋_GB2312" w:hAnsi="仿宋_GB2312" w:eastAsia="仿宋_GB2312" w:cs="仿宋_GB2312"/>
                <w:color w:val="auto"/>
                <w:sz w:val="21"/>
                <w:szCs w:val="21"/>
                <w:highlight w:val="none"/>
              </w:rPr>
              <w:t>分</w:t>
            </w:r>
          </w:p>
        </w:tc>
      </w:tr>
      <w:tr w14:paraId="47FF8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4" w:hRule="atLeast"/>
          <w:jc w:val="center"/>
        </w:trPr>
        <w:tc>
          <w:tcPr>
            <w:tcW w:w="474" w:type="pct"/>
            <w:tcBorders>
              <w:left w:val="single" w:color="auto" w:sz="4" w:space="0"/>
              <w:right w:val="single" w:color="auto" w:sz="4" w:space="0"/>
            </w:tcBorders>
            <w:vAlign w:val="center"/>
          </w:tcPr>
          <w:p w14:paraId="1A882173">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商务部分</w:t>
            </w:r>
          </w:p>
        </w:tc>
        <w:tc>
          <w:tcPr>
            <w:tcW w:w="616" w:type="pct"/>
            <w:tcBorders>
              <w:top w:val="single" w:color="auto" w:sz="4" w:space="0"/>
              <w:left w:val="single" w:color="auto" w:sz="4" w:space="0"/>
              <w:right w:val="single" w:color="auto" w:sz="4" w:space="0"/>
            </w:tcBorders>
            <w:vAlign w:val="center"/>
          </w:tcPr>
          <w:p w14:paraId="6536679C">
            <w:pPr>
              <w:pStyle w:val="19"/>
              <w:adjustRightInd w:val="0"/>
              <w:snapToGrid w:val="0"/>
              <w:spacing w:before="0" w:beforeAutospacing="0" w:after="0" w:afterAutospacing="0"/>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投标人业绩</w:t>
            </w:r>
          </w:p>
        </w:tc>
        <w:tc>
          <w:tcPr>
            <w:tcW w:w="3393" w:type="pct"/>
            <w:tcBorders>
              <w:top w:val="single" w:color="auto" w:sz="4" w:space="0"/>
              <w:left w:val="single" w:color="auto" w:sz="4" w:space="0"/>
              <w:right w:val="single" w:color="auto" w:sz="4" w:space="0"/>
            </w:tcBorders>
            <w:vAlign w:val="center"/>
          </w:tcPr>
          <w:p w14:paraId="04979408">
            <w:pPr>
              <w:adjustRightInd w:val="0"/>
              <w:snapToGrid w:val="0"/>
              <w:jc w:val="left"/>
              <w:rPr>
                <w:rFonts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评标委员会根据投标单位提供的2022年1月1日至今投标人的类似项目业绩证明材料情况进行评定，每提供一个投标人的类似项目业绩证明文件的得1分，满分4分。</w:t>
            </w:r>
          </w:p>
          <w:p w14:paraId="6D46512D">
            <w:pPr>
              <w:adjustRightInd w:val="0"/>
              <w:snapToGrid w:val="0"/>
              <w:jc w:val="left"/>
              <w:rPr>
                <w:rFonts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业绩以合同为准（须提供完整合同，包含供货清单明细页），业绩时间以合同签订时间为准。</w:t>
            </w:r>
          </w:p>
          <w:p w14:paraId="108EDEF7">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注：未提供证明材料得0分。</w:t>
            </w:r>
          </w:p>
        </w:tc>
        <w:tc>
          <w:tcPr>
            <w:tcW w:w="516" w:type="pct"/>
            <w:tcBorders>
              <w:top w:val="single" w:color="auto" w:sz="4" w:space="0"/>
              <w:left w:val="single" w:color="auto" w:sz="4" w:space="0"/>
              <w:bottom w:val="single" w:color="auto" w:sz="4" w:space="0"/>
              <w:right w:val="single" w:color="auto" w:sz="4" w:space="0"/>
            </w:tcBorders>
            <w:vAlign w:val="center"/>
          </w:tcPr>
          <w:p w14:paraId="75F27271">
            <w:pPr>
              <w:pStyle w:val="19"/>
              <w:adjustRightInd w:val="0"/>
              <w:snapToGrid w:val="0"/>
              <w:spacing w:before="0" w:beforeAutospacing="0" w:after="0" w:afterAutospacing="0"/>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4分</w:t>
            </w:r>
          </w:p>
        </w:tc>
      </w:tr>
      <w:tr w14:paraId="03806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4" w:type="pct"/>
            <w:tcBorders>
              <w:top w:val="single" w:color="auto" w:sz="4" w:space="0"/>
              <w:left w:val="single" w:color="auto" w:sz="4" w:space="0"/>
              <w:bottom w:val="single" w:color="auto" w:sz="4" w:space="0"/>
              <w:right w:val="single" w:color="auto" w:sz="4" w:space="0"/>
            </w:tcBorders>
            <w:vAlign w:val="center"/>
          </w:tcPr>
          <w:p w14:paraId="119B5457">
            <w:pPr>
              <w:pStyle w:val="19"/>
              <w:adjustRightInd w:val="0"/>
              <w:snapToGrid w:val="0"/>
              <w:spacing w:before="0" w:beforeAutospacing="0" w:after="0" w:afterAutospacing="0"/>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合  计</w:t>
            </w:r>
          </w:p>
        </w:tc>
        <w:tc>
          <w:tcPr>
            <w:tcW w:w="616" w:type="pct"/>
            <w:tcBorders>
              <w:top w:val="single" w:color="auto" w:sz="4" w:space="0"/>
              <w:left w:val="single" w:color="auto" w:sz="4" w:space="0"/>
              <w:bottom w:val="single" w:color="auto" w:sz="4" w:space="0"/>
              <w:right w:val="single" w:color="auto" w:sz="4" w:space="0"/>
            </w:tcBorders>
            <w:vAlign w:val="center"/>
          </w:tcPr>
          <w:p w14:paraId="2E83B416">
            <w:pPr>
              <w:pStyle w:val="19"/>
              <w:adjustRightInd w:val="0"/>
              <w:snapToGrid w:val="0"/>
              <w:spacing w:before="0" w:beforeAutospacing="0" w:after="0" w:afterAutospacing="0"/>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w:t>
            </w:r>
          </w:p>
        </w:tc>
        <w:tc>
          <w:tcPr>
            <w:tcW w:w="3393" w:type="pct"/>
            <w:tcBorders>
              <w:top w:val="single" w:color="auto" w:sz="4" w:space="0"/>
              <w:left w:val="single" w:color="auto" w:sz="4" w:space="0"/>
              <w:bottom w:val="single" w:color="auto" w:sz="4" w:space="0"/>
              <w:right w:val="single" w:color="auto" w:sz="4" w:space="0"/>
            </w:tcBorders>
            <w:vAlign w:val="center"/>
          </w:tcPr>
          <w:p w14:paraId="71B2FA03">
            <w:pPr>
              <w:pStyle w:val="19"/>
              <w:adjustRightInd w:val="0"/>
              <w:snapToGrid w:val="0"/>
              <w:spacing w:before="0" w:beforeAutospacing="0" w:after="0" w:afterAutospacing="0"/>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w:t>
            </w:r>
          </w:p>
        </w:tc>
        <w:tc>
          <w:tcPr>
            <w:tcW w:w="516" w:type="pct"/>
            <w:tcBorders>
              <w:top w:val="single" w:color="auto" w:sz="4" w:space="0"/>
              <w:left w:val="single" w:color="auto" w:sz="4" w:space="0"/>
              <w:bottom w:val="single" w:color="auto" w:sz="4" w:space="0"/>
              <w:right w:val="single" w:color="auto" w:sz="4" w:space="0"/>
            </w:tcBorders>
            <w:vAlign w:val="center"/>
          </w:tcPr>
          <w:p w14:paraId="669D4F72">
            <w:pPr>
              <w:pStyle w:val="19"/>
              <w:adjustRightInd w:val="0"/>
              <w:snapToGrid w:val="0"/>
              <w:spacing w:before="0" w:beforeAutospacing="0" w:after="0" w:afterAutospacing="0"/>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100分</w:t>
            </w:r>
          </w:p>
        </w:tc>
      </w:tr>
    </w:tbl>
    <w:p w14:paraId="1BEA1B3A">
      <w:pPr>
        <w:widowControl/>
        <w:spacing w:line="240" w:lineRule="exact"/>
        <w:jc w:val="left"/>
        <w:rPr>
          <w:rFonts w:ascii="仿宋_GB2312" w:hAnsi="仿宋_GB2312" w:eastAsia="仿宋_GB2312" w:cs="仿宋_GB2312"/>
          <w:color w:val="auto"/>
          <w:kern w:val="0"/>
          <w:szCs w:val="21"/>
          <w:highlight w:val="none"/>
        </w:rPr>
      </w:pPr>
    </w:p>
    <w:p w14:paraId="1889B7CD">
      <w:pPr>
        <w:widowControl/>
        <w:spacing w:line="240" w:lineRule="exact"/>
        <w:jc w:val="left"/>
        <w:rPr>
          <w:rFonts w:ascii="仿宋_GB2312" w:hAnsi="仿宋_GB2312" w:eastAsia="仿宋_GB2312" w:cs="仿宋_GB2312"/>
          <w:color w:val="auto"/>
          <w:kern w:val="0"/>
          <w:szCs w:val="21"/>
          <w:highlight w:val="none"/>
        </w:rPr>
      </w:pPr>
    </w:p>
    <w:p w14:paraId="1E989F91">
      <w:pPr>
        <w:numPr>
          <w:ilvl w:val="0"/>
          <w:numId w:val="10"/>
        </w:numPr>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加分项评分标准</w:t>
      </w:r>
    </w:p>
    <w:tbl>
      <w:tblPr>
        <w:tblStyle w:val="22"/>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7695"/>
      </w:tblGrid>
      <w:tr w14:paraId="304A3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1E2EE691">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加分</w:t>
            </w:r>
          </w:p>
          <w:p w14:paraId="448877ED">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因素</w:t>
            </w:r>
          </w:p>
        </w:tc>
        <w:tc>
          <w:tcPr>
            <w:tcW w:w="7695" w:type="dxa"/>
            <w:tcBorders>
              <w:top w:val="single" w:color="auto" w:sz="4" w:space="0"/>
              <w:left w:val="single" w:color="auto" w:sz="4" w:space="0"/>
              <w:bottom w:val="single" w:color="auto" w:sz="4" w:space="0"/>
              <w:right w:val="single" w:color="auto" w:sz="4" w:space="0"/>
            </w:tcBorders>
            <w:vAlign w:val="center"/>
          </w:tcPr>
          <w:p w14:paraId="6160993F">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加分说明</w:t>
            </w:r>
          </w:p>
        </w:tc>
      </w:tr>
      <w:tr w14:paraId="5530F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1E778944">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节能</w:t>
            </w:r>
          </w:p>
          <w:p w14:paraId="0270D030">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产品</w:t>
            </w:r>
          </w:p>
        </w:tc>
        <w:tc>
          <w:tcPr>
            <w:tcW w:w="7695" w:type="dxa"/>
            <w:tcBorders>
              <w:top w:val="single" w:color="auto" w:sz="4" w:space="0"/>
              <w:left w:val="single" w:color="auto" w:sz="4" w:space="0"/>
              <w:bottom w:val="single" w:color="auto" w:sz="4" w:space="0"/>
              <w:right w:val="single" w:color="auto" w:sz="4" w:space="0"/>
            </w:tcBorders>
            <w:vAlign w:val="center"/>
          </w:tcPr>
          <w:p w14:paraId="66B77038">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对于清单中的投标产品（非强制节能）价格给予价格部分总分值</w:t>
            </w:r>
            <w:r>
              <w:rPr>
                <w:rFonts w:hint="eastAsia" w:ascii="仿宋_GB2312" w:hAnsi="仿宋_GB2312" w:eastAsia="仿宋_GB2312" w:cs="仿宋_GB2312"/>
                <w:color w:val="auto"/>
                <w:kern w:val="0"/>
                <w:szCs w:val="21"/>
                <w:highlight w:val="none"/>
                <w:u w:val="single"/>
              </w:rPr>
              <w:t>3</w:t>
            </w:r>
            <w:r>
              <w:rPr>
                <w:rFonts w:hint="eastAsia" w:ascii="仿宋_GB2312" w:hAnsi="仿宋_GB2312" w:eastAsia="仿宋_GB2312" w:cs="仿宋_GB2312"/>
                <w:color w:val="auto"/>
                <w:kern w:val="0"/>
                <w:szCs w:val="21"/>
                <w:highlight w:val="none"/>
              </w:rPr>
              <w:t>%</w:t>
            </w:r>
            <w:r>
              <w:rPr>
                <w:rFonts w:hint="eastAsia" w:ascii="仿宋_GB2312" w:hAnsi="仿宋_GB2312" w:eastAsia="仿宋_GB2312" w:cs="仿宋_GB2312"/>
                <w:color w:val="auto"/>
                <w:szCs w:val="21"/>
                <w:highlight w:val="none"/>
              </w:rPr>
              <w:t>的加分，计算公式如下：</w:t>
            </w:r>
          </w:p>
          <w:p w14:paraId="24C89E18">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节能产品加分＝（节能产品投标报价之和/投标总价）×价格部分总分值</w:t>
            </w:r>
            <w:r>
              <w:rPr>
                <w:rFonts w:hint="eastAsia" w:ascii="仿宋_GB2312" w:hAnsi="仿宋_GB2312" w:eastAsia="仿宋_GB2312" w:cs="仿宋_GB2312"/>
                <w:color w:val="auto"/>
                <w:szCs w:val="21"/>
                <w:highlight w:val="none"/>
                <w:u w:val="single"/>
              </w:rPr>
              <w:t>30</w:t>
            </w: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color w:val="auto"/>
                <w:szCs w:val="21"/>
                <w:highlight w:val="none"/>
                <w:u w:val="single"/>
              </w:rPr>
              <w:t>3</w:t>
            </w:r>
            <w:r>
              <w:rPr>
                <w:rFonts w:hint="eastAsia" w:ascii="仿宋_GB2312" w:hAnsi="仿宋_GB2312" w:eastAsia="仿宋_GB2312" w:cs="仿宋_GB2312"/>
                <w:color w:val="auto"/>
                <w:szCs w:val="21"/>
                <w:highlight w:val="none"/>
              </w:rPr>
              <w:t>%。</w:t>
            </w:r>
          </w:p>
        </w:tc>
      </w:tr>
      <w:tr w14:paraId="6091C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13960EA1">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环保</w:t>
            </w:r>
          </w:p>
          <w:p w14:paraId="09745DDE">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产品</w:t>
            </w:r>
          </w:p>
        </w:tc>
        <w:tc>
          <w:tcPr>
            <w:tcW w:w="7695" w:type="dxa"/>
            <w:tcBorders>
              <w:top w:val="single" w:color="auto" w:sz="4" w:space="0"/>
              <w:left w:val="single" w:color="auto" w:sz="4" w:space="0"/>
              <w:bottom w:val="single" w:color="auto" w:sz="4" w:space="0"/>
              <w:right w:val="single" w:color="auto" w:sz="4" w:space="0"/>
            </w:tcBorders>
            <w:vAlign w:val="center"/>
          </w:tcPr>
          <w:p w14:paraId="1F3615B3">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对于清单中的投标产品价格给予价格部分总分值3%的加分，计算公式如下：</w:t>
            </w:r>
          </w:p>
          <w:p w14:paraId="6AEB318C">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环保产品加分＝（环保产品投标报价之和/投标总价）×价格部分总分值</w:t>
            </w:r>
            <w:r>
              <w:rPr>
                <w:rFonts w:hint="eastAsia" w:ascii="仿宋_GB2312" w:hAnsi="仿宋_GB2312" w:eastAsia="仿宋_GB2312" w:cs="仿宋_GB2312"/>
                <w:color w:val="auto"/>
                <w:szCs w:val="21"/>
                <w:highlight w:val="none"/>
                <w:u w:val="single"/>
              </w:rPr>
              <w:t>30</w:t>
            </w: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color w:val="auto"/>
                <w:szCs w:val="21"/>
                <w:highlight w:val="none"/>
                <w:u w:val="single"/>
              </w:rPr>
              <w:t>3</w:t>
            </w:r>
            <w:r>
              <w:rPr>
                <w:rFonts w:hint="eastAsia" w:ascii="仿宋_GB2312" w:hAnsi="仿宋_GB2312" w:eastAsia="仿宋_GB2312" w:cs="仿宋_GB2312"/>
                <w:color w:val="auto"/>
                <w:szCs w:val="21"/>
                <w:highlight w:val="none"/>
              </w:rPr>
              <w:t>%。</w:t>
            </w:r>
          </w:p>
        </w:tc>
      </w:tr>
    </w:tbl>
    <w:p w14:paraId="41B187D3">
      <w:pPr>
        <w:wordWrap w:val="0"/>
        <w:adjustRightInd w:val="0"/>
        <w:snapToGrid w:val="0"/>
        <w:spacing w:line="360" w:lineRule="auto"/>
        <w:jc w:val="righ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br w:type="page"/>
      </w:r>
    </w:p>
    <w:p w14:paraId="0AAFA1B4">
      <w:pPr>
        <w:rPr>
          <w:rFonts w:ascii="仿宋_GB2312" w:hAnsi="仿宋_GB2312" w:eastAsia="仿宋_GB2312" w:cs="仿宋_GB2312"/>
          <w:color w:val="auto"/>
          <w:highlight w:val="none"/>
        </w:rPr>
      </w:pPr>
      <w:bookmarkStart w:id="128" w:name="_Toc25922_WPSOffice_Level1"/>
    </w:p>
    <w:p w14:paraId="0343BA35">
      <w:pPr>
        <w:rPr>
          <w:rFonts w:ascii="仿宋_GB2312" w:hAnsi="仿宋_GB2312" w:eastAsia="仿宋_GB2312" w:cs="仿宋_GB2312"/>
          <w:color w:val="auto"/>
          <w:highlight w:val="none"/>
        </w:rPr>
      </w:pPr>
    </w:p>
    <w:p w14:paraId="46AE3084">
      <w:pPr>
        <w:rPr>
          <w:rFonts w:ascii="仿宋_GB2312" w:hAnsi="仿宋_GB2312" w:eastAsia="仿宋_GB2312" w:cs="仿宋_GB2312"/>
          <w:color w:val="auto"/>
          <w:highlight w:val="none"/>
        </w:rPr>
      </w:pPr>
    </w:p>
    <w:p w14:paraId="52448DD8">
      <w:pPr>
        <w:rPr>
          <w:rFonts w:ascii="仿宋_GB2312" w:hAnsi="仿宋_GB2312" w:eastAsia="仿宋_GB2312" w:cs="仿宋_GB2312"/>
          <w:color w:val="auto"/>
          <w:highlight w:val="none"/>
        </w:rPr>
      </w:pPr>
    </w:p>
    <w:p w14:paraId="1F98214A">
      <w:pPr>
        <w:rPr>
          <w:rFonts w:ascii="仿宋_GB2312" w:hAnsi="仿宋_GB2312" w:eastAsia="仿宋_GB2312" w:cs="仿宋_GB2312"/>
          <w:color w:val="auto"/>
          <w:highlight w:val="none"/>
        </w:rPr>
      </w:pPr>
    </w:p>
    <w:p w14:paraId="5CC01543">
      <w:pPr>
        <w:rPr>
          <w:rFonts w:ascii="仿宋_GB2312" w:hAnsi="仿宋_GB2312" w:eastAsia="仿宋_GB2312" w:cs="仿宋_GB2312"/>
          <w:color w:val="auto"/>
          <w:highlight w:val="none"/>
        </w:rPr>
      </w:pPr>
    </w:p>
    <w:p w14:paraId="383A943E">
      <w:pPr>
        <w:rPr>
          <w:rFonts w:ascii="仿宋_GB2312" w:hAnsi="仿宋_GB2312" w:eastAsia="仿宋_GB2312" w:cs="仿宋_GB2312"/>
          <w:color w:val="auto"/>
          <w:highlight w:val="none"/>
        </w:rPr>
      </w:pPr>
    </w:p>
    <w:p w14:paraId="33EA784B">
      <w:pPr>
        <w:rPr>
          <w:rFonts w:ascii="仿宋_GB2312" w:hAnsi="仿宋_GB2312" w:eastAsia="仿宋_GB2312" w:cs="仿宋_GB2312"/>
          <w:color w:val="auto"/>
          <w:highlight w:val="none"/>
        </w:rPr>
      </w:pPr>
    </w:p>
    <w:p w14:paraId="07535C73">
      <w:pPr>
        <w:rPr>
          <w:rFonts w:ascii="仿宋_GB2312" w:hAnsi="仿宋_GB2312" w:eastAsia="仿宋_GB2312" w:cs="仿宋_GB2312"/>
          <w:color w:val="auto"/>
          <w:highlight w:val="none"/>
        </w:rPr>
      </w:pPr>
    </w:p>
    <w:p w14:paraId="5A6F9265">
      <w:pPr>
        <w:rPr>
          <w:rFonts w:ascii="仿宋_GB2312" w:hAnsi="仿宋_GB2312" w:eastAsia="仿宋_GB2312" w:cs="仿宋_GB2312"/>
          <w:color w:val="auto"/>
          <w:highlight w:val="none"/>
        </w:rPr>
      </w:pPr>
    </w:p>
    <w:p w14:paraId="795E24E5">
      <w:pPr>
        <w:rPr>
          <w:rFonts w:ascii="仿宋_GB2312" w:hAnsi="仿宋_GB2312" w:eastAsia="仿宋_GB2312" w:cs="仿宋_GB2312"/>
          <w:color w:val="auto"/>
          <w:highlight w:val="none"/>
        </w:rPr>
      </w:pPr>
    </w:p>
    <w:p w14:paraId="566ACDBC">
      <w:pPr>
        <w:rPr>
          <w:rFonts w:ascii="仿宋_GB2312" w:hAnsi="仿宋_GB2312" w:eastAsia="仿宋_GB2312" w:cs="仿宋_GB2312"/>
          <w:color w:val="auto"/>
          <w:highlight w:val="none"/>
        </w:rPr>
      </w:pPr>
    </w:p>
    <w:p w14:paraId="46A908D8">
      <w:pPr>
        <w:rPr>
          <w:rFonts w:ascii="仿宋_GB2312" w:hAnsi="仿宋_GB2312" w:eastAsia="仿宋_GB2312" w:cs="仿宋_GB2312"/>
          <w:color w:val="auto"/>
          <w:highlight w:val="none"/>
        </w:rPr>
      </w:pPr>
    </w:p>
    <w:p w14:paraId="5ADC0F3A">
      <w:pPr>
        <w:rPr>
          <w:rFonts w:ascii="仿宋_GB2312" w:hAnsi="仿宋_GB2312" w:eastAsia="仿宋_GB2312" w:cs="仿宋_GB2312"/>
          <w:color w:val="auto"/>
          <w:highlight w:val="none"/>
        </w:rPr>
      </w:pPr>
    </w:p>
    <w:p w14:paraId="51778F00">
      <w:pPr>
        <w:rPr>
          <w:rFonts w:ascii="仿宋_GB2312" w:hAnsi="仿宋_GB2312" w:eastAsia="仿宋_GB2312" w:cs="仿宋_GB2312"/>
          <w:color w:val="auto"/>
          <w:highlight w:val="none"/>
        </w:rPr>
      </w:pPr>
    </w:p>
    <w:p w14:paraId="1BA27E6A">
      <w:pPr>
        <w:rPr>
          <w:rFonts w:ascii="仿宋_GB2312" w:hAnsi="仿宋_GB2312" w:eastAsia="仿宋_GB2312" w:cs="仿宋_GB2312"/>
          <w:color w:val="auto"/>
          <w:highlight w:val="none"/>
        </w:rPr>
      </w:pPr>
    </w:p>
    <w:p w14:paraId="32CB0811">
      <w:pPr>
        <w:rPr>
          <w:rFonts w:ascii="仿宋_GB2312" w:hAnsi="仿宋_GB2312" w:eastAsia="仿宋_GB2312" w:cs="仿宋_GB2312"/>
          <w:color w:val="auto"/>
          <w:highlight w:val="none"/>
        </w:rPr>
      </w:pPr>
    </w:p>
    <w:p w14:paraId="13AEF4E4">
      <w:pPr>
        <w:rPr>
          <w:rFonts w:ascii="仿宋_GB2312" w:hAnsi="仿宋_GB2312" w:eastAsia="仿宋_GB2312" w:cs="仿宋_GB2312"/>
          <w:color w:val="auto"/>
          <w:highlight w:val="none"/>
        </w:rPr>
      </w:pPr>
    </w:p>
    <w:p w14:paraId="1F9106BD">
      <w:pPr>
        <w:pStyle w:val="2"/>
        <w:adjustRightInd w:val="0"/>
        <w:snapToGrid w:val="0"/>
        <w:spacing w:before="312" w:beforeLines="100" w:after="312" w:afterLines="100"/>
        <w:rPr>
          <w:rFonts w:ascii="仿宋_GB2312" w:hAnsi="仿宋_GB2312" w:eastAsia="仿宋_GB2312" w:cs="仿宋_GB2312"/>
          <w:color w:val="auto"/>
          <w:highlight w:val="none"/>
        </w:rPr>
      </w:pPr>
      <w:bookmarkStart w:id="129" w:name="_Toc19588"/>
      <w:r>
        <w:rPr>
          <w:rFonts w:hint="eastAsia" w:ascii="仿宋_GB2312" w:hAnsi="仿宋_GB2312" w:eastAsia="仿宋_GB2312" w:cs="仿宋_GB2312"/>
          <w:color w:val="auto"/>
          <w:highlight w:val="none"/>
        </w:rPr>
        <w:t>第五章 政府采购合同条款</w:t>
      </w:r>
      <w:bookmarkEnd w:id="128"/>
      <w:r>
        <w:rPr>
          <w:rFonts w:hint="eastAsia" w:ascii="仿宋_GB2312" w:hAnsi="仿宋_GB2312" w:eastAsia="仿宋_GB2312" w:cs="仿宋_GB2312"/>
          <w:color w:val="auto"/>
          <w:highlight w:val="none"/>
        </w:rPr>
        <w:t>及格式</w:t>
      </w:r>
      <w:bookmarkEnd w:id="129"/>
    </w:p>
    <w:p w14:paraId="2B088B0B">
      <w:pPr>
        <w:rPr>
          <w:rFonts w:ascii="仿宋_GB2312" w:hAnsi="仿宋_GB2312" w:eastAsia="仿宋_GB2312" w:cs="仿宋_GB2312"/>
          <w:color w:val="auto"/>
          <w:highlight w:val="none"/>
        </w:rPr>
      </w:pPr>
    </w:p>
    <w:p w14:paraId="21561B01">
      <w:pPr>
        <w:rPr>
          <w:rFonts w:ascii="仿宋_GB2312" w:hAnsi="仿宋_GB2312" w:eastAsia="仿宋_GB2312" w:cs="仿宋_GB2312"/>
          <w:color w:val="auto"/>
          <w:highlight w:val="none"/>
        </w:rPr>
      </w:pPr>
    </w:p>
    <w:p w14:paraId="476CD844">
      <w:pPr>
        <w:adjustRightInd w:val="0"/>
        <w:snapToGrid w:val="0"/>
        <w:spacing w:line="360" w:lineRule="auto"/>
        <w:ind w:firstLine="411" w:firstLineChars="196"/>
        <w:rPr>
          <w:rFonts w:ascii="仿宋_GB2312" w:hAnsi="仿宋_GB2312" w:eastAsia="仿宋_GB2312" w:cs="仿宋_GB2312"/>
          <w:color w:val="auto"/>
          <w:szCs w:val="21"/>
          <w:highlight w:val="none"/>
        </w:rPr>
      </w:pPr>
      <w:bookmarkStart w:id="130" w:name="_Toc23704_WPSOffice_Level1"/>
      <w:r>
        <w:rPr>
          <w:rFonts w:hint="eastAsia" w:ascii="仿宋_GB2312" w:hAnsi="仿宋_GB2312" w:eastAsia="仿宋_GB2312" w:cs="仿宋_GB2312"/>
          <w:color w:val="auto"/>
          <w:szCs w:val="28"/>
          <w:highlight w:val="none"/>
        </w:rPr>
        <w:br w:type="page"/>
      </w:r>
    </w:p>
    <w:p w14:paraId="22A1FED0">
      <w:pPr>
        <w:rPr>
          <w:rFonts w:ascii="仿宋_GB2312" w:hAnsi="仿宋_GB2312" w:eastAsia="仿宋_GB2312" w:cs="仿宋_GB2312"/>
          <w:color w:val="auto"/>
          <w:sz w:val="24"/>
          <w:highlight w:val="none"/>
        </w:rPr>
      </w:pPr>
    </w:p>
    <w:p w14:paraId="22A59C70">
      <w:pPr>
        <w:pStyle w:val="67"/>
        <w:ind w:firstLine="480"/>
        <w:rPr>
          <w:rFonts w:ascii="仿宋_GB2312" w:hAnsi="仿宋_GB2312" w:eastAsia="仿宋_GB2312" w:cs="仿宋_GB2312"/>
          <w:color w:val="auto"/>
          <w:sz w:val="24"/>
          <w:highlight w:val="none"/>
        </w:rPr>
      </w:pPr>
    </w:p>
    <w:p w14:paraId="3C64FA48">
      <w:pPr>
        <w:pStyle w:val="67"/>
        <w:ind w:firstLine="480"/>
        <w:rPr>
          <w:rFonts w:ascii="仿宋_GB2312" w:hAnsi="仿宋_GB2312" w:eastAsia="仿宋_GB2312" w:cs="仿宋_GB2312"/>
          <w:color w:val="auto"/>
          <w:sz w:val="24"/>
          <w:highlight w:val="none"/>
        </w:rPr>
      </w:pPr>
    </w:p>
    <w:p w14:paraId="103811B4">
      <w:pPr>
        <w:pStyle w:val="67"/>
        <w:ind w:firstLine="480"/>
        <w:rPr>
          <w:rFonts w:ascii="仿宋_GB2312" w:hAnsi="仿宋_GB2312" w:eastAsia="仿宋_GB2312" w:cs="仿宋_GB2312"/>
          <w:color w:val="auto"/>
          <w:sz w:val="24"/>
          <w:highlight w:val="none"/>
        </w:rPr>
      </w:pPr>
    </w:p>
    <w:p w14:paraId="70BAF95D">
      <w:pPr>
        <w:pStyle w:val="67"/>
        <w:ind w:firstLine="480"/>
        <w:rPr>
          <w:rFonts w:ascii="仿宋_GB2312" w:hAnsi="仿宋_GB2312" w:eastAsia="仿宋_GB2312" w:cs="仿宋_GB2312"/>
          <w:color w:val="auto"/>
          <w:sz w:val="24"/>
          <w:highlight w:val="none"/>
        </w:rPr>
      </w:pPr>
    </w:p>
    <w:p w14:paraId="499894B7">
      <w:pPr>
        <w:pStyle w:val="67"/>
        <w:ind w:firstLine="480"/>
        <w:rPr>
          <w:rFonts w:ascii="仿宋_GB2312" w:hAnsi="仿宋_GB2312" w:eastAsia="仿宋_GB2312" w:cs="仿宋_GB2312"/>
          <w:color w:val="auto"/>
          <w:sz w:val="24"/>
          <w:highlight w:val="none"/>
        </w:rPr>
      </w:pPr>
    </w:p>
    <w:p w14:paraId="0EA05E02">
      <w:pPr>
        <w:pStyle w:val="67"/>
        <w:ind w:firstLine="480"/>
        <w:rPr>
          <w:rFonts w:ascii="仿宋_GB2312" w:hAnsi="仿宋_GB2312" w:eastAsia="仿宋_GB2312" w:cs="仿宋_GB2312"/>
          <w:color w:val="auto"/>
          <w:sz w:val="24"/>
          <w:highlight w:val="none"/>
        </w:rPr>
      </w:pPr>
    </w:p>
    <w:p w14:paraId="5C6774D6">
      <w:pPr>
        <w:pStyle w:val="67"/>
        <w:ind w:firstLine="480"/>
        <w:rPr>
          <w:rFonts w:ascii="仿宋_GB2312" w:hAnsi="仿宋_GB2312" w:eastAsia="仿宋_GB2312" w:cs="仿宋_GB2312"/>
          <w:color w:val="auto"/>
          <w:sz w:val="24"/>
          <w:highlight w:val="none"/>
        </w:rPr>
      </w:pPr>
    </w:p>
    <w:p w14:paraId="15F15933">
      <w:pPr>
        <w:pStyle w:val="11"/>
        <w:spacing w:after="0"/>
        <w:jc w:val="center"/>
        <w:rPr>
          <w:rFonts w:ascii="仿宋_GB2312" w:hAnsi="仿宋_GB2312" w:eastAsia="仿宋_GB2312" w:cs="仿宋_GB2312"/>
          <w:b/>
          <w:bCs/>
          <w:color w:val="auto"/>
          <w:spacing w:val="-20"/>
          <w:kern w:val="44"/>
          <w:sz w:val="48"/>
          <w:szCs w:val="48"/>
          <w:highlight w:val="none"/>
        </w:rPr>
      </w:pPr>
      <w:r>
        <w:rPr>
          <w:rFonts w:hint="eastAsia" w:ascii="仿宋_GB2312" w:hAnsi="仿宋_GB2312" w:eastAsia="仿宋_GB2312" w:cs="仿宋_GB2312"/>
          <w:b/>
          <w:bCs/>
          <w:color w:val="auto"/>
          <w:spacing w:val="-20"/>
          <w:kern w:val="44"/>
          <w:sz w:val="48"/>
          <w:szCs w:val="48"/>
          <w:highlight w:val="none"/>
        </w:rPr>
        <w:t>政府采购货物买卖合同</w:t>
      </w:r>
    </w:p>
    <w:p w14:paraId="366E458B">
      <w:pPr>
        <w:pStyle w:val="11"/>
        <w:spacing w:after="0"/>
        <w:jc w:val="center"/>
        <w:rPr>
          <w:rFonts w:ascii="仿宋_GB2312" w:hAnsi="仿宋_GB2312" w:eastAsia="仿宋_GB2312" w:cs="仿宋_GB2312"/>
          <w:b/>
          <w:bCs/>
          <w:color w:val="auto"/>
          <w:spacing w:val="-20"/>
          <w:kern w:val="44"/>
          <w:sz w:val="48"/>
          <w:szCs w:val="48"/>
          <w:highlight w:val="none"/>
        </w:rPr>
      </w:pPr>
      <w:r>
        <w:rPr>
          <w:rFonts w:hint="eastAsia" w:ascii="仿宋_GB2312" w:hAnsi="仿宋_GB2312" w:eastAsia="仿宋_GB2312" w:cs="仿宋_GB2312"/>
          <w:b/>
          <w:bCs/>
          <w:color w:val="auto"/>
          <w:spacing w:val="-20"/>
          <w:kern w:val="44"/>
          <w:sz w:val="48"/>
          <w:szCs w:val="48"/>
          <w:highlight w:val="none"/>
        </w:rPr>
        <w:t>（试行）</w:t>
      </w:r>
    </w:p>
    <w:p w14:paraId="2D0FED40">
      <w:pPr>
        <w:rPr>
          <w:rFonts w:ascii="仿宋_GB2312" w:hAnsi="仿宋_GB2312" w:eastAsia="仿宋_GB2312" w:cs="仿宋_GB2312"/>
          <w:b/>
          <w:bCs/>
          <w:color w:val="auto"/>
          <w:spacing w:val="-20"/>
          <w:kern w:val="44"/>
          <w:sz w:val="40"/>
          <w:szCs w:val="40"/>
          <w:highlight w:val="none"/>
        </w:rPr>
      </w:pPr>
    </w:p>
    <w:p w14:paraId="481F4A71">
      <w:pPr>
        <w:rPr>
          <w:rFonts w:ascii="仿宋_GB2312" w:hAnsi="仿宋_GB2312" w:eastAsia="仿宋_GB2312" w:cs="仿宋_GB2312"/>
          <w:b/>
          <w:bCs/>
          <w:color w:val="auto"/>
          <w:spacing w:val="-20"/>
          <w:kern w:val="44"/>
          <w:sz w:val="40"/>
          <w:szCs w:val="40"/>
          <w:highlight w:val="none"/>
        </w:rPr>
      </w:pPr>
    </w:p>
    <w:p w14:paraId="5F55742E">
      <w:pPr>
        <w:rPr>
          <w:rFonts w:ascii="仿宋_GB2312" w:hAnsi="仿宋_GB2312" w:eastAsia="仿宋_GB2312" w:cs="仿宋_GB2312"/>
          <w:b/>
          <w:bCs/>
          <w:color w:val="auto"/>
          <w:spacing w:val="-20"/>
          <w:kern w:val="44"/>
          <w:sz w:val="40"/>
          <w:szCs w:val="40"/>
          <w:highlight w:val="none"/>
        </w:rPr>
      </w:pPr>
    </w:p>
    <w:p w14:paraId="1A85BBD4">
      <w:pPr>
        <w:spacing w:line="360" w:lineRule="auto"/>
        <w:ind w:left="420" w:leftChars="20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kern w:val="0"/>
          <w:sz w:val="32"/>
          <w:szCs w:val="32"/>
          <w:highlight w:val="none"/>
        </w:rPr>
        <w:t>项目名称：</w:t>
      </w:r>
      <w:r>
        <w:rPr>
          <w:rFonts w:hint="eastAsia" w:ascii="仿宋_GB2312" w:hAnsi="仿宋_GB2312" w:eastAsia="仿宋_GB2312" w:cs="仿宋_GB2312"/>
          <w:color w:val="auto"/>
          <w:kern w:val="0"/>
          <w:sz w:val="32"/>
          <w:szCs w:val="32"/>
          <w:highlight w:val="none"/>
          <w:u w:val="single"/>
          <w:lang w:eastAsia="zh-CN"/>
        </w:rPr>
        <w:t>大连医科大学口腔医学院发展建设设备采购项目（二次）</w:t>
      </w:r>
    </w:p>
    <w:p w14:paraId="40692642">
      <w:pPr>
        <w:spacing w:line="360" w:lineRule="auto"/>
        <w:ind w:left="420" w:leftChars="200"/>
        <w:rPr>
          <w:rFonts w:ascii="仿宋_GB2312" w:hAnsi="仿宋_GB2312" w:eastAsia="仿宋_GB2312" w:cs="仿宋_GB2312"/>
          <w:color w:val="auto"/>
          <w:sz w:val="32"/>
          <w:szCs w:val="32"/>
          <w:highlight w:val="none"/>
          <w:u w:val="single"/>
        </w:rPr>
      </w:pPr>
      <w:r>
        <w:rPr>
          <w:rFonts w:hint="eastAsia" w:ascii="仿宋_GB2312" w:hAnsi="仿宋_GB2312" w:eastAsia="仿宋_GB2312" w:cs="仿宋_GB2312"/>
          <w:color w:val="auto"/>
          <w:sz w:val="32"/>
          <w:szCs w:val="32"/>
          <w:highlight w:val="none"/>
        </w:rPr>
        <w:t>合同编号：</w:t>
      </w:r>
      <w:r>
        <w:rPr>
          <w:rFonts w:hint="eastAsia" w:ascii="仿宋_GB2312" w:hAnsi="仿宋_GB2312" w:eastAsia="仿宋_GB2312" w:cs="仿宋_GB2312"/>
          <w:color w:val="auto"/>
          <w:sz w:val="32"/>
          <w:szCs w:val="32"/>
          <w:highlight w:val="none"/>
          <w:u w:val="single"/>
        </w:rPr>
        <w:t xml:space="preserve"> JH25-210000-33918           </w:t>
      </w:r>
    </w:p>
    <w:p w14:paraId="6099EF25">
      <w:pPr>
        <w:spacing w:line="360" w:lineRule="auto"/>
        <w:ind w:left="420" w:left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甲    方：</w:t>
      </w:r>
      <w:r>
        <w:rPr>
          <w:rFonts w:hint="eastAsia" w:ascii="仿宋_GB2312" w:hAnsi="仿宋_GB2312" w:eastAsia="仿宋_GB2312" w:cs="仿宋_GB2312"/>
          <w:color w:val="auto"/>
          <w:sz w:val="32"/>
          <w:szCs w:val="32"/>
          <w:highlight w:val="none"/>
          <w:u w:val="single"/>
        </w:rPr>
        <w:t xml:space="preserve"> 大连医科大学                </w:t>
      </w:r>
    </w:p>
    <w:p w14:paraId="7B80F956">
      <w:pPr>
        <w:spacing w:line="360" w:lineRule="auto"/>
        <w:ind w:left="420" w:leftChars="200"/>
        <w:rPr>
          <w:rFonts w:ascii="仿宋_GB2312" w:hAnsi="仿宋_GB2312" w:eastAsia="仿宋_GB2312" w:cs="仿宋_GB2312"/>
          <w:color w:val="auto"/>
          <w:sz w:val="32"/>
          <w:szCs w:val="32"/>
          <w:highlight w:val="none"/>
          <w:u w:val="single"/>
        </w:rPr>
      </w:pPr>
      <w:r>
        <w:rPr>
          <w:rFonts w:hint="eastAsia" w:ascii="仿宋_GB2312" w:hAnsi="仿宋_GB2312" w:eastAsia="仿宋_GB2312" w:cs="仿宋_GB2312"/>
          <w:color w:val="auto"/>
          <w:sz w:val="32"/>
          <w:szCs w:val="32"/>
          <w:highlight w:val="none"/>
        </w:rPr>
        <w:t>乙    方：</w:t>
      </w:r>
      <w:r>
        <w:rPr>
          <w:rFonts w:hint="eastAsia" w:ascii="仿宋_GB2312" w:hAnsi="仿宋_GB2312" w:eastAsia="仿宋_GB2312" w:cs="仿宋_GB2312"/>
          <w:color w:val="auto"/>
          <w:sz w:val="32"/>
          <w:szCs w:val="32"/>
          <w:highlight w:val="none"/>
          <w:u w:val="single"/>
        </w:rPr>
        <w:t xml:space="preserve">                             </w:t>
      </w:r>
    </w:p>
    <w:p w14:paraId="20BF76D6">
      <w:pPr>
        <w:spacing w:line="360" w:lineRule="auto"/>
        <w:ind w:left="420" w:left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签订时间：</w:t>
      </w:r>
      <w:r>
        <w:rPr>
          <w:rFonts w:hint="eastAsia" w:ascii="仿宋_GB2312" w:hAnsi="仿宋_GB2312" w:eastAsia="仿宋_GB2312" w:cs="仿宋_GB2312"/>
          <w:color w:val="auto"/>
          <w:sz w:val="32"/>
          <w:szCs w:val="32"/>
          <w:highlight w:val="none"/>
          <w:u w:val="single"/>
        </w:rPr>
        <w:t xml:space="preserve"> 2025年X月                  </w:t>
      </w:r>
    </w:p>
    <w:p w14:paraId="3D7AA36D">
      <w:pPr>
        <w:rPr>
          <w:rFonts w:ascii="仿宋_GB2312" w:hAnsi="仿宋_GB2312" w:eastAsia="仿宋_GB2312" w:cs="仿宋_GB2312"/>
          <w:color w:val="auto"/>
          <w:highlight w:val="none"/>
        </w:rPr>
      </w:pPr>
    </w:p>
    <w:p w14:paraId="3CD5EC2B">
      <w:pPr>
        <w:rPr>
          <w:rFonts w:ascii="仿宋_GB2312" w:hAnsi="仿宋_GB2312" w:eastAsia="仿宋_GB2312" w:cs="仿宋_GB2312"/>
          <w:color w:val="auto"/>
          <w:sz w:val="44"/>
          <w:szCs w:val="44"/>
          <w:highlight w:val="none"/>
        </w:rPr>
      </w:pPr>
      <w:r>
        <w:rPr>
          <w:rFonts w:hint="eastAsia" w:ascii="仿宋_GB2312" w:hAnsi="仿宋_GB2312" w:eastAsia="仿宋_GB2312" w:cs="仿宋_GB2312"/>
          <w:color w:val="auto"/>
          <w:sz w:val="44"/>
          <w:szCs w:val="44"/>
          <w:highlight w:val="none"/>
        </w:rPr>
        <w:br w:type="page"/>
      </w:r>
    </w:p>
    <w:p w14:paraId="537B2A7B">
      <w:pPr>
        <w:rPr>
          <w:rFonts w:ascii="仿宋_GB2312" w:hAnsi="仿宋_GB2312" w:eastAsia="仿宋_GB2312" w:cs="仿宋_GB2312"/>
          <w:color w:val="auto"/>
          <w:sz w:val="44"/>
          <w:szCs w:val="44"/>
          <w:highlight w:val="none"/>
        </w:rPr>
      </w:pPr>
    </w:p>
    <w:p w14:paraId="20AA9BA2">
      <w:pPr>
        <w:rPr>
          <w:rFonts w:ascii="仿宋_GB2312" w:hAnsi="仿宋_GB2312" w:eastAsia="仿宋_GB2312" w:cs="仿宋_GB2312"/>
          <w:color w:val="auto"/>
          <w:sz w:val="44"/>
          <w:szCs w:val="44"/>
          <w:highlight w:val="none"/>
        </w:rPr>
      </w:pPr>
    </w:p>
    <w:p w14:paraId="63EC7229">
      <w:pPr>
        <w:jc w:val="center"/>
        <w:rPr>
          <w:rFonts w:ascii="仿宋_GB2312" w:hAnsi="仿宋_GB2312" w:eastAsia="仿宋_GB2312" w:cs="仿宋_GB2312"/>
          <w:color w:val="auto"/>
          <w:sz w:val="44"/>
          <w:szCs w:val="44"/>
          <w:highlight w:val="none"/>
        </w:rPr>
      </w:pPr>
      <w:r>
        <w:rPr>
          <w:rFonts w:hint="eastAsia" w:ascii="仿宋_GB2312" w:hAnsi="仿宋_GB2312" w:eastAsia="仿宋_GB2312" w:cs="仿宋_GB2312"/>
          <w:color w:val="auto"/>
          <w:sz w:val="44"/>
          <w:szCs w:val="44"/>
          <w:highlight w:val="none"/>
        </w:rPr>
        <w:t>使 用 说 明</w:t>
      </w:r>
    </w:p>
    <w:p w14:paraId="3393FD5E">
      <w:pPr>
        <w:ind w:firstLine="640" w:firstLineChars="200"/>
        <w:rPr>
          <w:rFonts w:ascii="仿宋_GB2312" w:hAnsi="仿宋_GB2312" w:eastAsia="仿宋_GB2312" w:cs="仿宋_GB2312"/>
          <w:color w:val="auto"/>
          <w:sz w:val="32"/>
          <w:szCs w:val="32"/>
          <w:highlight w:val="none"/>
        </w:rPr>
      </w:pPr>
    </w:p>
    <w:p w14:paraId="22008223">
      <w:pPr>
        <w:ind w:firstLine="640" w:firstLine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1.本合同标准文本适用于购买现成货物的采购项目，不包括需要供应商定制开发、创新研发的货物采购项目。</w:t>
      </w:r>
    </w:p>
    <w:p w14:paraId="464BF669">
      <w:pPr>
        <w:rPr>
          <w:rFonts w:ascii="仿宋_GB2312" w:hAnsi="仿宋_GB2312" w:eastAsia="仿宋_GB2312" w:cs="仿宋_GB2312"/>
          <w:color w:val="auto"/>
          <w:sz w:val="44"/>
          <w:szCs w:val="44"/>
          <w:highlight w:val="none"/>
        </w:rPr>
      </w:pPr>
      <w:r>
        <w:rPr>
          <w:rFonts w:hint="eastAsia" w:ascii="仿宋_GB2312" w:hAnsi="仿宋_GB2312" w:eastAsia="仿宋_GB2312" w:cs="仿宋_GB2312"/>
          <w:color w:val="auto"/>
          <w:sz w:val="44"/>
          <w:szCs w:val="44"/>
          <w:highlight w:val="none"/>
        </w:rPr>
        <w:t xml:space="preserve">   </w:t>
      </w:r>
      <w:r>
        <w:rPr>
          <w:rFonts w:hint="eastAsia" w:ascii="仿宋_GB2312" w:hAnsi="仿宋_GB2312" w:eastAsia="仿宋_GB2312" w:cs="仿宋_GB2312"/>
          <w:color w:val="auto"/>
          <w:sz w:val="32"/>
          <w:szCs w:val="32"/>
          <w:highlight w:val="none"/>
        </w:rPr>
        <w:t>2.本合同标准文本为政府采购货物买卖合同编制提供参考，可以结合采购项目具体情况，对文本作必要的调整修订后使用。</w:t>
      </w:r>
    </w:p>
    <w:p w14:paraId="0892A073">
      <w:pPr>
        <w:ind w:firstLine="640" w:firstLine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3.本合同标准文本各条款中，如涉及填写多家供应商、制造商，多种采购标的、分包主要内容等信息的，可根据采购项目具体情况添加信息项。</w:t>
      </w:r>
    </w:p>
    <w:p w14:paraId="32EE2FEB">
      <w:pPr>
        <w:ind w:firstLine="880" w:firstLineChars="200"/>
        <w:rPr>
          <w:rFonts w:ascii="仿宋_GB2312" w:hAnsi="仿宋_GB2312" w:eastAsia="仿宋_GB2312" w:cs="仿宋_GB2312"/>
          <w:color w:val="auto"/>
          <w:sz w:val="44"/>
          <w:szCs w:val="44"/>
          <w:highlight w:val="none"/>
        </w:rPr>
        <w:sectPr>
          <w:headerReference r:id="rId5" w:type="default"/>
          <w:footerReference r:id="rId6" w:type="default"/>
          <w:pgSz w:w="11906" w:h="16838"/>
          <w:pgMar w:top="1440" w:right="1800" w:bottom="1440" w:left="1800" w:header="851" w:footer="992" w:gutter="0"/>
          <w:cols w:space="425" w:num="1"/>
          <w:docGrid w:type="lines" w:linePitch="312" w:charSpace="0"/>
        </w:sectPr>
      </w:pPr>
    </w:p>
    <w:p w14:paraId="0C09EC00">
      <w:pPr>
        <w:pStyle w:val="3"/>
        <w:adjustRightInd w:val="0"/>
        <w:snapToGrid w:val="0"/>
        <w:spacing w:line="400" w:lineRule="exact"/>
        <w:rPr>
          <w:rFonts w:ascii="仿宋_GB2312" w:hAnsi="仿宋_GB2312" w:eastAsia="仿宋_GB2312" w:cs="仿宋_GB2312"/>
          <w:bCs/>
          <w:color w:val="auto"/>
          <w:szCs w:val="28"/>
          <w:highlight w:val="none"/>
        </w:rPr>
      </w:pPr>
      <w:bookmarkStart w:id="131" w:name="_Toc22209"/>
      <w:r>
        <w:rPr>
          <w:rFonts w:hint="eastAsia" w:ascii="仿宋_GB2312" w:hAnsi="仿宋_GB2312" w:eastAsia="仿宋_GB2312" w:cs="仿宋_GB2312"/>
          <w:bCs/>
          <w:color w:val="auto"/>
          <w:szCs w:val="28"/>
          <w:highlight w:val="none"/>
        </w:rPr>
        <w:t>第一节 政府采购合同协议书</w:t>
      </w:r>
      <w:bookmarkEnd w:id="131"/>
    </w:p>
    <w:p w14:paraId="40E40F31">
      <w:pPr>
        <w:pStyle w:val="3"/>
        <w:adjustRightInd w:val="0"/>
        <w:snapToGrid w:val="0"/>
        <w:spacing w:line="400" w:lineRule="exact"/>
        <w:rPr>
          <w:rFonts w:ascii="仿宋_GB2312" w:hAnsi="仿宋_GB2312" w:eastAsia="仿宋_GB2312" w:cs="仿宋_GB2312"/>
          <w:b w:val="0"/>
          <w:color w:val="auto"/>
          <w:sz w:val="21"/>
          <w:szCs w:val="21"/>
          <w:highlight w:val="none"/>
        </w:rPr>
      </w:pPr>
    </w:p>
    <w:p w14:paraId="7A6E3B5F">
      <w:pPr>
        <w:adjustRightInd w:val="0"/>
        <w:snapToGrid w:val="0"/>
        <w:spacing w:line="400" w:lineRule="exac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甲方（全称）：</w:t>
      </w:r>
      <w:r>
        <w:rPr>
          <w:rFonts w:hint="eastAsia" w:ascii="仿宋_GB2312" w:hAnsi="仿宋_GB2312" w:eastAsia="仿宋_GB2312" w:cs="仿宋_GB2312"/>
          <w:color w:val="auto"/>
          <w:szCs w:val="21"/>
          <w:highlight w:val="none"/>
          <w:u w:val="single"/>
        </w:rPr>
        <w:t xml:space="preserve"> 大连医科大学 </w:t>
      </w:r>
    </w:p>
    <w:p w14:paraId="5415051E">
      <w:pPr>
        <w:adjustRightInd w:val="0"/>
        <w:snapToGrid w:val="0"/>
        <w:spacing w:line="400" w:lineRule="exac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乙方1（全称）：</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（供应商）</w:t>
      </w:r>
    </w:p>
    <w:p w14:paraId="438CAEF6">
      <w:pPr>
        <w:spacing w:line="400" w:lineRule="exact"/>
        <w:rPr>
          <w:rFonts w:ascii="仿宋_GB2312" w:hAnsi="仿宋_GB2312" w:eastAsia="仿宋_GB2312" w:cs="仿宋_GB2312"/>
          <w:color w:val="auto"/>
          <w:szCs w:val="21"/>
          <w:highlight w:val="none"/>
        </w:rPr>
      </w:pPr>
    </w:p>
    <w:p w14:paraId="2309BFD5">
      <w:pPr>
        <w:pStyle w:val="12"/>
        <w:adjustRightInd w:val="0"/>
        <w:snapToGrid w:val="0"/>
        <w:spacing w:line="400" w:lineRule="exact"/>
        <w:ind w:left="0" w:leftChars="0" w:firstLine="420" w:firstLineChars="200"/>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7E65863B">
      <w:pPr>
        <w:numPr>
          <w:ilvl w:val="0"/>
          <w:numId w:val="11"/>
        </w:numPr>
        <w:adjustRightInd w:val="0"/>
        <w:snapToGrid w:val="0"/>
        <w:spacing w:line="400" w:lineRule="exact"/>
        <w:ind w:firstLine="420" w:firstLineChars="200"/>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项目信息</w:t>
      </w:r>
    </w:p>
    <w:p w14:paraId="7E141E6A">
      <w:pPr>
        <w:pStyle w:val="12"/>
        <w:numPr>
          <w:ilvl w:val="0"/>
          <w:numId w:val="12"/>
        </w:numPr>
        <w:adjustRightInd w:val="0"/>
        <w:snapToGrid w:val="0"/>
        <w:spacing w:line="400" w:lineRule="exact"/>
        <w:ind w:left="0" w:leftChars="0" w:firstLine="420" w:firstLineChars="200"/>
        <w:rPr>
          <w:rFonts w:ascii="仿宋_GB2312" w:hAnsi="仿宋_GB2312" w:eastAsia="仿宋_GB2312" w:cs="仿宋_GB2312"/>
          <w:color w:val="auto"/>
          <w:sz w:val="21"/>
          <w:szCs w:val="21"/>
          <w:highlight w:val="none"/>
          <w:u w:val="single"/>
        </w:rPr>
      </w:pPr>
      <w:r>
        <w:rPr>
          <w:rFonts w:hint="eastAsia" w:ascii="仿宋_GB2312" w:hAnsi="仿宋_GB2312" w:eastAsia="仿宋_GB2312" w:cs="仿宋_GB2312"/>
          <w:color w:val="auto"/>
          <w:sz w:val="21"/>
          <w:szCs w:val="21"/>
          <w:highlight w:val="none"/>
        </w:rPr>
        <w:t>采购项目名称：</w:t>
      </w:r>
      <w:r>
        <w:rPr>
          <w:rFonts w:hint="eastAsia" w:ascii="仿宋_GB2312" w:hAnsi="仿宋_GB2312" w:eastAsia="仿宋_GB2312" w:cs="仿宋_GB2312"/>
          <w:color w:val="auto"/>
          <w:sz w:val="21"/>
          <w:szCs w:val="21"/>
          <w:highlight w:val="none"/>
          <w:u w:val="single"/>
          <w:lang w:eastAsia="zh-CN"/>
        </w:rPr>
        <w:t>大连医科大学口腔医学院发展建设设备采购项目（二次）</w:t>
      </w:r>
    </w:p>
    <w:p w14:paraId="5952B220">
      <w:pPr>
        <w:pStyle w:val="12"/>
        <w:numPr>
          <w:ilvl w:val="255"/>
          <w:numId w:val="0"/>
        </w:numPr>
        <w:tabs>
          <w:tab w:val="left" w:pos="999"/>
        </w:tabs>
        <w:adjustRightInd w:val="0"/>
        <w:snapToGrid w:val="0"/>
        <w:spacing w:line="400" w:lineRule="exact"/>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 xml:space="preserve">         采购项目编号：</w:t>
      </w:r>
      <w:r>
        <w:rPr>
          <w:rFonts w:hint="eastAsia" w:ascii="仿宋_GB2312" w:hAnsi="仿宋_GB2312" w:eastAsia="仿宋_GB2312" w:cs="仿宋_GB2312"/>
          <w:color w:val="auto"/>
          <w:sz w:val="21"/>
          <w:szCs w:val="21"/>
          <w:highlight w:val="none"/>
          <w:u w:val="single"/>
        </w:rPr>
        <w:t xml:space="preserve">JH25-210000-33918                         </w:t>
      </w:r>
    </w:p>
    <w:p w14:paraId="6BFB94ED">
      <w:pPr>
        <w:pStyle w:val="12"/>
        <w:adjustRightInd w:val="0"/>
        <w:snapToGrid w:val="0"/>
        <w:spacing w:line="400" w:lineRule="exact"/>
        <w:ind w:left="0" w:leftChars="0" w:firstLine="420" w:firstLineChars="200"/>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（2）采购计划编号：</w:t>
      </w:r>
      <w:r>
        <w:rPr>
          <w:rFonts w:hint="eastAsia" w:ascii="仿宋_GB2312" w:hAnsi="仿宋_GB2312" w:eastAsia="仿宋_GB2312" w:cs="仿宋_GB2312"/>
          <w:color w:val="auto"/>
          <w:sz w:val="21"/>
          <w:szCs w:val="21"/>
          <w:highlight w:val="none"/>
          <w:u w:val="single"/>
        </w:rPr>
        <w:t xml:space="preserve">JH25-210000-33918                         </w:t>
      </w:r>
      <w:r>
        <w:rPr>
          <w:rFonts w:hint="eastAsia" w:ascii="仿宋_GB2312" w:hAnsi="仿宋_GB2312" w:eastAsia="仿宋_GB2312" w:cs="仿宋_GB2312"/>
          <w:color w:val="auto"/>
          <w:sz w:val="21"/>
          <w:szCs w:val="21"/>
          <w:highlight w:val="none"/>
        </w:rPr>
        <w:t xml:space="preserve"> </w:t>
      </w:r>
    </w:p>
    <w:p w14:paraId="34B35ED7">
      <w:pPr>
        <w:adjustRightInd w:val="0"/>
        <w:snapToGrid w:val="0"/>
        <w:spacing w:line="400" w:lineRule="exact"/>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（3）项目内容：</w:t>
      </w:r>
    </w:p>
    <w:p w14:paraId="7B2CA3FE">
      <w:pPr>
        <w:adjustRightInd w:val="0"/>
        <w:snapToGrid w:val="0"/>
        <w:spacing w:line="400" w:lineRule="exact"/>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采购标的及数量（台/套</w:t>
      </w:r>
      <w:r>
        <w:rPr>
          <w:rFonts w:hint="eastAsia" w:ascii="仿宋_GB2312" w:hAnsi="仿宋_GB2312" w:eastAsia="仿宋_GB2312" w:cs="仿宋_GB2312"/>
          <w:color w:val="auto"/>
          <w:szCs w:val="21"/>
          <w:highlight w:val="none"/>
          <w:lang w:val="en"/>
        </w:rPr>
        <w:t>/个/架/组等</w:t>
      </w: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 xml:space="preserve">    </w:t>
      </w:r>
    </w:p>
    <w:p w14:paraId="6AEB9E63">
      <w:pPr>
        <w:numPr>
          <w:ilvl w:val="255"/>
          <w:numId w:val="0"/>
        </w:numPr>
        <w:adjustRightInd w:val="0"/>
        <w:snapToGrid w:val="0"/>
        <w:spacing w:line="400" w:lineRule="exact"/>
        <w:ind w:firstLine="420" w:firstLineChars="200"/>
        <w:rPr>
          <w:rFonts w:ascii="仿宋_GB2312" w:hAnsi="仿宋_GB2312" w:eastAsia="仿宋_GB2312" w:cs="仿宋_GB2312"/>
          <w:color w:val="auto"/>
          <w:szCs w:val="21"/>
          <w:highlight w:val="none"/>
          <w:lang w:val="en"/>
        </w:rPr>
      </w:pPr>
      <w:r>
        <w:rPr>
          <w:rFonts w:hint="eastAsia" w:ascii="仿宋_GB2312" w:hAnsi="仿宋_GB2312" w:eastAsia="仿宋_GB2312" w:cs="仿宋_GB2312"/>
          <w:color w:val="auto"/>
          <w:szCs w:val="21"/>
          <w:highlight w:val="none"/>
        </w:rPr>
        <w:t xml:space="preserve">     品牌：</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u w:val="single"/>
          <w:lang w:val="en"/>
        </w:rPr>
        <w:t xml:space="preserve">   </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u w:val="single"/>
          <w:lang w:val="en"/>
        </w:rPr>
        <w:t xml:space="preserve"> </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lang w:val="en"/>
        </w:rPr>
        <w:t xml:space="preserve">     </w:t>
      </w:r>
      <w:r>
        <w:rPr>
          <w:rFonts w:hint="eastAsia" w:ascii="仿宋_GB2312" w:hAnsi="仿宋_GB2312" w:eastAsia="仿宋_GB2312" w:cs="仿宋_GB2312"/>
          <w:color w:val="auto"/>
          <w:szCs w:val="21"/>
          <w:highlight w:val="none"/>
        </w:rPr>
        <w:t>规格型号：</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u w:val="single"/>
          <w:lang w:val="en"/>
        </w:rPr>
        <w:t xml:space="preserve">  </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u w:val="single"/>
          <w:lang w:val="en"/>
        </w:rPr>
        <w:t xml:space="preserve">   </w:t>
      </w:r>
    </w:p>
    <w:p w14:paraId="525A8A69">
      <w:pPr>
        <w:adjustRightInd w:val="0"/>
        <w:snapToGrid w:val="0"/>
        <w:spacing w:line="400" w:lineRule="exact"/>
        <w:ind w:firstLine="945" w:firstLineChars="45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采购标的的技术要求、商务要求具体见附件。</w:t>
      </w:r>
    </w:p>
    <w:p w14:paraId="19639D81">
      <w:pPr>
        <w:numPr>
          <w:ilvl w:val="255"/>
          <w:numId w:val="0"/>
        </w:numPr>
        <w:adjustRightInd w:val="0"/>
        <w:snapToGrid w:val="0"/>
        <w:spacing w:line="400" w:lineRule="exact"/>
        <w:ind w:firstLine="945" w:firstLineChars="45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①涉及信息类产品，请填写该产品关键部件的品牌、型号：</w:t>
      </w:r>
    </w:p>
    <w:p w14:paraId="39D6989A">
      <w:pPr>
        <w:numPr>
          <w:ilvl w:val="255"/>
          <w:numId w:val="0"/>
        </w:numPr>
        <w:adjustRightInd w:val="0"/>
        <w:snapToGrid w:val="0"/>
        <w:spacing w:line="400" w:lineRule="exact"/>
        <w:ind w:firstLine="420" w:firstLineChars="200"/>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szCs w:val="21"/>
          <w:highlight w:val="none"/>
        </w:rPr>
        <w:t xml:space="preserve">     标的名称：</w:t>
      </w:r>
      <w:r>
        <w:rPr>
          <w:rFonts w:hint="eastAsia" w:ascii="仿宋_GB2312" w:hAnsi="仿宋_GB2312" w:eastAsia="仿宋_GB2312" w:cs="仿宋_GB2312"/>
          <w:color w:val="auto"/>
          <w:kern w:val="0"/>
          <w:szCs w:val="21"/>
          <w:highlight w:val="none"/>
          <w:u w:val="single"/>
        </w:rPr>
        <w:t xml:space="preserve">      </w:t>
      </w:r>
      <w:r>
        <w:rPr>
          <w:rFonts w:hint="eastAsia" w:ascii="仿宋_GB2312" w:hAnsi="仿宋_GB2312" w:eastAsia="仿宋_GB2312" w:cs="仿宋_GB2312"/>
          <w:color w:val="auto"/>
          <w:kern w:val="0"/>
          <w:szCs w:val="21"/>
          <w:highlight w:val="none"/>
          <w:u w:val="single"/>
          <w:lang w:val="en"/>
        </w:rPr>
        <w:t xml:space="preserve">               </w:t>
      </w:r>
      <w:r>
        <w:rPr>
          <w:rFonts w:hint="eastAsia" w:ascii="仿宋_GB2312" w:hAnsi="仿宋_GB2312" w:eastAsia="仿宋_GB2312" w:cs="仿宋_GB2312"/>
          <w:color w:val="auto"/>
          <w:kern w:val="0"/>
          <w:szCs w:val="21"/>
          <w:highlight w:val="none"/>
          <w:u w:val="single"/>
        </w:rPr>
        <w:t xml:space="preserve">    </w:t>
      </w:r>
    </w:p>
    <w:p w14:paraId="5EAA93CD">
      <w:pPr>
        <w:numPr>
          <w:ilvl w:val="255"/>
          <w:numId w:val="0"/>
        </w:numPr>
        <w:adjustRightInd w:val="0"/>
        <w:snapToGrid w:val="0"/>
        <w:spacing w:line="400" w:lineRule="exact"/>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关键部件：</w:t>
      </w:r>
      <w:r>
        <w:rPr>
          <w:rFonts w:hint="eastAsia" w:ascii="仿宋_GB2312" w:hAnsi="仿宋_GB2312" w:eastAsia="仿宋_GB2312" w:cs="仿宋_GB2312"/>
          <w:color w:val="auto"/>
          <w:kern w:val="0"/>
          <w:szCs w:val="21"/>
          <w:highlight w:val="none"/>
          <w:u w:val="single"/>
        </w:rPr>
        <w:t xml:space="preserve">          </w:t>
      </w:r>
      <w:r>
        <w:rPr>
          <w:rFonts w:hint="eastAsia" w:ascii="仿宋_GB2312" w:hAnsi="仿宋_GB2312" w:eastAsia="仿宋_GB2312" w:cs="仿宋_GB2312"/>
          <w:color w:val="auto"/>
          <w:kern w:val="0"/>
          <w:szCs w:val="21"/>
          <w:highlight w:val="none"/>
        </w:rPr>
        <w:t xml:space="preserve"> </w:t>
      </w:r>
      <w:r>
        <w:rPr>
          <w:rFonts w:hint="eastAsia" w:ascii="仿宋_GB2312" w:hAnsi="仿宋_GB2312" w:eastAsia="仿宋_GB2312" w:cs="仿宋_GB2312"/>
          <w:color w:val="auto"/>
          <w:szCs w:val="21"/>
          <w:highlight w:val="none"/>
        </w:rPr>
        <w:t>品牌：</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 xml:space="preserve"> 型号：</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 xml:space="preserve"> </w:t>
      </w:r>
    </w:p>
    <w:p w14:paraId="7FCCFBE0">
      <w:pPr>
        <w:pStyle w:val="67"/>
        <w:ind w:firstLine="420"/>
        <w:rPr>
          <w:rFonts w:ascii="仿宋_GB2312" w:hAnsi="仿宋_GB2312" w:eastAsia="仿宋_GB2312" w:cs="仿宋_GB2312"/>
          <w:color w:val="auto"/>
          <w:sz w:val="21"/>
          <w:highlight w:val="none"/>
        </w:rPr>
      </w:pPr>
      <w:r>
        <w:rPr>
          <w:rFonts w:hint="eastAsia" w:ascii="仿宋_GB2312" w:hAnsi="仿宋_GB2312" w:eastAsia="仿宋_GB2312" w:cs="仿宋_GB2312"/>
          <w:color w:val="auto"/>
          <w:sz w:val="21"/>
          <w:highlight w:val="none"/>
        </w:rPr>
        <w:t xml:space="preserve">     </w:t>
      </w:r>
      <w:r>
        <w:rPr>
          <w:rFonts w:hint="eastAsia" w:ascii="仿宋_GB2312" w:hAnsi="仿宋_GB2312" w:eastAsia="仿宋_GB2312" w:cs="仿宋_GB2312"/>
          <w:color w:val="auto"/>
          <w:kern w:val="2"/>
          <w:sz w:val="21"/>
          <w:highlight w:val="none"/>
        </w:rPr>
        <w:t>关键部件</w:t>
      </w:r>
      <w:r>
        <w:rPr>
          <w:rFonts w:hint="eastAsia" w:ascii="仿宋_GB2312" w:hAnsi="仿宋_GB2312" w:eastAsia="仿宋_GB2312" w:cs="仿宋_GB2312"/>
          <w:color w:val="auto"/>
          <w:sz w:val="21"/>
          <w:highlight w:val="none"/>
        </w:rPr>
        <w:t>：</w:t>
      </w:r>
      <w:r>
        <w:rPr>
          <w:rFonts w:hint="eastAsia" w:ascii="仿宋_GB2312" w:hAnsi="仿宋_GB2312" w:eastAsia="仿宋_GB2312" w:cs="仿宋_GB2312"/>
          <w:color w:val="auto"/>
          <w:sz w:val="21"/>
          <w:highlight w:val="none"/>
          <w:u w:val="single"/>
        </w:rPr>
        <w:t xml:space="preserve">          </w:t>
      </w:r>
      <w:r>
        <w:rPr>
          <w:rFonts w:hint="eastAsia" w:ascii="仿宋_GB2312" w:hAnsi="仿宋_GB2312" w:eastAsia="仿宋_GB2312" w:cs="仿宋_GB2312"/>
          <w:color w:val="auto"/>
          <w:sz w:val="21"/>
          <w:highlight w:val="none"/>
        </w:rPr>
        <w:t xml:space="preserve"> 品牌：</w:t>
      </w:r>
      <w:r>
        <w:rPr>
          <w:rFonts w:hint="eastAsia" w:ascii="仿宋_GB2312" w:hAnsi="仿宋_GB2312" w:eastAsia="仿宋_GB2312" w:cs="仿宋_GB2312"/>
          <w:color w:val="auto"/>
          <w:sz w:val="21"/>
          <w:highlight w:val="none"/>
          <w:u w:val="single"/>
        </w:rPr>
        <w:t xml:space="preserve">        </w:t>
      </w:r>
      <w:r>
        <w:rPr>
          <w:rFonts w:hint="eastAsia" w:ascii="仿宋_GB2312" w:hAnsi="仿宋_GB2312" w:eastAsia="仿宋_GB2312" w:cs="仿宋_GB2312"/>
          <w:color w:val="auto"/>
          <w:sz w:val="21"/>
          <w:highlight w:val="none"/>
        </w:rPr>
        <w:t xml:space="preserve"> 型号：</w:t>
      </w:r>
      <w:r>
        <w:rPr>
          <w:rFonts w:hint="eastAsia" w:ascii="仿宋_GB2312" w:hAnsi="仿宋_GB2312" w:eastAsia="仿宋_GB2312" w:cs="仿宋_GB2312"/>
          <w:color w:val="auto"/>
          <w:sz w:val="21"/>
          <w:highlight w:val="none"/>
          <w:u w:val="single"/>
        </w:rPr>
        <w:t xml:space="preserve">       </w:t>
      </w:r>
      <w:r>
        <w:rPr>
          <w:rFonts w:hint="eastAsia" w:ascii="仿宋_GB2312" w:hAnsi="仿宋_GB2312" w:eastAsia="仿宋_GB2312" w:cs="仿宋_GB2312"/>
          <w:color w:val="auto"/>
          <w:sz w:val="21"/>
          <w:highlight w:val="none"/>
        </w:rPr>
        <w:t xml:space="preserve"> </w:t>
      </w:r>
    </w:p>
    <w:p w14:paraId="616CE66B">
      <w:pPr>
        <w:pStyle w:val="67"/>
        <w:ind w:firstLine="420"/>
        <w:rPr>
          <w:rFonts w:ascii="仿宋_GB2312" w:hAnsi="仿宋_GB2312" w:eastAsia="仿宋_GB2312" w:cs="仿宋_GB2312"/>
          <w:color w:val="auto"/>
          <w:sz w:val="21"/>
          <w:highlight w:val="none"/>
        </w:rPr>
      </w:pPr>
      <w:r>
        <w:rPr>
          <w:rFonts w:hint="eastAsia" w:ascii="仿宋_GB2312" w:hAnsi="仿宋_GB2312" w:eastAsia="仿宋_GB2312" w:cs="仿宋_GB2312"/>
          <w:color w:val="auto"/>
          <w:sz w:val="21"/>
          <w:highlight w:val="none"/>
        </w:rPr>
        <w:t xml:space="preserve">     关键部件：</w:t>
      </w:r>
      <w:r>
        <w:rPr>
          <w:rFonts w:hint="eastAsia" w:ascii="仿宋_GB2312" w:hAnsi="仿宋_GB2312" w:eastAsia="仿宋_GB2312" w:cs="仿宋_GB2312"/>
          <w:color w:val="auto"/>
          <w:sz w:val="21"/>
          <w:highlight w:val="none"/>
          <w:u w:val="single"/>
        </w:rPr>
        <w:t xml:space="preserve">          </w:t>
      </w:r>
      <w:r>
        <w:rPr>
          <w:rFonts w:hint="eastAsia" w:ascii="仿宋_GB2312" w:hAnsi="仿宋_GB2312" w:eastAsia="仿宋_GB2312" w:cs="仿宋_GB2312"/>
          <w:color w:val="auto"/>
          <w:sz w:val="21"/>
          <w:highlight w:val="none"/>
        </w:rPr>
        <w:t xml:space="preserve"> 品牌：</w:t>
      </w:r>
      <w:r>
        <w:rPr>
          <w:rFonts w:hint="eastAsia" w:ascii="仿宋_GB2312" w:hAnsi="仿宋_GB2312" w:eastAsia="仿宋_GB2312" w:cs="仿宋_GB2312"/>
          <w:color w:val="auto"/>
          <w:sz w:val="21"/>
          <w:highlight w:val="none"/>
          <w:u w:val="single"/>
        </w:rPr>
        <w:t xml:space="preserve">        </w:t>
      </w:r>
      <w:r>
        <w:rPr>
          <w:rFonts w:hint="eastAsia" w:ascii="仿宋_GB2312" w:hAnsi="仿宋_GB2312" w:eastAsia="仿宋_GB2312" w:cs="仿宋_GB2312"/>
          <w:color w:val="auto"/>
          <w:sz w:val="21"/>
          <w:highlight w:val="none"/>
        </w:rPr>
        <w:t xml:space="preserve"> 型号：</w:t>
      </w:r>
      <w:r>
        <w:rPr>
          <w:rFonts w:hint="eastAsia" w:ascii="仿宋_GB2312" w:hAnsi="仿宋_GB2312" w:eastAsia="仿宋_GB2312" w:cs="仿宋_GB2312"/>
          <w:color w:val="auto"/>
          <w:sz w:val="21"/>
          <w:highlight w:val="none"/>
          <w:u w:val="single"/>
        </w:rPr>
        <w:t xml:space="preserve">       </w:t>
      </w:r>
    </w:p>
    <w:p w14:paraId="619E53AD">
      <w:pPr>
        <w:pStyle w:val="67"/>
        <w:numPr>
          <w:ilvl w:val="255"/>
          <w:numId w:val="0"/>
        </w:numPr>
        <w:snapToGrid w:val="0"/>
        <w:rPr>
          <w:rFonts w:ascii="仿宋_GB2312" w:hAnsi="仿宋_GB2312" w:eastAsia="仿宋_GB2312" w:cs="仿宋_GB2312"/>
          <w:color w:val="auto"/>
          <w:sz w:val="21"/>
          <w:highlight w:val="none"/>
        </w:rPr>
      </w:pPr>
      <w:r>
        <w:rPr>
          <w:rFonts w:hint="eastAsia" w:ascii="仿宋_GB2312" w:hAnsi="仿宋_GB2312" w:eastAsia="仿宋_GB2312" w:cs="仿宋_GB2312"/>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2481EFF7">
      <w:pPr>
        <w:pStyle w:val="67"/>
        <w:numPr>
          <w:ilvl w:val="255"/>
          <w:numId w:val="0"/>
        </w:numPr>
        <w:snapToGrid w:val="0"/>
        <w:rPr>
          <w:rFonts w:ascii="仿宋_GB2312" w:hAnsi="仿宋_GB2312" w:eastAsia="仿宋_GB2312" w:cs="仿宋_GB2312"/>
          <w:color w:val="auto"/>
          <w:sz w:val="21"/>
          <w:highlight w:val="none"/>
        </w:rPr>
      </w:pPr>
      <w:r>
        <w:rPr>
          <w:rFonts w:hint="eastAsia" w:ascii="仿宋_GB2312" w:hAnsi="仿宋_GB2312" w:eastAsia="仿宋_GB2312" w:cs="仿宋_GB2312"/>
          <w:color w:val="auto"/>
          <w:sz w:val="21"/>
          <w:highlight w:val="none"/>
        </w:rPr>
        <w:t xml:space="preserve">         ②涉及车辆采购，请填写是否属于新能源汽车：</w:t>
      </w:r>
    </w:p>
    <w:p w14:paraId="701AD9EC">
      <w:pPr>
        <w:pStyle w:val="67"/>
        <w:numPr>
          <w:ilvl w:val="255"/>
          <w:numId w:val="0"/>
        </w:numPr>
        <w:snapToGrid w:val="0"/>
        <w:rPr>
          <w:rFonts w:ascii="仿宋_GB2312" w:hAnsi="仿宋_GB2312" w:eastAsia="仿宋_GB2312" w:cs="仿宋_GB2312"/>
          <w:color w:val="auto"/>
          <w:sz w:val="21"/>
          <w:highlight w:val="none"/>
        </w:rPr>
      </w:pPr>
      <w:r>
        <w:rPr>
          <w:rFonts w:hint="eastAsia" w:ascii="仿宋_GB2312" w:hAnsi="仿宋_GB2312" w:eastAsia="仿宋_GB2312" w:cs="仿宋_GB2312"/>
          <w:color w:val="auto"/>
          <w:sz w:val="21"/>
          <w:highlight w:val="none"/>
        </w:rPr>
        <w:t xml:space="preserve">         </w:t>
      </w:r>
      <w:r>
        <w:rPr>
          <w:rFonts w:hint="eastAsia" w:ascii="仿宋_GB2312" w:hAnsi="仿宋_GB2312" w:eastAsia="仿宋_GB2312" w:cs="仿宋_GB2312"/>
          <w:color w:val="auto"/>
          <w:sz w:val="21"/>
          <w:highlight w:val="none"/>
        </w:rPr>
        <w:sym w:font="Wingdings" w:char="00A8"/>
      </w:r>
      <w:r>
        <w:rPr>
          <w:rFonts w:hint="eastAsia" w:ascii="仿宋_GB2312" w:hAnsi="仿宋_GB2312" w:eastAsia="仿宋_GB2312" w:cs="仿宋_GB2312"/>
          <w:color w:val="auto"/>
          <w:sz w:val="21"/>
          <w:highlight w:val="none"/>
        </w:rPr>
        <w:t>是，《政府采购品目分类目录》底级品目名称：</w:t>
      </w:r>
      <w:r>
        <w:rPr>
          <w:rFonts w:hint="eastAsia" w:ascii="仿宋_GB2312" w:hAnsi="仿宋_GB2312" w:eastAsia="仿宋_GB2312" w:cs="仿宋_GB2312"/>
          <w:color w:val="auto"/>
          <w:sz w:val="21"/>
          <w:highlight w:val="none"/>
          <w:u w:val="single"/>
        </w:rPr>
        <w:t xml:space="preserve">     </w:t>
      </w:r>
      <w:r>
        <w:rPr>
          <w:rFonts w:hint="eastAsia" w:ascii="仿宋_GB2312" w:hAnsi="仿宋_GB2312" w:eastAsia="仿宋_GB2312" w:cs="仿宋_GB2312"/>
          <w:color w:val="auto"/>
          <w:sz w:val="21"/>
          <w:highlight w:val="none"/>
        </w:rPr>
        <w:t xml:space="preserve"> 数量：</w:t>
      </w:r>
      <w:r>
        <w:rPr>
          <w:rFonts w:hint="eastAsia" w:ascii="仿宋_GB2312" w:hAnsi="仿宋_GB2312" w:eastAsia="仿宋_GB2312" w:cs="仿宋_GB2312"/>
          <w:color w:val="auto"/>
          <w:sz w:val="21"/>
          <w:highlight w:val="none"/>
          <w:u w:val="single"/>
        </w:rPr>
        <w:t xml:space="preserve">    </w:t>
      </w:r>
      <w:r>
        <w:rPr>
          <w:rFonts w:hint="eastAsia" w:ascii="仿宋_GB2312" w:hAnsi="仿宋_GB2312" w:eastAsia="仿宋_GB2312" w:cs="仿宋_GB2312"/>
          <w:color w:val="auto"/>
          <w:sz w:val="21"/>
          <w:highlight w:val="none"/>
        </w:rPr>
        <w:t xml:space="preserve"> 金额：</w:t>
      </w:r>
      <w:r>
        <w:rPr>
          <w:rFonts w:hint="eastAsia" w:ascii="仿宋_GB2312" w:hAnsi="仿宋_GB2312" w:eastAsia="仿宋_GB2312" w:cs="仿宋_GB2312"/>
          <w:color w:val="auto"/>
          <w:sz w:val="21"/>
          <w:highlight w:val="none"/>
          <w:u w:val="single"/>
        </w:rPr>
        <w:t xml:space="preserve">     </w:t>
      </w:r>
      <w:r>
        <w:rPr>
          <w:rFonts w:hint="eastAsia" w:ascii="仿宋_GB2312" w:hAnsi="仿宋_GB2312" w:eastAsia="仿宋_GB2312" w:cs="仿宋_GB2312"/>
          <w:color w:val="auto"/>
          <w:sz w:val="21"/>
          <w:highlight w:val="none"/>
        </w:rPr>
        <w:t xml:space="preserve"> </w:t>
      </w:r>
    </w:p>
    <w:p w14:paraId="37F46D0E">
      <w:pPr>
        <w:pStyle w:val="67"/>
        <w:numPr>
          <w:ilvl w:val="255"/>
          <w:numId w:val="0"/>
        </w:numPr>
        <w:snapToGrid w:val="0"/>
        <w:rPr>
          <w:rFonts w:ascii="仿宋_GB2312" w:hAnsi="仿宋_GB2312" w:eastAsia="仿宋_GB2312" w:cs="仿宋_GB2312"/>
          <w:color w:val="auto"/>
          <w:sz w:val="21"/>
          <w:highlight w:val="none"/>
        </w:rPr>
      </w:pPr>
      <w:r>
        <w:rPr>
          <w:rFonts w:hint="eastAsia" w:ascii="仿宋_GB2312" w:hAnsi="仿宋_GB2312" w:eastAsia="仿宋_GB2312" w:cs="仿宋_GB2312"/>
          <w:color w:val="auto"/>
          <w:sz w:val="21"/>
          <w:highlight w:val="none"/>
        </w:rPr>
        <w:t xml:space="preserve">         </w:t>
      </w:r>
      <w:r>
        <w:rPr>
          <w:rFonts w:hint="eastAsia" w:ascii="仿宋_GB2312" w:hAnsi="仿宋_GB2312" w:eastAsia="仿宋_GB2312" w:cs="仿宋_GB2312"/>
          <w:color w:val="auto"/>
          <w:sz w:val="21"/>
          <w:highlight w:val="none"/>
        </w:rPr>
        <w:sym w:font="Wingdings" w:char="00A8"/>
      </w:r>
      <w:r>
        <w:rPr>
          <w:rFonts w:hint="eastAsia" w:ascii="仿宋_GB2312" w:hAnsi="仿宋_GB2312" w:eastAsia="仿宋_GB2312" w:cs="仿宋_GB2312"/>
          <w:color w:val="auto"/>
          <w:sz w:val="21"/>
          <w:highlight w:val="none"/>
        </w:rPr>
        <w:t>否</w:t>
      </w:r>
    </w:p>
    <w:p w14:paraId="16AA47BE">
      <w:pPr>
        <w:pStyle w:val="67"/>
        <w:numPr>
          <w:ilvl w:val="255"/>
          <w:numId w:val="0"/>
        </w:numPr>
        <w:snapToGrid w:val="0"/>
        <w:rPr>
          <w:rFonts w:ascii="仿宋_GB2312" w:hAnsi="仿宋_GB2312" w:eastAsia="仿宋_GB2312" w:cs="仿宋_GB2312"/>
          <w:color w:val="auto"/>
          <w:sz w:val="21"/>
          <w:highlight w:val="none"/>
        </w:rPr>
      </w:pPr>
      <w:r>
        <w:rPr>
          <w:rFonts w:hint="eastAsia" w:ascii="仿宋_GB2312" w:hAnsi="仿宋_GB2312" w:eastAsia="仿宋_GB2312" w:cs="仿宋_GB2312"/>
          <w:color w:val="auto"/>
          <w:sz w:val="21"/>
          <w:highlight w:val="none"/>
        </w:rPr>
        <w:t xml:space="preserve">    （</w:t>
      </w:r>
      <w:r>
        <w:rPr>
          <w:rFonts w:hint="eastAsia" w:ascii="仿宋_GB2312" w:hAnsi="仿宋_GB2312" w:eastAsia="仿宋_GB2312" w:cs="仿宋_GB2312"/>
          <w:color w:val="auto"/>
          <w:sz w:val="21"/>
          <w:highlight w:val="none"/>
          <w:lang w:val="en"/>
        </w:rPr>
        <w:t>4</w:t>
      </w:r>
      <w:r>
        <w:rPr>
          <w:rFonts w:hint="eastAsia" w:ascii="仿宋_GB2312" w:hAnsi="仿宋_GB2312" w:eastAsia="仿宋_GB2312" w:cs="仿宋_GB2312"/>
          <w:color w:val="auto"/>
          <w:sz w:val="21"/>
          <w:highlight w:val="none"/>
        </w:rPr>
        <w:t>）政府采购组织形式：</w:t>
      </w:r>
      <w:r>
        <w:rPr>
          <w:rFonts w:hint="eastAsia" w:ascii="仿宋_GB2312" w:hAnsi="仿宋_GB2312" w:eastAsia="仿宋_GB2312" w:cs="仿宋_GB2312"/>
          <w:color w:val="auto"/>
          <w:sz w:val="21"/>
          <w:highlight w:val="none"/>
        </w:rPr>
        <w:sym w:font="Wingdings" w:char="00FE"/>
      </w:r>
      <w:r>
        <w:rPr>
          <w:rFonts w:hint="eastAsia" w:ascii="仿宋_GB2312" w:hAnsi="仿宋_GB2312" w:eastAsia="仿宋_GB2312" w:cs="仿宋_GB2312"/>
          <w:color w:val="auto"/>
          <w:sz w:val="21"/>
          <w:highlight w:val="none"/>
        </w:rPr>
        <w:t xml:space="preserve">政府集中采购  </w:t>
      </w:r>
      <w:r>
        <w:rPr>
          <w:rFonts w:hint="eastAsia" w:ascii="仿宋_GB2312" w:hAnsi="仿宋_GB2312" w:eastAsia="仿宋_GB2312" w:cs="仿宋_GB2312"/>
          <w:color w:val="auto"/>
          <w:sz w:val="21"/>
          <w:highlight w:val="none"/>
        </w:rPr>
        <w:sym w:font="Wingdings" w:char="00A8"/>
      </w:r>
      <w:r>
        <w:rPr>
          <w:rFonts w:hint="eastAsia" w:ascii="仿宋_GB2312" w:hAnsi="仿宋_GB2312" w:eastAsia="仿宋_GB2312" w:cs="仿宋_GB2312"/>
          <w:color w:val="auto"/>
          <w:sz w:val="21"/>
          <w:highlight w:val="none"/>
        </w:rPr>
        <w:t xml:space="preserve">部门集中采购  </w:t>
      </w:r>
      <w:r>
        <w:rPr>
          <w:rFonts w:hint="eastAsia" w:ascii="仿宋_GB2312" w:hAnsi="仿宋_GB2312" w:eastAsia="仿宋_GB2312" w:cs="仿宋_GB2312"/>
          <w:color w:val="auto"/>
          <w:sz w:val="21"/>
          <w:highlight w:val="none"/>
        </w:rPr>
        <w:sym w:font="Wingdings" w:char="00A8"/>
      </w:r>
      <w:r>
        <w:rPr>
          <w:rFonts w:hint="eastAsia" w:ascii="仿宋_GB2312" w:hAnsi="仿宋_GB2312" w:eastAsia="仿宋_GB2312" w:cs="仿宋_GB2312"/>
          <w:color w:val="auto"/>
          <w:sz w:val="21"/>
          <w:highlight w:val="none"/>
        </w:rPr>
        <w:t>分散采购</w:t>
      </w:r>
    </w:p>
    <w:p w14:paraId="59CD86AB">
      <w:pPr>
        <w:pStyle w:val="67"/>
        <w:numPr>
          <w:ilvl w:val="255"/>
          <w:numId w:val="0"/>
        </w:numPr>
        <w:snapToGrid w:val="0"/>
        <w:ind w:firstLine="420"/>
        <w:rPr>
          <w:rFonts w:ascii="仿宋_GB2312" w:hAnsi="仿宋_GB2312" w:eastAsia="仿宋_GB2312" w:cs="仿宋_GB2312"/>
          <w:color w:val="auto"/>
          <w:sz w:val="21"/>
          <w:highlight w:val="none"/>
        </w:rPr>
      </w:pPr>
      <w:r>
        <w:rPr>
          <w:rFonts w:hint="eastAsia" w:ascii="仿宋_GB2312" w:hAnsi="仿宋_GB2312" w:eastAsia="仿宋_GB2312" w:cs="仿宋_GB2312"/>
          <w:color w:val="auto"/>
          <w:sz w:val="21"/>
          <w:highlight w:val="none"/>
        </w:rPr>
        <w:t>（</w:t>
      </w:r>
      <w:r>
        <w:rPr>
          <w:rFonts w:hint="eastAsia" w:ascii="仿宋_GB2312" w:hAnsi="仿宋_GB2312" w:eastAsia="仿宋_GB2312" w:cs="仿宋_GB2312"/>
          <w:color w:val="auto"/>
          <w:sz w:val="21"/>
          <w:highlight w:val="none"/>
          <w:lang w:val="en"/>
        </w:rPr>
        <w:t>5</w:t>
      </w:r>
      <w:r>
        <w:rPr>
          <w:rFonts w:hint="eastAsia" w:ascii="仿宋_GB2312" w:hAnsi="仿宋_GB2312" w:eastAsia="仿宋_GB2312" w:cs="仿宋_GB2312"/>
          <w:color w:val="auto"/>
          <w:sz w:val="21"/>
          <w:highlight w:val="none"/>
        </w:rPr>
        <w:t>）政府采购方式：</w:t>
      </w:r>
      <w:r>
        <w:rPr>
          <w:rFonts w:hint="eastAsia" w:ascii="仿宋_GB2312" w:hAnsi="仿宋_GB2312" w:eastAsia="仿宋_GB2312" w:cs="仿宋_GB2312"/>
          <w:color w:val="auto"/>
          <w:sz w:val="21"/>
          <w:highlight w:val="none"/>
        </w:rPr>
        <w:sym w:font="Wingdings" w:char="00FE"/>
      </w:r>
      <w:r>
        <w:rPr>
          <w:rFonts w:hint="eastAsia" w:ascii="仿宋_GB2312" w:hAnsi="仿宋_GB2312" w:eastAsia="仿宋_GB2312" w:cs="仿宋_GB2312"/>
          <w:color w:val="auto"/>
          <w:sz w:val="21"/>
          <w:highlight w:val="none"/>
        </w:rPr>
        <w:t xml:space="preserve">公开招标 </w:t>
      </w:r>
      <w:r>
        <w:rPr>
          <w:rFonts w:hint="eastAsia" w:ascii="仿宋_GB2312" w:hAnsi="仿宋_GB2312" w:eastAsia="仿宋_GB2312" w:cs="仿宋_GB2312"/>
          <w:color w:val="auto"/>
          <w:sz w:val="21"/>
          <w:highlight w:val="none"/>
        </w:rPr>
        <w:sym w:font="Wingdings" w:char="00A8"/>
      </w:r>
      <w:r>
        <w:rPr>
          <w:rFonts w:hint="eastAsia" w:ascii="仿宋_GB2312" w:hAnsi="仿宋_GB2312" w:eastAsia="仿宋_GB2312" w:cs="仿宋_GB2312"/>
          <w:color w:val="auto"/>
          <w:sz w:val="21"/>
          <w:highlight w:val="none"/>
        </w:rPr>
        <w:t xml:space="preserve">邀请招标 </w:t>
      </w:r>
      <w:r>
        <w:rPr>
          <w:rFonts w:hint="eastAsia" w:ascii="仿宋_GB2312" w:hAnsi="仿宋_GB2312" w:eastAsia="仿宋_GB2312" w:cs="仿宋_GB2312"/>
          <w:color w:val="auto"/>
          <w:sz w:val="21"/>
          <w:highlight w:val="none"/>
        </w:rPr>
        <w:sym w:font="Wingdings" w:char="00A8"/>
      </w:r>
      <w:r>
        <w:rPr>
          <w:rFonts w:hint="eastAsia" w:ascii="仿宋_GB2312" w:hAnsi="仿宋_GB2312" w:eastAsia="仿宋_GB2312" w:cs="仿宋_GB2312"/>
          <w:color w:val="auto"/>
          <w:sz w:val="21"/>
          <w:highlight w:val="none"/>
        </w:rPr>
        <w:t xml:space="preserve">竞争性谈判 </w:t>
      </w:r>
      <w:r>
        <w:rPr>
          <w:rFonts w:hint="eastAsia" w:ascii="仿宋_GB2312" w:hAnsi="仿宋_GB2312" w:eastAsia="仿宋_GB2312" w:cs="仿宋_GB2312"/>
          <w:color w:val="auto"/>
          <w:sz w:val="21"/>
          <w:highlight w:val="none"/>
        </w:rPr>
        <w:sym w:font="Wingdings" w:char="00A8"/>
      </w:r>
      <w:r>
        <w:rPr>
          <w:rFonts w:hint="eastAsia" w:ascii="仿宋_GB2312" w:hAnsi="仿宋_GB2312" w:eastAsia="仿宋_GB2312" w:cs="仿宋_GB2312"/>
          <w:color w:val="auto"/>
          <w:sz w:val="21"/>
          <w:highlight w:val="none"/>
        </w:rPr>
        <w:t>竞争性磋商</w:t>
      </w:r>
    </w:p>
    <w:p w14:paraId="0E7789C7">
      <w:pPr>
        <w:pStyle w:val="67"/>
        <w:numPr>
          <w:ilvl w:val="255"/>
          <w:numId w:val="0"/>
        </w:numPr>
        <w:snapToGrid w:val="0"/>
        <w:ind w:firstLine="420"/>
        <w:rPr>
          <w:rFonts w:ascii="仿宋_GB2312" w:hAnsi="仿宋_GB2312" w:eastAsia="仿宋_GB2312" w:cs="仿宋_GB2312"/>
          <w:color w:val="auto"/>
          <w:sz w:val="21"/>
          <w:highlight w:val="none"/>
          <w:u w:val="single"/>
        </w:rPr>
      </w:pPr>
      <w:r>
        <w:rPr>
          <w:rFonts w:hint="eastAsia" w:ascii="仿宋_GB2312" w:hAnsi="仿宋_GB2312" w:eastAsia="仿宋_GB2312" w:cs="仿宋_GB2312"/>
          <w:color w:val="auto"/>
          <w:sz w:val="21"/>
          <w:highlight w:val="none"/>
        </w:rPr>
        <w:t xml:space="preserve">                  </w:t>
      </w:r>
      <w:r>
        <w:rPr>
          <w:rFonts w:hint="eastAsia" w:ascii="仿宋_GB2312" w:hAnsi="仿宋_GB2312" w:eastAsia="仿宋_GB2312" w:cs="仿宋_GB2312"/>
          <w:color w:val="auto"/>
          <w:sz w:val="21"/>
          <w:highlight w:val="none"/>
        </w:rPr>
        <w:sym w:font="Wingdings" w:char="00A8"/>
      </w:r>
      <w:r>
        <w:rPr>
          <w:rFonts w:hint="eastAsia" w:ascii="仿宋_GB2312" w:hAnsi="仿宋_GB2312" w:eastAsia="仿宋_GB2312" w:cs="仿宋_GB2312"/>
          <w:color w:val="auto"/>
          <w:sz w:val="21"/>
          <w:highlight w:val="none"/>
        </w:rPr>
        <w:t xml:space="preserve">询价 </w:t>
      </w:r>
      <w:r>
        <w:rPr>
          <w:rFonts w:hint="eastAsia" w:ascii="仿宋_GB2312" w:hAnsi="仿宋_GB2312" w:eastAsia="仿宋_GB2312" w:cs="仿宋_GB2312"/>
          <w:color w:val="auto"/>
          <w:sz w:val="21"/>
          <w:highlight w:val="none"/>
        </w:rPr>
        <w:sym w:font="Wingdings" w:char="00A8"/>
      </w:r>
      <w:r>
        <w:rPr>
          <w:rFonts w:hint="eastAsia" w:ascii="仿宋_GB2312" w:hAnsi="仿宋_GB2312" w:eastAsia="仿宋_GB2312" w:cs="仿宋_GB2312"/>
          <w:color w:val="auto"/>
          <w:sz w:val="21"/>
          <w:highlight w:val="none"/>
        </w:rPr>
        <w:t xml:space="preserve">单一来源 </w:t>
      </w:r>
      <w:r>
        <w:rPr>
          <w:rFonts w:hint="eastAsia" w:ascii="仿宋_GB2312" w:hAnsi="仿宋_GB2312" w:eastAsia="仿宋_GB2312" w:cs="仿宋_GB2312"/>
          <w:color w:val="auto"/>
          <w:sz w:val="21"/>
          <w:highlight w:val="none"/>
        </w:rPr>
        <w:sym w:font="Wingdings" w:char="00A8"/>
      </w:r>
      <w:r>
        <w:rPr>
          <w:rFonts w:hint="eastAsia" w:ascii="仿宋_GB2312" w:hAnsi="仿宋_GB2312" w:eastAsia="仿宋_GB2312" w:cs="仿宋_GB2312"/>
          <w:color w:val="auto"/>
          <w:sz w:val="21"/>
          <w:highlight w:val="none"/>
        </w:rPr>
        <w:t xml:space="preserve">框架协议 </w:t>
      </w:r>
      <w:r>
        <w:rPr>
          <w:rFonts w:hint="eastAsia" w:ascii="仿宋_GB2312" w:hAnsi="仿宋_GB2312" w:eastAsia="仿宋_GB2312" w:cs="仿宋_GB2312"/>
          <w:color w:val="auto"/>
          <w:sz w:val="21"/>
          <w:highlight w:val="none"/>
        </w:rPr>
        <w:sym w:font="Wingdings" w:char="00A8"/>
      </w:r>
      <w:r>
        <w:rPr>
          <w:rFonts w:hint="eastAsia" w:ascii="仿宋_GB2312" w:hAnsi="仿宋_GB2312" w:eastAsia="仿宋_GB2312" w:cs="仿宋_GB2312"/>
          <w:color w:val="auto"/>
          <w:sz w:val="21"/>
          <w:highlight w:val="none"/>
        </w:rPr>
        <w:t>其他：</w:t>
      </w:r>
      <w:r>
        <w:rPr>
          <w:rFonts w:hint="eastAsia" w:ascii="仿宋_GB2312" w:hAnsi="仿宋_GB2312" w:eastAsia="仿宋_GB2312" w:cs="仿宋_GB2312"/>
          <w:color w:val="auto"/>
          <w:sz w:val="21"/>
          <w:highlight w:val="none"/>
          <w:u w:val="single"/>
        </w:rPr>
        <w:t xml:space="preserve">          </w:t>
      </w:r>
    </w:p>
    <w:p w14:paraId="5B52D744">
      <w:pPr>
        <w:pStyle w:val="67"/>
        <w:numPr>
          <w:ilvl w:val="255"/>
          <w:numId w:val="0"/>
        </w:numPr>
        <w:snapToGrid w:val="0"/>
        <w:ind w:firstLine="420"/>
        <w:rPr>
          <w:rFonts w:ascii="仿宋_GB2312" w:hAnsi="仿宋_GB2312" w:eastAsia="仿宋_GB2312" w:cs="仿宋_GB2312"/>
          <w:color w:val="auto"/>
          <w:sz w:val="21"/>
          <w:highlight w:val="none"/>
        </w:rPr>
      </w:pPr>
      <w:r>
        <w:rPr>
          <w:rFonts w:hint="eastAsia" w:ascii="仿宋_GB2312" w:hAnsi="仿宋_GB2312" w:eastAsia="仿宋_GB2312" w:cs="仿宋_GB2312"/>
          <w:color w:val="auto"/>
          <w:sz w:val="21"/>
          <w:highlight w:val="none"/>
        </w:rPr>
        <w:t>（注：在框架协议采购的第二阶段，可选择使用该合同文本）</w:t>
      </w:r>
    </w:p>
    <w:p w14:paraId="62CFACA7">
      <w:pPr>
        <w:pStyle w:val="67"/>
        <w:numPr>
          <w:ilvl w:val="255"/>
          <w:numId w:val="0"/>
        </w:numPr>
        <w:snapToGrid w:val="0"/>
        <w:ind w:firstLine="210" w:firstLineChars="100"/>
        <w:rPr>
          <w:rFonts w:ascii="仿宋_GB2312" w:hAnsi="仿宋_GB2312" w:eastAsia="仿宋_GB2312" w:cs="仿宋_GB2312"/>
          <w:color w:val="auto"/>
          <w:kern w:val="2"/>
          <w:sz w:val="21"/>
          <w:highlight w:val="none"/>
        </w:rPr>
      </w:pPr>
      <w:r>
        <w:rPr>
          <w:rFonts w:hint="eastAsia" w:ascii="仿宋_GB2312" w:hAnsi="仿宋_GB2312" w:eastAsia="仿宋_GB2312" w:cs="仿宋_GB2312"/>
          <w:color w:val="auto"/>
          <w:sz w:val="21"/>
          <w:highlight w:val="none"/>
        </w:rPr>
        <w:t xml:space="preserve"> （</w:t>
      </w:r>
      <w:r>
        <w:rPr>
          <w:rFonts w:hint="eastAsia" w:ascii="仿宋_GB2312" w:hAnsi="仿宋_GB2312" w:eastAsia="仿宋_GB2312" w:cs="仿宋_GB2312"/>
          <w:color w:val="auto"/>
          <w:sz w:val="21"/>
          <w:highlight w:val="none"/>
          <w:lang w:val="en"/>
        </w:rPr>
        <w:t>6</w:t>
      </w:r>
      <w:r>
        <w:rPr>
          <w:rFonts w:hint="eastAsia" w:ascii="仿宋_GB2312" w:hAnsi="仿宋_GB2312" w:eastAsia="仿宋_GB2312" w:cs="仿宋_GB2312"/>
          <w:color w:val="auto"/>
          <w:sz w:val="21"/>
          <w:highlight w:val="none"/>
        </w:rPr>
        <w:t>）</w:t>
      </w:r>
      <w:r>
        <w:rPr>
          <w:rFonts w:hint="eastAsia" w:ascii="仿宋_GB2312" w:hAnsi="仿宋_GB2312" w:eastAsia="仿宋_GB2312" w:cs="仿宋_GB2312"/>
          <w:color w:val="auto"/>
          <w:kern w:val="2"/>
          <w:sz w:val="21"/>
          <w:highlight w:val="none"/>
        </w:rPr>
        <w:t>中标（成交）采购标的制造商是否为中小企业：</w:t>
      </w:r>
      <w:r>
        <w:rPr>
          <w:rFonts w:hint="eastAsia" w:ascii="仿宋_GB2312" w:hAnsi="仿宋_GB2312" w:eastAsia="仿宋_GB2312" w:cs="仿宋_GB2312"/>
          <w:color w:val="auto"/>
          <w:kern w:val="2"/>
          <w:sz w:val="21"/>
          <w:highlight w:val="none"/>
        </w:rPr>
        <w:sym w:font="Wingdings" w:char="00A8"/>
      </w:r>
      <w:r>
        <w:rPr>
          <w:rFonts w:hint="eastAsia" w:ascii="仿宋_GB2312" w:hAnsi="仿宋_GB2312" w:eastAsia="仿宋_GB2312" w:cs="仿宋_GB2312"/>
          <w:color w:val="auto"/>
          <w:kern w:val="2"/>
          <w:sz w:val="21"/>
          <w:highlight w:val="none"/>
        </w:rPr>
        <w:t xml:space="preserve">是      </w:t>
      </w:r>
      <w:r>
        <w:rPr>
          <w:rFonts w:hint="eastAsia" w:ascii="仿宋_GB2312" w:hAnsi="仿宋_GB2312" w:eastAsia="仿宋_GB2312" w:cs="仿宋_GB2312"/>
          <w:color w:val="auto"/>
          <w:kern w:val="2"/>
          <w:sz w:val="21"/>
          <w:highlight w:val="none"/>
        </w:rPr>
        <w:sym w:font="Wingdings" w:char="00A8"/>
      </w:r>
      <w:r>
        <w:rPr>
          <w:rFonts w:hint="eastAsia" w:ascii="仿宋_GB2312" w:hAnsi="仿宋_GB2312" w:eastAsia="仿宋_GB2312" w:cs="仿宋_GB2312"/>
          <w:color w:val="auto"/>
          <w:kern w:val="2"/>
          <w:sz w:val="21"/>
          <w:highlight w:val="none"/>
        </w:rPr>
        <w:t>否</w:t>
      </w:r>
    </w:p>
    <w:p w14:paraId="1696BCA2">
      <w:pPr>
        <w:numPr>
          <w:ilvl w:val="255"/>
          <w:numId w:val="0"/>
        </w:numPr>
        <w:adjustRightInd w:val="0"/>
        <w:snapToGrid w:val="0"/>
        <w:spacing w:line="400" w:lineRule="exact"/>
        <w:rPr>
          <w:rFonts w:ascii="仿宋_GB2312" w:hAnsi="仿宋_GB2312" w:eastAsia="仿宋_GB2312" w:cs="仿宋_GB2312"/>
          <w:iCs/>
          <w:color w:val="auto"/>
          <w:szCs w:val="21"/>
          <w:highlight w:val="none"/>
        </w:rPr>
      </w:pPr>
      <w:r>
        <w:rPr>
          <w:rFonts w:hint="eastAsia" w:ascii="仿宋_GB2312" w:hAnsi="仿宋_GB2312" w:eastAsia="仿宋_GB2312" w:cs="仿宋_GB2312"/>
          <w:color w:val="auto"/>
          <w:szCs w:val="21"/>
          <w:highlight w:val="none"/>
        </w:rPr>
        <w:t xml:space="preserve">         本合同是否为专门面向中小企业的采购合同（中小企业预留合同）：</w:t>
      </w:r>
      <w:r>
        <w:rPr>
          <w:rFonts w:hint="eastAsia" w:ascii="仿宋_GB2312" w:hAnsi="仿宋_GB2312" w:eastAsia="仿宋_GB2312" w:cs="仿宋_GB2312"/>
          <w:iCs/>
          <w:color w:val="auto"/>
          <w:szCs w:val="21"/>
          <w:highlight w:val="none"/>
        </w:rPr>
        <w:sym w:font="Wingdings" w:char="00FE"/>
      </w:r>
      <w:r>
        <w:rPr>
          <w:rFonts w:hint="eastAsia" w:ascii="仿宋_GB2312" w:hAnsi="仿宋_GB2312" w:eastAsia="仿宋_GB2312" w:cs="仿宋_GB2312"/>
          <w:iCs/>
          <w:color w:val="auto"/>
          <w:szCs w:val="21"/>
          <w:highlight w:val="none"/>
        </w:rPr>
        <w:t xml:space="preserve">是    </w:t>
      </w:r>
      <w:r>
        <w:rPr>
          <w:rFonts w:hint="eastAsia" w:ascii="仿宋_GB2312" w:hAnsi="仿宋_GB2312" w:eastAsia="仿宋_GB2312" w:cs="仿宋_GB2312"/>
          <w:iCs/>
          <w:color w:val="auto"/>
          <w:szCs w:val="21"/>
          <w:highlight w:val="none"/>
        </w:rPr>
        <w:sym w:font="Wingdings" w:char="00A8"/>
      </w:r>
      <w:r>
        <w:rPr>
          <w:rFonts w:hint="eastAsia" w:ascii="仿宋_GB2312" w:hAnsi="仿宋_GB2312" w:eastAsia="仿宋_GB2312" w:cs="仿宋_GB2312"/>
          <w:iCs/>
          <w:color w:val="auto"/>
          <w:szCs w:val="21"/>
          <w:highlight w:val="none"/>
        </w:rPr>
        <w:t>否</w:t>
      </w:r>
    </w:p>
    <w:p w14:paraId="08C0D099">
      <w:pPr>
        <w:numPr>
          <w:ilvl w:val="255"/>
          <w:numId w:val="0"/>
        </w:numPr>
        <w:adjustRightInd w:val="0"/>
        <w:snapToGrid w:val="0"/>
        <w:spacing w:line="400" w:lineRule="exact"/>
        <w:rPr>
          <w:rFonts w:ascii="仿宋_GB2312" w:hAnsi="仿宋_GB2312" w:eastAsia="仿宋_GB2312" w:cs="仿宋_GB2312"/>
          <w:iCs/>
          <w:color w:val="auto"/>
          <w:szCs w:val="21"/>
          <w:highlight w:val="none"/>
        </w:rPr>
      </w:pPr>
      <w:r>
        <w:rPr>
          <w:rFonts w:hint="eastAsia" w:ascii="仿宋_GB2312" w:hAnsi="仿宋_GB2312" w:eastAsia="仿宋_GB2312" w:cs="仿宋_GB2312"/>
          <w:color w:val="auto"/>
          <w:szCs w:val="21"/>
          <w:highlight w:val="none"/>
        </w:rPr>
        <w:t xml:space="preserve">         若本项目不专门面向中小企业采购，是否给予小微企业评审优惠：</w:t>
      </w:r>
      <w:r>
        <w:rPr>
          <w:rFonts w:hint="eastAsia" w:ascii="仿宋_GB2312" w:hAnsi="仿宋_GB2312" w:eastAsia="仿宋_GB2312" w:cs="仿宋_GB2312"/>
          <w:iCs/>
          <w:color w:val="auto"/>
          <w:szCs w:val="21"/>
          <w:highlight w:val="none"/>
        </w:rPr>
        <w:sym w:font="Wingdings" w:char="00A8"/>
      </w:r>
      <w:r>
        <w:rPr>
          <w:rFonts w:hint="eastAsia" w:ascii="仿宋_GB2312" w:hAnsi="仿宋_GB2312" w:eastAsia="仿宋_GB2312" w:cs="仿宋_GB2312"/>
          <w:iCs/>
          <w:color w:val="auto"/>
          <w:szCs w:val="21"/>
          <w:highlight w:val="none"/>
        </w:rPr>
        <w:t xml:space="preserve">是   </w:t>
      </w:r>
      <w:r>
        <w:rPr>
          <w:rFonts w:hint="eastAsia" w:ascii="仿宋_GB2312" w:hAnsi="仿宋_GB2312" w:eastAsia="仿宋_GB2312" w:cs="仿宋_GB2312"/>
          <w:iCs/>
          <w:color w:val="auto"/>
          <w:szCs w:val="21"/>
          <w:highlight w:val="none"/>
        </w:rPr>
        <w:sym w:font="Wingdings" w:char="00A8"/>
      </w:r>
      <w:r>
        <w:rPr>
          <w:rFonts w:hint="eastAsia" w:ascii="仿宋_GB2312" w:hAnsi="仿宋_GB2312" w:eastAsia="仿宋_GB2312" w:cs="仿宋_GB2312"/>
          <w:iCs/>
          <w:color w:val="auto"/>
          <w:szCs w:val="21"/>
          <w:highlight w:val="none"/>
        </w:rPr>
        <w:t>否</w:t>
      </w:r>
    </w:p>
    <w:p w14:paraId="24026740">
      <w:pPr>
        <w:numPr>
          <w:ilvl w:val="255"/>
          <w:numId w:val="0"/>
        </w:numPr>
        <w:adjustRightInd w:val="0"/>
        <w:snapToGrid w:val="0"/>
        <w:spacing w:line="400" w:lineRule="exact"/>
        <w:rPr>
          <w:rFonts w:ascii="仿宋_GB2312" w:hAnsi="仿宋_GB2312" w:eastAsia="仿宋_GB2312" w:cs="仿宋_GB2312"/>
          <w:iCs/>
          <w:color w:val="auto"/>
          <w:szCs w:val="21"/>
          <w:highlight w:val="none"/>
        </w:rPr>
      </w:pPr>
      <w:r>
        <w:rPr>
          <w:rFonts w:hint="eastAsia" w:ascii="仿宋_GB2312" w:hAnsi="仿宋_GB2312" w:eastAsia="仿宋_GB2312" w:cs="仿宋_GB2312"/>
          <w:color w:val="auto"/>
          <w:szCs w:val="21"/>
          <w:highlight w:val="none"/>
        </w:rPr>
        <w:t xml:space="preserve">         中标（成交）采购标的制造商是否为残疾人福利性单位：</w:t>
      </w:r>
      <w:r>
        <w:rPr>
          <w:rFonts w:hint="eastAsia" w:ascii="仿宋_GB2312" w:hAnsi="仿宋_GB2312" w:eastAsia="仿宋_GB2312" w:cs="仿宋_GB2312"/>
          <w:iCs/>
          <w:color w:val="auto"/>
          <w:szCs w:val="21"/>
          <w:highlight w:val="none"/>
        </w:rPr>
        <w:sym w:font="Wingdings" w:char="00A8"/>
      </w:r>
      <w:r>
        <w:rPr>
          <w:rFonts w:hint="eastAsia" w:ascii="仿宋_GB2312" w:hAnsi="仿宋_GB2312" w:eastAsia="仿宋_GB2312" w:cs="仿宋_GB2312"/>
          <w:iCs/>
          <w:color w:val="auto"/>
          <w:szCs w:val="21"/>
          <w:highlight w:val="none"/>
        </w:rPr>
        <w:t xml:space="preserve">是   </w:t>
      </w:r>
      <w:r>
        <w:rPr>
          <w:rFonts w:hint="eastAsia" w:ascii="仿宋_GB2312" w:hAnsi="仿宋_GB2312" w:eastAsia="仿宋_GB2312" w:cs="仿宋_GB2312"/>
          <w:iCs/>
          <w:color w:val="auto"/>
          <w:szCs w:val="21"/>
          <w:highlight w:val="none"/>
        </w:rPr>
        <w:sym w:font="Wingdings" w:char="00A8"/>
      </w:r>
      <w:r>
        <w:rPr>
          <w:rFonts w:hint="eastAsia" w:ascii="仿宋_GB2312" w:hAnsi="仿宋_GB2312" w:eastAsia="仿宋_GB2312" w:cs="仿宋_GB2312"/>
          <w:iCs/>
          <w:color w:val="auto"/>
          <w:szCs w:val="21"/>
          <w:highlight w:val="none"/>
        </w:rPr>
        <w:t>否</w:t>
      </w:r>
    </w:p>
    <w:p w14:paraId="401BDA8A">
      <w:pPr>
        <w:snapToGrid w:val="0"/>
        <w:spacing w:line="400" w:lineRule="exac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中标（成交）采购标的制造商是否为监狱企业：</w:t>
      </w:r>
      <w:r>
        <w:rPr>
          <w:rFonts w:hint="eastAsia" w:ascii="仿宋_GB2312" w:hAnsi="仿宋_GB2312" w:eastAsia="仿宋_GB2312" w:cs="仿宋_GB2312"/>
          <w:iCs/>
          <w:color w:val="auto"/>
          <w:szCs w:val="21"/>
          <w:highlight w:val="none"/>
        </w:rPr>
        <w:sym w:font="Wingdings" w:char="00A8"/>
      </w:r>
      <w:r>
        <w:rPr>
          <w:rFonts w:hint="eastAsia" w:ascii="仿宋_GB2312" w:hAnsi="仿宋_GB2312" w:eastAsia="仿宋_GB2312" w:cs="仿宋_GB2312"/>
          <w:iCs/>
          <w:color w:val="auto"/>
          <w:szCs w:val="21"/>
          <w:highlight w:val="none"/>
        </w:rPr>
        <w:t xml:space="preserve">是       </w:t>
      </w:r>
      <w:r>
        <w:rPr>
          <w:rFonts w:hint="eastAsia" w:ascii="仿宋_GB2312" w:hAnsi="仿宋_GB2312" w:eastAsia="仿宋_GB2312" w:cs="仿宋_GB2312"/>
          <w:iCs/>
          <w:color w:val="auto"/>
          <w:szCs w:val="21"/>
          <w:highlight w:val="none"/>
        </w:rPr>
        <w:sym w:font="Wingdings" w:char="00A8"/>
      </w:r>
      <w:r>
        <w:rPr>
          <w:rFonts w:hint="eastAsia" w:ascii="仿宋_GB2312" w:hAnsi="仿宋_GB2312" w:eastAsia="仿宋_GB2312" w:cs="仿宋_GB2312"/>
          <w:iCs/>
          <w:color w:val="auto"/>
          <w:szCs w:val="21"/>
          <w:highlight w:val="none"/>
        </w:rPr>
        <w:t>否</w:t>
      </w:r>
    </w:p>
    <w:p w14:paraId="11CAC1B8">
      <w:pPr>
        <w:adjustRightInd w:val="0"/>
        <w:snapToGrid w:val="0"/>
        <w:spacing w:line="400" w:lineRule="exact"/>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color w:val="auto"/>
          <w:szCs w:val="21"/>
          <w:highlight w:val="none"/>
          <w:lang w:val="en"/>
        </w:rPr>
        <w:t>7</w:t>
      </w:r>
      <w:r>
        <w:rPr>
          <w:rFonts w:hint="eastAsia" w:ascii="仿宋_GB2312" w:hAnsi="仿宋_GB2312" w:eastAsia="仿宋_GB2312" w:cs="仿宋_GB2312"/>
          <w:color w:val="auto"/>
          <w:szCs w:val="21"/>
          <w:highlight w:val="none"/>
        </w:rPr>
        <w:t>）合同是否分包：</w:t>
      </w:r>
      <w:r>
        <w:rPr>
          <w:rFonts w:hint="eastAsia" w:ascii="仿宋_GB2312" w:hAnsi="仿宋_GB2312" w:eastAsia="仿宋_GB2312" w:cs="仿宋_GB2312"/>
          <w:iCs/>
          <w:color w:val="auto"/>
          <w:szCs w:val="21"/>
          <w:highlight w:val="none"/>
        </w:rPr>
        <w:sym w:font="Wingdings" w:char="00A8"/>
      </w:r>
      <w:r>
        <w:rPr>
          <w:rFonts w:hint="eastAsia" w:ascii="仿宋_GB2312" w:hAnsi="仿宋_GB2312" w:eastAsia="仿宋_GB2312" w:cs="仿宋_GB2312"/>
          <w:iCs/>
          <w:color w:val="auto"/>
          <w:szCs w:val="21"/>
          <w:highlight w:val="none"/>
        </w:rPr>
        <w:t xml:space="preserve">是       </w:t>
      </w:r>
      <w:r>
        <w:rPr>
          <w:rFonts w:hint="eastAsia" w:ascii="仿宋_GB2312" w:hAnsi="仿宋_GB2312" w:eastAsia="仿宋_GB2312" w:cs="仿宋_GB2312"/>
          <w:iCs/>
          <w:color w:val="auto"/>
          <w:szCs w:val="21"/>
          <w:highlight w:val="none"/>
        </w:rPr>
        <w:sym w:font="Wingdings" w:char="00FE"/>
      </w:r>
      <w:r>
        <w:rPr>
          <w:rFonts w:hint="eastAsia" w:ascii="仿宋_GB2312" w:hAnsi="仿宋_GB2312" w:eastAsia="仿宋_GB2312" w:cs="仿宋_GB2312"/>
          <w:iCs/>
          <w:color w:val="auto"/>
          <w:szCs w:val="21"/>
          <w:highlight w:val="none"/>
        </w:rPr>
        <w:t>否</w:t>
      </w:r>
    </w:p>
    <w:p w14:paraId="26FDC867">
      <w:pPr>
        <w:adjustRightInd w:val="0"/>
        <w:snapToGrid w:val="0"/>
        <w:spacing w:line="400" w:lineRule="exact"/>
        <w:ind w:firstLine="840" w:firstLineChars="40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 xml:space="preserve"> 分包主要内容：</w:t>
      </w:r>
      <w:r>
        <w:rPr>
          <w:rFonts w:hint="eastAsia" w:ascii="仿宋_GB2312" w:hAnsi="仿宋_GB2312" w:eastAsia="仿宋_GB2312" w:cs="仿宋_GB2312"/>
          <w:color w:val="auto"/>
          <w:szCs w:val="21"/>
          <w:highlight w:val="none"/>
          <w:u w:val="single"/>
        </w:rPr>
        <w:t xml:space="preserve">                                            </w:t>
      </w:r>
    </w:p>
    <w:p w14:paraId="32560D89">
      <w:pPr>
        <w:adjustRightInd w:val="0"/>
        <w:snapToGrid w:val="0"/>
        <w:spacing w:line="400" w:lineRule="exact"/>
        <w:ind w:firstLine="840" w:firstLineChars="4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分包供应商/制造商名称（如供应商和制造商不同，请分别填写）：</w:t>
      </w:r>
    </w:p>
    <w:p w14:paraId="19E86CD1">
      <w:pPr>
        <w:adjustRightInd w:val="0"/>
        <w:snapToGrid w:val="0"/>
        <w:spacing w:line="400" w:lineRule="exact"/>
        <w:ind w:firstLine="840" w:firstLineChars="40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 xml:space="preserve"> </w:t>
      </w:r>
      <w:r>
        <w:rPr>
          <w:rFonts w:hint="eastAsia" w:ascii="仿宋_GB2312" w:hAnsi="仿宋_GB2312" w:eastAsia="仿宋_GB2312" w:cs="仿宋_GB2312"/>
          <w:color w:val="auto"/>
          <w:szCs w:val="21"/>
          <w:highlight w:val="none"/>
          <w:u w:val="single"/>
        </w:rPr>
        <w:t xml:space="preserve">                                                          </w:t>
      </w:r>
    </w:p>
    <w:p w14:paraId="01F09715">
      <w:pPr>
        <w:adjustRightInd w:val="0"/>
        <w:snapToGrid w:val="0"/>
        <w:spacing w:line="400" w:lineRule="exact"/>
        <w:ind w:firstLine="840" w:firstLineChars="4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分包供应商/制造商类型（如果供应商和制造商不同，只填写制造商类型）：</w:t>
      </w:r>
    </w:p>
    <w:p w14:paraId="182C10B3">
      <w:pPr>
        <w:adjustRightInd w:val="0"/>
        <w:snapToGrid w:val="0"/>
        <w:spacing w:line="400" w:lineRule="exact"/>
        <w:ind w:firstLine="840" w:firstLineChars="400"/>
        <w:rPr>
          <w:rFonts w:ascii="仿宋_GB2312" w:hAnsi="仿宋_GB2312" w:eastAsia="仿宋_GB2312" w:cs="仿宋_GB2312"/>
          <w:iCs/>
          <w:color w:val="auto"/>
          <w:szCs w:val="21"/>
          <w:highlight w:val="none"/>
        </w:rPr>
      </w:pPr>
      <w:r>
        <w:rPr>
          <w:rFonts w:hint="eastAsia" w:ascii="仿宋_GB2312" w:hAnsi="仿宋_GB2312" w:eastAsia="仿宋_GB2312" w:cs="仿宋_GB2312"/>
          <w:iCs/>
          <w:color w:val="auto"/>
          <w:szCs w:val="21"/>
          <w:highlight w:val="none"/>
        </w:rPr>
        <w:t xml:space="preserve"> </w:t>
      </w:r>
      <w:r>
        <w:rPr>
          <w:rFonts w:hint="eastAsia" w:ascii="仿宋_GB2312" w:hAnsi="仿宋_GB2312" w:eastAsia="仿宋_GB2312" w:cs="仿宋_GB2312"/>
          <w:iCs/>
          <w:color w:val="auto"/>
          <w:szCs w:val="21"/>
          <w:highlight w:val="none"/>
        </w:rPr>
        <w:sym w:font="Wingdings" w:char="00A8"/>
      </w:r>
      <w:r>
        <w:rPr>
          <w:rFonts w:hint="eastAsia" w:ascii="仿宋_GB2312" w:hAnsi="仿宋_GB2312" w:eastAsia="仿宋_GB2312" w:cs="仿宋_GB2312"/>
          <w:iCs/>
          <w:color w:val="auto"/>
          <w:szCs w:val="21"/>
          <w:highlight w:val="none"/>
        </w:rPr>
        <w:t xml:space="preserve">大型企业  </w:t>
      </w:r>
      <w:r>
        <w:rPr>
          <w:rFonts w:hint="eastAsia" w:ascii="仿宋_GB2312" w:hAnsi="仿宋_GB2312" w:eastAsia="仿宋_GB2312" w:cs="仿宋_GB2312"/>
          <w:iCs/>
          <w:color w:val="auto"/>
          <w:szCs w:val="21"/>
          <w:highlight w:val="none"/>
        </w:rPr>
        <w:sym w:font="Wingdings" w:char="00A8"/>
      </w:r>
      <w:r>
        <w:rPr>
          <w:rFonts w:hint="eastAsia" w:ascii="仿宋_GB2312" w:hAnsi="仿宋_GB2312" w:eastAsia="仿宋_GB2312" w:cs="仿宋_GB2312"/>
          <w:iCs/>
          <w:color w:val="auto"/>
          <w:szCs w:val="21"/>
          <w:highlight w:val="none"/>
        </w:rPr>
        <w:t xml:space="preserve">中型企业  </w:t>
      </w:r>
      <w:r>
        <w:rPr>
          <w:rFonts w:hint="eastAsia" w:ascii="仿宋_GB2312" w:hAnsi="仿宋_GB2312" w:eastAsia="仿宋_GB2312" w:cs="仿宋_GB2312"/>
          <w:iCs/>
          <w:color w:val="auto"/>
          <w:szCs w:val="21"/>
          <w:highlight w:val="none"/>
        </w:rPr>
        <w:sym w:font="Wingdings" w:char="00A8"/>
      </w:r>
      <w:r>
        <w:rPr>
          <w:rFonts w:hint="eastAsia" w:ascii="仿宋_GB2312" w:hAnsi="仿宋_GB2312" w:eastAsia="仿宋_GB2312" w:cs="仿宋_GB2312"/>
          <w:iCs/>
          <w:color w:val="auto"/>
          <w:szCs w:val="21"/>
          <w:highlight w:val="none"/>
        </w:rPr>
        <w:t xml:space="preserve">小微型企业  </w:t>
      </w:r>
    </w:p>
    <w:p w14:paraId="41FE195A">
      <w:pPr>
        <w:adjustRightInd w:val="0"/>
        <w:snapToGrid w:val="0"/>
        <w:spacing w:line="400" w:lineRule="exact"/>
        <w:ind w:firstLine="840" w:firstLineChars="400"/>
        <w:rPr>
          <w:rFonts w:ascii="仿宋_GB2312" w:hAnsi="仿宋_GB2312" w:eastAsia="仿宋_GB2312" w:cs="仿宋_GB2312"/>
          <w:color w:val="auto"/>
          <w:szCs w:val="21"/>
          <w:highlight w:val="none"/>
        </w:rPr>
      </w:pPr>
      <w:r>
        <w:rPr>
          <w:rFonts w:hint="eastAsia" w:ascii="仿宋_GB2312" w:hAnsi="仿宋_GB2312" w:eastAsia="仿宋_GB2312" w:cs="仿宋_GB2312"/>
          <w:iCs/>
          <w:color w:val="auto"/>
          <w:szCs w:val="21"/>
          <w:highlight w:val="none"/>
        </w:rPr>
        <w:t xml:space="preserve"> </w:t>
      </w:r>
      <w:r>
        <w:rPr>
          <w:rFonts w:hint="eastAsia" w:ascii="仿宋_GB2312" w:hAnsi="仿宋_GB2312" w:eastAsia="仿宋_GB2312" w:cs="仿宋_GB2312"/>
          <w:iCs/>
          <w:color w:val="auto"/>
          <w:szCs w:val="21"/>
          <w:highlight w:val="none"/>
        </w:rPr>
        <w:sym w:font="Wingdings" w:char="00A8"/>
      </w:r>
      <w:r>
        <w:rPr>
          <w:rFonts w:hint="eastAsia" w:ascii="仿宋_GB2312" w:hAnsi="仿宋_GB2312" w:eastAsia="仿宋_GB2312" w:cs="仿宋_GB2312"/>
          <w:iCs/>
          <w:color w:val="auto"/>
          <w:szCs w:val="21"/>
          <w:highlight w:val="none"/>
        </w:rPr>
        <w:t xml:space="preserve">残疾人福利性单位 </w:t>
      </w:r>
      <w:r>
        <w:rPr>
          <w:rFonts w:hint="eastAsia" w:ascii="仿宋_GB2312" w:hAnsi="仿宋_GB2312" w:eastAsia="仿宋_GB2312" w:cs="仿宋_GB2312"/>
          <w:iCs/>
          <w:color w:val="auto"/>
          <w:szCs w:val="21"/>
          <w:highlight w:val="none"/>
        </w:rPr>
        <w:sym w:font="Wingdings" w:char="00A8"/>
      </w:r>
      <w:r>
        <w:rPr>
          <w:rFonts w:hint="eastAsia" w:ascii="仿宋_GB2312" w:hAnsi="仿宋_GB2312" w:eastAsia="仿宋_GB2312" w:cs="仿宋_GB2312"/>
          <w:iCs/>
          <w:color w:val="auto"/>
          <w:szCs w:val="21"/>
          <w:highlight w:val="none"/>
        </w:rPr>
        <w:t xml:space="preserve">监狱企业 </w:t>
      </w:r>
      <w:r>
        <w:rPr>
          <w:rFonts w:hint="eastAsia" w:ascii="仿宋_GB2312" w:hAnsi="仿宋_GB2312" w:eastAsia="仿宋_GB2312" w:cs="仿宋_GB2312"/>
          <w:iCs/>
          <w:color w:val="auto"/>
          <w:szCs w:val="21"/>
          <w:highlight w:val="none"/>
        </w:rPr>
        <w:sym w:font="Wingdings" w:char="00A8"/>
      </w:r>
      <w:r>
        <w:rPr>
          <w:rFonts w:hint="eastAsia" w:ascii="仿宋_GB2312" w:hAnsi="仿宋_GB2312" w:eastAsia="仿宋_GB2312" w:cs="仿宋_GB2312"/>
          <w:iCs/>
          <w:color w:val="auto"/>
          <w:szCs w:val="21"/>
          <w:highlight w:val="none"/>
        </w:rPr>
        <w:t>其他</w:t>
      </w:r>
    </w:p>
    <w:p w14:paraId="05315F76">
      <w:pPr>
        <w:numPr>
          <w:ilvl w:val="255"/>
          <w:numId w:val="0"/>
        </w:numPr>
        <w:adjustRightInd w:val="0"/>
        <w:snapToGrid w:val="0"/>
        <w:spacing w:line="400" w:lineRule="exact"/>
        <w:rPr>
          <w:rFonts w:ascii="仿宋_GB2312" w:hAnsi="仿宋_GB2312" w:eastAsia="仿宋_GB2312" w:cs="仿宋_GB2312"/>
          <w:iCs/>
          <w:color w:val="auto"/>
          <w:szCs w:val="21"/>
          <w:highlight w:val="none"/>
        </w:rPr>
      </w:pPr>
      <w:r>
        <w:rPr>
          <w:rFonts w:hint="eastAsia" w:ascii="仿宋_GB2312" w:hAnsi="仿宋_GB2312" w:eastAsia="仿宋_GB2312" w:cs="仿宋_GB2312"/>
          <w:color w:val="auto"/>
          <w:szCs w:val="21"/>
          <w:highlight w:val="none"/>
        </w:rPr>
        <w:t xml:space="preserve">    （</w:t>
      </w:r>
      <w:r>
        <w:rPr>
          <w:rFonts w:hint="eastAsia" w:ascii="仿宋_GB2312" w:hAnsi="仿宋_GB2312" w:eastAsia="仿宋_GB2312" w:cs="仿宋_GB2312"/>
          <w:color w:val="auto"/>
          <w:szCs w:val="21"/>
          <w:highlight w:val="none"/>
          <w:lang w:val="en"/>
        </w:rPr>
        <w:t>8</w:t>
      </w:r>
      <w:r>
        <w:rPr>
          <w:rFonts w:hint="eastAsia" w:ascii="仿宋_GB2312" w:hAnsi="仿宋_GB2312" w:eastAsia="仿宋_GB2312" w:cs="仿宋_GB2312"/>
          <w:color w:val="auto"/>
          <w:szCs w:val="21"/>
          <w:highlight w:val="none"/>
        </w:rPr>
        <w:t>）中标（成交）供应商是否为外商投资企业：</w:t>
      </w:r>
      <w:r>
        <w:rPr>
          <w:rFonts w:hint="eastAsia" w:ascii="仿宋_GB2312" w:hAnsi="仿宋_GB2312" w:eastAsia="仿宋_GB2312" w:cs="仿宋_GB2312"/>
          <w:iCs/>
          <w:color w:val="auto"/>
          <w:szCs w:val="21"/>
          <w:highlight w:val="none"/>
        </w:rPr>
        <w:sym w:font="Wingdings" w:char="00A8"/>
      </w:r>
      <w:r>
        <w:rPr>
          <w:rFonts w:hint="eastAsia" w:ascii="仿宋_GB2312" w:hAnsi="仿宋_GB2312" w:eastAsia="仿宋_GB2312" w:cs="仿宋_GB2312"/>
          <w:iCs/>
          <w:color w:val="auto"/>
          <w:szCs w:val="21"/>
          <w:highlight w:val="none"/>
        </w:rPr>
        <w:t xml:space="preserve">是       </w:t>
      </w:r>
      <w:r>
        <w:rPr>
          <w:rFonts w:hint="eastAsia" w:ascii="仿宋_GB2312" w:hAnsi="仿宋_GB2312" w:eastAsia="仿宋_GB2312" w:cs="仿宋_GB2312"/>
          <w:iCs/>
          <w:color w:val="auto"/>
          <w:szCs w:val="21"/>
          <w:highlight w:val="none"/>
        </w:rPr>
        <w:sym w:font="Wingdings" w:char="00A8"/>
      </w:r>
      <w:r>
        <w:rPr>
          <w:rFonts w:hint="eastAsia" w:ascii="仿宋_GB2312" w:hAnsi="仿宋_GB2312" w:eastAsia="仿宋_GB2312" w:cs="仿宋_GB2312"/>
          <w:iCs/>
          <w:color w:val="auto"/>
          <w:szCs w:val="21"/>
          <w:highlight w:val="none"/>
        </w:rPr>
        <w:t>否</w:t>
      </w:r>
    </w:p>
    <w:p w14:paraId="2F593E35">
      <w:pPr>
        <w:pStyle w:val="67"/>
        <w:tabs>
          <w:tab w:val="left" w:pos="1340"/>
        </w:tabs>
        <w:ind w:firstLine="420"/>
        <w:rPr>
          <w:rFonts w:ascii="仿宋_GB2312" w:hAnsi="仿宋_GB2312" w:eastAsia="仿宋_GB2312" w:cs="仿宋_GB2312"/>
          <w:color w:val="auto"/>
          <w:sz w:val="21"/>
          <w:highlight w:val="none"/>
          <w:u w:val="single"/>
        </w:rPr>
      </w:pPr>
      <w:r>
        <w:rPr>
          <w:rFonts w:hint="eastAsia" w:ascii="仿宋_GB2312" w:hAnsi="仿宋_GB2312" w:eastAsia="仿宋_GB2312" w:cs="仿宋_GB2312"/>
          <w:color w:val="auto"/>
          <w:sz w:val="21"/>
          <w:highlight w:val="none"/>
        </w:rPr>
        <w:t xml:space="preserve">     外商投资企业类型：</w:t>
      </w:r>
      <w:r>
        <w:rPr>
          <w:rFonts w:hint="eastAsia" w:ascii="仿宋_GB2312" w:hAnsi="仿宋_GB2312" w:eastAsia="仿宋_GB2312" w:cs="仿宋_GB2312"/>
          <w:iCs/>
          <w:color w:val="auto"/>
          <w:sz w:val="21"/>
          <w:highlight w:val="none"/>
        </w:rPr>
        <w:sym w:font="Wingdings" w:char="00A8"/>
      </w:r>
      <w:r>
        <w:rPr>
          <w:rFonts w:hint="eastAsia" w:ascii="仿宋_GB2312" w:hAnsi="仿宋_GB2312" w:eastAsia="仿宋_GB2312" w:cs="仿宋_GB2312"/>
          <w:color w:val="auto"/>
          <w:sz w:val="21"/>
          <w:highlight w:val="none"/>
        </w:rPr>
        <w:t xml:space="preserve">全部由外国投资者投资  </w:t>
      </w:r>
      <w:r>
        <w:rPr>
          <w:rFonts w:hint="eastAsia" w:ascii="仿宋_GB2312" w:hAnsi="仿宋_GB2312" w:eastAsia="仿宋_GB2312" w:cs="仿宋_GB2312"/>
          <w:iCs/>
          <w:color w:val="auto"/>
          <w:sz w:val="21"/>
          <w:highlight w:val="none"/>
        </w:rPr>
        <w:sym w:font="Wingdings" w:char="00A8"/>
      </w:r>
      <w:r>
        <w:rPr>
          <w:rFonts w:hint="eastAsia" w:ascii="仿宋_GB2312" w:hAnsi="仿宋_GB2312" w:eastAsia="仿宋_GB2312" w:cs="仿宋_GB2312"/>
          <w:iCs/>
          <w:color w:val="auto"/>
          <w:sz w:val="21"/>
          <w:highlight w:val="none"/>
        </w:rPr>
        <w:t>部分由外国投资者投资</w:t>
      </w:r>
    </w:p>
    <w:p w14:paraId="583913E7">
      <w:pPr>
        <w:numPr>
          <w:ilvl w:val="255"/>
          <w:numId w:val="0"/>
        </w:numPr>
        <w:adjustRightInd w:val="0"/>
        <w:snapToGrid w:val="0"/>
        <w:spacing w:line="400" w:lineRule="exact"/>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color w:val="auto"/>
          <w:szCs w:val="21"/>
          <w:highlight w:val="none"/>
          <w:lang w:val="en"/>
        </w:rPr>
        <w:t>9</w:t>
      </w:r>
      <w:r>
        <w:rPr>
          <w:rFonts w:hint="eastAsia" w:ascii="仿宋_GB2312" w:hAnsi="仿宋_GB2312" w:eastAsia="仿宋_GB2312" w:cs="仿宋_GB2312"/>
          <w:color w:val="auto"/>
          <w:szCs w:val="21"/>
          <w:highlight w:val="none"/>
        </w:rPr>
        <w:t>）是否涉及进口产品：</w:t>
      </w:r>
    </w:p>
    <w:p w14:paraId="166F7E82">
      <w:pPr>
        <w:numPr>
          <w:ilvl w:val="255"/>
          <w:numId w:val="0"/>
        </w:numPr>
        <w:adjustRightInd w:val="0"/>
        <w:snapToGrid w:val="0"/>
        <w:spacing w:line="400" w:lineRule="exact"/>
        <w:ind w:firstLine="840" w:firstLineChars="40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 xml:space="preserve"> </w:t>
      </w:r>
      <w:r>
        <w:rPr>
          <w:rFonts w:hint="eastAsia" w:ascii="仿宋_GB2312" w:hAnsi="仿宋_GB2312" w:eastAsia="仿宋_GB2312" w:cs="仿宋_GB2312"/>
          <w:color w:val="auto"/>
          <w:szCs w:val="21"/>
          <w:highlight w:val="none"/>
        </w:rPr>
        <w:sym w:font="Wingdings" w:char="00A8"/>
      </w:r>
      <w:r>
        <w:rPr>
          <w:rFonts w:hint="eastAsia" w:ascii="仿宋_GB2312" w:hAnsi="仿宋_GB2312" w:eastAsia="仿宋_GB2312" w:cs="仿宋_GB2312"/>
          <w:color w:val="auto"/>
          <w:szCs w:val="21"/>
          <w:highlight w:val="none"/>
        </w:rPr>
        <w:t>是，《政府采购品目分类目录》底级品目名称：</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 xml:space="preserve"> 金额：</w:t>
      </w:r>
      <w:r>
        <w:rPr>
          <w:rFonts w:hint="eastAsia" w:ascii="仿宋_GB2312" w:hAnsi="仿宋_GB2312" w:eastAsia="仿宋_GB2312" w:cs="仿宋_GB2312"/>
          <w:color w:val="auto"/>
          <w:szCs w:val="21"/>
          <w:highlight w:val="none"/>
          <w:u w:val="single"/>
        </w:rPr>
        <w:t xml:space="preserve">        </w:t>
      </w:r>
    </w:p>
    <w:p w14:paraId="54D68940">
      <w:pPr>
        <w:numPr>
          <w:ilvl w:val="255"/>
          <w:numId w:val="0"/>
        </w:numPr>
        <w:adjustRightInd w:val="0"/>
        <w:snapToGrid w:val="0"/>
        <w:spacing w:line="400" w:lineRule="exact"/>
        <w:ind w:firstLine="840" w:firstLineChars="4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国别：</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 xml:space="preserve"> 品牌：</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 xml:space="preserve"> 规格型号：</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 xml:space="preserve">      </w:t>
      </w:r>
    </w:p>
    <w:p w14:paraId="69557786">
      <w:pPr>
        <w:adjustRightInd w:val="0"/>
        <w:snapToGrid w:val="0"/>
        <w:spacing w:line="400" w:lineRule="exact"/>
        <w:ind w:firstLine="840" w:firstLineChars="4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w:t>
      </w:r>
      <w:r>
        <w:rPr>
          <w:rFonts w:hint="eastAsia" w:ascii="仿宋_GB2312" w:hAnsi="仿宋_GB2312" w:eastAsia="仿宋_GB2312" w:cs="仿宋_GB2312"/>
          <w:color w:val="auto"/>
          <w:szCs w:val="21"/>
          <w:highlight w:val="none"/>
        </w:rPr>
        <w:sym w:font="Wingdings" w:char="00FE"/>
      </w:r>
      <w:r>
        <w:rPr>
          <w:rFonts w:hint="eastAsia" w:ascii="仿宋_GB2312" w:hAnsi="仿宋_GB2312" w:eastAsia="仿宋_GB2312" w:cs="仿宋_GB2312"/>
          <w:color w:val="auto"/>
          <w:szCs w:val="21"/>
          <w:highlight w:val="none"/>
        </w:rPr>
        <w:t>否</w:t>
      </w:r>
    </w:p>
    <w:p w14:paraId="61D43474">
      <w:pPr>
        <w:numPr>
          <w:ilvl w:val="255"/>
          <w:numId w:val="0"/>
        </w:numPr>
        <w:tabs>
          <w:tab w:val="left" w:pos="740"/>
        </w:tabs>
        <w:adjustRightInd w:val="0"/>
        <w:snapToGrid w:val="0"/>
        <w:spacing w:line="400" w:lineRule="exac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（1</w:t>
      </w:r>
      <w:r>
        <w:rPr>
          <w:rFonts w:hint="eastAsia" w:ascii="仿宋_GB2312" w:hAnsi="仿宋_GB2312" w:eastAsia="仿宋_GB2312" w:cs="仿宋_GB2312"/>
          <w:color w:val="auto"/>
          <w:szCs w:val="21"/>
          <w:highlight w:val="none"/>
          <w:lang w:val="en"/>
        </w:rPr>
        <w:t>0</w:t>
      </w:r>
      <w:r>
        <w:rPr>
          <w:rFonts w:hint="eastAsia" w:ascii="仿宋_GB2312" w:hAnsi="仿宋_GB2312" w:eastAsia="仿宋_GB2312" w:cs="仿宋_GB2312"/>
          <w:color w:val="auto"/>
          <w:szCs w:val="21"/>
          <w:highlight w:val="none"/>
        </w:rPr>
        <w:t>）是否涉及节能产品：</w:t>
      </w:r>
    </w:p>
    <w:p w14:paraId="5449E69A">
      <w:pPr>
        <w:numPr>
          <w:ilvl w:val="255"/>
          <w:numId w:val="0"/>
        </w:numPr>
        <w:tabs>
          <w:tab w:val="left" w:pos="740"/>
        </w:tabs>
        <w:adjustRightInd w:val="0"/>
        <w:snapToGrid w:val="0"/>
        <w:spacing w:line="400" w:lineRule="exact"/>
        <w:rPr>
          <w:rFonts w:ascii="仿宋_GB2312" w:hAnsi="仿宋_GB2312" w:eastAsia="仿宋_GB2312" w:cs="仿宋_GB2312"/>
          <w:iCs/>
          <w:color w:val="auto"/>
          <w:szCs w:val="21"/>
          <w:highlight w:val="none"/>
        </w:rPr>
      </w:pPr>
      <w:r>
        <w:rPr>
          <w:rFonts w:hint="eastAsia" w:ascii="仿宋_GB2312" w:hAnsi="仿宋_GB2312" w:eastAsia="仿宋_GB2312" w:cs="仿宋_GB2312"/>
          <w:color w:val="auto"/>
          <w:szCs w:val="21"/>
          <w:highlight w:val="none"/>
        </w:rPr>
        <w:t xml:space="preserve">         </w:t>
      </w:r>
      <w:r>
        <w:rPr>
          <w:rFonts w:hint="eastAsia" w:ascii="仿宋_GB2312" w:hAnsi="仿宋_GB2312" w:eastAsia="仿宋_GB2312" w:cs="仿宋_GB2312"/>
          <w:color w:val="auto"/>
          <w:szCs w:val="21"/>
          <w:highlight w:val="none"/>
        </w:rPr>
        <w:sym w:font="Wingdings" w:char="00FE"/>
      </w:r>
      <w:r>
        <w:rPr>
          <w:rFonts w:hint="eastAsia" w:ascii="仿宋_GB2312" w:hAnsi="仿宋_GB2312" w:eastAsia="仿宋_GB2312" w:cs="仿宋_GB2312"/>
          <w:color w:val="auto"/>
          <w:szCs w:val="21"/>
          <w:highlight w:val="none"/>
        </w:rPr>
        <w:t>是，《节能产品政府采购品目清单》的底级品目名称：</w:t>
      </w:r>
      <w:r>
        <w:rPr>
          <w:rFonts w:hint="eastAsia" w:ascii="仿宋_GB2312" w:hAnsi="仿宋_GB2312" w:eastAsia="仿宋_GB2312" w:cs="仿宋_GB2312"/>
          <w:color w:val="auto"/>
          <w:szCs w:val="21"/>
          <w:highlight w:val="none"/>
          <w:u w:val="single"/>
        </w:rPr>
        <w:t>001包空调</w:t>
      </w:r>
      <w:r>
        <w:rPr>
          <w:rFonts w:hint="eastAsia" w:ascii="仿宋_GB2312" w:hAnsi="仿宋_GB2312" w:eastAsia="仿宋_GB2312" w:cs="仿宋_GB2312"/>
          <w:iCs/>
          <w:color w:val="auto"/>
          <w:szCs w:val="21"/>
          <w:highlight w:val="none"/>
        </w:rPr>
        <w:t xml:space="preserve">     </w:t>
      </w:r>
    </w:p>
    <w:p w14:paraId="0A5CBE3F">
      <w:pPr>
        <w:numPr>
          <w:ilvl w:val="255"/>
          <w:numId w:val="0"/>
        </w:numPr>
        <w:tabs>
          <w:tab w:val="left" w:pos="740"/>
        </w:tabs>
        <w:adjustRightInd w:val="0"/>
        <w:snapToGrid w:val="0"/>
        <w:spacing w:line="400" w:lineRule="exact"/>
        <w:rPr>
          <w:rFonts w:ascii="仿宋_GB2312" w:hAnsi="仿宋_GB2312" w:eastAsia="仿宋_GB2312" w:cs="仿宋_GB2312"/>
          <w:iCs/>
          <w:color w:val="auto"/>
          <w:szCs w:val="21"/>
          <w:highlight w:val="none"/>
        </w:rPr>
      </w:pPr>
      <w:r>
        <w:rPr>
          <w:rFonts w:hint="eastAsia" w:ascii="仿宋_GB2312" w:hAnsi="仿宋_GB2312" w:eastAsia="仿宋_GB2312" w:cs="仿宋_GB2312"/>
          <w:iCs/>
          <w:color w:val="auto"/>
          <w:szCs w:val="21"/>
          <w:highlight w:val="none"/>
        </w:rPr>
        <w:t xml:space="preserve">                </w:t>
      </w:r>
      <w:r>
        <w:rPr>
          <w:rFonts w:hint="eastAsia" w:ascii="仿宋_GB2312" w:hAnsi="仿宋_GB2312" w:eastAsia="仿宋_GB2312" w:cs="仿宋_GB2312"/>
          <w:iCs/>
          <w:color w:val="auto"/>
          <w:szCs w:val="21"/>
          <w:highlight w:val="none"/>
        </w:rPr>
        <w:sym w:font="Wingdings" w:char="00FE"/>
      </w:r>
      <w:r>
        <w:rPr>
          <w:rFonts w:hint="eastAsia" w:ascii="仿宋_GB2312" w:hAnsi="仿宋_GB2312" w:eastAsia="仿宋_GB2312" w:cs="仿宋_GB2312"/>
          <w:iCs/>
          <w:color w:val="auto"/>
          <w:szCs w:val="21"/>
          <w:highlight w:val="none"/>
        </w:rPr>
        <w:t xml:space="preserve">强制采购       </w:t>
      </w:r>
      <w:r>
        <w:rPr>
          <w:rFonts w:hint="eastAsia" w:ascii="仿宋_GB2312" w:hAnsi="仿宋_GB2312" w:eastAsia="仿宋_GB2312" w:cs="仿宋_GB2312"/>
          <w:iCs/>
          <w:color w:val="auto"/>
          <w:szCs w:val="21"/>
          <w:highlight w:val="none"/>
        </w:rPr>
        <w:sym w:font="Wingdings" w:char="00A8"/>
      </w:r>
      <w:r>
        <w:rPr>
          <w:rFonts w:hint="eastAsia" w:ascii="仿宋_GB2312" w:hAnsi="仿宋_GB2312" w:eastAsia="仿宋_GB2312" w:cs="仿宋_GB2312"/>
          <w:iCs/>
          <w:color w:val="auto"/>
          <w:szCs w:val="21"/>
          <w:highlight w:val="none"/>
        </w:rPr>
        <w:t xml:space="preserve">优先采购    </w:t>
      </w:r>
    </w:p>
    <w:p w14:paraId="08E665BB">
      <w:pPr>
        <w:numPr>
          <w:ilvl w:val="255"/>
          <w:numId w:val="0"/>
        </w:numPr>
        <w:tabs>
          <w:tab w:val="left" w:pos="740"/>
        </w:tabs>
        <w:adjustRightInd w:val="0"/>
        <w:snapToGrid w:val="0"/>
        <w:spacing w:line="400" w:lineRule="exact"/>
        <w:rPr>
          <w:rFonts w:ascii="仿宋_GB2312" w:hAnsi="仿宋_GB2312" w:eastAsia="仿宋_GB2312" w:cs="仿宋_GB2312"/>
          <w:color w:val="auto"/>
          <w:szCs w:val="21"/>
          <w:highlight w:val="none"/>
        </w:rPr>
      </w:pPr>
      <w:r>
        <w:rPr>
          <w:rFonts w:hint="eastAsia" w:ascii="仿宋_GB2312" w:hAnsi="仿宋_GB2312" w:eastAsia="仿宋_GB2312" w:cs="仿宋_GB2312"/>
          <w:iCs/>
          <w:color w:val="auto"/>
          <w:szCs w:val="21"/>
          <w:highlight w:val="none"/>
        </w:rPr>
        <w:t xml:space="preserve">         </w:t>
      </w:r>
      <w:r>
        <w:rPr>
          <w:rFonts w:hint="eastAsia" w:ascii="仿宋_GB2312" w:hAnsi="仿宋_GB2312" w:eastAsia="仿宋_GB2312" w:cs="仿宋_GB2312"/>
          <w:color w:val="auto"/>
          <w:szCs w:val="21"/>
          <w:highlight w:val="none"/>
        </w:rPr>
        <w:sym w:font="Wingdings" w:char="00A8"/>
      </w:r>
      <w:r>
        <w:rPr>
          <w:rFonts w:hint="eastAsia" w:ascii="仿宋_GB2312" w:hAnsi="仿宋_GB2312" w:eastAsia="仿宋_GB2312" w:cs="仿宋_GB2312"/>
          <w:color w:val="auto"/>
          <w:szCs w:val="21"/>
          <w:highlight w:val="none"/>
        </w:rPr>
        <w:t>否</w:t>
      </w:r>
    </w:p>
    <w:p w14:paraId="6849F6A6">
      <w:pPr>
        <w:numPr>
          <w:ilvl w:val="255"/>
          <w:numId w:val="0"/>
        </w:numPr>
        <w:tabs>
          <w:tab w:val="left" w:pos="740"/>
        </w:tabs>
        <w:adjustRightInd w:val="0"/>
        <w:snapToGrid w:val="0"/>
        <w:spacing w:line="400" w:lineRule="exac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是否涉及环境标志产品：</w:t>
      </w:r>
    </w:p>
    <w:p w14:paraId="5818EB39">
      <w:pPr>
        <w:numPr>
          <w:ilvl w:val="255"/>
          <w:numId w:val="0"/>
        </w:numPr>
        <w:tabs>
          <w:tab w:val="left" w:pos="740"/>
        </w:tabs>
        <w:adjustRightInd w:val="0"/>
        <w:snapToGrid w:val="0"/>
        <w:spacing w:line="400" w:lineRule="exac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w:t>
      </w:r>
      <w:r>
        <w:rPr>
          <w:rFonts w:hint="eastAsia" w:ascii="仿宋_GB2312" w:hAnsi="仿宋_GB2312" w:eastAsia="仿宋_GB2312" w:cs="仿宋_GB2312"/>
          <w:color w:val="auto"/>
          <w:szCs w:val="21"/>
          <w:highlight w:val="none"/>
        </w:rPr>
        <w:sym w:font="Wingdings" w:char="00A8"/>
      </w:r>
      <w:r>
        <w:rPr>
          <w:rFonts w:hint="eastAsia" w:ascii="仿宋_GB2312" w:hAnsi="仿宋_GB2312" w:eastAsia="仿宋_GB2312" w:cs="仿宋_GB2312"/>
          <w:color w:val="auto"/>
          <w:szCs w:val="21"/>
          <w:highlight w:val="none"/>
        </w:rPr>
        <w:t>是，《环境标志产品政府采购品目清单》的底级品目名称：</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iCs/>
          <w:color w:val="auto"/>
          <w:szCs w:val="21"/>
          <w:highlight w:val="none"/>
        </w:rPr>
        <w:t xml:space="preserve"> </w:t>
      </w:r>
    </w:p>
    <w:p w14:paraId="7BBEED33">
      <w:pPr>
        <w:numPr>
          <w:ilvl w:val="255"/>
          <w:numId w:val="0"/>
        </w:numPr>
        <w:tabs>
          <w:tab w:val="left" w:pos="740"/>
        </w:tabs>
        <w:adjustRightInd w:val="0"/>
        <w:snapToGrid w:val="0"/>
        <w:spacing w:line="400" w:lineRule="exact"/>
        <w:rPr>
          <w:rFonts w:ascii="仿宋_GB2312" w:hAnsi="仿宋_GB2312" w:eastAsia="仿宋_GB2312" w:cs="仿宋_GB2312"/>
          <w:iCs/>
          <w:color w:val="auto"/>
          <w:szCs w:val="21"/>
          <w:highlight w:val="none"/>
        </w:rPr>
      </w:pPr>
      <w:r>
        <w:rPr>
          <w:rFonts w:hint="eastAsia" w:ascii="仿宋_GB2312" w:hAnsi="仿宋_GB2312" w:eastAsia="仿宋_GB2312" w:cs="仿宋_GB2312"/>
          <w:iCs/>
          <w:color w:val="auto"/>
          <w:szCs w:val="21"/>
          <w:highlight w:val="none"/>
        </w:rPr>
        <w:t xml:space="preserve">                </w:t>
      </w:r>
      <w:r>
        <w:rPr>
          <w:rFonts w:hint="eastAsia" w:ascii="仿宋_GB2312" w:hAnsi="仿宋_GB2312" w:eastAsia="仿宋_GB2312" w:cs="仿宋_GB2312"/>
          <w:iCs/>
          <w:color w:val="auto"/>
          <w:szCs w:val="21"/>
          <w:highlight w:val="none"/>
        </w:rPr>
        <w:sym w:font="Wingdings" w:char="00A8"/>
      </w:r>
      <w:r>
        <w:rPr>
          <w:rFonts w:hint="eastAsia" w:ascii="仿宋_GB2312" w:hAnsi="仿宋_GB2312" w:eastAsia="仿宋_GB2312" w:cs="仿宋_GB2312"/>
          <w:iCs/>
          <w:color w:val="auto"/>
          <w:szCs w:val="21"/>
          <w:highlight w:val="none"/>
        </w:rPr>
        <w:t xml:space="preserve">强制采购       </w:t>
      </w:r>
      <w:r>
        <w:rPr>
          <w:rFonts w:hint="eastAsia" w:ascii="仿宋_GB2312" w:hAnsi="仿宋_GB2312" w:eastAsia="仿宋_GB2312" w:cs="仿宋_GB2312"/>
          <w:iCs/>
          <w:color w:val="auto"/>
          <w:szCs w:val="21"/>
          <w:highlight w:val="none"/>
        </w:rPr>
        <w:sym w:font="Wingdings" w:char="00A8"/>
      </w:r>
      <w:r>
        <w:rPr>
          <w:rFonts w:hint="eastAsia" w:ascii="仿宋_GB2312" w:hAnsi="仿宋_GB2312" w:eastAsia="仿宋_GB2312" w:cs="仿宋_GB2312"/>
          <w:iCs/>
          <w:color w:val="auto"/>
          <w:szCs w:val="21"/>
          <w:highlight w:val="none"/>
        </w:rPr>
        <w:t xml:space="preserve">优先采购    </w:t>
      </w:r>
    </w:p>
    <w:p w14:paraId="74CBC470">
      <w:pPr>
        <w:numPr>
          <w:ilvl w:val="255"/>
          <w:numId w:val="0"/>
        </w:numPr>
        <w:tabs>
          <w:tab w:val="left" w:pos="740"/>
        </w:tabs>
        <w:adjustRightInd w:val="0"/>
        <w:snapToGrid w:val="0"/>
        <w:spacing w:line="400" w:lineRule="exact"/>
        <w:rPr>
          <w:rFonts w:ascii="仿宋_GB2312" w:hAnsi="仿宋_GB2312" w:eastAsia="仿宋_GB2312" w:cs="仿宋_GB2312"/>
          <w:color w:val="auto"/>
          <w:szCs w:val="21"/>
          <w:highlight w:val="none"/>
        </w:rPr>
      </w:pPr>
      <w:r>
        <w:rPr>
          <w:rFonts w:hint="eastAsia" w:ascii="仿宋_GB2312" w:hAnsi="仿宋_GB2312" w:eastAsia="仿宋_GB2312" w:cs="仿宋_GB2312"/>
          <w:iCs/>
          <w:color w:val="auto"/>
          <w:szCs w:val="21"/>
          <w:highlight w:val="none"/>
        </w:rPr>
        <w:t xml:space="preserve">         </w:t>
      </w:r>
      <w:r>
        <w:rPr>
          <w:rFonts w:hint="eastAsia" w:ascii="仿宋_GB2312" w:hAnsi="仿宋_GB2312" w:eastAsia="仿宋_GB2312" w:cs="仿宋_GB2312"/>
          <w:color w:val="auto"/>
          <w:szCs w:val="21"/>
          <w:highlight w:val="none"/>
        </w:rPr>
        <w:sym w:font="Wingdings" w:char="00A8"/>
      </w:r>
      <w:r>
        <w:rPr>
          <w:rFonts w:hint="eastAsia" w:ascii="仿宋_GB2312" w:hAnsi="仿宋_GB2312" w:eastAsia="仿宋_GB2312" w:cs="仿宋_GB2312"/>
          <w:color w:val="auto"/>
          <w:szCs w:val="21"/>
          <w:highlight w:val="none"/>
        </w:rPr>
        <w:t>否</w:t>
      </w:r>
    </w:p>
    <w:p w14:paraId="5281BE1E">
      <w:pPr>
        <w:pStyle w:val="67"/>
        <w:numPr>
          <w:ilvl w:val="255"/>
          <w:numId w:val="0"/>
        </w:numPr>
        <w:snapToGrid w:val="0"/>
        <w:rPr>
          <w:rFonts w:ascii="仿宋_GB2312" w:hAnsi="仿宋_GB2312" w:eastAsia="仿宋_GB2312" w:cs="仿宋_GB2312"/>
          <w:color w:val="auto"/>
          <w:kern w:val="2"/>
          <w:sz w:val="21"/>
          <w:highlight w:val="none"/>
        </w:rPr>
      </w:pPr>
      <w:r>
        <w:rPr>
          <w:rFonts w:hint="eastAsia" w:ascii="仿宋_GB2312" w:hAnsi="仿宋_GB2312" w:eastAsia="仿宋_GB2312" w:cs="仿宋_GB2312"/>
          <w:color w:val="auto"/>
          <w:sz w:val="21"/>
          <w:highlight w:val="none"/>
        </w:rPr>
        <w:t xml:space="preserve">          </w:t>
      </w:r>
      <w:r>
        <w:rPr>
          <w:rFonts w:hint="eastAsia" w:ascii="仿宋_GB2312" w:hAnsi="仿宋_GB2312" w:eastAsia="仿宋_GB2312" w:cs="仿宋_GB2312"/>
          <w:color w:val="auto"/>
          <w:kern w:val="2"/>
          <w:sz w:val="21"/>
          <w:highlight w:val="none"/>
        </w:rPr>
        <w:t xml:space="preserve">是否涉及绿色产品： </w:t>
      </w:r>
    </w:p>
    <w:p w14:paraId="75C9AD05">
      <w:pPr>
        <w:pStyle w:val="67"/>
        <w:ind w:firstLine="420" w:firstLineChars="0"/>
        <w:rPr>
          <w:rFonts w:ascii="仿宋_GB2312" w:hAnsi="仿宋_GB2312" w:eastAsia="仿宋_GB2312" w:cs="仿宋_GB2312"/>
          <w:color w:val="auto"/>
          <w:sz w:val="21"/>
          <w:highlight w:val="none"/>
          <w:u w:val="single"/>
        </w:rPr>
      </w:pPr>
      <w:r>
        <w:rPr>
          <w:rFonts w:hint="eastAsia" w:ascii="仿宋_GB2312" w:hAnsi="仿宋_GB2312" w:eastAsia="仿宋_GB2312" w:cs="仿宋_GB2312"/>
          <w:color w:val="auto"/>
          <w:kern w:val="2"/>
          <w:sz w:val="21"/>
          <w:highlight w:val="none"/>
        </w:rPr>
        <w:t xml:space="preserve">     </w:t>
      </w:r>
      <w:r>
        <w:rPr>
          <w:rFonts w:hint="eastAsia" w:ascii="仿宋_GB2312" w:hAnsi="仿宋_GB2312" w:eastAsia="仿宋_GB2312" w:cs="仿宋_GB2312"/>
          <w:color w:val="auto"/>
          <w:kern w:val="2"/>
          <w:sz w:val="21"/>
          <w:highlight w:val="none"/>
        </w:rPr>
        <w:sym w:font="Wingdings" w:char="00A8"/>
      </w:r>
      <w:r>
        <w:rPr>
          <w:rFonts w:hint="eastAsia" w:ascii="仿宋_GB2312" w:hAnsi="仿宋_GB2312" w:eastAsia="仿宋_GB2312" w:cs="仿宋_GB2312"/>
          <w:color w:val="auto"/>
          <w:kern w:val="2"/>
          <w:sz w:val="21"/>
          <w:highlight w:val="none"/>
        </w:rPr>
        <w:t>是，绿色产品政府采购相关政策确定的底级品目名称：</w:t>
      </w:r>
      <w:r>
        <w:rPr>
          <w:rFonts w:hint="eastAsia" w:ascii="仿宋_GB2312" w:hAnsi="仿宋_GB2312" w:eastAsia="仿宋_GB2312" w:cs="仿宋_GB2312"/>
          <w:color w:val="auto"/>
          <w:sz w:val="21"/>
          <w:highlight w:val="none"/>
          <w:u w:val="single"/>
        </w:rPr>
        <w:t xml:space="preserve">         </w:t>
      </w:r>
    </w:p>
    <w:p w14:paraId="037D58B1">
      <w:pPr>
        <w:numPr>
          <w:ilvl w:val="255"/>
          <w:numId w:val="0"/>
        </w:numPr>
        <w:tabs>
          <w:tab w:val="left" w:pos="740"/>
        </w:tabs>
        <w:adjustRightInd w:val="0"/>
        <w:snapToGrid w:val="0"/>
        <w:spacing w:line="400" w:lineRule="exact"/>
        <w:rPr>
          <w:rFonts w:ascii="仿宋_GB2312" w:hAnsi="仿宋_GB2312" w:eastAsia="仿宋_GB2312" w:cs="仿宋_GB2312"/>
          <w:iCs/>
          <w:color w:val="auto"/>
          <w:szCs w:val="21"/>
          <w:highlight w:val="none"/>
        </w:rPr>
      </w:pPr>
      <w:r>
        <w:rPr>
          <w:rFonts w:hint="eastAsia" w:ascii="仿宋_GB2312" w:hAnsi="仿宋_GB2312" w:eastAsia="仿宋_GB2312" w:cs="仿宋_GB2312"/>
          <w:iCs/>
          <w:color w:val="auto"/>
          <w:szCs w:val="21"/>
          <w:highlight w:val="none"/>
        </w:rPr>
        <w:t xml:space="preserve">                </w:t>
      </w:r>
      <w:r>
        <w:rPr>
          <w:rFonts w:hint="eastAsia" w:ascii="仿宋_GB2312" w:hAnsi="仿宋_GB2312" w:eastAsia="仿宋_GB2312" w:cs="仿宋_GB2312"/>
          <w:iCs/>
          <w:color w:val="auto"/>
          <w:szCs w:val="21"/>
          <w:highlight w:val="none"/>
        </w:rPr>
        <w:sym w:font="Wingdings" w:char="00A8"/>
      </w:r>
      <w:r>
        <w:rPr>
          <w:rFonts w:hint="eastAsia" w:ascii="仿宋_GB2312" w:hAnsi="仿宋_GB2312" w:eastAsia="仿宋_GB2312" w:cs="仿宋_GB2312"/>
          <w:iCs/>
          <w:color w:val="auto"/>
          <w:szCs w:val="21"/>
          <w:highlight w:val="none"/>
        </w:rPr>
        <w:t xml:space="preserve">强制采购       </w:t>
      </w:r>
      <w:r>
        <w:rPr>
          <w:rFonts w:hint="eastAsia" w:ascii="仿宋_GB2312" w:hAnsi="仿宋_GB2312" w:eastAsia="仿宋_GB2312" w:cs="仿宋_GB2312"/>
          <w:iCs/>
          <w:color w:val="auto"/>
          <w:szCs w:val="21"/>
          <w:highlight w:val="none"/>
        </w:rPr>
        <w:sym w:font="Wingdings" w:char="00A8"/>
      </w:r>
      <w:r>
        <w:rPr>
          <w:rFonts w:hint="eastAsia" w:ascii="仿宋_GB2312" w:hAnsi="仿宋_GB2312" w:eastAsia="仿宋_GB2312" w:cs="仿宋_GB2312"/>
          <w:iCs/>
          <w:color w:val="auto"/>
          <w:szCs w:val="21"/>
          <w:highlight w:val="none"/>
        </w:rPr>
        <w:t xml:space="preserve">优先采购    </w:t>
      </w:r>
    </w:p>
    <w:p w14:paraId="31AFB746">
      <w:pPr>
        <w:pStyle w:val="67"/>
        <w:ind w:firstLine="420" w:firstLineChars="0"/>
        <w:rPr>
          <w:rFonts w:ascii="仿宋_GB2312" w:hAnsi="仿宋_GB2312" w:eastAsia="仿宋_GB2312" w:cs="仿宋_GB2312"/>
          <w:color w:val="auto"/>
          <w:sz w:val="21"/>
          <w:highlight w:val="none"/>
        </w:rPr>
      </w:pPr>
      <w:r>
        <w:rPr>
          <w:rFonts w:hint="eastAsia" w:ascii="仿宋_GB2312" w:hAnsi="仿宋_GB2312" w:eastAsia="仿宋_GB2312" w:cs="仿宋_GB2312"/>
          <w:color w:val="auto"/>
          <w:kern w:val="2"/>
          <w:sz w:val="21"/>
          <w:highlight w:val="none"/>
        </w:rPr>
        <w:t xml:space="preserve">     </w:t>
      </w:r>
      <w:r>
        <w:rPr>
          <w:rFonts w:hint="eastAsia" w:ascii="仿宋_GB2312" w:hAnsi="仿宋_GB2312" w:eastAsia="仿宋_GB2312" w:cs="仿宋_GB2312"/>
          <w:color w:val="auto"/>
          <w:kern w:val="2"/>
          <w:sz w:val="21"/>
          <w:highlight w:val="none"/>
        </w:rPr>
        <w:sym w:font="Wingdings" w:char="00A8"/>
      </w:r>
      <w:r>
        <w:rPr>
          <w:rFonts w:hint="eastAsia" w:ascii="仿宋_GB2312" w:hAnsi="仿宋_GB2312" w:eastAsia="仿宋_GB2312" w:cs="仿宋_GB2312"/>
          <w:color w:val="auto"/>
          <w:kern w:val="2"/>
          <w:sz w:val="21"/>
          <w:highlight w:val="none"/>
        </w:rPr>
        <w:t>否</w:t>
      </w:r>
    </w:p>
    <w:p w14:paraId="59C0E03C">
      <w:pPr>
        <w:numPr>
          <w:ilvl w:val="255"/>
          <w:numId w:val="0"/>
        </w:numPr>
        <w:adjustRightInd w:val="0"/>
        <w:snapToGrid w:val="0"/>
        <w:spacing w:line="400" w:lineRule="exac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（1</w:t>
      </w:r>
      <w:r>
        <w:rPr>
          <w:rFonts w:hint="eastAsia" w:ascii="仿宋_GB2312" w:hAnsi="仿宋_GB2312" w:eastAsia="仿宋_GB2312" w:cs="仿宋_GB2312"/>
          <w:color w:val="auto"/>
          <w:szCs w:val="21"/>
          <w:highlight w:val="none"/>
          <w:lang w:val="en"/>
        </w:rPr>
        <w:t>1</w:t>
      </w:r>
      <w:r>
        <w:rPr>
          <w:rFonts w:hint="eastAsia" w:ascii="仿宋_GB2312" w:hAnsi="仿宋_GB2312" w:eastAsia="仿宋_GB2312" w:cs="仿宋_GB2312"/>
          <w:color w:val="auto"/>
          <w:szCs w:val="21"/>
          <w:highlight w:val="none"/>
        </w:rPr>
        <w:t>）涉及商品包装和快递包装的，是否参考《商品包装政府采购需求标准（试行）》、《快递包装政府采购需求标准（试行）》明确产品及相关快递服务的具体包装要求：</w:t>
      </w:r>
    </w:p>
    <w:p w14:paraId="090DB6F1">
      <w:pPr>
        <w:numPr>
          <w:ilvl w:val="255"/>
          <w:numId w:val="0"/>
        </w:numPr>
        <w:adjustRightInd w:val="0"/>
        <w:snapToGrid w:val="0"/>
        <w:spacing w:line="400" w:lineRule="exact"/>
        <w:ind w:firstLine="840" w:firstLineChars="4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sym w:font="Wingdings" w:char="00FE"/>
      </w:r>
      <w:r>
        <w:rPr>
          <w:rFonts w:hint="eastAsia" w:ascii="仿宋_GB2312" w:hAnsi="仿宋_GB2312" w:eastAsia="仿宋_GB2312" w:cs="仿宋_GB2312"/>
          <w:color w:val="auto"/>
          <w:szCs w:val="21"/>
          <w:highlight w:val="none"/>
        </w:rPr>
        <w:t xml:space="preserve">是       </w:t>
      </w:r>
      <w:r>
        <w:rPr>
          <w:rFonts w:hint="eastAsia" w:ascii="仿宋_GB2312" w:hAnsi="仿宋_GB2312" w:eastAsia="仿宋_GB2312" w:cs="仿宋_GB2312"/>
          <w:color w:val="auto"/>
          <w:szCs w:val="21"/>
          <w:highlight w:val="none"/>
        </w:rPr>
        <w:sym w:font="Wingdings" w:char="00A8"/>
      </w:r>
      <w:r>
        <w:rPr>
          <w:rFonts w:hint="eastAsia" w:ascii="仿宋_GB2312" w:hAnsi="仿宋_GB2312" w:eastAsia="仿宋_GB2312" w:cs="仿宋_GB2312"/>
          <w:color w:val="auto"/>
          <w:szCs w:val="21"/>
          <w:highlight w:val="none"/>
        </w:rPr>
        <w:t xml:space="preserve">否      </w:t>
      </w:r>
      <w:r>
        <w:rPr>
          <w:rFonts w:hint="eastAsia" w:ascii="仿宋_GB2312" w:hAnsi="仿宋_GB2312" w:eastAsia="仿宋_GB2312" w:cs="仿宋_GB2312"/>
          <w:color w:val="auto"/>
          <w:szCs w:val="21"/>
          <w:highlight w:val="none"/>
        </w:rPr>
        <w:sym w:font="Wingdings" w:char="00A8"/>
      </w:r>
      <w:r>
        <w:rPr>
          <w:rFonts w:hint="eastAsia" w:ascii="仿宋_GB2312" w:hAnsi="仿宋_GB2312" w:eastAsia="仿宋_GB2312" w:cs="仿宋_GB2312"/>
          <w:color w:val="auto"/>
          <w:szCs w:val="21"/>
          <w:highlight w:val="none"/>
        </w:rPr>
        <w:t>不涉及</w:t>
      </w:r>
    </w:p>
    <w:p w14:paraId="06E418FD">
      <w:pPr>
        <w:numPr>
          <w:ilvl w:val="0"/>
          <w:numId w:val="11"/>
        </w:numPr>
        <w:adjustRightInd w:val="0"/>
        <w:snapToGrid w:val="0"/>
        <w:spacing w:line="400" w:lineRule="exact"/>
        <w:ind w:firstLine="420" w:firstLineChars="200"/>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合同金额</w:t>
      </w:r>
    </w:p>
    <w:p w14:paraId="2FA50020">
      <w:pPr>
        <w:adjustRightInd w:val="0"/>
        <w:snapToGrid w:val="0"/>
        <w:spacing w:line="400" w:lineRule="exact"/>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（1）合同金额小写：</w:t>
      </w:r>
      <w:r>
        <w:rPr>
          <w:rFonts w:hint="eastAsia" w:ascii="仿宋_GB2312" w:hAnsi="仿宋_GB2312" w:eastAsia="仿宋_GB2312" w:cs="仿宋_GB2312"/>
          <w:color w:val="auto"/>
          <w:szCs w:val="21"/>
          <w:highlight w:val="none"/>
          <w:u w:val="single"/>
        </w:rPr>
        <w:t xml:space="preserve">                           </w:t>
      </w:r>
    </w:p>
    <w:p w14:paraId="59DEA5F4">
      <w:pPr>
        <w:adjustRightInd w:val="0"/>
        <w:snapToGrid w:val="0"/>
        <w:spacing w:line="400" w:lineRule="exact"/>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 xml:space="preserve">                 大写：</w:t>
      </w:r>
      <w:r>
        <w:rPr>
          <w:rFonts w:hint="eastAsia" w:ascii="仿宋_GB2312" w:hAnsi="仿宋_GB2312" w:eastAsia="仿宋_GB2312" w:cs="仿宋_GB2312"/>
          <w:color w:val="auto"/>
          <w:szCs w:val="21"/>
          <w:highlight w:val="none"/>
          <w:u w:val="single"/>
        </w:rPr>
        <w:t xml:space="preserve">                           </w:t>
      </w:r>
    </w:p>
    <w:p w14:paraId="26FC506F">
      <w:pPr>
        <w:adjustRightInd w:val="0"/>
        <w:snapToGrid w:val="0"/>
        <w:spacing w:line="400" w:lineRule="exac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分包金额（如有）小写：</w:t>
      </w:r>
      <w:r>
        <w:rPr>
          <w:rFonts w:hint="eastAsia" w:ascii="仿宋_GB2312" w:hAnsi="仿宋_GB2312" w:eastAsia="仿宋_GB2312" w:cs="仿宋_GB2312"/>
          <w:color w:val="auto"/>
          <w:szCs w:val="21"/>
          <w:highlight w:val="none"/>
          <w:u w:val="single"/>
        </w:rPr>
        <w:t xml:space="preserve">                   </w:t>
      </w:r>
    </w:p>
    <w:p w14:paraId="4F234647">
      <w:pPr>
        <w:adjustRightInd w:val="0"/>
        <w:snapToGrid w:val="0"/>
        <w:spacing w:line="400" w:lineRule="exact"/>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 xml:space="preserve">                     大写：</w:t>
      </w:r>
      <w:r>
        <w:rPr>
          <w:rFonts w:hint="eastAsia" w:ascii="仿宋_GB2312" w:hAnsi="仿宋_GB2312" w:eastAsia="仿宋_GB2312" w:cs="仿宋_GB2312"/>
          <w:color w:val="auto"/>
          <w:szCs w:val="21"/>
          <w:highlight w:val="none"/>
          <w:u w:val="single"/>
        </w:rPr>
        <w:t xml:space="preserve">                       </w:t>
      </w:r>
    </w:p>
    <w:p w14:paraId="3A167B27">
      <w:pPr>
        <w:adjustRightInd w:val="0"/>
        <w:snapToGrid w:val="0"/>
        <w:spacing w:line="400" w:lineRule="exac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（注：固定单价合同应填写单价和最高限价）</w:t>
      </w:r>
    </w:p>
    <w:p w14:paraId="7EC1048B">
      <w:pPr>
        <w:numPr>
          <w:ilvl w:val="255"/>
          <w:numId w:val="0"/>
        </w:numPr>
        <w:adjustRightInd w:val="0"/>
        <w:snapToGrid w:val="0"/>
        <w:spacing w:line="400" w:lineRule="exac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（2）合同定价方式（采用组合定价方式的，可以勾选多项）：</w:t>
      </w:r>
    </w:p>
    <w:p w14:paraId="451F1CBA">
      <w:pPr>
        <w:adjustRightInd w:val="0"/>
        <w:snapToGrid w:val="0"/>
        <w:spacing w:line="400" w:lineRule="exact"/>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iCs/>
          <w:color w:val="auto"/>
          <w:szCs w:val="21"/>
          <w:highlight w:val="none"/>
        </w:rPr>
        <w:t xml:space="preserve">  </w:t>
      </w:r>
      <w:r>
        <w:rPr>
          <w:rFonts w:hint="eastAsia" w:ascii="仿宋_GB2312" w:hAnsi="仿宋_GB2312" w:eastAsia="仿宋_GB2312" w:cs="仿宋_GB2312"/>
          <w:iCs/>
          <w:color w:val="auto"/>
          <w:szCs w:val="21"/>
          <w:highlight w:val="none"/>
        </w:rPr>
        <w:sym w:font="Wingdings" w:char="00FE"/>
      </w:r>
      <w:r>
        <w:rPr>
          <w:rFonts w:hint="eastAsia" w:ascii="仿宋_GB2312" w:hAnsi="仿宋_GB2312" w:eastAsia="仿宋_GB2312" w:cs="仿宋_GB2312"/>
          <w:iCs/>
          <w:color w:val="auto"/>
          <w:szCs w:val="21"/>
          <w:highlight w:val="none"/>
        </w:rPr>
        <w:t xml:space="preserve">固定总价 </w:t>
      </w:r>
      <w:r>
        <w:rPr>
          <w:rFonts w:hint="eastAsia" w:ascii="仿宋_GB2312" w:hAnsi="仿宋_GB2312" w:eastAsia="仿宋_GB2312" w:cs="仿宋_GB2312"/>
          <w:iCs/>
          <w:color w:val="auto"/>
          <w:szCs w:val="21"/>
          <w:highlight w:val="none"/>
        </w:rPr>
        <w:sym w:font="Wingdings" w:char="00A8"/>
      </w:r>
      <w:r>
        <w:rPr>
          <w:rFonts w:hint="eastAsia" w:ascii="仿宋_GB2312" w:hAnsi="仿宋_GB2312" w:eastAsia="仿宋_GB2312" w:cs="仿宋_GB2312"/>
          <w:iCs/>
          <w:color w:val="auto"/>
          <w:szCs w:val="21"/>
          <w:highlight w:val="none"/>
        </w:rPr>
        <w:t xml:space="preserve">固定单价 </w:t>
      </w:r>
      <w:r>
        <w:rPr>
          <w:rFonts w:hint="eastAsia" w:ascii="仿宋_GB2312" w:hAnsi="仿宋_GB2312" w:eastAsia="仿宋_GB2312" w:cs="仿宋_GB2312"/>
          <w:iCs/>
          <w:color w:val="auto"/>
          <w:szCs w:val="21"/>
          <w:highlight w:val="none"/>
        </w:rPr>
        <w:sym w:font="Wingdings" w:char="00A8"/>
      </w:r>
      <w:r>
        <w:rPr>
          <w:rFonts w:hint="eastAsia" w:ascii="仿宋_GB2312" w:hAnsi="仿宋_GB2312" w:eastAsia="仿宋_GB2312" w:cs="仿宋_GB2312"/>
          <w:iCs/>
          <w:color w:val="auto"/>
          <w:szCs w:val="21"/>
          <w:highlight w:val="none"/>
        </w:rPr>
        <w:t xml:space="preserve">固定费率 </w:t>
      </w:r>
      <w:r>
        <w:rPr>
          <w:rFonts w:hint="eastAsia" w:ascii="仿宋_GB2312" w:hAnsi="仿宋_GB2312" w:eastAsia="仿宋_GB2312" w:cs="仿宋_GB2312"/>
          <w:iCs/>
          <w:color w:val="auto"/>
          <w:szCs w:val="21"/>
          <w:highlight w:val="none"/>
        </w:rPr>
        <w:sym w:font="Wingdings" w:char="00A8"/>
      </w:r>
      <w:r>
        <w:rPr>
          <w:rFonts w:hint="eastAsia" w:ascii="仿宋_GB2312" w:hAnsi="仿宋_GB2312" w:eastAsia="仿宋_GB2312" w:cs="仿宋_GB2312"/>
          <w:iCs/>
          <w:color w:val="auto"/>
          <w:szCs w:val="21"/>
          <w:highlight w:val="none"/>
        </w:rPr>
        <w:t xml:space="preserve">成本补偿 </w:t>
      </w:r>
      <w:r>
        <w:rPr>
          <w:rFonts w:hint="eastAsia" w:ascii="仿宋_GB2312" w:hAnsi="仿宋_GB2312" w:eastAsia="仿宋_GB2312" w:cs="仿宋_GB2312"/>
          <w:iCs/>
          <w:color w:val="auto"/>
          <w:szCs w:val="21"/>
          <w:highlight w:val="none"/>
        </w:rPr>
        <w:sym w:font="Wingdings" w:char="00A8"/>
      </w:r>
      <w:r>
        <w:rPr>
          <w:rFonts w:hint="eastAsia" w:ascii="仿宋_GB2312" w:hAnsi="仿宋_GB2312" w:eastAsia="仿宋_GB2312" w:cs="仿宋_GB2312"/>
          <w:iCs/>
          <w:color w:val="auto"/>
          <w:szCs w:val="21"/>
          <w:highlight w:val="none"/>
        </w:rPr>
        <w:t xml:space="preserve">绩效激励 </w:t>
      </w:r>
      <w:r>
        <w:rPr>
          <w:rFonts w:hint="eastAsia" w:ascii="仿宋_GB2312" w:hAnsi="仿宋_GB2312" w:eastAsia="仿宋_GB2312" w:cs="仿宋_GB2312"/>
          <w:iCs/>
          <w:color w:val="auto"/>
          <w:szCs w:val="21"/>
          <w:highlight w:val="none"/>
        </w:rPr>
        <w:sym w:font="Wingdings" w:char="00A8"/>
      </w:r>
      <w:r>
        <w:rPr>
          <w:rFonts w:hint="eastAsia" w:ascii="仿宋_GB2312" w:hAnsi="仿宋_GB2312" w:eastAsia="仿宋_GB2312" w:cs="仿宋_GB2312"/>
          <w:iCs/>
          <w:color w:val="auto"/>
          <w:szCs w:val="21"/>
          <w:highlight w:val="none"/>
        </w:rPr>
        <w:t>其他</w:t>
      </w:r>
      <w:r>
        <w:rPr>
          <w:rFonts w:hint="eastAsia" w:ascii="仿宋_GB2312" w:hAnsi="仿宋_GB2312" w:eastAsia="仿宋_GB2312" w:cs="仿宋_GB2312"/>
          <w:color w:val="auto"/>
          <w:szCs w:val="21"/>
          <w:highlight w:val="none"/>
          <w:u w:val="single"/>
        </w:rPr>
        <w:t xml:space="preserve">       </w:t>
      </w:r>
    </w:p>
    <w:p w14:paraId="3ED64369">
      <w:pPr>
        <w:pStyle w:val="55"/>
        <w:spacing w:line="400" w:lineRule="exact"/>
        <w:ind w:firstLine="42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（3）付款方式（按项目实际勾选填写）：</w:t>
      </w:r>
    </w:p>
    <w:p w14:paraId="06587324">
      <w:pPr>
        <w:adjustRightInd w:val="0"/>
        <w:snapToGrid w:val="0"/>
        <w:spacing w:line="400" w:lineRule="exact"/>
        <w:ind w:firstLine="630" w:firstLineChars="30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sym w:font="Wingdings" w:char="00FE"/>
      </w:r>
      <w:r>
        <w:rPr>
          <w:rFonts w:hint="eastAsia" w:ascii="仿宋_GB2312" w:hAnsi="仿宋_GB2312" w:eastAsia="仿宋_GB2312" w:cs="仿宋_GB2312"/>
          <w:color w:val="auto"/>
          <w:szCs w:val="21"/>
          <w:highlight w:val="none"/>
        </w:rPr>
        <w:t>全额付款：</w:t>
      </w:r>
      <w:r>
        <w:rPr>
          <w:rFonts w:hint="eastAsia" w:ascii="仿宋_GB2312" w:hAnsi="仿宋_GB2312" w:eastAsia="仿宋_GB2312" w:cs="仿宋_GB2312"/>
          <w:color w:val="auto"/>
          <w:szCs w:val="21"/>
          <w:highlight w:val="none"/>
          <w:u w:val="single"/>
        </w:rPr>
        <w:t xml:space="preserve"> 在全部货物交货完毕并验收合格后，招标人将支付100%的合同价款。 </w:t>
      </w:r>
    </w:p>
    <w:p w14:paraId="1E2668D0">
      <w:pPr>
        <w:snapToGrid w:val="0"/>
        <w:spacing w:line="400" w:lineRule="exact"/>
        <w:ind w:firstLine="630" w:firstLineChars="3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sym w:font="Wingdings" w:char="00A8"/>
      </w:r>
      <w:r>
        <w:rPr>
          <w:rFonts w:hint="eastAsia" w:ascii="仿宋_GB2312" w:hAnsi="仿宋_GB2312" w:eastAsia="仿宋_GB2312" w:cs="仿宋_GB2312"/>
          <w:color w:val="auto"/>
          <w:szCs w:val="21"/>
          <w:highlight w:val="none"/>
        </w:rPr>
        <w:t>分期付款：</w:t>
      </w:r>
      <w:r>
        <w:rPr>
          <w:rFonts w:hint="eastAsia" w:ascii="仿宋_GB2312" w:hAnsi="仿宋_GB2312" w:eastAsia="仿宋_GB2312" w:cs="仿宋_GB2312"/>
          <w:color w:val="auto"/>
          <w:szCs w:val="21"/>
          <w:highlight w:val="none"/>
          <w:u w:val="single"/>
        </w:rPr>
        <w:t xml:space="preserve">  （应明确分期支付合同款项的各期比例和支付条件，各期支付条件应与分期履约验收情况挂钩） </w:t>
      </w:r>
      <w:r>
        <w:rPr>
          <w:rFonts w:hint="eastAsia" w:ascii="仿宋_GB2312" w:hAnsi="仿宋_GB2312" w:eastAsia="仿宋_GB2312" w:cs="仿宋_GB2312"/>
          <w:color w:val="auto"/>
          <w:szCs w:val="21"/>
          <w:highlight w:val="none"/>
        </w:rPr>
        <w:t>，其中涉及预付款的：</w:t>
      </w:r>
      <w:r>
        <w:rPr>
          <w:rFonts w:hint="eastAsia" w:ascii="仿宋_GB2312" w:hAnsi="仿宋_GB2312" w:eastAsia="仿宋_GB2312" w:cs="仿宋_GB2312"/>
          <w:color w:val="auto"/>
          <w:szCs w:val="21"/>
          <w:highlight w:val="none"/>
          <w:u w:val="single"/>
        </w:rPr>
        <w:t xml:space="preserve"> （应明确预付款的支付比例和支付条件） </w:t>
      </w:r>
    </w:p>
    <w:p w14:paraId="4E9BD864">
      <w:pPr>
        <w:adjustRightInd w:val="0"/>
        <w:snapToGrid w:val="0"/>
        <w:spacing w:line="400" w:lineRule="exact"/>
        <w:ind w:firstLine="630" w:firstLineChars="30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sym w:font="Wingdings" w:char="00A8"/>
      </w:r>
      <w:r>
        <w:rPr>
          <w:rFonts w:hint="eastAsia" w:ascii="仿宋_GB2312" w:hAnsi="仿宋_GB2312" w:eastAsia="仿宋_GB2312" w:cs="仿宋_GB2312"/>
          <w:color w:val="auto"/>
          <w:szCs w:val="21"/>
          <w:highlight w:val="none"/>
        </w:rPr>
        <w:t>成本补偿：</w:t>
      </w:r>
      <w:r>
        <w:rPr>
          <w:rFonts w:hint="eastAsia" w:ascii="仿宋_GB2312" w:hAnsi="仿宋_GB2312" w:eastAsia="仿宋_GB2312" w:cs="仿宋_GB2312"/>
          <w:color w:val="auto"/>
          <w:szCs w:val="21"/>
          <w:highlight w:val="none"/>
          <w:u w:val="single"/>
        </w:rPr>
        <w:t xml:space="preserve">      （应明确按照成本补偿方式的支付方式和支付条件）   </w:t>
      </w:r>
    </w:p>
    <w:p w14:paraId="51760DB3">
      <w:pPr>
        <w:adjustRightInd w:val="0"/>
        <w:snapToGrid w:val="0"/>
        <w:spacing w:line="400" w:lineRule="exact"/>
        <w:ind w:firstLine="630" w:firstLineChars="3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sym w:font="Wingdings" w:char="00A8"/>
      </w:r>
      <w:r>
        <w:rPr>
          <w:rFonts w:hint="eastAsia" w:ascii="仿宋_GB2312" w:hAnsi="仿宋_GB2312" w:eastAsia="仿宋_GB2312" w:cs="仿宋_GB2312"/>
          <w:color w:val="auto"/>
          <w:szCs w:val="21"/>
          <w:highlight w:val="none"/>
        </w:rPr>
        <w:t>绩效激励：</w:t>
      </w:r>
      <w:r>
        <w:rPr>
          <w:rFonts w:hint="eastAsia" w:ascii="仿宋_GB2312" w:hAnsi="仿宋_GB2312" w:eastAsia="仿宋_GB2312" w:cs="仿宋_GB2312"/>
          <w:color w:val="auto"/>
          <w:szCs w:val="21"/>
          <w:highlight w:val="none"/>
          <w:u w:val="single"/>
        </w:rPr>
        <w:t xml:space="preserve">      （应明确按照绩效激励方式的支付方式和支付条件）   </w:t>
      </w:r>
    </w:p>
    <w:p w14:paraId="6158F2F8">
      <w:pPr>
        <w:numPr>
          <w:ilvl w:val="0"/>
          <w:numId w:val="11"/>
        </w:numPr>
        <w:adjustRightInd w:val="0"/>
        <w:snapToGrid w:val="0"/>
        <w:spacing w:line="400" w:lineRule="exact"/>
        <w:ind w:firstLine="420" w:firstLineChars="200"/>
        <w:rPr>
          <w:rFonts w:ascii="仿宋_GB2312" w:hAnsi="仿宋_GB2312" w:eastAsia="仿宋_GB2312" w:cs="仿宋_GB2312"/>
          <w:b/>
          <w:color w:val="auto"/>
          <w:szCs w:val="21"/>
          <w:highlight w:val="none"/>
          <w:u w:val="single"/>
        </w:rPr>
      </w:pPr>
      <w:r>
        <w:rPr>
          <w:rFonts w:hint="eastAsia" w:ascii="仿宋_GB2312" w:hAnsi="仿宋_GB2312" w:eastAsia="仿宋_GB2312" w:cs="仿宋_GB2312"/>
          <w:b/>
          <w:color w:val="auto"/>
          <w:szCs w:val="21"/>
          <w:highlight w:val="none"/>
        </w:rPr>
        <w:t>合同履行</w:t>
      </w:r>
    </w:p>
    <w:p w14:paraId="3120C2C4">
      <w:pPr>
        <w:adjustRightInd w:val="0"/>
        <w:snapToGrid w:val="0"/>
        <w:spacing w:line="400" w:lineRule="exact"/>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（1）起始日期：</w:t>
      </w:r>
      <w:r>
        <w:rPr>
          <w:rFonts w:hint="eastAsia" w:ascii="仿宋_GB2312" w:hAnsi="仿宋_GB2312" w:eastAsia="仿宋_GB2312" w:cs="仿宋_GB2312"/>
          <w:color w:val="auto"/>
          <w:szCs w:val="21"/>
          <w:highlight w:val="none"/>
          <w:u w:val="single"/>
        </w:rPr>
        <w:t>2025</w:t>
      </w:r>
      <w:r>
        <w:rPr>
          <w:rFonts w:hint="eastAsia" w:ascii="仿宋_GB2312" w:hAnsi="仿宋_GB2312" w:eastAsia="仿宋_GB2312" w:cs="仿宋_GB2312"/>
          <w:color w:val="auto"/>
          <w:szCs w:val="21"/>
          <w:highlight w:val="none"/>
        </w:rPr>
        <w:t>年</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月</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日，完成日期：</w:t>
      </w:r>
      <w:r>
        <w:rPr>
          <w:rFonts w:hint="eastAsia" w:ascii="仿宋_GB2312" w:hAnsi="仿宋_GB2312" w:eastAsia="仿宋_GB2312" w:cs="仿宋_GB2312"/>
          <w:color w:val="auto"/>
          <w:szCs w:val="21"/>
          <w:highlight w:val="none"/>
          <w:u w:val="single"/>
        </w:rPr>
        <w:t>2025</w:t>
      </w:r>
      <w:r>
        <w:rPr>
          <w:rFonts w:hint="eastAsia" w:ascii="仿宋_GB2312" w:hAnsi="仿宋_GB2312" w:eastAsia="仿宋_GB2312" w:cs="仿宋_GB2312"/>
          <w:color w:val="auto"/>
          <w:szCs w:val="21"/>
          <w:highlight w:val="none"/>
        </w:rPr>
        <w:t>年</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月</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日。</w:t>
      </w:r>
    </w:p>
    <w:p w14:paraId="558100E4">
      <w:pPr>
        <w:adjustRightInd w:val="0"/>
        <w:snapToGrid w:val="0"/>
        <w:spacing w:line="400" w:lineRule="exact"/>
        <w:ind w:firstLine="420" w:firstLineChars="20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（2）履约地点</w:t>
      </w:r>
      <w:r>
        <w:rPr>
          <w:rFonts w:hint="eastAsia" w:ascii="仿宋_GB2312" w:hAnsi="仿宋_GB2312" w:eastAsia="仿宋_GB2312" w:cs="仿宋_GB2312"/>
          <w:bCs/>
          <w:color w:val="auto"/>
          <w:szCs w:val="21"/>
          <w:highlight w:val="none"/>
        </w:rPr>
        <w:t>：</w:t>
      </w:r>
      <w:r>
        <w:rPr>
          <w:rFonts w:hint="eastAsia" w:ascii="仿宋_GB2312" w:hAnsi="仿宋_GB2312" w:eastAsia="仿宋_GB2312" w:cs="仿宋_GB2312"/>
          <w:color w:val="auto"/>
          <w:szCs w:val="21"/>
          <w:highlight w:val="none"/>
          <w:u w:val="single"/>
        </w:rPr>
        <w:t>大连医科大学</w:t>
      </w:r>
    </w:p>
    <w:p w14:paraId="3D578035">
      <w:pPr>
        <w:adjustRightInd w:val="0"/>
        <w:snapToGrid w:val="0"/>
        <w:spacing w:line="400" w:lineRule="exact"/>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bCs/>
          <w:color w:val="auto"/>
          <w:szCs w:val="21"/>
          <w:highlight w:val="none"/>
        </w:rPr>
        <w:t>（3）履约担保：</w:t>
      </w:r>
      <w:r>
        <w:rPr>
          <w:rFonts w:hint="eastAsia" w:ascii="仿宋_GB2312" w:hAnsi="仿宋_GB2312" w:eastAsia="仿宋_GB2312" w:cs="仿宋_GB2312"/>
          <w:color w:val="auto"/>
          <w:szCs w:val="21"/>
          <w:highlight w:val="none"/>
        </w:rPr>
        <w:t>是否收取履约保证金：</w:t>
      </w:r>
      <w:r>
        <w:rPr>
          <w:rFonts w:hint="eastAsia" w:ascii="仿宋_GB2312" w:hAnsi="仿宋_GB2312" w:eastAsia="仿宋_GB2312" w:cs="仿宋_GB2312"/>
          <w:color w:val="auto"/>
          <w:szCs w:val="21"/>
          <w:highlight w:val="none"/>
        </w:rPr>
        <w:sym w:font="Wingdings" w:char="00A8"/>
      </w:r>
      <w:r>
        <w:rPr>
          <w:rFonts w:hint="eastAsia" w:ascii="仿宋_GB2312" w:hAnsi="仿宋_GB2312" w:eastAsia="仿宋_GB2312" w:cs="仿宋_GB2312"/>
          <w:color w:val="auto"/>
          <w:szCs w:val="21"/>
          <w:highlight w:val="none"/>
        </w:rPr>
        <w:t xml:space="preserve">是    </w:t>
      </w:r>
      <w:r>
        <w:rPr>
          <w:rFonts w:hint="eastAsia" w:ascii="仿宋_GB2312" w:hAnsi="仿宋_GB2312" w:eastAsia="仿宋_GB2312" w:cs="仿宋_GB2312"/>
          <w:color w:val="auto"/>
          <w:szCs w:val="21"/>
          <w:highlight w:val="none"/>
        </w:rPr>
        <w:sym w:font="Wingdings" w:char="00FE"/>
      </w:r>
      <w:r>
        <w:rPr>
          <w:rFonts w:hint="eastAsia" w:ascii="仿宋_GB2312" w:hAnsi="仿宋_GB2312" w:eastAsia="仿宋_GB2312" w:cs="仿宋_GB2312"/>
          <w:color w:val="auto"/>
          <w:szCs w:val="21"/>
          <w:highlight w:val="none"/>
        </w:rPr>
        <w:t>否</w:t>
      </w:r>
    </w:p>
    <w:p w14:paraId="087B7881">
      <w:pPr>
        <w:pStyle w:val="67"/>
        <w:ind w:firstLine="420"/>
        <w:rPr>
          <w:rFonts w:ascii="仿宋_GB2312" w:hAnsi="仿宋_GB2312" w:eastAsia="仿宋_GB2312" w:cs="仿宋_GB2312"/>
          <w:color w:val="auto"/>
          <w:sz w:val="21"/>
          <w:highlight w:val="none"/>
        </w:rPr>
      </w:pPr>
      <w:r>
        <w:rPr>
          <w:rFonts w:hint="eastAsia" w:ascii="仿宋_GB2312" w:hAnsi="仿宋_GB2312" w:eastAsia="仿宋_GB2312" w:cs="仿宋_GB2312"/>
          <w:bCs/>
          <w:color w:val="auto"/>
          <w:sz w:val="21"/>
          <w:highlight w:val="none"/>
        </w:rPr>
        <w:t xml:space="preserve">  </w:t>
      </w:r>
      <w:r>
        <w:rPr>
          <w:rFonts w:hint="eastAsia" w:ascii="仿宋_GB2312" w:hAnsi="仿宋_GB2312" w:eastAsia="仿宋_GB2312" w:cs="仿宋_GB2312"/>
          <w:color w:val="auto"/>
          <w:sz w:val="21"/>
          <w:highlight w:val="none"/>
        </w:rPr>
        <w:t xml:space="preserve">  收取履约保证金形式：</w:t>
      </w:r>
      <w:r>
        <w:rPr>
          <w:rFonts w:hint="eastAsia" w:ascii="仿宋_GB2312" w:hAnsi="仿宋_GB2312" w:eastAsia="仿宋_GB2312" w:cs="仿宋_GB2312"/>
          <w:bCs/>
          <w:color w:val="auto"/>
          <w:sz w:val="21"/>
          <w:highlight w:val="none"/>
          <w:u w:val="single"/>
        </w:rPr>
        <w:t xml:space="preserve">                            </w:t>
      </w:r>
    </w:p>
    <w:p w14:paraId="407BAE1F">
      <w:pPr>
        <w:pStyle w:val="67"/>
        <w:ind w:firstLine="420"/>
        <w:rPr>
          <w:rFonts w:ascii="仿宋_GB2312" w:hAnsi="仿宋_GB2312" w:eastAsia="仿宋_GB2312" w:cs="仿宋_GB2312"/>
          <w:color w:val="auto"/>
          <w:sz w:val="21"/>
          <w:highlight w:val="none"/>
        </w:rPr>
      </w:pPr>
      <w:r>
        <w:rPr>
          <w:rFonts w:hint="eastAsia" w:ascii="仿宋_GB2312" w:hAnsi="仿宋_GB2312" w:eastAsia="仿宋_GB2312" w:cs="仿宋_GB2312"/>
          <w:color w:val="auto"/>
          <w:sz w:val="21"/>
          <w:highlight w:val="none"/>
        </w:rPr>
        <w:t xml:space="preserve">    收取履约保证金金额：</w:t>
      </w:r>
      <w:r>
        <w:rPr>
          <w:rFonts w:hint="eastAsia" w:ascii="仿宋_GB2312" w:hAnsi="仿宋_GB2312" w:eastAsia="仿宋_GB2312" w:cs="仿宋_GB2312"/>
          <w:bCs/>
          <w:color w:val="auto"/>
          <w:sz w:val="21"/>
          <w:highlight w:val="none"/>
          <w:u w:val="single"/>
        </w:rPr>
        <w:t xml:space="preserve">                            </w:t>
      </w:r>
    </w:p>
    <w:p w14:paraId="4F543C41">
      <w:pPr>
        <w:snapToGrid w:val="0"/>
        <w:spacing w:line="400" w:lineRule="exact"/>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bCs/>
          <w:color w:val="auto"/>
          <w:szCs w:val="21"/>
          <w:highlight w:val="none"/>
        </w:rPr>
        <w:t xml:space="preserve">    履约担保期限：</w:t>
      </w:r>
      <w:r>
        <w:rPr>
          <w:rFonts w:hint="eastAsia" w:ascii="仿宋_GB2312" w:hAnsi="仿宋_GB2312" w:eastAsia="仿宋_GB2312" w:cs="仿宋_GB2312"/>
          <w:bCs/>
          <w:color w:val="auto"/>
          <w:szCs w:val="21"/>
          <w:highlight w:val="none"/>
          <w:u w:val="single"/>
        </w:rPr>
        <w:t xml:space="preserve">                                  </w:t>
      </w:r>
    </w:p>
    <w:p w14:paraId="7E10C385">
      <w:pPr>
        <w:adjustRightInd w:val="0"/>
        <w:snapToGrid w:val="0"/>
        <w:spacing w:line="400" w:lineRule="exact"/>
        <w:ind w:firstLine="420" w:firstLine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（4）分期履行要求：</w:t>
      </w:r>
      <w:r>
        <w:rPr>
          <w:rFonts w:hint="eastAsia" w:ascii="仿宋_GB2312" w:hAnsi="仿宋_GB2312" w:eastAsia="仿宋_GB2312" w:cs="仿宋_GB2312"/>
          <w:bCs/>
          <w:color w:val="auto"/>
          <w:szCs w:val="21"/>
          <w:highlight w:val="none"/>
          <w:u w:val="single"/>
        </w:rPr>
        <w:t xml:space="preserve">                                                        </w:t>
      </w:r>
    </w:p>
    <w:p w14:paraId="6BFA190B">
      <w:pPr>
        <w:adjustRightInd w:val="0"/>
        <w:snapToGrid w:val="0"/>
        <w:spacing w:line="400" w:lineRule="exact"/>
        <w:ind w:firstLine="420" w:firstLineChars="200"/>
        <w:rPr>
          <w:rFonts w:ascii="仿宋_GB2312" w:hAnsi="仿宋_GB2312" w:eastAsia="仿宋_GB2312" w:cs="仿宋_GB2312"/>
          <w:color w:val="auto"/>
          <w:szCs w:val="21"/>
          <w:highlight w:val="none"/>
          <w:u w:val="single"/>
        </w:rPr>
      </w:pPr>
      <w:r>
        <w:rPr>
          <w:rFonts w:hint="eastAsia" w:ascii="仿宋_GB2312" w:hAnsi="仿宋_GB2312" w:eastAsia="仿宋_GB2312" w:cs="仿宋_GB2312"/>
          <w:bCs/>
          <w:color w:val="auto"/>
          <w:szCs w:val="21"/>
          <w:highlight w:val="none"/>
        </w:rPr>
        <w:t>（5）风险处置措施和替代方案：</w:t>
      </w:r>
      <w:r>
        <w:rPr>
          <w:rFonts w:hint="eastAsia" w:ascii="仿宋_GB2312" w:hAnsi="仿宋_GB2312" w:eastAsia="仿宋_GB2312" w:cs="仿宋_GB2312"/>
          <w:color w:val="auto"/>
          <w:szCs w:val="21"/>
          <w:highlight w:val="none"/>
          <w:u w:val="single"/>
        </w:rPr>
        <w:t xml:space="preserve">                                                               </w:t>
      </w:r>
    </w:p>
    <w:p w14:paraId="641CD61A">
      <w:pPr>
        <w:numPr>
          <w:ilvl w:val="0"/>
          <w:numId w:val="11"/>
        </w:numPr>
        <w:adjustRightInd w:val="0"/>
        <w:snapToGrid w:val="0"/>
        <w:spacing w:line="400" w:lineRule="exact"/>
        <w:ind w:firstLine="420" w:firstLineChars="200"/>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合同验收</w:t>
      </w:r>
    </w:p>
    <w:p w14:paraId="456A862F">
      <w:pPr>
        <w:numPr>
          <w:ilvl w:val="0"/>
          <w:numId w:val="13"/>
        </w:numPr>
        <w:adjustRightInd w:val="0"/>
        <w:snapToGrid w:val="0"/>
        <w:spacing w:line="400" w:lineRule="exact"/>
        <w:ind w:firstLine="420" w:firstLine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验收组织方式：</w:t>
      </w:r>
      <w:r>
        <w:rPr>
          <w:rFonts w:hint="eastAsia" w:ascii="仿宋_GB2312" w:hAnsi="仿宋_GB2312" w:eastAsia="仿宋_GB2312" w:cs="仿宋_GB2312"/>
          <w:color w:val="auto"/>
          <w:szCs w:val="21"/>
          <w:highlight w:val="none"/>
        </w:rPr>
        <w:sym w:font="Wingdings" w:char="00FE"/>
      </w:r>
      <w:r>
        <w:rPr>
          <w:rFonts w:hint="eastAsia" w:ascii="仿宋_GB2312" w:hAnsi="仿宋_GB2312" w:eastAsia="仿宋_GB2312" w:cs="仿宋_GB2312"/>
          <w:bCs/>
          <w:color w:val="auto"/>
          <w:szCs w:val="21"/>
          <w:highlight w:val="none"/>
        </w:rPr>
        <w:t xml:space="preserve">自行组织 </w:t>
      </w:r>
      <w:r>
        <w:rPr>
          <w:rFonts w:hint="eastAsia" w:ascii="仿宋_GB2312" w:hAnsi="仿宋_GB2312" w:eastAsia="仿宋_GB2312" w:cs="仿宋_GB2312"/>
          <w:color w:val="auto"/>
          <w:szCs w:val="21"/>
          <w:highlight w:val="none"/>
        </w:rPr>
        <w:sym w:font="Wingdings" w:char="00A8"/>
      </w:r>
      <w:r>
        <w:rPr>
          <w:rFonts w:hint="eastAsia" w:ascii="仿宋_GB2312" w:hAnsi="仿宋_GB2312" w:eastAsia="仿宋_GB2312" w:cs="仿宋_GB2312"/>
          <w:bCs/>
          <w:color w:val="auto"/>
          <w:szCs w:val="21"/>
          <w:highlight w:val="none"/>
        </w:rPr>
        <w:t>委托第三方组织</w:t>
      </w:r>
    </w:p>
    <w:p w14:paraId="7CA55464">
      <w:pPr>
        <w:adjustRightInd w:val="0"/>
        <w:snapToGrid w:val="0"/>
        <w:spacing w:line="400" w:lineRule="exact"/>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 xml:space="preserve">         验收主体：</w:t>
      </w:r>
      <w:r>
        <w:rPr>
          <w:rFonts w:hint="eastAsia" w:ascii="仿宋_GB2312" w:hAnsi="仿宋_GB2312" w:eastAsia="仿宋_GB2312" w:cs="仿宋_GB2312"/>
          <w:bCs/>
          <w:color w:val="auto"/>
          <w:szCs w:val="21"/>
          <w:highlight w:val="none"/>
          <w:u w:val="single"/>
        </w:rPr>
        <w:t xml:space="preserve"> 大连医科大学 </w:t>
      </w:r>
    </w:p>
    <w:p w14:paraId="458D26F8">
      <w:pPr>
        <w:adjustRightInd w:val="0"/>
        <w:snapToGrid w:val="0"/>
        <w:spacing w:line="400" w:lineRule="exact"/>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 xml:space="preserve">        是否邀请本项目的其他供应商参加验收：</w:t>
      </w:r>
      <w:r>
        <w:rPr>
          <w:rFonts w:hint="eastAsia" w:ascii="仿宋_GB2312" w:hAnsi="仿宋_GB2312" w:eastAsia="仿宋_GB2312" w:cs="仿宋_GB2312"/>
          <w:color w:val="auto"/>
          <w:szCs w:val="21"/>
          <w:highlight w:val="none"/>
        </w:rPr>
        <w:sym w:font="Wingdings" w:char="00A8"/>
      </w:r>
      <w:r>
        <w:rPr>
          <w:rFonts w:hint="eastAsia" w:ascii="仿宋_GB2312" w:hAnsi="仿宋_GB2312" w:eastAsia="仿宋_GB2312" w:cs="仿宋_GB2312"/>
          <w:bCs/>
          <w:color w:val="auto"/>
          <w:szCs w:val="21"/>
          <w:highlight w:val="none"/>
        </w:rPr>
        <w:t xml:space="preserve">是  </w:t>
      </w:r>
      <w:r>
        <w:rPr>
          <w:rFonts w:hint="eastAsia" w:ascii="仿宋_GB2312" w:hAnsi="仿宋_GB2312" w:eastAsia="仿宋_GB2312" w:cs="仿宋_GB2312"/>
          <w:color w:val="auto"/>
          <w:szCs w:val="21"/>
          <w:highlight w:val="none"/>
        </w:rPr>
        <w:sym w:font="Wingdings" w:char="00FE"/>
      </w:r>
      <w:r>
        <w:rPr>
          <w:rFonts w:hint="eastAsia" w:ascii="仿宋_GB2312" w:hAnsi="仿宋_GB2312" w:eastAsia="仿宋_GB2312" w:cs="仿宋_GB2312"/>
          <w:bCs/>
          <w:color w:val="auto"/>
          <w:szCs w:val="21"/>
          <w:highlight w:val="none"/>
        </w:rPr>
        <w:t>否</w:t>
      </w:r>
    </w:p>
    <w:p w14:paraId="7C82DFE2">
      <w:pPr>
        <w:adjustRightInd w:val="0"/>
        <w:snapToGrid w:val="0"/>
        <w:spacing w:line="400" w:lineRule="exact"/>
        <w:ind w:firstLine="840" w:firstLineChars="4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是否邀请专家参加验收：</w:t>
      </w:r>
      <w:r>
        <w:rPr>
          <w:rFonts w:hint="eastAsia" w:ascii="仿宋_GB2312" w:hAnsi="仿宋_GB2312" w:eastAsia="仿宋_GB2312" w:cs="仿宋_GB2312"/>
          <w:color w:val="auto"/>
          <w:szCs w:val="21"/>
          <w:highlight w:val="none"/>
        </w:rPr>
        <w:sym w:font="Wingdings" w:char="00FE"/>
      </w:r>
      <w:r>
        <w:rPr>
          <w:rFonts w:hint="eastAsia" w:ascii="仿宋_GB2312" w:hAnsi="仿宋_GB2312" w:eastAsia="仿宋_GB2312" w:cs="仿宋_GB2312"/>
          <w:bCs/>
          <w:color w:val="auto"/>
          <w:szCs w:val="21"/>
          <w:highlight w:val="none"/>
        </w:rPr>
        <w:t xml:space="preserve">是  </w:t>
      </w:r>
      <w:r>
        <w:rPr>
          <w:rFonts w:hint="eastAsia" w:ascii="仿宋_GB2312" w:hAnsi="仿宋_GB2312" w:eastAsia="仿宋_GB2312" w:cs="仿宋_GB2312"/>
          <w:color w:val="auto"/>
          <w:szCs w:val="21"/>
          <w:highlight w:val="none"/>
        </w:rPr>
        <w:sym w:font="Wingdings" w:char="00A8"/>
      </w:r>
      <w:r>
        <w:rPr>
          <w:rFonts w:hint="eastAsia" w:ascii="仿宋_GB2312" w:hAnsi="仿宋_GB2312" w:eastAsia="仿宋_GB2312" w:cs="仿宋_GB2312"/>
          <w:bCs/>
          <w:color w:val="auto"/>
          <w:szCs w:val="21"/>
          <w:highlight w:val="none"/>
        </w:rPr>
        <w:t>否</w:t>
      </w:r>
    </w:p>
    <w:p w14:paraId="2C625717">
      <w:pPr>
        <w:adjustRightInd w:val="0"/>
        <w:snapToGrid w:val="0"/>
        <w:spacing w:line="400" w:lineRule="exact"/>
        <w:ind w:firstLine="840" w:firstLineChars="4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是否邀请服务对象参加验收：</w:t>
      </w:r>
      <w:r>
        <w:rPr>
          <w:rFonts w:hint="eastAsia" w:ascii="仿宋_GB2312" w:hAnsi="仿宋_GB2312" w:eastAsia="仿宋_GB2312" w:cs="仿宋_GB2312"/>
          <w:color w:val="auto"/>
          <w:szCs w:val="21"/>
          <w:highlight w:val="none"/>
        </w:rPr>
        <w:sym w:font="Wingdings" w:char="00A8"/>
      </w:r>
      <w:r>
        <w:rPr>
          <w:rFonts w:hint="eastAsia" w:ascii="仿宋_GB2312" w:hAnsi="仿宋_GB2312" w:eastAsia="仿宋_GB2312" w:cs="仿宋_GB2312"/>
          <w:bCs/>
          <w:color w:val="auto"/>
          <w:szCs w:val="21"/>
          <w:highlight w:val="none"/>
        </w:rPr>
        <w:t xml:space="preserve">是  </w:t>
      </w:r>
      <w:r>
        <w:rPr>
          <w:rFonts w:hint="eastAsia" w:ascii="仿宋_GB2312" w:hAnsi="仿宋_GB2312" w:eastAsia="仿宋_GB2312" w:cs="仿宋_GB2312"/>
          <w:color w:val="auto"/>
          <w:szCs w:val="21"/>
          <w:highlight w:val="none"/>
        </w:rPr>
        <w:sym w:font="Wingdings" w:char="00FE"/>
      </w:r>
      <w:r>
        <w:rPr>
          <w:rFonts w:hint="eastAsia" w:ascii="仿宋_GB2312" w:hAnsi="仿宋_GB2312" w:eastAsia="仿宋_GB2312" w:cs="仿宋_GB2312"/>
          <w:bCs/>
          <w:color w:val="auto"/>
          <w:szCs w:val="21"/>
          <w:highlight w:val="none"/>
        </w:rPr>
        <w:t>否</w:t>
      </w:r>
    </w:p>
    <w:p w14:paraId="2C7B829A">
      <w:pPr>
        <w:adjustRightInd w:val="0"/>
        <w:snapToGrid w:val="0"/>
        <w:spacing w:line="400" w:lineRule="exact"/>
        <w:ind w:firstLine="840" w:firstLineChars="4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是否邀请第三方检测机构参加验收：</w:t>
      </w:r>
      <w:r>
        <w:rPr>
          <w:rFonts w:hint="eastAsia" w:ascii="仿宋_GB2312" w:hAnsi="仿宋_GB2312" w:eastAsia="仿宋_GB2312" w:cs="仿宋_GB2312"/>
          <w:color w:val="auto"/>
          <w:szCs w:val="21"/>
          <w:highlight w:val="none"/>
        </w:rPr>
        <w:sym w:font="Wingdings" w:char="00A8"/>
      </w:r>
      <w:r>
        <w:rPr>
          <w:rFonts w:hint="eastAsia" w:ascii="仿宋_GB2312" w:hAnsi="仿宋_GB2312" w:eastAsia="仿宋_GB2312" w:cs="仿宋_GB2312"/>
          <w:bCs/>
          <w:color w:val="auto"/>
          <w:szCs w:val="21"/>
          <w:highlight w:val="none"/>
        </w:rPr>
        <w:t xml:space="preserve">是  </w:t>
      </w:r>
      <w:r>
        <w:rPr>
          <w:rFonts w:hint="eastAsia" w:ascii="仿宋_GB2312" w:hAnsi="仿宋_GB2312" w:eastAsia="仿宋_GB2312" w:cs="仿宋_GB2312"/>
          <w:color w:val="auto"/>
          <w:szCs w:val="21"/>
          <w:highlight w:val="none"/>
        </w:rPr>
        <w:sym w:font="Wingdings" w:char="00FE"/>
      </w:r>
      <w:r>
        <w:rPr>
          <w:rFonts w:hint="eastAsia" w:ascii="仿宋_GB2312" w:hAnsi="仿宋_GB2312" w:eastAsia="仿宋_GB2312" w:cs="仿宋_GB2312"/>
          <w:bCs/>
          <w:color w:val="auto"/>
          <w:szCs w:val="21"/>
          <w:highlight w:val="none"/>
        </w:rPr>
        <w:t>否</w:t>
      </w:r>
    </w:p>
    <w:p w14:paraId="07B5C504">
      <w:pPr>
        <w:adjustRightInd w:val="0"/>
        <w:snapToGrid w:val="0"/>
        <w:spacing w:line="400" w:lineRule="exact"/>
        <w:ind w:firstLine="840" w:firstLineChars="4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是否进行抽查检测：</w:t>
      </w:r>
      <w:r>
        <w:rPr>
          <w:rFonts w:hint="eastAsia" w:ascii="仿宋_GB2312" w:hAnsi="仿宋_GB2312" w:eastAsia="仿宋_GB2312" w:cs="仿宋_GB2312"/>
          <w:color w:val="auto"/>
          <w:szCs w:val="21"/>
          <w:highlight w:val="none"/>
        </w:rPr>
        <w:sym w:font="Wingdings" w:char="00A8"/>
      </w:r>
      <w:r>
        <w:rPr>
          <w:rFonts w:hint="eastAsia" w:ascii="仿宋_GB2312" w:hAnsi="仿宋_GB2312" w:eastAsia="仿宋_GB2312" w:cs="仿宋_GB2312"/>
          <w:bCs/>
          <w:color w:val="auto"/>
          <w:szCs w:val="21"/>
          <w:highlight w:val="none"/>
        </w:rPr>
        <w:t>是，抽查比例：</w:t>
      </w:r>
      <w:r>
        <w:rPr>
          <w:rFonts w:hint="eastAsia" w:ascii="仿宋_GB2312" w:hAnsi="仿宋_GB2312" w:eastAsia="仿宋_GB2312" w:cs="仿宋_GB2312"/>
          <w:bCs/>
          <w:color w:val="auto"/>
          <w:szCs w:val="21"/>
          <w:highlight w:val="none"/>
          <w:u w:val="single"/>
        </w:rPr>
        <w:t xml:space="preserve">        </w:t>
      </w:r>
      <w:r>
        <w:rPr>
          <w:rFonts w:hint="eastAsia" w:ascii="仿宋_GB2312" w:hAnsi="仿宋_GB2312" w:eastAsia="仿宋_GB2312" w:cs="仿宋_GB2312"/>
          <w:bCs/>
          <w:color w:val="auto"/>
          <w:szCs w:val="21"/>
          <w:highlight w:val="none"/>
        </w:rPr>
        <w:t xml:space="preserve"> </w:t>
      </w:r>
      <w:r>
        <w:rPr>
          <w:rFonts w:hint="eastAsia" w:ascii="仿宋_GB2312" w:hAnsi="仿宋_GB2312" w:eastAsia="仿宋_GB2312" w:cs="仿宋_GB2312"/>
          <w:color w:val="auto"/>
          <w:szCs w:val="21"/>
          <w:highlight w:val="none"/>
        </w:rPr>
        <w:sym w:font="Wingdings" w:char="00FE"/>
      </w:r>
      <w:r>
        <w:rPr>
          <w:rFonts w:hint="eastAsia" w:ascii="仿宋_GB2312" w:hAnsi="仿宋_GB2312" w:eastAsia="仿宋_GB2312" w:cs="仿宋_GB2312"/>
          <w:bCs/>
          <w:color w:val="auto"/>
          <w:szCs w:val="21"/>
          <w:highlight w:val="none"/>
        </w:rPr>
        <w:t>否</w:t>
      </w:r>
    </w:p>
    <w:p w14:paraId="04AC99CF">
      <w:pPr>
        <w:adjustRightInd w:val="0"/>
        <w:snapToGrid w:val="0"/>
        <w:spacing w:line="400" w:lineRule="exact"/>
        <w:ind w:firstLine="840" w:firstLineChars="400"/>
        <w:rPr>
          <w:rFonts w:ascii="仿宋_GB2312" w:hAnsi="仿宋_GB2312" w:eastAsia="仿宋_GB2312" w:cs="仿宋_GB2312"/>
          <w:bCs/>
          <w:color w:val="auto"/>
          <w:szCs w:val="21"/>
          <w:highlight w:val="none"/>
          <w:u w:val="single"/>
        </w:rPr>
      </w:pPr>
      <w:r>
        <w:rPr>
          <w:rFonts w:hint="eastAsia" w:ascii="仿宋_GB2312" w:hAnsi="仿宋_GB2312" w:eastAsia="仿宋_GB2312" w:cs="仿宋_GB2312"/>
          <w:bCs/>
          <w:color w:val="auto"/>
          <w:szCs w:val="21"/>
          <w:highlight w:val="none"/>
        </w:rPr>
        <w:t>是否存在破坏性检测：</w:t>
      </w:r>
      <w:r>
        <w:rPr>
          <w:rFonts w:hint="eastAsia" w:ascii="仿宋_GB2312" w:hAnsi="仿宋_GB2312" w:eastAsia="仿宋_GB2312" w:cs="仿宋_GB2312"/>
          <w:color w:val="auto"/>
          <w:szCs w:val="21"/>
          <w:highlight w:val="none"/>
        </w:rPr>
        <w:sym w:font="Wingdings" w:char="00A8"/>
      </w:r>
      <w:r>
        <w:rPr>
          <w:rFonts w:hint="eastAsia" w:ascii="仿宋_GB2312" w:hAnsi="仿宋_GB2312" w:eastAsia="仿宋_GB2312" w:cs="仿宋_GB2312"/>
          <w:bCs/>
          <w:color w:val="auto"/>
          <w:szCs w:val="21"/>
          <w:highlight w:val="none"/>
        </w:rPr>
        <w:t>是，</w:t>
      </w:r>
      <w:r>
        <w:rPr>
          <w:rFonts w:hint="eastAsia" w:ascii="仿宋_GB2312" w:hAnsi="仿宋_GB2312" w:eastAsia="仿宋_GB2312" w:cs="仿宋_GB2312"/>
          <w:bCs/>
          <w:color w:val="auto"/>
          <w:szCs w:val="21"/>
          <w:highlight w:val="none"/>
          <w:u w:val="single"/>
        </w:rPr>
        <w:t>（应明确对被破坏的检测产品的处理方式）</w:t>
      </w:r>
    </w:p>
    <w:p w14:paraId="4AFB48F1">
      <w:pPr>
        <w:adjustRightInd w:val="0"/>
        <w:snapToGrid w:val="0"/>
        <w:spacing w:line="400" w:lineRule="exact"/>
        <w:ind w:firstLine="840" w:firstLineChars="4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 xml:space="preserve">                    </w:t>
      </w:r>
      <w:r>
        <w:rPr>
          <w:rFonts w:hint="eastAsia" w:ascii="仿宋_GB2312" w:hAnsi="仿宋_GB2312" w:eastAsia="仿宋_GB2312" w:cs="仿宋_GB2312"/>
          <w:color w:val="auto"/>
          <w:szCs w:val="21"/>
          <w:highlight w:val="none"/>
        </w:rPr>
        <w:sym w:font="Wingdings" w:char="00FE"/>
      </w:r>
      <w:r>
        <w:rPr>
          <w:rFonts w:hint="eastAsia" w:ascii="仿宋_GB2312" w:hAnsi="仿宋_GB2312" w:eastAsia="仿宋_GB2312" w:cs="仿宋_GB2312"/>
          <w:bCs/>
          <w:color w:val="auto"/>
          <w:szCs w:val="21"/>
          <w:highlight w:val="none"/>
        </w:rPr>
        <w:t>否</w:t>
      </w:r>
    </w:p>
    <w:p w14:paraId="105D347E">
      <w:pPr>
        <w:adjustRightInd w:val="0"/>
        <w:snapToGrid w:val="0"/>
        <w:spacing w:line="400" w:lineRule="exact"/>
        <w:ind w:firstLine="840" w:firstLineChars="400"/>
        <w:rPr>
          <w:rFonts w:ascii="仿宋_GB2312" w:hAnsi="仿宋_GB2312" w:eastAsia="仿宋_GB2312" w:cs="仿宋_GB2312"/>
          <w:bCs/>
          <w:color w:val="auto"/>
          <w:szCs w:val="21"/>
          <w:highlight w:val="none"/>
          <w:u w:val="single"/>
        </w:rPr>
      </w:pPr>
      <w:r>
        <w:rPr>
          <w:rFonts w:hint="eastAsia" w:ascii="仿宋_GB2312" w:hAnsi="仿宋_GB2312" w:eastAsia="仿宋_GB2312" w:cs="仿宋_GB2312"/>
          <w:bCs/>
          <w:color w:val="auto"/>
          <w:szCs w:val="21"/>
          <w:highlight w:val="none"/>
        </w:rPr>
        <w:t>验收组织的其他事项：</w:t>
      </w:r>
      <w:r>
        <w:rPr>
          <w:rFonts w:hint="eastAsia" w:ascii="仿宋_GB2312" w:hAnsi="仿宋_GB2312" w:eastAsia="仿宋_GB2312" w:cs="仿宋_GB2312"/>
          <w:bCs/>
          <w:color w:val="auto"/>
          <w:szCs w:val="21"/>
          <w:highlight w:val="none"/>
          <w:u w:val="single"/>
        </w:rPr>
        <w:t xml:space="preserve"> 无             </w:t>
      </w:r>
    </w:p>
    <w:p w14:paraId="2B4E47CE">
      <w:pPr>
        <w:adjustRightInd w:val="0"/>
        <w:snapToGrid w:val="0"/>
        <w:spacing w:line="400" w:lineRule="exact"/>
        <w:ind w:firstLine="420" w:firstLineChars="200"/>
        <w:rPr>
          <w:rFonts w:ascii="仿宋_GB2312" w:hAnsi="仿宋_GB2312" w:eastAsia="仿宋_GB2312" w:cs="仿宋_GB2312"/>
          <w:bCs/>
          <w:color w:val="auto"/>
          <w:szCs w:val="21"/>
          <w:highlight w:val="none"/>
          <w:u w:val="single"/>
        </w:rPr>
      </w:pPr>
      <w:r>
        <w:rPr>
          <w:rFonts w:hint="eastAsia" w:ascii="仿宋_GB2312" w:hAnsi="仿宋_GB2312" w:eastAsia="仿宋_GB2312" w:cs="仿宋_GB2312"/>
          <w:bCs/>
          <w:color w:val="auto"/>
          <w:szCs w:val="21"/>
          <w:highlight w:val="none"/>
        </w:rPr>
        <w:t>（2）履约验收时间：</w:t>
      </w:r>
      <w:r>
        <w:rPr>
          <w:rFonts w:hint="eastAsia" w:ascii="仿宋_GB2312" w:hAnsi="仿宋_GB2312" w:eastAsia="仿宋_GB2312" w:cs="仿宋_GB2312"/>
          <w:bCs/>
          <w:color w:val="auto"/>
          <w:szCs w:val="21"/>
          <w:highlight w:val="none"/>
          <w:u w:val="single"/>
        </w:rPr>
        <w:t>货到安装调试完成后</w:t>
      </w:r>
    </w:p>
    <w:p w14:paraId="16AA08B2">
      <w:pPr>
        <w:adjustRightInd w:val="0"/>
        <w:snapToGrid w:val="0"/>
        <w:spacing w:line="400" w:lineRule="exact"/>
        <w:ind w:firstLine="420" w:firstLine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（3）履约验收方式：</w:t>
      </w:r>
      <w:r>
        <w:rPr>
          <w:rFonts w:hint="eastAsia" w:ascii="仿宋_GB2312" w:hAnsi="仿宋_GB2312" w:eastAsia="仿宋_GB2312" w:cs="仿宋_GB2312"/>
          <w:color w:val="auto"/>
          <w:szCs w:val="21"/>
          <w:highlight w:val="none"/>
        </w:rPr>
        <w:sym w:font="Wingdings" w:char="00FE"/>
      </w:r>
      <w:r>
        <w:rPr>
          <w:rFonts w:hint="eastAsia" w:ascii="仿宋_GB2312" w:hAnsi="仿宋_GB2312" w:eastAsia="仿宋_GB2312" w:cs="仿宋_GB2312"/>
          <w:bCs/>
          <w:color w:val="auto"/>
          <w:szCs w:val="21"/>
          <w:highlight w:val="none"/>
        </w:rPr>
        <w:t xml:space="preserve">一次性验收         </w:t>
      </w:r>
    </w:p>
    <w:p w14:paraId="453171F1">
      <w:pPr>
        <w:adjustRightInd w:val="0"/>
        <w:snapToGrid w:val="0"/>
        <w:spacing w:line="400" w:lineRule="exact"/>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 xml:space="preserve">                       </w:t>
      </w:r>
      <w:r>
        <w:rPr>
          <w:rFonts w:hint="eastAsia" w:ascii="仿宋_GB2312" w:hAnsi="仿宋_GB2312" w:eastAsia="仿宋_GB2312" w:cs="仿宋_GB2312"/>
          <w:color w:val="auto"/>
          <w:szCs w:val="21"/>
          <w:highlight w:val="none"/>
        </w:rPr>
        <w:sym w:font="Wingdings" w:char="00A8"/>
      </w:r>
      <w:r>
        <w:rPr>
          <w:rFonts w:hint="eastAsia" w:ascii="仿宋_GB2312" w:hAnsi="仿宋_GB2312" w:eastAsia="仿宋_GB2312" w:cs="仿宋_GB2312"/>
          <w:bCs/>
          <w:color w:val="auto"/>
          <w:szCs w:val="21"/>
          <w:highlight w:val="none"/>
        </w:rPr>
        <w:t>分期/分项验收：</w:t>
      </w:r>
      <w:r>
        <w:rPr>
          <w:rFonts w:hint="eastAsia" w:ascii="仿宋_GB2312" w:hAnsi="仿宋_GB2312" w:eastAsia="仿宋_GB2312" w:cs="仿宋_GB2312"/>
          <w:bCs/>
          <w:color w:val="auto"/>
          <w:szCs w:val="21"/>
          <w:highlight w:val="none"/>
          <w:u w:val="single"/>
        </w:rPr>
        <w:t xml:space="preserve"> （应明确分期</w:t>
      </w:r>
      <w:r>
        <w:rPr>
          <w:rFonts w:hint="eastAsia" w:ascii="仿宋_GB2312" w:hAnsi="仿宋_GB2312" w:eastAsia="仿宋_GB2312" w:cs="仿宋_GB2312"/>
          <w:bCs/>
          <w:color w:val="auto"/>
          <w:szCs w:val="21"/>
          <w:highlight w:val="none"/>
          <w:u w:val="single"/>
          <w:lang w:val="en"/>
        </w:rPr>
        <w:t>/分项验收的工作安排</w:t>
      </w:r>
      <w:r>
        <w:rPr>
          <w:rFonts w:hint="eastAsia" w:ascii="仿宋_GB2312" w:hAnsi="仿宋_GB2312" w:eastAsia="仿宋_GB2312" w:cs="仿宋_GB2312"/>
          <w:bCs/>
          <w:color w:val="auto"/>
          <w:szCs w:val="21"/>
          <w:highlight w:val="none"/>
          <w:u w:val="single"/>
        </w:rPr>
        <w:t xml:space="preserve">）  </w:t>
      </w:r>
    </w:p>
    <w:p w14:paraId="697A0EC0">
      <w:pPr>
        <w:numPr>
          <w:ilvl w:val="0"/>
          <w:numId w:val="9"/>
        </w:numPr>
        <w:adjustRightInd w:val="0"/>
        <w:snapToGrid w:val="0"/>
        <w:spacing w:line="400" w:lineRule="exact"/>
        <w:ind w:firstLine="420" w:firstLine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履约验收程序：</w:t>
      </w:r>
    </w:p>
    <w:p w14:paraId="661EEE68">
      <w:pPr>
        <w:adjustRightInd w:val="0"/>
        <w:snapToGrid w:val="0"/>
        <w:spacing w:line="400" w:lineRule="exact"/>
        <w:ind w:left="420" w:left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①提出验收申请。供应商履约后，即可向采购人提出验收申请，其提出验收申请的时限不得超过5个工作日。</w:t>
      </w:r>
    </w:p>
    <w:p w14:paraId="2A7F4B57">
      <w:pPr>
        <w:adjustRightInd w:val="0"/>
        <w:snapToGrid w:val="0"/>
        <w:spacing w:line="400" w:lineRule="exact"/>
        <w:ind w:left="420" w:left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②制定验收方案并下达政府采购履约验收通知单。采购人或者委托的采购代理机构根据采购项目具体特点制定验收方案，并在收到验收申请之日起5个工作日内向供应商下达验收通知单，明确验收方式、程序、时间和地点等内容。</w:t>
      </w:r>
    </w:p>
    <w:p w14:paraId="33662BA0">
      <w:pPr>
        <w:adjustRightInd w:val="0"/>
        <w:snapToGrid w:val="0"/>
        <w:spacing w:line="400" w:lineRule="exact"/>
        <w:ind w:left="420" w:left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③成立验收小组。</w:t>
      </w:r>
    </w:p>
    <w:p w14:paraId="6DC7E1B1">
      <w:pPr>
        <w:adjustRightInd w:val="0"/>
        <w:snapToGrid w:val="0"/>
        <w:spacing w:line="400" w:lineRule="exact"/>
        <w:ind w:left="420" w:left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④组织验收。采购人在验收通知单下达后7个工作日内完成履约验收工作。验收过程中，验收小组成员应当按照合同约定对技术、服务、安全标准的履约情况进行确认，认真做好个人验收记录，提出个人验收意见，在此基础上形成履约验收书，并签字确认。委托采购代理机构组织验收的，采购人应当在验收书上确认意见。</w:t>
      </w:r>
    </w:p>
    <w:p w14:paraId="13F8AF54">
      <w:pPr>
        <w:adjustRightInd w:val="0"/>
        <w:snapToGrid w:val="0"/>
        <w:spacing w:line="400" w:lineRule="exact"/>
        <w:ind w:left="420" w:left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对于技术繁杂、社会影响较大的货物项目设置多重验收环节的，对于服务、工程项目实施服务分期考核、按施工进度验收的，采购人或者委托的采购代理机构可据实确定验收的完成时限，但不得拖延验收工作。</w:t>
      </w:r>
    </w:p>
    <w:p w14:paraId="57F1A3B8">
      <w:pPr>
        <w:adjustRightInd w:val="0"/>
        <w:snapToGrid w:val="0"/>
        <w:spacing w:line="400" w:lineRule="exact"/>
        <w:ind w:left="420" w:left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采购人或者委托的采购代理机构聘请专业检测机构参与验收的，按照专业检测程序和时限完成验收工作后出具检测报告。</w:t>
      </w:r>
    </w:p>
    <w:p w14:paraId="22236A50">
      <w:pPr>
        <w:adjustRightInd w:val="0"/>
        <w:snapToGrid w:val="0"/>
        <w:spacing w:line="400" w:lineRule="exact"/>
        <w:ind w:left="420" w:left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⑤验收资料归档。履约验收工作结束后，采购人、采购代理机构应当将验收小组成员的个人验收记录、验收书、检测报告等相关资料依照有关规定妥善保管。</w:t>
      </w:r>
    </w:p>
    <w:p w14:paraId="1F09D505">
      <w:pPr>
        <w:adjustRightInd w:val="0"/>
        <w:snapToGrid w:val="0"/>
        <w:spacing w:line="400" w:lineRule="exact"/>
        <w:ind w:left="420" w:left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 xml:space="preserve">⑥供应商履约后，不能及时提交履约验收申请的，需向采购人提出延期验收申请，由采购人提出延期处理意见。  </w:t>
      </w:r>
    </w:p>
    <w:p w14:paraId="2109FA48">
      <w:pPr>
        <w:adjustRightInd w:val="0"/>
        <w:snapToGrid w:val="0"/>
        <w:spacing w:line="400" w:lineRule="exact"/>
        <w:ind w:left="420" w:left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⑦在验收中发现供应商未按照合同约定的技术、服务和安全标准履约的，采购人提出限期整改意见。整改期满后，再次验收仍不合格，采购人有权拒绝支付政府采购资金。</w:t>
      </w:r>
    </w:p>
    <w:p w14:paraId="7A49E428">
      <w:pPr>
        <w:adjustRightInd w:val="0"/>
        <w:snapToGrid w:val="0"/>
        <w:spacing w:line="400" w:lineRule="exact"/>
        <w:ind w:left="420" w:left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 xml:space="preserve">⑧履约验收的结果与采购合同约定的内容虽然不完全符合，经验收小组确认，供应商所提供的货物、工程和服务比合同约定内容提高了使用功能和标准或属于技术更新换代产品，在不影响整个项目的运行质量、功能以及合同金额不提高的前提下，可以验收通过。  </w:t>
      </w:r>
    </w:p>
    <w:p w14:paraId="1B976AF1">
      <w:pPr>
        <w:adjustRightInd w:val="0"/>
        <w:snapToGrid w:val="0"/>
        <w:spacing w:line="400" w:lineRule="exact"/>
        <w:ind w:left="420" w:left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 xml:space="preserve">⑨在履约验收过程中，验收小组成员意见不一致时，遵循少数服从多数的原则，有不同意见的成员应将意见记录在验收书上，并在验收书上签字，未将意见记录在验收书上的视为无不同意见。  </w:t>
      </w:r>
    </w:p>
    <w:p w14:paraId="17940F37">
      <w:pPr>
        <w:adjustRightInd w:val="0"/>
        <w:snapToGrid w:val="0"/>
        <w:spacing w:line="400" w:lineRule="exact"/>
        <w:ind w:firstLine="420" w:firstLineChars="200"/>
        <w:rPr>
          <w:rFonts w:ascii="仿宋_GB2312" w:hAnsi="仿宋_GB2312" w:eastAsia="仿宋_GB2312" w:cs="仿宋_GB2312"/>
          <w:bCs/>
          <w:color w:val="auto"/>
          <w:szCs w:val="21"/>
          <w:highlight w:val="none"/>
          <w:u w:val="single"/>
        </w:rPr>
      </w:pPr>
      <w:r>
        <w:rPr>
          <w:rFonts w:hint="eastAsia" w:ascii="仿宋_GB2312" w:hAnsi="仿宋_GB2312" w:eastAsia="仿宋_GB2312" w:cs="仿宋_GB2312"/>
          <w:bCs/>
          <w:color w:val="auto"/>
          <w:szCs w:val="21"/>
          <w:highlight w:val="none"/>
        </w:rPr>
        <w:t>（5）履约验收的内容：</w:t>
      </w:r>
      <w:r>
        <w:rPr>
          <w:rFonts w:hint="eastAsia" w:ascii="仿宋_GB2312" w:hAnsi="仿宋_GB2312" w:eastAsia="仿宋_GB2312" w:cs="仿宋_GB2312"/>
          <w:bCs/>
          <w:color w:val="auto"/>
          <w:szCs w:val="21"/>
          <w:highlight w:val="none"/>
          <w:u w:val="single"/>
        </w:rPr>
        <w:t xml:space="preserve"> 包括每一项技术和商务要求的履约情况                                      </w:t>
      </w:r>
    </w:p>
    <w:p w14:paraId="2A59CA6F">
      <w:pPr>
        <w:adjustRightInd w:val="0"/>
        <w:snapToGrid w:val="0"/>
        <w:spacing w:line="400" w:lineRule="exact"/>
        <w:ind w:firstLine="420" w:firstLineChars="200"/>
        <w:rPr>
          <w:rFonts w:ascii="仿宋_GB2312" w:hAnsi="仿宋_GB2312" w:eastAsia="仿宋_GB2312" w:cs="仿宋_GB2312"/>
          <w:bCs/>
          <w:color w:val="auto"/>
          <w:szCs w:val="21"/>
          <w:highlight w:val="none"/>
          <w:u w:val="single"/>
        </w:rPr>
      </w:pPr>
      <w:r>
        <w:rPr>
          <w:rFonts w:hint="eastAsia" w:ascii="仿宋_GB2312" w:hAnsi="仿宋_GB2312" w:eastAsia="仿宋_GB2312" w:cs="仿宋_GB2312"/>
          <w:bCs/>
          <w:color w:val="auto"/>
          <w:szCs w:val="21"/>
          <w:highlight w:val="none"/>
        </w:rPr>
        <w:t>（6）履约验收标准：</w:t>
      </w:r>
      <w:r>
        <w:rPr>
          <w:rFonts w:hint="eastAsia" w:ascii="仿宋_GB2312" w:hAnsi="仿宋_GB2312" w:eastAsia="仿宋_GB2312" w:cs="仿宋_GB2312"/>
          <w:bCs/>
          <w:color w:val="auto"/>
          <w:szCs w:val="21"/>
          <w:highlight w:val="none"/>
          <w:u w:val="single"/>
        </w:rPr>
        <w:t xml:space="preserve"> 按照本文件要求，认真检查外包装是否完好无损；核对品牌、规格、型号、配置、配置零部件编号、制造商名称、数量、价格；检查是否有检验证、合格证、保修证、说明书及原始装箱配置清单并加盖制造商供货专用章；核实供应商售后服务、安全标准的合同约定内容；需现场进行安装调试的，检验设备运行状况  </w:t>
      </w:r>
    </w:p>
    <w:p w14:paraId="3FF62A34">
      <w:pPr>
        <w:pStyle w:val="67"/>
        <w:ind w:firstLine="420"/>
        <w:rPr>
          <w:rFonts w:ascii="仿宋_GB2312" w:hAnsi="仿宋_GB2312" w:eastAsia="仿宋_GB2312" w:cs="仿宋_GB2312"/>
          <w:color w:val="auto"/>
          <w:sz w:val="21"/>
          <w:highlight w:val="none"/>
        </w:rPr>
      </w:pPr>
      <w:r>
        <w:rPr>
          <w:rFonts w:hint="eastAsia" w:ascii="仿宋_GB2312" w:hAnsi="仿宋_GB2312" w:eastAsia="仿宋_GB2312" w:cs="仿宋_GB2312"/>
          <w:bCs/>
          <w:color w:val="auto"/>
          <w:sz w:val="21"/>
          <w:highlight w:val="none"/>
        </w:rPr>
        <w:t>（7）是否以采购活动中供应商提供的样品作为参考：</w:t>
      </w:r>
      <w:r>
        <w:rPr>
          <w:rFonts w:hint="eastAsia" w:ascii="仿宋_GB2312" w:hAnsi="仿宋_GB2312" w:eastAsia="仿宋_GB2312" w:cs="仿宋_GB2312"/>
          <w:color w:val="auto"/>
          <w:sz w:val="21"/>
          <w:highlight w:val="none"/>
        </w:rPr>
        <w:sym w:font="Wingdings" w:char="00A8"/>
      </w:r>
      <w:r>
        <w:rPr>
          <w:rFonts w:hint="eastAsia" w:ascii="仿宋_GB2312" w:hAnsi="仿宋_GB2312" w:eastAsia="仿宋_GB2312" w:cs="仿宋_GB2312"/>
          <w:bCs/>
          <w:color w:val="auto"/>
          <w:sz w:val="21"/>
          <w:highlight w:val="none"/>
        </w:rPr>
        <w:t xml:space="preserve">是  </w:t>
      </w:r>
      <w:r>
        <w:rPr>
          <w:rFonts w:hint="eastAsia" w:ascii="仿宋_GB2312" w:hAnsi="仿宋_GB2312" w:eastAsia="仿宋_GB2312" w:cs="仿宋_GB2312"/>
          <w:color w:val="auto"/>
          <w:sz w:val="21"/>
          <w:highlight w:val="none"/>
        </w:rPr>
        <w:sym w:font="Wingdings" w:char="00FE"/>
      </w:r>
      <w:r>
        <w:rPr>
          <w:rFonts w:hint="eastAsia" w:ascii="仿宋_GB2312" w:hAnsi="仿宋_GB2312" w:eastAsia="仿宋_GB2312" w:cs="仿宋_GB2312"/>
          <w:bCs/>
          <w:color w:val="auto"/>
          <w:sz w:val="21"/>
          <w:highlight w:val="none"/>
        </w:rPr>
        <w:t>否</w:t>
      </w:r>
    </w:p>
    <w:p w14:paraId="3E1AB4B0">
      <w:pPr>
        <w:adjustRightInd w:val="0"/>
        <w:snapToGrid w:val="0"/>
        <w:spacing w:line="400" w:lineRule="exact"/>
        <w:ind w:firstLine="420" w:firstLineChars="200"/>
        <w:rPr>
          <w:rFonts w:ascii="仿宋_GB2312" w:hAnsi="仿宋_GB2312" w:eastAsia="仿宋_GB2312" w:cs="仿宋_GB2312"/>
          <w:bCs/>
          <w:color w:val="auto"/>
          <w:szCs w:val="21"/>
          <w:highlight w:val="none"/>
          <w:u w:val="single"/>
        </w:rPr>
      </w:pPr>
      <w:r>
        <w:rPr>
          <w:rFonts w:hint="eastAsia" w:ascii="仿宋_GB2312" w:hAnsi="仿宋_GB2312" w:eastAsia="仿宋_GB2312" w:cs="仿宋_GB2312"/>
          <w:bCs/>
          <w:color w:val="auto"/>
          <w:szCs w:val="21"/>
          <w:highlight w:val="none"/>
        </w:rPr>
        <w:t>（8）履约验收其他事项：</w:t>
      </w:r>
      <w:r>
        <w:rPr>
          <w:rFonts w:hint="eastAsia" w:ascii="仿宋_GB2312" w:hAnsi="仿宋_GB2312" w:eastAsia="仿宋_GB2312" w:cs="仿宋_GB2312"/>
          <w:bCs/>
          <w:color w:val="auto"/>
          <w:szCs w:val="21"/>
          <w:highlight w:val="none"/>
          <w:u w:val="single"/>
        </w:rPr>
        <w:t xml:space="preserve">      无          </w:t>
      </w:r>
    </w:p>
    <w:p w14:paraId="00D461D1">
      <w:pPr>
        <w:numPr>
          <w:ilvl w:val="0"/>
          <w:numId w:val="11"/>
        </w:numPr>
        <w:adjustRightInd w:val="0"/>
        <w:snapToGrid w:val="0"/>
        <w:spacing w:line="400" w:lineRule="exact"/>
        <w:ind w:firstLine="420" w:firstLineChars="200"/>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组成合同的文件</w:t>
      </w:r>
    </w:p>
    <w:p w14:paraId="772EA8D4">
      <w:pPr>
        <w:adjustRightInd w:val="0"/>
        <w:snapToGrid w:val="0"/>
        <w:spacing w:line="400" w:lineRule="exact"/>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本协议书与下列文件一起构成合同文件，如下述文件之间有任何抵触、矛盾或歧义，应按以下顺序解释：</w:t>
      </w:r>
    </w:p>
    <w:p w14:paraId="0BDDCD1B">
      <w:pPr>
        <w:adjustRightInd w:val="0"/>
        <w:snapToGrid w:val="0"/>
        <w:spacing w:line="400" w:lineRule="exact"/>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（1）政府采购合同协议书及其变更、补充协议</w:t>
      </w:r>
    </w:p>
    <w:p w14:paraId="4823B369">
      <w:pPr>
        <w:adjustRightInd w:val="0"/>
        <w:snapToGrid w:val="0"/>
        <w:spacing w:line="400" w:lineRule="exact"/>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（2）政府采购合同专用条款</w:t>
      </w:r>
    </w:p>
    <w:p w14:paraId="04C033BD">
      <w:pPr>
        <w:adjustRightInd w:val="0"/>
        <w:snapToGrid w:val="0"/>
        <w:spacing w:line="400" w:lineRule="exact"/>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（3）政府采购合同通用条款</w:t>
      </w:r>
    </w:p>
    <w:p w14:paraId="78187034">
      <w:pPr>
        <w:adjustRightInd w:val="0"/>
        <w:snapToGrid w:val="0"/>
        <w:spacing w:line="400" w:lineRule="exact"/>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（4）中标（成交）通知书</w:t>
      </w:r>
    </w:p>
    <w:p w14:paraId="544E0594">
      <w:pPr>
        <w:adjustRightInd w:val="0"/>
        <w:snapToGrid w:val="0"/>
        <w:spacing w:line="400" w:lineRule="exact"/>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（5）投标（响应）文件</w:t>
      </w:r>
    </w:p>
    <w:p w14:paraId="528F6C88">
      <w:pPr>
        <w:adjustRightInd w:val="0"/>
        <w:snapToGrid w:val="0"/>
        <w:spacing w:line="400" w:lineRule="exact"/>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（6）采购文件</w:t>
      </w:r>
    </w:p>
    <w:p w14:paraId="2D075691">
      <w:pPr>
        <w:adjustRightInd w:val="0"/>
        <w:snapToGrid w:val="0"/>
        <w:spacing w:line="400" w:lineRule="exact"/>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（7）有关技术文件，图纸</w:t>
      </w:r>
    </w:p>
    <w:p w14:paraId="42E8B22B">
      <w:pPr>
        <w:pStyle w:val="67"/>
        <w:ind w:firstLine="420"/>
        <w:rPr>
          <w:rFonts w:ascii="仿宋_GB2312" w:hAnsi="仿宋_GB2312" w:eastAsia="仿宋_GB2312" w:cs="仿宋_GB2312"/>
          <w:color w:val="auto"/>
          <w:kern w:val="2"/>
          <w:sz w:val="21"/>
          <w:highlight w:val="none"/>
        </w:rPr>
      </w:pPr>
      <w:r>
        <w:rPr>
          <w:rFonts w:hint="eastAsia" w:ascii="仿宋_GB2312" w:hAnsi="仿宋_GB2312" w:eastAsia="仿宋_GB2312" w:cs="仿宋_GB2312"/>
          <w:color w:val="auto"/>
          <w:sz w:val="21"/>
          <w:highlight w:val="none"/>
        </w:rPr>
        <w:t>（8）</w:t>
      </w:r>
      <w:r>
        <w:rPr>
          <w:rFonts w:hint="eastAsia" w:ascii="仿宋_GB2312" w:hAnsi="仿宋_GB2312" w:eastAsia="仿宋_GB2312" w:cs="仿宋_GB2312"/>
          <w:color w:val="auto"/>
          <w:kern w:val="2"/>
          <w:sz w:val="21"/>
          <w:highlight w:val="none"/>
        </w:rPr>
        <w:t>国家法律、行政法规和规章制度规定或合同约定的作为合同组成部分的其他文件</w:t>
      </w:r>
    </w:p>
    <w:p w14:paraId="07D64336">
      <w:pPr>
        <w:numPr>
          <w:ilvl w:val="0"/>
          <w:numId w:val="11"/>
        </w:numPr>
        <w:adjustRightInd w:val="0"/>
        <w:snapToGrid w:val="0"/>
        <w:spacing w:line="400" w:lineRule="exact"/>
        <w:ind w:firstLine="420" w:firstLineChars="200"/>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合同生效</w:t>
      </w:r>
    </w:p>
    <w:p w14:paraId="189FB5C8">
      <w:pPr>
        <w:adjustRightInd w:val="0"/>
        <w:snapToGrid w:val="0"/>
        <w:spacing w:line="400" w:lineRule="exact"/>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本合同自</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生效。</w:t>
      </w:r>
    </w:p>
    <w:p w14:paraId="2C8E001D">
      <w:pPr>
        <w:numPr>
          <w:ilvl w:val="0"/>
          <w:numId w:val="11"/>
        </w:numPr>
        <w:adjustRightInd w:val="0"/>
        <w:snapToGrid w:val="0"/>
        <w:spacing w:line="400" w:lineRule="exact"/>
        <w:ind w:firstLine="420" w:firstLineChars="200"/>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合同份数</w:t>
      </w:r>
    </w:p>
    <w:p w14:paraId="1257D198">
      <w:pPr>
        <w:adjustRightInd w:val="0"/>
        <w:snapToGrid w:val="0"/>
        <w:spacing w:line="400" w:lineRule="exact"/>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本合同一式</w:t>
      </w:r>
      <w:r>
        <w:rPr>
          <w:rFonts w:hint="eastAsia" w:ascii="仿宋_GB2312" w:hAnsi="仿宋_GB2312" w:eastAsia="仿宋_GB2312" w:cs="仿宋_GB2312"/>
          <w:color w:val="auto"/>
          <w:szCs w:val="21"/>
          <w:highlight w:val="none"/>
          <w:u w:val="single"/>
        </w:rPr>
        <w:t xml:space="preserve"> 拾 </w:t>
      </w:r>
      <w:r>
        <w:rPr>
          <w:rFonts w:hint="eastAsia" w:ascii="仿宋_GB2312" w:hAnsi="仿宋_GB2312" w:eastAsia="仿宋_GB2312" w:cs="仿宋_GB2312"/>
          <w:color w:val="auto"/>
          <w:szCs w:val="21"/>
          <w:highlight w:val="none"/>
        </w:rPr>
        <w:t>份，甲方执</w:t>
      </w:r>
      <w:r>
        <w:rPr>
          <w:rFonts w:hint="eastAsia" w:ascii="仿宋_GB2312" w:hAnsi="仿宋_GB2312" w:eastAsia="仿宋_GB2312" w:cs="仿宋_GB2312"/>
          <w:color w:val="auto"/>
          <w:szCs w:val="21"/>
          <w:highlight w:val="none"/>
          <w:u w:val="single"/>
        </w:rPr>
        <w:t xml:space="preserve"> 捌 </w:t>
      </w:r>
      <w:r>
        <w:rPr>
          <w:rFonts w:hint="eastAsia" w:ascii="仿宋_GB2312" w:hAnsi="仿宋_GB2312" w:eastAsia="仿宋_GB2312" w:cs="仿宋_GB2312"/>
          <w:color w:val="auto"/>
          <w:szCs w:val="21"/>
          <w:highlight w:val="none"/>
        </w:rPr>
        <w:t>份，乙方执</w:t>
      </w:r>
      <w:r>
        <w:rPr>
          <w:rFonts w:hint="eastAsia" w:ascii="仿宋_GB2312" w:hAnsi="仿宋_GB2312" w:eastAsia="仿宋_GB2312" w:cs="仿宋_GB2312"/>
          <w:color w:val="auto"/>
          <w:szCs w:val="21"/>
          <w:highlight w:val="none"/>
          <w:u w:val="single"/>
        </w:rPr>
        <w:t xml:space="preserve"> 贰 </w:t>
      </w:r>
      <w:r>
        <w:rPr>
          <w:rFonts w:hint="eastAsia" w:ascii="仿宋_GB2312" w:hAnsi="仿宋_GB2312" w:eastAsia="仿宋_GB2312" w:cs="仿宋_GB2312"/>
          <w:color w:val="auto"/>
          <w:szCs w:val="21"/>
          <w:highlight w:val="none"/>
        </w:rPr>
        <w:t>份，均具有同等法律效力。</w:t>
      </w:r>
    </w:p>
    <w:p w14:paraId="318D4786">
      <w:pPr>
        <w:adjustRightInd w:val="0"/>
        <w:snapToGrid w:val="0"/>
        <w:spacing w:line="400" w:lineRule="exact"/>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合同订立时间：</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年</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月</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日</w:t>
      </w:r>
    </w:p>
    <w:p w14:paraId="608550BB">
      <w:pPr>
        <w:adjustRightInd w:val="0"/>
        <w:snapToGrid w:val="0"/>
        <w:spacing w:line="400" w:lineRule="exact"/>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合同订立地点：</w:t>
      </w:r>
      <w:r>
        <w:rPr>
          <w:rFonts w:hint="eastAsia" w:ascii="仿宋_GB2312" w:hAnsi="仿宋_GB2312" w:eastAsia="仿宋_GB2312" w:cs="仿宋_GB2312"/>
          <w:color w:val="auto"/>
          <w:szCs w:val="21"/>
          <w:highlight w:val="none"/>
          <w:u w:val="single"/>
        </w:rPr>
        <w:t xml:space="preserve">  大连医科大学  </w:t>
      </w:r>
    </w:p>
    <w:p w14:paraId="7B9904E7">
      <w:pPr>
        <w:adjustRightInd w:val="0"/>
        <w:snapToGrid w:val="0"/>
        <w:spacing w:line="400" w:lineRule="exact"/>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附件：具体标的及其技术要求和商务要求、联合协议、分包意向协议等。</w:t>
      </w:r>
    </w:p>
    <w:p w14:paraId="790BC2F9">
      <w:pPr>
        <w:pStyle w:val="55"/>
        <w:spacing w:line="400" w:lineRule="exact"/>
        <w:ind w:firstLine="420"/>
        <w:rPr>
          <w:rFonts w:ascii="仿宋_GB2312" w:hAnsi="仿宋_GB2312" w:eastAsia="仿宋_GB2312" w:cs="仿宋_GB2312"/>
          <w:color w:val="auto"/>
          <w:szCs w:val="21"/>
          <w:highlight w:val="none"/>
        </w:rPr>
      </w:pPr>
    </w:p>
    <w:p w14:paraId="0832CF11">
      <w:pPr>
        <w:pStyle w:val="3"/>
        <w:spacing w:line="400" w:lineRule="exact"/>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color w:val="auto"/>
          <w:sz w:val="21"/>
          <w:szCs w:val="21"/>
          <w:highlight w:val="none"/>
          <w:lang w:val="en"/>
        </w:rPr>
        <w:t xml:space="preserve">   </w:t>
      </w:r>
    </w:p>
    <w:p w14:paraId="20E2035F">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br w:type="page"/>
      </w:r>
    </w:p>
    <w:p w14:paraId="1FA5D973">
      <w:pPr>
        <w:pStyle w:val="55"/>
        <w:ind w:firstLine="420"/>
        <w:rPr>
          <w:rFonts w:ascii="仿宋_GB2312" w:hAnsi="仿宋_GB2312" w:eastAsia="仿宋_GB2312" w:cs="仿宋_GB2312"/>
          <w:color w:val="auto"/>
          <w:szCs w:val="21"/>
          <w:highlight w:val="none"/>
        </w:rPr>
      </w:pPr>
    </w:p>
    <w:tbl>
      <w:tblPr>
        <w:tblStyle w:val="22"/>
        <w:tblW w:w="8392"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1890"/>
        <w:gridCol w:w="2410"/>
        <w:gridCol w:w="1977"/>
        <w:gridCol w:w="2115"/>
      </w:tblGrid>
      <w:tr w14:paraId="2492A8F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4300" w:type="dxa"/>
            <w:gridSpan w:val="2"/>
            <w:tcBorders>
              <w:bottom w:val="single" w:color="auto" w:sz="2" w:space="0"/>
              <w:right w:val="single" w:color="auto" w:sz="2" w:space="0"/>
            </w:tcBorders>
            <w:vAlign w:val="center"/>
          </w:tcPr>
          <w:p w14:paraId="4E38DBBD">
            <w:pPr>
              <w:adjustRightInd w:val="0"/>
              <w:snapToGrid w:val="0"/>
              <w:spacing w:line="30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甲方（采购人、受采购人委托签订合同的单位或采购文件约定的合同甲方）</w:t>
            </w:r>
          </w:p>
        </w:tc>
        <w:tc>
          <w:tcPr>
            <w:tcW w:w="4092" w:type="dxa"/>
            <w:gridSpan w:val="2"/>
            <w:tcBorders>
              <w:left w:val="single" w:color="auto" w:sz="2" w:space="0"/>
              <w:bottom w:val="single" w:color="auto" w:sz="2" w:space="0"/>
            </w:tcBorders>
            <w:vAlign w:val="center"/>
          </w:tcPr>
          <w:p w14:paraId="5816F475">
            <w:pPr>
              <w:adjustRightInd w:val="0"/>
              <w:snapToGrid w:val="0"/>
              <w:spacing w:line="30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乙方（供应商）</w:t>
            </w:r>
          </w:p>
        </w:tc>
      </w:tr>
      <w:tr w14:paraId="04E0332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890" w:type="dxa"/>
            <w:tcBorders>
              <w:top w:val="single" w:color="auto" w:sz="2" w:space="0"/>
              <w:bottom w:val="single" w:color="auto" w:sz="2" w:space="0"/>
              <w:right w:val="single" w:color="auto" w:sz="2" w:space="0"/>
            </w:tcBorders>
            <w:vAlign w:val="center"/>
          </w:tcPr>
          <w:p w14:paraId="08133243">
            <w:pPr>
              <w:adjustRightInd w:val="0"/>
              <w:snapToGrid w:val="0"/>
              <w:spacing w:line="30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单位名称（公章或合同章）</w:t>
            </w:r>
          </w:p>
        </w:tc>
        <w:tc>
          <w:tcPr>
            <w:tcW w:w="2410" w:type="dxa"/>
            <w:tcBorders>
              <w:top w:val="single" w:color="auto" w:sz="2" w:space="0"/>
              <w:left w:val="single" w:color="auto" w:sz="2" w:space="0"/>
              <w:bottom w:val="single" w:color="auto" w:sz="2" w:space="0"/>
              <w:right w:val="single" w:color="auto" w:sz="2" w:space="0"/>
            </w:tcBorders>
            <w:vAlign w:val="center"/>
          </w:tcPr>
          <w:p w14:paraId="77B98EEE">
            <w:pPr>
              <w:adjustRightInd w:val="0"/>
              <w:snapToGrid w:val="0"/>
              <w:spacing w:line="30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大连医科大学</w:t>
            </w:r>
          </w:p>
        </w:tc>
        <w:tc>
          <w:tcPr>
            <w:tcW w:w="1977" w:type="dxa"/>
            <w:tcBorders>
              <w:top w:val="single" w:color="auto" w:sz="2" w:space="0"/>
              <w:left w:val="single" w:color="auto" w:sz="2" w:space="0"/>
              <w:bottom w:val="single" w:color="auto" w:sz="2" w:space="0"/>
              <w:right w:val="single" w:color="auto" w:sz="2" w:space="0"/>
            </w:tcBorders>
            <w:vAlign w:val="center"/>
          </w:tcPr>
          <w:p w14:paraId="671692CF">
            <w:pPr>
              <w:adjustRightInd w:val="0"/>
              <w:snapToGrid w:val="0"/>
              <w:spacing w:line="30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单位名称（公章或合同章）</w:t>
            </w:r>
          </w:p>
        </w:tc>
        <w:tc>
          <w:tcPr>
            <w:tcW w:w="2115" w:type="dxa"/>
            <w:tcBorders>
              <w:top w:val="single" w:color="auto" w:sz="2" w:space="0"/>
              <w:left w:val="single" w:color="auto" w:sz="2" w:space="0"/>
              <w:bottom w:val="single" w:color="auto" w:sz="2" w:space="0"/>
            </w:tcBorders>
            <w:vAlign w:val="center"/>
          </w:tcPr>
          <w:p w14:paraId="66BE35E1">
            <w:pPr>
              <w:adjustRightInd w:val="0"/>
              <w:snapToGrid w:val="0"/>
              <w:spacing w:line="300" w:lineRule="exact"/>
              <w:jc w:val="center"/>
              <w:rPr>
                <w:rFonts w:ascii="仿宋_GB2312" w:hAnsi="仿宋_GB2312" w:eastAsia="仿宋_GB2312" w:cs="仿宋_GB2312"/>
                <w:color w:val="auto"/>
                <w:spacing w:val="20"/>
                <w:szCs w:val="21"/>
                <w:highlight w:val="none"/>
              </w:rPr>
            </w:pPr>
          </w:p>
        </w:tc>
      </w:tr>
      <w:tr w14:paraId="1D4C460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890" w:type="dxa"/>
            <w:vMerge w:val="restart"/>
            <w:tcBorders>
              <w:top w:val="single" w:color="auto" w:sz="2" w:space="0"/>
              <w:right w:val="single" w:color="auto" w:sz="2" w:space="0"/>
            </w:tcBorders>
            <w:vAlign w:val="center"/>
          </w:tcPr>
          <w:p w14:paraId="1F4F2A00">
            <w:pPr>
              <w:adjustRightInd w:val="0"/>
              <w:snapToGrid w:val="0"/>
              <w:spacing w:line="30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法定代表人</w:t>
            </w:r>
          </w:p>
          <w:p w14:paraId="0A2561E5">
            <w:pPr>
              <w:adjustRightInd w:val="0"/>
              <w:snapToGrid w:val="0"/>
              <w:spacing w:line="300" w:lineRule="exact"/>
              <w:ind w:firstLine="100" w:firstLineChars="48"/>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或其委托代理人（签章）</w:t>
            </w:r>
          </w:p>
        </w:tc>
        <w:tc>
          <w:tcPr>
            <w:tcW w:w="2410" w:type="dxa"/>
            <w:vMerge w:val="restart"/>
            <w:tcBorders>
              <w:top w:val="single" w:color="auto" w:sz="2" w:space="0"/>
              <w:left w:val="single" w:color="auto" w:sz="2" w:space="0"/>
              <w:right w:val="single" w:color="auto" w:sz="2" w:space="0"/>
            </w:tcBorders>
            <w:vAlign w:val="center"/>
          </w:tcPr>
          <w:p w14:paraId="1A11F892">
            <w:pPr>
              <w:adjustRightInd w:val="0"/>
              <w:snapToGrid w:val="0"/>
              <w:spacing w:line="300" w:lineRule="exact"/>
              <w:jc w:val="center"/>
              <w:rPr>
                <w:rFonts w:ascii="仿宋_GB2312" w:hAnsi="仿宋_GB2312" w:eastAsia="仿宋_GB2312" w:cs="仿宋_GB2312"/>
                <w:color w:val="auto"/>
                <w:szCs w:val="21"/>
                <w:highlight w:val="none"/>
              </w:rPr>
            </w:pPr>
          </w:p>
        </w:tc>
        <w:tc>
          <w:tcPr>
            <w:tcW w:w="1977" w:type="dxa"/>
            <w:tcBorders>
              <w:top w:val="single" w:color="auto" w:sz="2" w:space="0"/>
              <w:left w:val="single" w:color="auto" w:sz="2" w:space="0"/>
              <w:right w:val="single" w:color="auto" w:sz="2" w:space="0"/>
            </w:tcBorders>
            <w:vAlign w:val="center"/>
          </w:tcPr>
          <w:p w14:paraId="2C7B4802">
            <w:pPr>
              <w:adjustRightInd w:val="0"/>
              <w:snapToGrid w:val="0"/>
              <w:spacing w:line="30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法定代表人</w:t>
            </w:r>
          </w:p>
          <w:p w14:paraId="146222DD">
            <w:pPr>
              <w:adjustRightInd w:val="0"/>
              <w:snapToGrid w:val="0"/>
              <w:spacing w:line="30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或其委托代理人（签章）</w:t>
            </w:r>
          </w:p>
        </w:tc>
        <w:tc>
          <w:tcPr>
            <w:tcW w:w="2115" w:type="dxa"/>
            <w:tcBorders>
              <w:top w:val="single" w:color="auto" w:sz="2" w:space="0"/>
              <w:left w:val="single" w:color="auto" w:sz="2" w:space="0"/>
              <w:bottom w:val="single" w:color="auto" w:sz="2" w:space="0"/>
            </w:tcBorders>
            <w:vAlign w:val="center"/>
          </w:tcPr>
          <w:p w14:paraId="549473CE">
            <w:pPr>
              <w:adjustRightInd w:val="0"/>
              <w:snapToGrid w:val="0"/>
              <w:spacing w:line="300" w:lineRule="exact"/>
              <w:jc w:val="center"/>
              <w:rPr>
                <w:rFonts w:ascii="仿宋_GB2312" w:hAnsi="仿宋_GB2312" w:eastAsia="仿宋_GB2312" w:cs="仿宋_GB2312"/>
                <w:color w:val="auto"/>
                <w:szCs w:val="21"/>
                <w:highlight w:val="none"/>
              </w:rPr>
            </w:pPr>
          </w:p>
        </w:tc>
      </w:tr>
      <w:tr w14:paraId="6812569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0" w:type="dxa"/>
            <w:vMerge w:val="continue"/>
            <w:tcBorders>
              <w:bottom w:val="single" w:color="auto" w:sz="2" w:space="0"/>
              <w:right w:val="single" w:color="auto" w:sz="2" w:space="0"/>
            </w:tcBorders>
            <w:vAlign w:val="center"/>
          </w:tcPr>
          <w:p w14:paraId="6EDFCDA6">
            <w:pPr>
              <w:adjustRightInd w:val="0"/>
              <w:snapToGrid w:val="0"/>
              <w:spacing w:line="300" w:lineRule="exact"/>
              <w:jc w:val="center"/>
              <w:rPr>
                <w:rFonts w:ascii="仿宋_GB2312" w:hAnsi="仿宋_GB2312" w:eastAsia="仿宋_GB2312" w:cs="仿宋_GB2312"/>
                <w:color w:val="auto"/>
                <w:szCs w:val="21"/>
                <w:highlight w:val="none"/>
              </w:rPr>
            </w:pPr>
          </w:p>
        </w:tc>
        <w:tc>
          <w:tcPr>
            <w:tcW w:w="2410" w:type="dxa"/>
            <w:vMerge w:val="continue"/>
            <w:tcBorders>
              <w:left w:val="single" w:color="auto" w:sz="2" w:space="0"/>
              <w:bottom w:val="single" w:color="auto" w:sz="2" w:space="0"/>
              <w:right w:val="single" w:color="auto" w:sz="2" w:space="0"/>
            </w:tcBorders>
            <w:vAlign w:val="center"/>
          </w:tcPr>
          <w:p w14:paraId="73E9C22B">
            <w:pPr>
              <w:adjustRightInd w:val="0"/>
              <w:snapToGrid w:val="0"/>
              <w:spacing w:line="300" w:lineRule="exact"/>
              <w:jc w:val="center"/>
              <w:rPr>
                <w:rFonts w:ascii="仿宋_GB2312" w:hAnsi="仿宋_GB2312" w:eastAsia="仿宋_GB2312" w:cs="仿宋_GB2312"/>
                <w:color w:val="auto"/>
                <w:szCs w:val="21"/>
                <w:highlight w:val="none"/>
              </w:rPr>
            </w:pPr>
          </w:p>
        </w:tc>
        <w:tc>
          <w:tcPr>
            <w:tcW w:w="1977" w:type="dxa"/>
            <w:tcBorders>
              <w:top w:val="single" w:color="auto" w:sz="2" w:space="0"/>
              <w:left w:val="single" w:color="auto" w:sz="2" w:space="0"/>
              <w:bottom w:val="single" w:color="auto" w:sz="2" w:space="0"/>
              <w:right w:val="single" w:color="auto" w:sz="2" w:space="0"/>
            </w:tcBorders>
            <w:vAlign w:val="center"/>
          </w:tcPr>
          <w:p w14:paraId="3A5E3F36">
            <w:pPr>
              <w:adjustRightInd w:val="0"/>
              <w:snapToGrid w:val="0"/>
              <w:spacing w:line="30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拥有者性别</w:t>
            </w:r>
          </w:p>
        </w:tc>
        <w:tc>
          <w:tcPr>
            <w:tcW w:w="2115" w:type="dxa"/>
            <w:tcBorders>
              <w:top w:val="single" w:color="auto" w:sz="2" w:space="0"/>
              <w:left w:val="single" w:color="auto" w:sz="2" w:space="0"/>
              <w:bottom w:val="single" w:color="auto" w:sz="2" w:space="0"/>
            </w:tcBorders>
            <w:vAlign w:val="center"/>
          </w:tcPr>
          <w:p w14:paraId="5825CD2A">
            <w:pPr>
              <w:adjustRightInd w:val="0"/>
              <w:snapToGrid w:val="0"/>
              <w:spacing w:line="300" w:lineRule="exact"/>
              <w:jc w:val="center"/>
              <w:rPr>
                <w:rFonts w:ascii="仿宋_GB2312" w:hAnsi="仿宋_GB2312" w:eastAsia="仿宋_GB2312" w:cs="仿宋_GB2312"/>
                <w:color w:val="auto"/>
                <w:spacing w:val="20"/>
                <w:szCs w:val="21"/>
                <w:highlight w:val="none"/>
              </w:rPr>
            </w:pPr>
          </w:p>
        </w:tc>
      </w:tr>
      <w:tr w14:paraId="4903514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0" w:type="dxa"/>
            <w:tcBorders>
              <w:top w:val="single" w:color="auto" w:sz="2" w:space="0"/>
              <w:bottom w:val="single" w:color="auto" w:sz="2" w:space="0"/>
              <w:right w:val="single" w:color="auto" w:sz="2" w:space="0"/>
            </w:tcBorders>
            <w:vAlign w:val="center"/>
          </w:tcPr>
          <w:p w14:paraId="0D663FC6">
            <w:pPr>
              <w:adjustRightInd w:val="0"/>
              <w:snapToGrid w:val="0"/>
              <w:spacing w:line="30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住  所</w:t>
            </w:r>
          </w:p>
        </w:tc>
        <w:tc>
          <w:tcPr>
            <w:tcW w:w="2410" w:type="dxa"/>
            <w:tcBorders>
              <w:top w:val="single" w:color="auto" w:sz="2" w:space="0"/>
              <w:left w:val="single" w:color="auto" w:sz="2" w:space="0"/>
              <w:bottom w:val="single" w:color="auto" w:sz="2" w:space="0"/>
              <w:right w:val="single" w:color="auto" w:sz="2" w:space="0"/>
            </w:tcBorders>
            <w:vAlign w:val="center"/>
          </w:tcPr>
          <w:p w14:paraId="6D83ACF6">
            <w:pPr>
              <w:adjustRightInd w:val="0"/>
              <w:snapToGrid w:val="0"/>
              <w:spacing w:line="30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辽宁省大连市旅顺南路西段9号</w:t>
            </w:r>
          </w:p>
        </w:tc>
        <w:tc>
          <w:tcPr>
            <w:tcW w:w="1977" w:type="dxa"/>
            <w:tcBorders>
              <w:top w:val="single" w:color="auto" w:sz="2" w:space="0"/>
              <w:left w:val="single" w:color="auto" w:sz="2" w:space="0"/>
              <w:bottom w:val="single" w:color="auto" w:sz="2" w:space="0"/>
              <w:right w:val="single" w:color="auto" w:sz="2" w:space="0"/>
            </w:tcBorders>
            <w:vAlign w:val="center"/>
          </w:tcPr>
          <w:p w14:paraId="4F424FC7">
            <w:pPr>
              <w:adjustRightInd w:val="0"/>
              <w:snapToGrid w:val="0"/>
              <w:spacing w:line="30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住  所</w:t>
            </w:r>
          </w:p>
        </w:tc>
        <w:tc>
          <w:tcPr>
            <w:tcW w:w="2115" w:type="dxa"/>
            <w:tcBorders>
              <w:top w:val="single" w:color="auto" w:sz="2" w:space="0"/>
              <w:left w:val="single" w:color="auto" w:sz="2" w:space="0"/>
              <w:bottom w:val="single" w:color="auto" w:sz="2" w:space="0"/>
            </w:tcBorders>
            <w:vAlign w:val="center"/>
          </w:tcPr>
          <w:p w14:paraId="237E0551">
            <w:pPr>
              <w:adjustRightInd w:val="0"/>
              <w:snapToGrid w:val="0"/>
              <w:spacing w:line="300" w:lineRule="exact"/>
              <w:jc w:val="center"/>
              <w:rPr>
                <w:rFonts w:ascii="仿宋_GB2312" w:hAnsi="仿宋_GB2312" w:eastAsia="仿宋_GB2312" w:cs="仿宋_GB2312"/>
                <w:color w:val="auto"/>
                <w:spacing w:val="20"/>
                <w:szCs w:val="21"/>
                <w:highlight w:val="none"/>
              </w:rPr>
            </w:pPr>
          </w:p>
        </w:tc>
      </w:tr>
      <w:tr w14:paraId="6C294E7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0" w:type="dxa"/>
            <w:tcBorders>
              <w:top w:val="single" w:color="auto" w:sz="2" w:space="0"/>
              <w:bottom w:val="single" w:color="auto" w:sz="2" w:space="0"/>
              <w:right w:val="single" w:color="auto" w:sz="2" w:space="0"/>
            </w:tcBorders>
            <w:vAlign w:val="center"/>
          </w:tcPr>
          <w:p w14:paraId="48691186">
            <w:pPr>
              <w:adjustRightInd w:val="0"/>
              <w:snapToGrid w:val="0"/>
              <w:spacing w:line="30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联 系 人</w:t>
            </w:r>
          </w:p>
        </w:tc>
        <w:tc>
          <w:tcPr>
            <w:tcW w:w="2410" w:type="dxa"/>
            <w:tcBorders>
              <w:top w:val="single" w:color="auto" w:sz="2" w:space="0"/>
              <w:left w:val="single" w:color="auto" w:sz="2" w:space="0"/>
              <w:bottom w:val="single" w:color="auto" w:sz="2" w:space="0"/>
              <w:right w:val="single" w:color="auto" w:sz="2" w:space="0"/>
            </w:tcBorders>
            <w:vAlign w:val="center"/>
          </w:tcPr>
          <w:p w14:paraId="572780C2">
            <w:pPr>
              <w:adjustRightInd w:val="0"/>
              <w:snapToGrid w:val="0"/>
              <w:spacing w:line="300" w:lineRule="exact"/>
              <w:jc w:val="center"/>
              <w:rPr>
                <w:rFonts w:ascii="仿宋_GB2312" w:hAnsi="仿宋_GB2312" w:eastAsia="仿宋_GB2312" w:cs="仿宋_GB2312"/>
                <w:color w:val="auto"/>
                <w:szCs w:val="21"/>
                <w:highlight w:val="none"/>
              </w:rPr>
            </w:pPr>
          </w:p>
        </w:tc>
        <w:tc>
          <w:tcPr>
            <w:tcW w:w="1977" w:type="dxa"/>
            <w:tcBorders>
              <w:top w:val="single" w:color="auto" w:sz="2" w:space="0"/>
              <w:left w:val="single" w:color="auto" w:sz="2" w:space="0"/>
              <w:bottom w:val="single" w:color="auto" w:sz="2" w:space="0"/>
              <w:right w:val="single" w:color="auto" w:sz="2" w:space="0"/>
            </w:tcBorders>
            <w:vAlign w:val="center"/>
          </w:tcPr>
          <w:p w14:paraId="0658E540">
            <w:pPr>
              <w:adjustRightInd w:val="0"/>
              <w:snapToGrid w:val="0"/>
              <w:spacing w:line="30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联 系 人</w:t>
            </w:r>
          </w:p>
        </w:tc>
        <w:tc>
          <w:tcPr>
            <w:tcW w:w="2115" w:type="dxa"/>
            <w:tcBorders>
              <w:top w:val="single" w:color="auto" w:sz="2" w:space="0"/>
              <w:left w:val="single" w:color="auto" w:sz="2" w:space="0"/>
              <w:bottom w:val="single" w:color="auto" w:sz="2" w:space="0"/>
            </w:tcBorders>
            <w:vAlign w:val="center"/>
          </w:tcPr>
          <w:p w14:paraId="2CA87BBE">
            <w:pPr>
              <w:adjustRightInd w:val="0"/>
              <w:snapToGrid w:val="0"/>
              <w:spacing w:line="300" w:lineRule="exact"/>
              <w:jc w:val="center"/>
              <w:rPr>
                <w:rFonts w:ascii="仿宋_GB2312" w:hAnsi="仿宋_GB2312" w:eastAsia="仿宋_GB2312" w:cs="仿宋_GB2312"/>
                <w:color w:val="auto"/>
                <w:spacing w:val="20"/>
                <w:szCs w:val="21"/>
                <w:highlight w:val="none"/>
              </w:rPr>
            </w:pPr>
          </w:p>
        </w:tc>
      </w:tr>
      <w:tr w14:paraId="0A916DD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0" w:type="dxa"/>
            <w:tcBorders>
              <w:top w:val="single" w:color="auto" w:sz="2" w:space="0"/>
              <w:bottom w:val="single" w:color="auto" w:sz="2" w:space="0"/>
              <w:right w:val="single" w:color="auto" w:sz="2" w:space="0"/>
            </w:tcBorders>
            <w:vAlign w:val="center"/>
          </w:tcPr>
          <w:p w14:paraId="674C3D53">
            <w:pPr>
              <w:adjustRightInd w:val="0"/>
              <w:snapToGrid w:val="0"/>
              <w:spacing w:line="30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联系电话</w:t>
            </w:r>
          </w:p>
        </w:tc>
        <w:tc>
          <w:tcPr>
            <w:tcW w:w="2410" w:type="dxa"/>
            <w:tcBorders>
              <w:top w:val="single" w:color="auto" w:sz="2" w:space="0"/>
              <w:left w:val="single" w:color="auto" w:sz="2" w:space="0"/>
              <w:bottom w:val="single" w:color="auto" w:sz="2" w:space="0"/>
              <w:right w:val="single" w:color="auto" w:sz="2" w:space="0"/>
            </w:tcBorders>
            <w:vAlign w:val="center"/>
          </w:tcPr>
          <w:p w14:paraId="48C87CFB">
            <w:pPr>
              <w:adjustRightInd w:val="0"/>
              <w:snapToGrid w:val="0"/>
              <w:spacing w:line="300" w:lineRule="exact"/>
              <w:jc w:val="center"/>
              <w:rPr>
                <w:rFonts w:ascii="仿宋_GB2312" w:hAnsi="仿宋_GB2312" w:eastAsia="仿宋_GB2312" w:cs="仿宋_GB2312"/>
                <w:color w:val="auto"/>
                <w:szCs w:val="21"/>
                <w:highlight w:val="none"/>
              </w:rPr>
            </w:pPr>
          </w:p>
        </w:tc>
        <w:tc>
          <w:tcPr>
            <w:tcW w:w="1977" w:type="dxa"/>
            <w:tcBorders>
              <w:top w:val="single" w:color="auto" w:sz="2" w:space="0"/>
              <w:left w:val="single" w:color="auto" w:sz="2" w:space="0"/>
              <w:bottom w:val="single" w:color="auto" w:sz="2" w:space="0"/>
              <w:right w:val="single" w:color="auto" w:sz="2" w:space="0"/>
            </w:tcBorders>
            <w:vAlign w:val="center"/>
          </w:tcPr>
          <w:p w14:paraId="0CE9D536">
            <w:pPr>
              <w:adjustRightInd w:val="0"/>
              <w:snapToGrid w:val="0"/>
              <w:spacing w:line="30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联系电话</w:t>
            </w:r>
          </w:p>
        </w:tc>
        <w:tc>
          <w:tcPr>
            <w:tcW w:w="2115" w:type="dxa"/>
            <w:tcBorders>
              <w:top w:val="single" w:color="auto" w:sz="2" w:space="0"/>
              <w:left w:val="single" w:color="auto" w:sz="2" w:space="0"/>
              <w:bottom w:val="single" w:color="auto" w:sz="2" w:space="0"/>
            </w:tcBorders>
            <w:vAlign w:val="center"/>
          </w:tcPr>
          <w:p w14:paraId="1DF50F54">
            <w:pPr>
              <w:adjustRightInd w:val="0"/>
              <w:snapToGrid w:val="0"/>
              <w:spacing w:line="300" w:lineRule="exact"/>
              <w:jc w:val="center"/>
              <w:rPr>
                <w:rFonts w:ascii="仿宋_GB2312" w:hAnsi="仿宋_GB2312" w:eastAsia="仿宋_GB2312" w:cs="仿宋_GB2312"/>
                <w:color w:val="auto"/>
                <w:spacing w:val="20"/>
                <w:szCs w:val="21"/>
                <w:highlight w:val="none"/>
              </w:rPr>
            </w:pPr>
          </w:p>
        </w:tc>
      </w:tr>
      <w:tr w14:paraId="65F0E3F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0" w:type="dxa"/>
            <w:tcBorders>
              <w:top w:val="single" w:color="auto" w:sz="2" w:space="0"/>
              <w:bottom w:val="single" w:color="auto" w:sz="2" w:space="0"/>
              <w:right w:val="single" w:color="auto" w:sz="2" w:space="0"/>
            </w:tcBorders>
            <w:vAlign w:val="center"/>
          </w:tcPr>
          <w:p w14:paraId="601678A9">
            <w:pPr>
              <w:adjustRightInd w:val="0"/>
              <w:snapToGrid w:val="0"/>
              <w:spacing w:line="30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通信地址</w:t>
            </w:r>
          </w:p>
        </w:tc>
        <w:tc>
          <w:tcPr>
            <w:tcW w:w="2410" w:type="dxa"/>
            <w:tcBorders>
              <w:top w:val="single" w:color="auto" w:sz="2" w:space="0"/>
              <w:left w:val="single" w:color="auto" w:sz="2" w:space="0"/>
              <w:bottom w:val="single" w:color="auto" w:sz="2" w:space="0"/>
              <w:right w:val="single" w:color="auto" w:sz="2" w:space="0"/>
            </w:tcBorders>
            <w:vAlign w:val="center"/>
          </w:tcPr>
          <w:p w14:paraId="3B478DA8">
            <w:pPr>
              <w:adjustRightInd w:val="0"/>
              <w:snapToGrid w:val="0"/>
              <w:spacing w:line="30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辽宁省大连市旅顺南路西段9号</w:t>
            </w:r>
          </w:p>
        </w:tc>
        <w:tc>
          <w:tcPr>
            <w:tcW w:w="1977" w:type="dxa"/>
            <w:tcBorders>
              <w:top w:val="single" w:color="auto" w:sz="2" w:space="0"/>
              <w:left w:val="single" w:color="auto" w:sz="2" w:space="0"/>
              <w:bottom w:val="single" w:color="auto" w:sz="2" w:space="0"/>
              <w:right w:val="single" w:color="auto" w:sz="2" w:space="0"/>
            </w:tcBorders>
            <w:vAlign w:val="center"/>
          </w:tcPr>
          <w:p w14:paraId="3EBC32DF">
            <w:pPr>
              <w:adjustRightInd w:val="0"/>
              <w:snapToGrid w:val="0"/>
              <w:spacing w:line="30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通信地址</w:t>
            </w:r>
          </w:p>
        </w:tc>
        <w:tc>
          <w:tcPr>
            <w:tcW w:w="2115" w:type="dxa"/>
            <w:tcBorders>
              <w:top w:val="single" w:color="auto" w:sz="2" w:space="0"/>
              <w:left w:val="single" w:color="auto" w:sz="2" w:space="0"/>
              <w:bottom w:val="single" w:color="auto" w:sz="2" w:space="0"/>
            </w:tcBorders>
            <w:vAlign w:val="center"/>
          </w:tcPr>
          <w:p w14:paraId="01E6425E">
            <w:pPr>
              <w:adjustRightInd w:val="0"/>
              <w:snapToGrid w:val="0"/>
              <w:spacing w:line="300" w:lineRule="exact"/>
              <w:jc w:val="center"/>
              <w:rPr>
                <w:rFonts w:ascii="仿宋_GB2312" w:hAnsi="仿宋_GB2312" w:eastAsia="仿宋_GB2312" w:cs="仿宋_GB2312"/>
                <w:color w:val="auto"/>
                <w:spacing w:val="20"/>
                <w:szCs w:val="21"/>
                <w:highlight w:val="none"/>
              </w:rPr>
            </w:pPr>
          </w:p>
        </w:tc>
      </w:tr>
      <w:tr w14:paraId="3E1A384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0" w:type="dxa"/>
            <w:tcBorders>
              <w:top w:val="single" w:color="auto" w:sz="2" w:space="0"/>
              <w:bottom w:val="single" w:color="auto" w:sz="2" w:space="0"/>
              <w:right w:val="single" w:color="auto" w:sz="2" w:space="0"/>
            </w:tcBorders>
            <w:vAlign w:val="center"/>
          </w:tcPr>
          <w:p w14:paraId="45EB0213">
            <w:pPr>
              <w:adjustRightInd w:val="0"/>
              <w:snapToGrid w:val="0"/>
              <w:spacing w:line="30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邮政编码</w:t>
            </w:r>
          </w:p>
        </w:tc>
        <w:tc>
          <w:tcPr>
            <w:tcW w:w="2410" w:type="dxa"/>
            <w:tcBorders>
              <w:top w:val="single" w:color="auto" w:sz="2" w:space="0"/>
              <w:left w:val="single" w:color="auto" w:sz="2" w:space="0"/>
              <w:bottom w:val="single" w:color="auto" w:sz="2" w:space="0"/>
              <w:right w:val="single" w:color="auto" w:sz="2" w:space="0"/>
            </w:tcBorders>
            <w:vAlign w:val="center"/>
          </w:tcPr>
          <w:p w14:paraId="585CECFC">
            <w:pPr>
              <w:adjustRightInd w:val="0"/>
              <w:snapToGrid w:val="0"/>
              <w:spacing w:line="30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116041</w:t>
            </w:r>
          </w:p>
        </w:tc>
        <w:tc>
          <w:tcPr>
            <w:tcW w:w="1977" w:type="dxa"/>
            <w:tcBorders>
              <w:top w:val="single" w:color="auto" w:sz="2" w:space="0"/>
              <w:left w:val="single" w:color="auto" w:sz="2" w:space="0"/>
              <w:bottom w:val="single" w:color="auto" w:sz="2" w:space="0"/>
              <w:right w:val="single" w:color="auto" w:sz="2" w:space="0"/>
            </w:tcBorders>
            <w:vAlign w:val="center"/>
          </w:tcPr>
          <w:p w14:paraId="6FC57185">
            <w:pPr>
              <w:adjustRightInd w:val="0"/>
              <w:snapToGrid w:val="0"/>
              <w:spacing w:line="30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邮政编码</w:t>
            </w:r>
          </w:p>
        </w:tc>
        <w:tc>
          <w:tcPr>
            <w:tcW w:w="2115" w:type="dxa"/>
            <w:tcBorders>
              <w:top w:val="single" w:color="auto" w:sz="2" w:space="0"/>
              <w:left w:val="single" w:color="auto" w:sz="2" w:space="0"/>
              <w:bottom w:val="single" w:color="auto" w:sz="2" w:space="0"/>
            </w:tcBorders>
            <w:vAlign w:val="center"/>
          </w:tcPr>
          <w:p w14:paraId="24A4B6CF">
            <w:pPr>
              <w:adjustRightInd w:val="0"/>
              <w:snapToGrid w:val="0"/>
              <w:spacing w:line="300" w:lineRule="exact"/>
              <w:jc w:val="center"/>
              <w:rPr>
                <w:rFonts w:ascii="仿宋_GB2312" w:hAnsi="仿宋_GB2312" w:eastAsia="仿宋_GB2312" w:cs="仿宋_GB2312"/>
                <w:color w:val="auto"/>
                <w:spacing w:val="20"/>
                <w:szCs w:val="21"/>
                <w:highlight w:val="none"/>
              </w:rPr>
            </w:pPr>
          </w:p>
        </w:tc>
      </w:tr>
      <w:tr w14:paraId="079873D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0" w:type="dxa"/>
            <w:tcBorders>
              <w:top w:val="single" w:color="auto" w:sz="2" w:space="0"/>
              <w:bottom w:val="single" w:color="auto" w:sz="2" w:space="0"/>
              <w:right w:val="single" w:color="auto" w:sz="2" w:space="0"/>
            </w:tcBorders>
            <w:vAlign w:val="center"/>
          </w:tcPr>
          <w:p w14:paraId="3B723B79">
            <w:pPr>
              <w:adjustRightInd w:val="0"/>
              <w:snapToGrid w:val="0"/>
              <w:spacing w:line="30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电子邮箱</w:t>
            </w:r>
          </w:p>
        </w:tc>
        <w:tc>
          <w:tcPr>
            <w:tcW w:w="2410" w:type="dxa"/>
            <w:tcBorders>
              <w:top w:val="single" w:color="auto" w:sz="2" w:space="0"/>
              <w:left w:val="single" w:color="auto" w:sz="2" w:space="0"/>
              <w:bottom w:val="single" w:color="auto" w:sz="2" w:space="0"/>
              <w:right w:val="single" w:color="auto" w:sz="2" w:space="0"/>
            </w:tcBorders>
            <w:vAlign w:val="center"/>
          </w:tcPr>
          <w:p w14:paraId="3F98C0F6">
            <w:pPr>
              <w:adjustRightInd w:val="0"/>
              <w:snapToGrid w:val="0"/>
              <w:spacing w:line="300" w:lineRule="exact"/>
              <w:jc w:val="center"/>
              <w:rPr>
                <w:rFonts w:ascii="仿宋_GB2312" w:hAnsi="仿宋_GB2312" w:eastAsia="仿宋_GB2312" w:cs="仿宋_GB2312"/>
                <w:color w:val="auto"/>
                <w:szCs w:val="21"/>
                <w:highlight w:val="none"/>
              </w:rPr>
            </w:pPr>
          </w:p>
        </w:tc>
        <w:tc>
          <w:tcPr>
            <w:tcW w:w="1977" w:type="dxa"/>
            <w:tcBorders>
              <w:top w:val="single" w:color="auto" w:sz="2" w:space="0"/>
              <w:left w:val="single" w:color="auto" w:sz="2" w:space="0"/>
              <w:bottom w:val="single" w:color="auto" w:sz="2" w:space="0"/>
              <w:right w:val="single" w:color="auto" w:sz="2" w:space="0"/>
            </w:tcBorders>
            <w:vAlign w:val="center"/>
          </w:tcPr>
          <w:p w14:paraId="5DE795EC">
            <w:pPr>
              <w:adjustRightInd w:val="0"/>
              <w:snapToGrid w:val="0"/>
              <w:spacing w:line="30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电子邮箱</w:t>
            </w:r>
          </w:p>
        </w:tc>
        <w:tc>
          <w:tcPr>
            <w:tcW w:w="2115" w:type="dxa"/>
            <w:tcBorders>
              <w:top w:val="single" w:color="auto" w:sz="2" w:space="0"/>
              <w:left w:val="single" w:color="auto" w:sz="2" w:space="0"/>
              <w:bottom w:val="single" w:color="auto" w:sz="2" w:space="0"/>
            </w:tcBorders>
            <w:vAlign w:val="center"/>
          </w:tcPr>
          <w:p w14:paraId="7E5258B4">
            <w:pPr>
              <w:adjustRightInd w:val="0"/>
              <w:snapToGrid w:val="0"/>
              <w:spacing w:line="300" w:lineRule="exact"/>
              <w:jc w:val="center"/>
              <w:rPr>
                <w:rFonts w:ascii="仿宋_GB2312" w:hAnsi="仿宋_GB2312" w:eastAsia="仿宋_GB2312" w:cs="仿宋_GB2312"/>
                <w:color w:val="auto"/>
                <w:spacing w:val="20"/>
                <w:szCs w:val="21"/>
                <w:highlight w:val="none"/>
              </w:rPr>
            </w:pPr>
          </w:p>
        </w:tc>
      </w:tr>
      <w:tr w14:paraId="4A99C78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0" w:type="dxa"/>
            <w:tcBorders>
              <w:top w:val="single" w:color="auto" w:sz="2" w:space="0"/>
              <w:bottom w:val="single" w:color="auto" w:sz="2" w:space="0"/>
              <w:right w:val="single" w:color="auto" w:sz="2" w:space="0"/>
            </w:tcBorders>
            <w:vAlign w:val="center"/>
          </w:tcPr>
          <w:p w14:paraId="5D55D7B4">
            <w:pPr>
              <w:adjustRightInd w:val="0"/>
              <w:snapToGrid w:val="0"/>
              <w:spacing w:line="30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统一社会信用代码</w:t>
            </w:r>
          </w:p>
        </w:tc>
        <w:tc>
          <w:tcPr>
            <w:tcW w:w="2410" w:type="dxa"/>
            <w:tcBorders>
              <w:top w:val="single" w:color="auto" w:sz="2" w:space="0"/>
              <w:left w:val="single" w:color="auto" w:sz="2" w:space="0"/>
              <w:bottom w:val="single" w:color="auto" w:sz="2" w:space="0"/>
              <w:right w:val="single" w:color="auto" w:sz="2" w:space="0"/>
            </w:tcBorders>
            <w:vAlign w:val="center"/>
          </w:tcPr>
          <w:p w14:paraId="7AF7089F">
            <w:pPr>
              <w:adjustRightInd w:val="0"/>
              <w:snapToGrid w:val="0"/>
              <w:spacing w:line="30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12210000463005369X</w:t>
            </w:r>
          </w:p>
        </w:tc>
        <w:tc>
          <w:tcPr>
            <w:tcW w:w="1977" w:type="dxa"/>
            <w:tcBorders>
              <w:top w:val="single" w:color="auto" w:sz="2" w:space="0"/>
              <w:left w:val="single" w:color="auto" w:sz="2" w:space="0"/>
              <w:bottom w:val="single" w:color="auto" w:sz="2" w:space="0"/>
              <w:right w:val="single" w:color="auto" w:sz="2" w:space="0"/>
            </w:tcBorders>
            <w:vAlign w:val="center"/>
          </w:tcPr>
          <w:p w14:paraId="4320D420">
            <w:pPr>
              <w:adjustRightInd w:val="0"/>
              <w:snapToGrid w:val="0"/>
              <w:spacing w:line="30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统一社会信用代码</w:t>
            </w:r>
          </w:p>
        </w:tc>
        <w:tc>
          <w:tcPr>
            <w:tcW w:w="2115" w:type="dxa"/>
            <w:tcBorders>
              <w:top w:val="single" w:color="auto" w:sz="2" w:space="0"/>
              <w:left w:val="single" w:color="auto" w:sz="2" w:space="0"/>
              <w:bottom w:val="single" w:color="auto" w:sz="2" w:space="0"/>
            </w:tcBorders>
            <w:vAlign w:val="center"/>
          </w:tcPr>
          <w:p w14:paraId="68D1E8F2">
            <w:pPr>
              <w:adjustRightInd w:val="0"/>
              <w:snapToGrid w:val="0"/>
              <w:spacing w:line="300" w:lineRule="exact"/>
              <w:jc w:val="center"/>
              <w:rPr>
                <w:rFonts w:ascii="仿宋_GB2312" w:hAnsi="仿宋_GB2312" w:eastAsia="仿宋_GB2312" w:cs="仿宋_GB2312"/>
                <w:color w:val="auto"/>
                <w:spacing w:val="20"/>
                <w:szCs w:val="21"/>
                <w:highlight w:val="none"/>
              </w:rPr>
            </w:pPr>
          </w:p>
        </w:tc>
      </w:tr>
      <w:tr w14:paraId="7C7D5A6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0" w:type="dxa"/>
            <w:tcBorders>
              <w:top w:val="single" w:color="auto" w:sz="2" w:space="0"/>
              <w:bottom w:val="single" w:color="auto" w:sz="2" w:space="0"/>
              <w:right w:val="single" w:color="auto" w:sz="2" w:space="0"/>
            </w:tcBorders>
            <w:vAlign w:val="center"/>
          </w:tcPr>
          <w:p w14:paraId="3FD852D7">
            <w:pPr>
              <w:adjustRightInd w:val="0"/>
              <w:snapToGrid w:val="0"/>
              <w:spacing w:line="300" w:lineRule="exact"/>
              <w:jc w:val="center"/>
              <w:rPr>
                <w:rFonts w:ascii="仿宋_GB2312" w:hAnsi="仿宋_GB2312" w:eastAsia="仿宋_GB2312" w:cs="仿宋_GB2312"/>
                <w:color w:val="auto"/>
                <w:szCs w:val="21"/>
                <w:highlight w:val="none"/>
              </w:rPr>
            </w:pPr>
          </w:p>
        </w:tc>
        <w:tc>
          <w:tcPr>
            <w:tcW w:w="2410" w:type="dxa"/>
            <w:tcBorders>
              <w:top w:val="single" w:color="auto" w:sz="2" w:space="0"/>
              <w:left w:val="single" w:color="auto" w:sz="2" w:space="0"/>
              <w:bottom w:val="single" w:color="auto" w:sz="2" w:space="0"/>
              <w:right w:val="single" w:color="auto" w:sz="2" w:space="0"/>
            </w:tcBorders>
            <w:vAlign w:val="center"/>
          </w:tcPr>
          <w:p w14:paraId="2C0CF7C5">
            <w:pPr>
              <w:adjustRightInd w:val="0"/>
              <w:snapToGrid w:val="0"/>
              <w:spacing w:line="300" w:lineRule="exact"/>
              <w:jc w:val="center"/>
              <w:rPr>
                <w:rFonts w:ascii="仿宋_GB2312" w:hAnsi="仿宋_GB2312" w:eastAsia="仿宋_GB2312" w:cs="仿宋_GB2312"/>
                <w:color w:val="auto"/>
                <w:szCs w:val="21"/>
                <w:highlight w:val="none"/>
              </w:rPr>
            </w:pPr>
          </w:p>
        </w:tc>
        <w:tc>
          <w:tcPr>
            <w:tcW w:w="1977" w:type="dxa"/>
            <w:tcBorders>
              <w:top w:val="single" w:color="auto" w:sz="2" w:space="0"/>
              <w:left w:val="single" w:color="auto" w:sz="2" w:space="0"/>
              <w:bottom w:val="single" w:color="auto" w:sz="2" w:space="0"/>
              <w:right w:val="single" w:color="auto" w:sz="2" w:space="0"/>
            </w:tcBorders>
            <w:vAlign w:val="center"/>
          </w:tcPr>
          <w:p w14:paraId="448F850E">
            <w:pPr>
              <w:adjustRightInd w:val="0"/>
              <w:snapToGrid w:val="0"/>
              <w:spacing w:line="30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开户名称</w:t>
            </w:r>
          </w:p>
        </w:tc>
        <w:tc>
          <w:tcPr>
            <w:tcW w:w="2115" w:type="dxa"/>
            <w:tcBorders>
              <w:top w:val="single" w:color="auto" w:sz="2" w:space="0"/>
              <w:left w:val="single" w:color="auto" w:sz="2" w:space="0"/>
              <w:bottom w:val="single" w:color="auto" w:sz="2" w:space="0"/>
            </w:tcBorders>
            <w:vAlign w:val="center"/>
          </w:tcPr>
          <w:p w14:paraId="6E0AA645">
            <w:pPr>
              <w:adjustRightInd w:val="0"/>
              <w:snapToGrid w:val="0"/>
              <w:spacing w:line="300" w:lineRule="exact"/>
              <w:jc w:val="center"/>
              <w:rPr>
                <w:rFonts w:ascii="仿宋_GB2312" w:hAnsi="仿宋_GB2312" w:eastAsia="仿宋_GB2312" w:cs="仿宋_GB2312"/>
                <w:color w:val="auto"/>
                <w:spacing w:val="20"/>
                <w:szCs w:val="21"/>
                <w:highlight w:val="none"/>
              </w:rPr>
            </w:pPr>
          </w:p>
        </w:tc>
      </w:tr>
      <w:tr w14:paraId="0478834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0" w:type="dxa"/>
            <w:tcBorders>
              <w:top w:val="single" w:color="auto" w:sz="2" w:space="0"/>
              <w:bottom w:val="single" w:color="auto" w:sz="2" w:space="0"/>
              <w:right w:val="single" w:color="auto" w:sz="2" w:space="0"/>
            </w:tcBorders>
            <w:vAlign w:val="center"/>
          </w:tcPr>
          <w:p w14:paraId="630BF823">
            <w:pPr>
              <w:adjustRightInd w:val="0"/>
              <w:snapToGrid w:val="0"/>
              <w:spacing w:line="300" w:lineRule="exact"/>
              <w:jc w:val="center"/>
              <w:rPr>
                <w:rFonts w:ascii="仿宋_GB2312" w:hAnsi="仿宋_GB2312" w:eastAsia="仿宋_GB2312" w:cs="仿宋_GB2312"/>
                <w:color w:val="auto"/>
                <w:szCs w:val="21"/>
                <w:highlight w:val="none"/>
              </w:rPr>
            </w:pPr>
          </w:p>
        </w:tc>
        <w:tc>
          <w:tcPr>
            <w:tcW w:w="2410" w:type="dxa"/>
            <w:tcBorders>
              <w:top w:val="single" w:color="auto" w:sz="2" w:space="0"/>
              <w:left w:val="single" w:color="auto" w:sz="2" w:space="0"/>
              <w:bottom w:val="single" w:color="auto" w:sz="2" w:space="0"/>
              <w:right w:val="single" w:color="auto" w:sz="2" w:space="0"/>
            </w:tcBorders>
            <w:vAlign w:val="center"/>
          </w:tcPr>
          <w:p w14:paraId="5C9E5CB5">
            <w:pPr>
              <w:adjustRightInd w:val="0"/>
              <w:snapToGrid w:val="0"/>
              <w:spacing w:line="300" w:lineRule="exact"/>
              <w:jc w:val="center"/>
              <w:rPr>
                <w:rFonts w:ascii="仿宋_GB2312" w:hAnsi="仿宋_GB2312" w:eastAsia="仿宋_GB2312" w:cs="仿宋_GB2312"/>
                <w:color w:val="auto"/>
                <w:szCs w:val="21"/>
                <w:highlight w:val="none"/>
              </w:rPr>
            </w:pPr>
          </w:p>
        </w:tc>
        <w:tc>
          <w:tcPr>
            <w:tcW w:w="1977" w:type="dxa"/>
            <w:tcBorders>
              <w:top w:val="single" w:color="auto" w:sz="2" w:space="0"/>
              <w:left w:val="single" w:color="auto" w:sz="2" w:space="0"/>
              <w:bottom w:val="single" w:color="auto" w:sz="2" w:space="0"/>
              <w:right w:val="single" w:color="auto" w:sz="2" w:space="0"/>
            </w:tcBorders>
            <w:vAlign w:val="center"/>
          </w:tcPr>
          <w:p w14:paraId="17A12D9D">
            <w:pPr>
              <w:adjustRightInd w:val="0"/>
              <w:snapToGrid w:val="0"/>
              <w:spacing w:line="30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开户银行</w:t>
            </w:r>
          </w:p>
        </w:tc>
        <w:tc>
          <w:tcPr>
            <w:tcW w:w="2115" w:type="dxa"/>
            <w:tcBorders>
              <w:top w:val="single" w:color="auto" w:sz="2" w:space="0"/>
              <w:left w:val="single" w:color="auto" w:sz="2" w:space="0"/>
              <w:bottom w:val="single" w:color="auto" w:sz="2" w:space="0"/>
            </w:tcBorders>
            <w:vAlign w:val="center"/>
          </w:tcPr>
          <w:p w14:paraId="3A566600">
            <w:pPr>
              <w:adjustRightInd w:val="0"/>
              <w:snapToGrid w:val="0"/>
              <w:spacing w:line="300" w:lineRule="exact"/>
              <w:jc w:val="center"/>
              <w:rPr>
                <w:rFonts w:ascii="仿宋_GB2312" w:hAnsi="仿宋_GB2312" w:eastAsia="仿宋_GB2312" w:cs="仿宋_GB2312"/>
                <w:color w:val="auto"/>
                <w:spacing w:val="20"/>
                <w:szCs w:val="21"/>
                <w:highlight w:val="none"/>
              </w:rPr>
            </w:pPr>
          </w:p>
        </w:tc>
      </w:tr>
      <w:tr w14:paraId="6046534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0" w:type="dxa"/>
            <w:tcBorders>
              <w:top w:val="single" w:color="auto" w:sz="2" w:space="0"/>
              <w:bottom w:val="single" w:color="auto" w:sz="2" w:space="0"/>
              <w:right w:val="single" w:color="auto" w:sz="2" w:space="0"/>
            </w:tcBorders>
            <w:vAlign w:val="center"/>
          </w:tcPr>
          <w:p w14:paraId="7BF655FF">
            <w:pPr>
              <w:adjustRightInd w:val="0"/>
              <w:snapToGrid w:val="0"/>
              <w:spacing w:line="300" w:lineRule="exact"/>
              <w:jc w:val="center"/>
              <w:rPr>
                <w:rFonts w:ascii="仿宋_GB2312" w:hAnsi="仿宋_GB2312" w:eastAsia="仿宋_GB2312" w:cs="仿宋_GB2312"/>
                <w:color w:val="auto"/>
                <w:szCs w:val="21"/>
                <w:highlight w:val="none"/>
              </w:rPr>
            </w:pPr>
          </w:p>
        </w:tc>
        <w:tc>
          <w:tcPr>
            <w:tcW w:w="2410" w:type="dxa"/>
            <w:tcBorders>
              <w:top w:val="single" w:color="auto" w:sz="2" w:space="0"/>
              <w:left w:val="single" w:color="auto" w:sz="2" w:space="0"/>
              <w:bottom w:val="single" w:color="auto" w:sz="2" w:space="0"/>
              <w:right w:val="single" w:color="auto" w:sz="2" w:space="0"/>
            </w:tcBorders>
            <w:vAlign w:val="center"/>
          </w:tcPr>
          <w:p w14:paraId="5F0EFF79">
            <w:pPr>
              <w:adjustRightInd w:val="0"/>
              <w:snapToGrid w:val="0"/>
              <w:spacing w:line="300" w:lineRule="exact"/>
              <w:jc w:val="center"/>
              <w:rPr>
                <w:rFonts w:ascii="仿宋_GB2312" w:hAnsi="仿宋_GB2312" w:eastAsia="仿宋_GB2312" w:cs="仿宋_GB2312"/>
                <w:color w:val="auto"/>
                <w:szCs w:val="21"/>
                <w:highlight w:val="none"/>
              </w:rPr>
            </w:pPr>
          </w:p>
        </w:tc>
        <w:tc>
          <w:tcPr>
            <w:tcW w:w="1977" w:type="dxa"/>
            <w:tcBorders>
              <w:top w:val="single" w:color="auto" w:sz="2" w:space="0"/>
              <w:left w:val="single" w:color="auto" w:sz="2" w:space="0"/>
              <w:bottom w:val="single" w:color="auto" w:sz="2" w:space="0"/>
              <w:right w:val="single" w:color="auto" w:sz="2" w:space="0"/>
            </w:tcBorders>
            <w:vAlign w:val="center"/>
          </w:tcPr>
          <w:p w14:paraId="09929EF7">
            <w:pPr>
              <w:adjustRightInd w:val="0"/>
              <w:snapToGrid w:val="0"/>
              <w:spacing w:line="30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银行账号</w:t>
            </w:r>
          </w:p>
        </w:tc>
        <w:tc>
          <w:tcPr>
            <w:tcW w:w="2115" w:type="dxa"/>
            <w:tcBorders>
              <w:top w:val="single" w:color="auto" w:sz="2" w:space="0"/>
              <w:left w:val="single" w:color="auto" w:sz="2" w:space="0"/>
              <w:bottom w:val="single" w:color="auto" w:sz="2" w:space="0"/>
            </w:tcBorders>
            <w:vAlign w:val="center"/>
          </w:tcPr>
          <w:p w14:paraId="442C7471">
            <w:pPr>
              <w:adjustRightInd w:val="0"/>
              <w:snapToGrid w:val="0"/>
              <w:spacing w:line="300" w:lineRule="exact"/>
              <w:jc w:val="center"/>
              <w:rPr>
                <w:rFonts w:ascii="仿宋_GB2312" w:hAnsi="仿宋_GB2312" w:eastAsia="仿宋_GB2312" w:cs="仿宋_GB2312"/>
                <w:color w:val="auto"/>
                <w:spacing w:val="20"/>
                <w:szCs w:val="21"/>
                <w:highlight w:val="none"/>
              </w:rPr>
            </w:pPr>
          </w:p>
        </w:tc>
      </w:tr>
      <w:tr w14:paraId="1DA5140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8392" w:type="dxa"/>
            <w:gridSpan w:val="4"/>
            <w:tcBorders>
              <w:top w:val="single" w:color="auto" w:sz="2" w:space="0"/>
            </w:tcBorders>
            <w:vAlign w:val="center"/>
          </w:tcPr>
          <w:p w14:paraId="76A689DF">
            <w:pPr>
              <w:pStyle w:val="12"/>
              <w:adjustRightInd w:val="0"/>
              <w:snapToGrid w:val="0"/>
              <w:spacing w:before="159" w:beforeLines="50" w:line="360" w:lineRule="auto"/>
              <w:ind w:left="0" w:leftChars="0" w:firstLine="527"/>
              <w:jc w:val="left"/>
              <w:rPr>
                <w:rFonts w:ascii="仿宋_GB2312" w:hAnsi="仿宋_GB2312" w:eastAsia="仿宋_GB2312" w:cs="仿宋_GB2312"/>
                <w:color w:val="auto"/>
                <w:spacing w:val="20"/>
                <w:sz w:val="21"/>
                <w:szCs w:val="21"/>
                <w:highlight w:val="none"/>
              </w:rPr>
            </w:pPr>
            <w:r>
              <w:rPr>
                <w:rFonts w:hint="eastAsia" w:ascii="仿宋_GB2312" w:hAnsi="仿宋_GB2312" w:eastAsia="仿宋_GB2312" w:cs="仿宋_GB2312"/>
                <w:color w:val="auto"/>
                <w:sz w:val="21"/>
                <w:szCs w:val="21"/>
                <w:highlight w:val="none"/>
              </w:rPr>
              <w:t>注：涉及联合体或其他合同主体的信息应按上表格式加列。</w:t>
            </w:r>
          </w:p>
        </w:tc>
      </w:tr>
    </w:tbl>
    <w:p w14:paraId="7C32CC47">
      <w:pPr>
        <w:pStyle w:val="3"/>
        <w:adjustRightInd w:val="0"/>
        <w:snapToGrid w:val="0"/>
        <w:spacing w:before="159" w:beforeLines="50"/>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u w:val="single"/>
        </w:rPr>
        <w:br w:type="page"/>
      </w:r>
      <w:bookmarkStart w:id="132" w:name="_Toc27624"/>
      <w:r>
        <w:rPr>
          <w:rFonts w:hint="eastAsia" w:ascii="仿宋_GB2312" w:hAnsi="仿宋_GB2312" w:eastAsia="仿宋_GB2312" w:cs="仿宋_GB2312"/>
          <w:bCs/>
          <w:color w:val="auto"/>
          <w:szCs w:val="28"/>
          <w:highlight w:val="none"/>
        </w:rPr>
        <w:t>第二节 政府采购合同通用条款</w:t>
      </w:r>
      <w:bookmarkEnd w:id="132"/>
    </w:p>
    <w:p w14:paraId="320AFC3C">
      <w:pPr>
        <w:tabs>
          <w:tab w:val="left" w:pos="8820"/>
          <w:tab w:val="left" w:pos="9345"/>
          <w:tab w:val="left" w:pos="9765"/>
        </w:tabs>
        <w:adjustRightInd w:val="0"/>
        <w:snapToGrid w:val="0"/>
        <w:spacing w:line="400" w:lineRule="exact"/>
        <w:jc w:val="left"/>
        <w:rPr>
          <w:rFonts w:ascii="仿宋_GB2312" w:hAnsi="仿宋_GB2312" w:eastAsia="仿宋_GB2312" w:cs="仿宋_GB2312"/>
          <w:b/>
          <w:bCs/>
          <w:color w:val="auto"/>
          <w:szCs w:val="21"/>
          <w:highlight w:val="none"/>
        </w:rPr>
      </w:pPr>
      <w:r>
        <w:rPr>
          <w:rFonts w:hint="eastAsia" w:ascii="仿宋_GB2312" w:hAnsi="仿宋_GB2312" w:eastAsia="仿宋_GB2312" w:cs="仿宋_GB2312"/>
          <w:b/>
          <w:color w:val="auto"/>
          <w:szCs w:val="21"/>
          <w:highlight w:val="none"/>
        </w:rPr>
        <w:t xml:space="preserve">1. </w:t>
      </w:r>
      <w:r>
        <w:rPr>
          <w:rFonts w:hint="eastAsia" w:ascii="仿宋_GB2312" w:hAnsi="仿宋_GB2312" w:eastAsia="仿宋_GB2312" w:cs="仿宋_GB2312"/>
          <w:b/>
          <w:bCs/>
          <w:color w:val="auto"/>
          <w:szCs w:val="21"/>
          <w:highlight w:val="none"/>
        </w:rPr>
        <w:t>定义</w:t>
      </w:r>
    </w:p>
    <w:p w14:paraId="5D78EB0A">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1.1合同当事人</w:t>
      </w:r>
    </w:p>
    <w:p w14:paraId="7DD01CD7">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（1）采购人（以下称甲方）是指使用财政性资金，通过政府采购方式向供应商购买货物及其相关服务的国家机关、事业单位、团体组织。</w:t>
      </w:r>
    </w:p>
    <w:p w14:paraId="620378AA">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（2）供应商（以下称乙方）是指参加政府采购活动并且中标（成交），向采购人提供合同约定的货物及其相关服务的法人、非法人组织或者自然人。</w:t>
      </w:r>
    </w:p>
    <w:p w14:paraId="59C39FFB">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（3）其他合同主体是指除采购人和供应商以外，</w:t>
      </w:r>
      <w:r>
        <w:rPr>
          <w:rFonts w:hint="eastAsia" w:ascii="仿宋_GB2312" w:hAnsi="仿宋_GB2312" w:eastAsia="仿宋_GB2312" w:cs="仿宋_GB2312"/>
          <w:bCs/>
          <w:color w:val="auto"/>
          <w:szCs w:val="21"/>
          <w:highlight w:val="none"/>
        </w:rPr>
        <w:t>依法参与合同缔结或履行，享有权利、承担义务的合同当事人</w:t>
      </w:r>
      <w:r>
        <w:rPr>
          <w:rFonts w:hint="eastAsia" w:ascii="仿宋_GB2312" w:hAnsi="仿宋_GB2312" w:eastAsia="仿宋_GB2312" w:cs="仿宋_GB2312"/>
          <w:color w:val="auto"/>
          <w:szCs w:val="21"/>
          <w:highlight w:val="none"/>
        </w:rPr>
        <w:t>。</w:t>
      </w:r>
    </w:p>
    <w:p w14:paraId="15B6102C">
      <w:pPr>
        <w:tabs>
          <w:tab w:val="left" w:pos="570"/>
          <w:tab w:val="left" w:pos="9240"/>
          <w:tab w:val="left" w:pos="9555"/>
        </w:tabs>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1.2本合同下列术语应解释为：</w:t>
      </w:r>
    </w:p>
    <w:p w14:paraId="5585072C">
      <w:pPr>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（1）“合同”系指</w:t>
      </w:r>
      <w:r>
        <w:rPr>
          <w:rFonts w:hint="eastAsia" w:ascii="仿宋_GB2312" w:hAnsi="仿宋_GB2312" w:eastAsia="仿宋_GB2312" w:cs="仿宋_GB2312"/>
          <w:bCs/>
          <w:color w:val="auto"/>
          <w:szCs w:val="21"/>
          <w:highlight w:val="none"/>
        </w:rPr>
        <w:t>合同当事人意思表示达成一致的任何协议，包括签署的</w:t>
      </w:r>
      <w:r>
        <w:rPr>
          <w:rFonts w:hint="eastAsia" w:ascii="仿宋_GB2312" w:hAnsi="仿宋_GB2312" w:eastAsia="仿宋_GB2312" w:cs="仿宋_GB2312"/>
          <w:color w:val="auto"/>
          <w:szCs w:val="21"/>
          <w:highlight w:val="none"/>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7B9A4115">
      <w:pPr>
        <w:tabs>
          <w:tab w:val="left" w:pos="570"/>
          <w:tab w:val="left" w:pos="9240"/>
          <w:tab w:val="left" w:pos="9555"/>
        </w:tabs>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（2）“合同价款”系指根据本合同规定乙方在全面履行合同义务后甲方应支付给乙方的价款。</w:t>
      </w:r>
    </w:p>
    <w:p w14:paraId="1E10C121">
      <w:pPr>
        <w:tabs>
          <w:tab w:val="left" w:pos="570"/>
          <w:tab w:val="left" w:pos="9240"/>
          <w:tab w:val="left" w:pos="9555"/>
        </w:tabs>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（3）“货物”系指乙方根据本合同规定须向甲方提供的各种形态和种类的物品，包括原材料、设备、产品（包括软件）及相关的其备品备件、工具、手册及</w:t>
      </w:r>
      <w:r>
        <w:rPr>
          <w:rFonts w:hint="eastAsia" w:ascii="仿宋_GB2312" w:hAnsi="仿宋_GB2312" w:eastAsia="仿宋_GB2312" w:cs="仿宋_GB2312"/>
          <w:color w:val="auto"/>
          <w:szCs w:val="21"/>
          <w:highlight w:val="none"/>
          <w:lang w:val="en"/>
        </w:rPr>
        <w:t>其他</w:t>
      </w:r>
      <w:r>
        <w:rPr>
          <w:rFonts w:hint="eastAsia" w:ascii="仿宋_GB2312" w:hAnsi="仿宋_GB2312" w:eastAsia="仿宋_GB2312" w:cs="仿宋_GB2312"/>
          <w:color w:val="auto"/>
          <w:szCs w:val="21"/>
          <w:highlight w:val="none"/>
        </w:rPr>
        <w:t>技术资料和材料等。</w:t>
      </w:r>
    </w:p>
    <w:p w14:paraId="5A168A55">
      <w:pPr>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（4）“相关服务”系指根据合同规定，乙方应提供的与货物有关的技术、管理和</w:t>
      </w:r>
      <w:r>
        <w:rPr>
          <w:rFonts w:hint="eastAsia" w:ascii="仿宋_GB2312" w:hAnsi="仿宋_GB2312" w:eastAsia="仿宋_GB2312" w:cs="仿宋_GB2312"/>
          <w:color w:val="auto"/>
          <w:szCs w:val="21"/>
          <w:highlight w:val="none"/>
          <w:lang w:val="en"/>
        </w:rPr>
        <w:t>其他</w:t>
      </w:r>
      <w:r>
        <w:rPr>
          <w:rFonts w:hint="eastAsia" w:ascii="仿宋_GB2312" w:hAnsi="仿宋_GB2312" w:eastAsia="仿宋_GB2312" w:cs="仿宋_GB2312"/>
          <w:color w:val="auto"/>
          <w:szCs w:val="21"/>
          <w:highlight w:val="none"/>
        </w:rPr>
        <w:t>服务，包括但不限于：管理和质量保证、运输、保险、检验、现场准备、安装、集成、调试、培训、维修、废弃处置、技术支持等以及合同中规定乙方应承担的</w:t>
      </w:r>
      <w:r>
        <w:rPr>
          <w:rFonts w:hint="eastAsia" w:ascii="仿宋_GB2312" w:hAnsi="仿宋_GB2312" w:eastAsia="仿宋_GB2312" w:cs="仿宋_GB2312"/>
          <w:color w:val="auto"/>
          <w:szCs w:val="21"/>
          <w:highlight w:val="none"/>
          <w:lang w:val="en"/>
        </w:rPr>
        <w:t>其他</w:t>
      </w:r>
      <w:r>
        <w:rPr>
          <w:rFonts w:hint="eastAsia" w:ascii="仿宋_GB2312" w:hAnsi="仿宋_GB2312" w:eastAsia="仿宋_GB2312" w:cs="仿宋_GB2312"/>
          <w:color w:val="auto"/>
          <w:szCs w:val="21"/>
          <w:highlight w:val="none"/>
        </w:rPr>
        <w:t>义务。</w:t>
      </w:r>
    </w:p>
    <w:p w14:paraId="179E2111">
      <w:pPr>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（5）“分包”系指中标（成交）供应商按采购文件、投标（响应）文件的规定，根据分包意向协议，将中标（成交）项目中的部分履约内容，分给具有相应资质条件的供应商履行合同的行为。</w:t>
      </w:r>
    </w:p>
    <w:p w14:paraId="094DA1B8">
      <w:pPr>
        <w:tabs>
          <w:tab w:val="left" w:pos="570"/>
          <w:tab w:val="left" w:pos="9240"/>
          <w:tab w:val="left" w:pos="9555"/>
        </w:tabs>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_GB2312" w:hAnsi="仿宋_GB2312" w:eastAsia="仿宋_GB2312" w:cs="仿宋_GB2312"/>
          <w:b/>
          <w:bCs/>
          <w:color w:val="auto"/>
          <w:szCs w:val="21"/>
          <w:highlight w:val="none"/>
        </w:rPr>
        <w:t>政府采购合同专用条款</w:t>
      </w:r>
      <w:r>
        <w:rPr>
          <w:rFonts w:hint="eastAsia" w:ascii="仿宋_GB2312" w:hAnsi="仿宋_GB2312" w:eastAsia="仿宋_GB2312" w:cs="仿宋_GB2312"/>
          <w:color w:val="auto"/>
          <w:szCs w:val="21"/>
          <w:highlight w:val="none"/>
        </w:rPr>
        <w:t>】。</w:t>
      </w:r>
    </w:p>
    <w:p w14:paraId="7585A1C6">
      <w:pPr>
        <w:tabs>
          <w:tab w:val="left" w:pos="570"/>
          <w:tab w:val="left" w:pos="9240"/>
          <w:tab w:val="left" w:pos="9555"/>
        </w:tabs>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（7）其他术语解释，见【</w:t>
      </w:r>
      <w:r>
        <w:rPr>
          <w:rFonts w:hint="eastAsia" w:ascii="仿宋_GB2312" w:hAnsi="仿宋_GB2312" w:eastAsia="仿宋_GB2312" w:cs="仿宋_GB2312"/>
          <w:b/>
          <w:bCs/>
          <w:color w:val="auto"/>
          <w:szCs w:val="21"/>
          <w:highlight w:val="none"/>
        </w:rPr>
        <w:t>政府采购合同专用条款</w:t>
      </w:r>
      <w:r>
        <w:rPr>
          <w:rFonts w:hint="eastAsia" w:ascii="仿宋_GB2312" w:hAnsi="仿宋_GB2312" w:eastAsia="仿宋_GB2312" w:cs="仿宋_GB2312"/>
          <w:color w:val="auto"/>
          <w:szCs w:val="21"/>
          <w:highlight w:val="none"/>
        </w:rPr>
        <w:t>】。</w:t>
      </w:r>
    </w:p>
    <w:p w14:paraId="484C7349">
      <w:pPr>
        <w:numPr>
          <w:ilvl w:val="0"/>
          <w:numId w:val="14"/>
        </w:numPr>
        <w:autoSpaceDE w:val="0"/>
        <w:autoSpaceDN w:val="0"/>
        <w:adjustRightInd w:val="0"/>
        <w:snapToGrid w:val="0"/>
        <w:spacing w:line="400" w:lineRule="exact"/>
        <w:jc w:val="left"/>
        <w:rPr>
          <w:rFonts w:ascii="仿宋_GB2312" w:hAnsi="仿宋_GB2312" w:eastAsia="仿宋_GB2312" w:cs="仿宋_GB2312"/>
          <w:b/>
          <w:bCs/>
          <w:color w:val="auto"/>
          <w:szCs w:val="21"/>
          <w:highlight w:val="none"/>
        </w:rPr>
      </w:pPr>
      <w:r>
        <w:rPr>
          <w:rFonts w:hint="eastAsia" w:ascii="仿宋_GB2312" w:hAnsi="仿宋_GB2312" w:eastAsia="仿宋_GB2312" w:cs="仿宋_GB2312"/>
          <w:b/>
          <w:color w:val="auto"/>
          <w:szCs w:val="21"/>
          <w:highlight w:val="none"/>
        </w:rPr>
        <w:t>合同标的及金额</w:t>
      </w:r>
    </w:p>
    <w:p w14:paraId="59F38E7B">
      <w:pPr>
        <w:autoSpaceDE w:val="0"/>
        <w:autoSpaceDN w:val="0"/>
        <w:adjustRightInd w:val="0"/>
        <w:snapToGrid w:val="0"/>
        <w:spacing w:line="400" w:lineRule="exact"/>
        <w:ind w:firstLine="420" w:firstLineChars="200"/>
        <w:jc w:val="left"/>
        <w:rPr>
          <w:rFonts w:ascii="仿宋_GB2312" w:hAnsi="仿宋_GB2312" w:eastAsia="仿宋_GB2312" w:cs="仿宋_GB2312"/>
          <w:b/>
          <w:bCs/>
          <w:i/>
          <w:iCs/>
          <w:color w:val="auto"/>
          <w:szCs w:val="21"/>
          <w:highlight w:val="none"/>
        </w:rPr>
      </w:pPr>
      <w:r>
        <w:rPr>
          <w:rFonts w:hint="eastAsia" w:ascii="仿宋_GB2312" w:hAnsi="仿宋_GB2312" w:eastAsia="仿宋_GB2312" w:cs="仿宋_GB2312"/>
          <w:color w:val="auto"/>
          <w:szCs w:val="21"/>
          <w:highlight w:val="none"/>
        </w:rPr>
        <w:t>2.1 合同标的及金额应与中标（成交）结果一致。乙方为履行本合同而发生的所有费用均应包含在合同价款中，甲方不再另行支付</w:t>
      </w:r>
      <w:r>
        <w:rPr>
          <w:rFonts w:hint="eastAsia" w:ascii="仿宋_GB2312" w:hAnsi="仿宋_GB2312" w:eastAsia="仿宋_GB2312" w:cs="仿宋_GB2312"/>
          <w:color w:val="auto"/>
          <w:szCs w:val="21"/>
          <w:highlight w:val="none"/>
          <w:lang w:val="en"/>
        </w:rPr>
        <w:t>其他</w:t>
      </w:r>
      <w:r>
        <w:rPr>
          <w:rFonts w:hint="eastAsia" w:ascii="仿宋_GB2312" w:hAnsi="仿宋_GB2312" w:eastAsia="仿宋_GB2312" w:cs="仿宋_GB2312"/>
          <w:color w:val="auto"/>
          <w:szCs w:val="21"/>
          <w:highlight w:val="none"/>
        </w:rPr>
        <w:t>任何费用。</w:t>
      </w:r>
    </w:p>
    <w:p w14:paraId="4D5F09B9">
      <w:pPr>
        <w:adjustRightInd w:val="0"/>
        <w:snapToGrid w:val="0"/>
        <w:spacing w:line="400" w:lineRule="exact"/>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3. 履行合同的时间、地点和方式</w:t>
      </w:r>
    </w:p>
    <w:p w14:paraId="238B2A16">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3.1 乙方应当在约定的时间、地点，按照约定方式履行合同。</w:t>
      </w:r>
    </w:p>
    <w:p w14:paraId="51B56DA6">
      <w:pPr>
        <w:autoSpaceDE w:val="0"/>
        <w:autoSpaceDN w:val="0"/>
        <w:adjustRightInd w:val="0"/>
        <w:snapToGrid w:val="0"/>
        <w:spacing w:line="400" w:lineRule="exact"/>
        <w:jc w:val="left"/>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4. 甲方的权利和义务</w:t>
      </w:r>
    </w:p>
    <w:p w14:paraId="13022E56">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6BB03C57">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4.2 甲方有权要求乙方按时提交各阶段有关安排计划，并有权定期核对乙方提供货物数量、规格、质量等内容。甲方有权督促乙方工作并要求乙方更换不符合要求的货物。</w:t>
      </w:r>
    </w:p>
    <w:p w14:paraId="6AB89EBF">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4.3 甲方有权要求乙方对缺陷部分予以修复，并按合同约定享有货物保修及其他合同约定的权利。</w:t>
      </w:r>
    </w:p>
    <w:p w14:paraId="3FD21E3C">
      <w:pPr>
        <w:snapToGrid w:val="0"/>
        <w:spacing w:line="400" w:lineRule="exact"/>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4.4 甲方应当按照合同约定及时对交付的货物进行验收，未在</w:t>
      </w:r>
      <w:r>
        <w:rPr>
          <w:rFonts w:hint="eastAsia" w:ascii="仿宋_GB2312" w:hAnsi="仿宋_GB2312" w:eastAsia="仿宋_GB2312" w:cs="仿宋_GB2312"/>
          <w:b/>
          <w:bCs/>
          <w:color w:val="auto"/>
          <w:szCs w:val="21"/>
          <w:highlight w:val="none"/>
        </w:rPr>
        <w:t>【政府采购合同专用条款】</w:t>
      </w:r>
      <w:r>
        <w:rPr>
          <w:rFonts w:hint="eastAsia" w:ascii="仿宋_GB2312" w:hAnsi="仿宋_GB2312" w:eastAsia="仿宋_GB2312" w:cs="仿宋_GB2312"/>
          <w:color w:val="auto"/>
          <w:szCs w:val="21"/>
          <w:highlight w:val="none"/>
        </w:rPr>
        <w:t>约定的期限内对乙方履约提出任何异议或者向乙方作出任何说明的，视为验收通过。</w:t>
      </w:r>
    </w:p>
    <w:p w14:paraId="6B542787">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4.5 甲方应当根据合同约定及时向乙方支付合同价款，不得以内部人员变更、履行内部付款流程等为由，拒绝或迟延支付。</w:t>
      </w:r>
    </w:p>
    <w:p w14:paraId="57240E63">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4.6 国家法律法规规定及</w:t>
      </w:r>
      <w:r>
        <w:rPr>
          <w:rFonts w:hint="eastAsia" w:ascii="仿宋_GB2312" w:hAnsi="仿宋_GB2312" w:eastAsia="仿宋_GB2312" w:cs="仿宋_GB2312"/>
          <w:b/>
          <w:bCs/>
          <w:color w:val="auto"/>
          <w:szCs w:val="21"/>
          <w:highlight w:val="none"/>
        </w:rPr>
        <w:t>【政府采购合同专用条款】</w:t>
      </w:r>
      <w:r>
        <w:rPr>
          <w:rFonts w:hint="eastAsia" w:ascii="仿宋_GB2312" w:hAnsi="仿宋_GB2312" w:eastAsia="仿宋_GB2312" w:cs="仿宋_GB2312"/>
          <w:color w:val="auto"/>
          <w:szCs w:val="21"/>
          <w:highlight w:val="none"/>
        </w:rPr>
        <w:t>约定应由甲方承担的其他义务和责任。</w:t>
      </w:r>
    </w:p>
    <w:p w14:paraId="185A7FEA">
      <w:pPr>
        <w:autoSpaceDE w:val="0"/>
        <w:autoSpaceDN w:val="0"/>
        <w:adjustRightInd w:val="0"/>
        <w:snapToGrid w:val="0"/>
        <w:spacing w:line="400" w:lineRule="exact"/>
        <w:jc w:val="left"/>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5. 乙方的权利和义务</w:t>
      </w:r>
    </w:p>
    <w:p w14:paraId="5157AD1C">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5.1 签署合同后，乙方应确定项目负责人（或项目联系人），负责与本合同有关的事务。</w:t>
      </w:r>
    </w:p>
    <w:p w14:paraId="6212804C">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0B617434">
      <w:pPr>
        <w:pStyle w:val="11"/>
        <w:spacing w:after="0" w:line="400" w:lineRule="exact"/>
        <w:ind w:firstLine="369" w:firstLineChars="176"/>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5.3乙方有权根据合同约定向甲方收取合同价款。</w:t>
      </w:r>
    </w:p>
    <w:p w14:paraId="5CF2E429">
      <w:pPr>
        <w:pStyle w:val="11"/>
        <w:spacing w:after="0" w:line="400" w:lineRule="exact"/>
        <w:ind w:firstLine="369" w:firstLineChars="176"/>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5.4国家法律法规规定及</w:t>
      </w:r>
      <w:r>
        <w:rPr>
          <w:rFonts w:hint="eastAsia" w:ascii="仿宋_GB2312" w:hAnsi="仿宋_GB2312" w:eastAsia="仿宋_GB2312" w:cs="仿宋_GB2312"/>
          <w:b/>
          <w:bCs/>
          <w:color w:val="auto"/>
          <w:szCs w:val="21"/>
          <w:highlight w:val="none"/>
        </w:rPr>
        <w:t>【政府采购合同专用条款】</w:t>
      </w:r>
      <w:r>
        <w:rPr>
          <w:rFonts w:hint="eastAsia" w:ascii="仿宋_GB2312" w:hAnsi="仿宋_GB2312" w:eastAsia="仿宋_GB2312" w:cs="仿宋_GB2312"/>
          <w:color w:val="auto"/>
          <w:szCs w:val="21"/>
          <w:highlight w:val="none"/>
        </w:rPr>
        <w:t>约定应由乙方承担的其他义务和责任。</w:t>
      </w:r>
    </w:p>
    <w:p w14:paraId="5FCD1EA8">
      <w:pPr>
        <w:numPr>
          <w:ilvl w:val="0"/>
          <w:numId w:val="15"/>
        </w:numPr>
        <w:autoSpaceDE w:val="0"/>
        <w:autoSpaceDN w:val="0"/>
        <w:adjustRightInd w:val="0"/>
        <w:snapToGrid w:val="0"/>
        <w:spacing w:line="400" w:lineRule="exact"/>
        <w:jc w:val="left"/>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合同履行</w:t>
      </w:r>
    </w:p>
    <w:p w14:paraId="330C366F">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6.1 甲乙双方应当按照</w:t>
      </w:r>
      <w:r>
        <w:rPr>
          <w:rFonts w:hint="eastAsia" w:ascii="仿宋_GB2312" w:hAnsi="仿宋_GB2312" w:eastAsia="仿宋_GB2312" w:cs="仿宋_GB2312"/>
          <w:b/>
          <w:bCs/>
          <w:color w:val="auto"/>
          <w:szCs w:val="21"/>
          <w:highlight w:val="none"/>
        </w:rPr>
        <w:t>【政府采购合同专用条款】</w:t>
      </w:r>
      <w:r>
        <w:rPr>
          <w:rFonts w:hint="eastAsia" w:ascii="仿宋_GB2312" w:hAnsi="仿宋_GB2312" w:eastAsia="仿宋_GB2312" w:cs="仿宋_GB2312"/>
          <w:color w:val="auto"/>
          <w:szCs w:val="21"/>
          <w:highlight w:val="none"/>
        </w:rPr>
        <w:t>约定顺序履行合同义务；如果没有先后顺序的，应当同时履行。</w:t>
      </w:r>
    </w:p>
    <w:p w14:paraId="21E5470B">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1F1264AE">
      <w:pPr>
        <w:adjustRightInd w:val="0"/>
        <w:snapToGrid w:val="0"/>
        <w:spacing w:line="400" w:lineRule="exact"/>
        <w:jc w:val="left"/>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7. 货物包装、运输、保险和交付要求</w:t>
      </w:r>
    </w:p>
    <w:p w14:paraId="29021A73">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7.1 本合同</w:t>
      </w:r>
      <w:r>
        <w:rPr>
          <w:rFonts w:hint="eastAsia" w:ascii="仿宋_GB2312" w:hAnsi="仿宋_GB2312" w:eastAsia="仿宋_GB2312" w:cs="仿宋_GB2312"/>
          <w:bCs/>
          <w:color w:val="auto"/>
          <w:szCs w:val="21"/>
          <w:highlight w:val="none"/>
        </w:rPr>
        <w:t>涉及商品包装、快递包装的，</w:t>
      </w:r>
      <w:r>
        <w:rPr>
          <w:rFonts w:hint="eastAsia" w:ascii="仿宋_GB2312" w:hAnsi="仿宋_GB2312" w:eastAsia="仿宋_GB2312" w:cs="仿宋_GB2312"/>
          <w:color w:val="auto"/>
          <w:szCs w:val="21"/>
          <w:highlight w:val="none"/>
        </w:rPr>
        <w:t>除</w:t>
      </w:r>
      <w:r>
        <w:rPr>
          <w:rFonts w:hint="eastAsia" w:ascii="仿宋_GB2312" w:hAnsi="仿宋_GB2312" w:eastAsia="仿宋_GB2312" w:cs="仿宋_GB2312"/>
          <w:b/>
          <w:color w:val="auto"/>
          <w:szCs w:val="21"/>
          <w:highlight w:val="none"/>
        </w:rPr>
        <w:t>【政府采购合同专用条款】</w:t>
      </w:r>
      <w:r>
        <w:rPr>
          <w:rFonts w:hint="eastAsia" w:ascii="仿宋_GB2312" w:hAnsi="仿宋_GB2312" w:eastAsia="仿宋_GB2312" w:cs="仿宋_GB2312"/>
          <w:bCs/>
          <w:color w:val="auto"/>
          <w:szCs w:val="21"/>
          <w:highlight w:val="none"/>
        </w:rPr>
        <w:t>另有约定外，</w:t>
      </w:r>
      <w:r>
        <w:rPr>
          <w:rFonts w:hint="eastAsia" w:ascii="仿宋_GB2312" w:hAnsi="仿宋_GB2312" w:eastAsia="仿宋_GB2312" w:cs="仿宋_GB2312"/>
          <w:color w:val="auto"/>
          <w:szCs w:val="21"/>
          <w:highlight w:val="none"/>
        </w:rPr>
        <w:t>包装应适应远距离运输、防潮、防震、防锈和防野蛮装卸等要求，确保货物安全无损地运抵</w:t>
      </w:r>
      <w:r>
        <w:rPr>
          <w:rFonts w:hint="eastAsia" w:ascii="仿宋_GB2312" w:hAnsi="仿宋_GB2312" w:eastAsia="仿宋_GB2312" w:cs="仿宋_GB2312"/>
          <w:b/>
          <w:color w:val="auto"/>
          <w:szCs w:val="21"/>
          <w:highlight w:val="none"/>
        </w:rPr>
        <w:t>【政府采购合同专用条款】</w:t>
      </w:r>
      <w:r>
        <w:rPr>
          <w:rFonts w:hint="eastAsia" w:ascii="仿宋_GB2312" w:hAnsi="仿宋_GB2312" w:eastAsia="仿宋_GB2312" w:cs="仿宋_GB2312"/>
          <w:bCs/>
          <w:color w:val="auto"/>
          <w:szCs w:val="21"/>
          <w:highlight w:val="none"/>
        </w:rPr>
        <w:t>约定的</w:t>
      </w:r>
      <w:r>
        <w:rPr>
          <w:rFonts w:hint="eastAsia" w:ascii="仿宋_GB2312" w:hAnsi="仿宋_GB2312" w:eastAsia="仿宋_GB2312" w:cs="仿宋_GB2312"/>
          <w:color w:val="auto"/>
          <w:szCs w:val="21"/>
          <w:highlight w:val="none"/>
        </w:rPr>
        <w:t>指定现场。</w:t>
      </w:r>
    </w:p>
    <w:p w14:paraId="7E9EF197">
      <w:pPr>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7.2 除</w:t>
      </w:r>
      <w:r>
        <w:rPr>
          <w:rFonts w:hint="eastAsia" w:ascii="仿宋_GB2312" w:hAnsi="仿宋_GB2312" w:eastAsia="仿宋_GB2312" w:cs="仿宋_GB2312"/>
          <w:b/>
          <w:color w:val="auto"/>
          <w:szCs w:val="21"/>
          <w:highlight w:val="none"/>
        </w:rPr>
        <w:t>【政府采购合同专用条款】</w:t>
      </w:r>
      <w:r>
        <w:rPr>
          <w:rFonts w:hint="eastAsia" w:ascii="仿宋_GB2312" w:hAnsi="仿宋_GB2312" w:eastAsia="仿宋_GB2312" w:cs="仿宋_GB2312"/>
          <w:bCs/>
          <w:color w:val="auto"/>
          <w:szCs w:val="21"/>
          <w:highlight w:val="none"/>
        </w:rPr>
        <w:t>另有约定外，</w:t>
      </w:r>
      <w:r>
        <w:rPr>
          <w:rFonts w:hint="eastAsia" w:ascii="仿宋_GB2312" w:hAnsi="仿宋_GB2312" w:eastAsia="仿宋_GB2312" w:cs="仿宋_GB2312"/>
          <w:color w:val="auto"/>
          <w:szCs w:val="21"/>
          <w:highlight w:val="none"/>
        </w:rPr>
        <w:t>乙方负责办理将货物运抵本合同规定的交货地点，并装卸、交付至甲方的一切运输事项，相关费用应包含在合同价款中。</w:t>
      </w:r>
    </w:p>
    <w:p w14:paraId="40580575">
      <w:pPr>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7.3 货物保险要求按</w:t>
      </w:r>
      <w:r>
        <w:rPr>
          <w:rFonts w:hint="eastAsia" w:ascii="仿宋_GB2312" w:hAnsi="仿宋_GB2312" w:eastAsia="仿宋_GB2312" w:cs="仿宋_GB2312"/>
          <w:b/>
          <w:color w:val="auto"/>
          <w:szCs w:val="21"/>
          <w:highlight w:val="none"/>
        </w:rPr>
        <w:t>【政府采购合同专用条款】</w:t>
      </w:r>
      <w:r>
        <w:rPr>
          <w:rFonts w:hint="eastAsia" w:ascii="仿宋_GB2312" w:hAnsi="仿宋_GB2312" w:eastAsia="仿宋_GB2312" w:cs="仿宋_GB2312"/>
          <w:bCs/>
          <w:color w:val="auto"/>
          <w:szCs w:val="21"/>
          <w:highlight w:val="none"/>
        </w:rPr>
        <w:t>规定执行</w:t>
      </w:r>
      <w:r>
        <w:rPr>
          <w:rFonts w:hint="eastAsia" w:ascii="仿宋_GB2312" w:hAnsi="仿宋_GB2312" w:eastAsia="仿宋_GB2312" w:cs="仿宋_GB2312"/>
          <w:color w:val="auto"/>
          <w:szCs w:val="21"/>
          <w:highlight w:val="none"/>
        </w:rPr>
        <w:t>。</w:t>
      </w:r>
    </w:p>
    <w:p w14:paraId="66F3544E">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05201CF3">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7.5 乙方在运输到达之前应提前通知甲方，并提示货物运输装卸的注意事项，甲方配合乙方做好货物的接收工作。</w:t>
      </w:r>
    </w:p>
    <w:p w14:paraId="05602298">
      <w:pPr>
        <w:pStyle w:val="67"/>
        <w:ind w:firstLine="420"/>
        <w:rPr>
          <w:rFonts w:ascii="仿宋_GB2312" w:hAnsi="仿宋_GB2312" w:eastAsia="仿宋_GB2312" w:cs="仿宋_GB2312"/>
          <w:color w:val="auto"/>
          <w:sz w:val="21"/>
          <w:highlight w:val="none"/>
        </w:rPr>
      </w:pPr>
      <w:r>
        <w:rPr>
          <w:rFonts w:hint="eastAsia" w:ascii="仿宋_GB2312" w:hAnsi="仿宋_GB2312" w:eastAsia="仿宋_GB2312" w:cs="仿宋_GB2312"/>
          <w:color w:val="auto"/>
          <w:kern w:val="2"/>
          <w:sz w:val="21"/>
          <w:highlight w:val="none"/>
        </w:rPr>
        <w:t>7.6 如因包装、运输问题导致货物损毁、丢失或者品质下降，甲方有权要求降价、换货、拒收部分或整批货物，由此产生的费用和损失，均由乙方承担。</w:t>
      </w:r>
    </w:p>
    <w:p w14:paraId="7449E1D6">
      <w:pPr>
        <w:adjustRightInd w:val="0"/>
        <w:snapToGrid w:val="0"/>
        <w:spacing w:line="400" w:lineRule="exact"/>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8. 质量标准和保证</w:t>
      </w:r>
    </w:p>
    <w:p w14:paraId="15A1607C">
      <w:pPr>
        <w:pStyle w:val="13"/>
        <w:adjustRightInd w:val="0"/>
        <w:snapToGrid w:val="0"/>
        <w:spacing w:line="400" w:lineRule="exact"/>
        <w:ind w:firstLine="420" w:firstLineChars="200"/>
        <w:jc w:val="left"/>
        <w:rPr>
          <w:rFonts w:ascii="仿宋_GB2312" w:hAnsi="仿宋_GB2312" w:eastAsia="仿宋_GB2312" w:cs="仿宋_GB2312"/>
          <w:b/>
          <w:color w:val="auto"/>
          <w:highlight w:val="none"/>
        </w:rPr>
      </w:pPr>
      <w:r>
        <w:rPr>
          <w:rFonts w:hint="eastAsia" w:ascii="仿宋_GB2312" w:hAnsi="仿宋_GB2312" w:eastAsia="仿宋_GB2312" w:cs="仿宋_GB2312"/>
          <w:color w:val="auto"/>
          <w:highlight w:val="none"/>
        </w:rPr>
        <w:t>8.1 质量标准</w:t>
      </w:r>
    </w:p>
    <w:p w14:paraId="0EBA826A">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E02F89F">
      <w:pPr>
        <w:pStyle w:val="13"/>
        <w:adjustRightInd w:val="0"/>
        <w:snapToGrid w:val="0"/>
        <w:spacing w:line="400" w:lineRule="exact"/>
        <w:ind w:firstLine="420" w:firstLineChars="200"/>
        <w:jc w:val="left"/>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（2）采用中华人民共和国法定计量单位。</w:t>
      </w:r>
    </w:p>
    <w:p w14:paraId="73FB19D4">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（3）乙方所提供的货物应符合国家有关安全、环保、卫生的规定。</w:t>
      </w:r>
    </w:p>
    <w:p w14:paraId="70E00AAA">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（4）乙方应向甲方提交所提供货物的技术文件，包括相应的中文技术文件，如：产品目录、图纸、操作手册、使用说明、维护手册或服务指南等。上述文件应包装好随货物一同发运。</w:t>
      </w:r>
    </w:p>
    <w:p w14:paraId="406D0165">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8.2 保证</w:t>
      </w:r>
    </w:p>
    <w:p w14:paraId="08E6406F">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_GB2312" w:hAnsi="仿宋_GB2312" w:eastAsia="仿宋_GB2312" w:cs="仿宋_GB2312"/>
          <w:b/>
          <w:color w:val="auto"/>
          <w:szCs w:val="21"/>
          <w:highlight w:val="none"/>
        </w:rPr>
        <w:t>【政府采购合同专用条款】</w:t>
      </w:r>
      <w:r>
        <w:rPr>
          <w:rFonts w:hint="eastAsia" w:ascii="仿宋_GB2312" w:hAnsi="仿宋_GB2312" w:eastAsia="仿宋_GB2312" w:cs="仿宋_GB2312"/>
          <w:color w:val="auto"/>
          <w:szCs w:val="21"/>
          <w:highlight w:val="none"/>
        </w:rPr>
        <w:t>规定或乙方书面承诺（两者以较长的为准）的质量保证期内，本保证保持有效。</w:t>
      </w:r>
    </w:p>
    <w:p w14:paraId="34B647BA">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（2）在质量保证期内所发现的缺陷，甲方应尽快以书面形式通知乙方。</w:t>
      </w:r>
    </w:p>
    <w:p w14:paraId="1B9D6BB8">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（3）乙方收到通知后，应在</w:t>
      </w:r>
      <w:r>
        <w:rPr>
          <w:rFonts w:hint="eastAsia" w:ascii="仿宋_GB2312" w:hAnsi="仿宋_GB2312" w:eastAsia="仿宋_GB2312" w:cs="仿宋_GB2312"/>
          <w:b/>
          <w:color w:val="auto"/>
          <w:szCs w:val="21"/>
          <w:highlight w:val="none"/>
        </w:rPr>
        <w:t>【政府采购合同专用条款】</w:t>
      </w:r>
      <w:r>
        <w:rPr>
          <w:rFonts w:hint="eastAsia" w:ascii="仿宋_GB2312" w:hAnsi="仿宋_GB2312" w:eastAsia="仿宋_GB2312" w:cs="仿宋_GB2312"/>
          <w:color w:val="auto"/>
          <w:szCs w:val="21"/>
          <w:highlight w:val="none"/>
        </w:rPr>
        <w:t>规定的响应时间内以合理的速度免费维修或更换有缺陷的货物或部件。</w:t>
      </w:r>
    </w:p>
    <w:p w14:paraId="5A007158">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2D94BBB6">
      <w:pPr>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（5）乙方在约定的时间内未能弥补缺陷，甲方可采取必要的补救措施，但其风险和费用将由乙方承担，甲方根据合同约定对乙方行使的其他权利不受影响。</w:t>
      </w:r>
    </w:p>
    <w:p w14:paraId="46C9D776">
      <w:pPr>
        <w:adjustRightInd w:val="0"/>
        <w:snapToGrid w:val="0"/>
        <w:spacing w:line="400" w:lineRule="exact"/>
        <w:jc w:val="left"/>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9. 权利瑕疵担保</w:t>
      </w:r>
    </w:p>
    <w:p w14:paraId="120B7068">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9.1 乙方保证对其出售的货物享有合法的权利。</w:t>
      </w:r>
    </w:p>
    <w:p w14:paraId="079308DF">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9.2 乙方保证在交付的货物上不存在抵押权等担保物权。</w:t>
      </w:r>
    </w:p>
    <w:p w14:paraId="71ED4F4D">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9.3 如甲方使用上述货物构成对第三人侵权的，则由乙方承担全部责任。</w:t>
      </w:r>
    </w:p>
    <w:p w14:paraId="4889046A">
      <w:pPr>
        <w:autoSpaceDE w:val="0"/>
        <w:autoSpaceDN w:val="0"/>
        <w:adjustRightInd w:val="0"/>
        <w:snapToGrid w:val="0"/>
        <w:spacing w:line="400" w:lineRule="exact"/>
        <w:jc w:val="left"/>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10. 知识产权保护</w:t>
      </w:r>
    </w:p>
    <w:p w14:paraId="5803A03C">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10.1 乙方对其所销售的货物应当享有知识产权或经权利人合法授权，保证没有侵犯任何第三人的知识产权等权利。</w:t>
      </w:r>
      <w:bookmarkStart w:id="133" w:name="_Hlk163047038"/>
      <w:r>
        <w:rPr>
          <w:rFonts w:hint="eastAsia" w:ascii="仿宋_GB2312" w:hAnsi="仿宋_GB2312" w:eastAsia="仿宋_GB2312" w:cs="仿宋_GB2312"/>
          <w:color w:val="auto"/>
          <w:szCs w:val="21"/>
          <w:highlight w:val="none"/>
        </w:rPr>
        <w:t>因违反前述约定对第三人构成侵权的，应当由乙方向第三人承担法律责任；甲方依法向第三人赔偿后，有权向乙方追偿。甲方有其他损失的，乙方应当赔偿</w:t>
      </w:r>
      <w:bookmarkEnd w:id="133"/>
      <w:r>
        <w:rPr>
          <w:rFonts w:hint="eastAsia" w:ascii="仿宋_GB2312" w:hAnsi="仿宋_GB2312" w:eastAsia="仿宋_GB2312" w:cs="仿宋_GB2312"/>
          <w:color w:val="auto"/>
          <w:szCs w:val="21"/>
          <w:highlight w:val="none"/>
        </w:rPr>
        <w:t>。</w:t>
      </w:r>
    </w:p>
    <w:p w14:paraId="38DC719F">
      <w:pPr>
        <w:autoSpaceDE w:val="0"/>
        <w:autoSpaceDN w:val="0"/>
        <w:adjustRightInd w:val="0"/>
        <w:snapToGrid w:val="0"/>
        <w:spacing w:line="400" w:lineRule="exact"/>
        <w:jc w:val="left"/>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11. 保密义务</w:t>
      </w:r>
    </w:p>
    <w:p w14:paraId="7048B5EF">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_GB2312" w:hAnsi="仿宋_GB2312" w:eastAsia="仿宋_GB2312" w:cs="仿宋_GB2312"/>
          <w:b/>
          <w:bCs/>
          <w:color w:val="auto"/>
          <w:szCs w:val="21"/>
          <w:highlight w:val="none"/>
        </w:rPr>
        <w:t>【政府采购合同专用条款】</w:t>
      </w:r>
      <w:r>
        <w:rPr>
          <w:rFonts w:hint="eastAsia" w:ascii="仿宋_GB2312" w:hAnsi="仿宋_GB2312" w:eastAsia="仿宋_GB2312" w:cs="仿宋_GB2312"/>
          <w:color w:val="auto"/>
          <w:szCs w:val="21"/>
          <w:highlight w:val="none"/>
        </w:rPr>
        <w:t>中约定。</w:t>
      </w:r>
    </w:p>
    <w:p w14:paraId="544724B2">
      <w:pPr>
        <w:autoSpaceDE w:val="0"/>
        <w:autoSpaceDN w:val="0"/>
        <w:adjustRightInd w:val="0"/>
        <w:snapToGrid w:val="0"/>
        <w:spacing w:line="400" w:lineRule="exact"/>
        <w:jc w:val="left"/>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12. 合同价款支付</w:t>
      </w:r>
    </w:p>
    <w:p w14:paraId="6E330C2F">
      <w:pPr>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12.1 合同价款支付按照国库集中支付制度及财政管理相关规定执行。</w:t>
      </w:r>
    </w:p>
    <w:p w14:paraId="5EF691BC">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_GB2312" w:hAnsi="仿宋_GB2312" w:eastAsia="仿宋_GB2312" w:cs="仿宋_GB2312"/>
          <w:b/>
          <w:bCs/>
          <w:color w:val="auto"/>
          <w:szCs w:val="21"/>
          <w:highlight w:val="none"/>
        </w:rPr>
        <w:t>政府采购合同专用条款</w:t>
      </w:r>
      <w:r>
        <w:rPr>
          <w:rFonts w:hint="eastAsia" w:ascii="仿宋_GB2312" w:hAnsi="仿宋_GB2312" w:eastAsia="仿宋_GB2312" w:cs="仿宋_GB2312"/>
          <w:color w:val="auto"/>
          <w:szCs w:val="21"/>
          <w:highlight w:val="none"/>
        </w:rPr>
        <w:t>】中约定。</w:t>
      </w:r>
    </w:p>
    <w:p w14:paraId="68F94732">
      <w:pPr>
        <w:pStyle w:val="11"/>
        <w:spacing w:after="0" w:line="400" w:lineRule="exact"/>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13. 履约保证金</w:t>
      </w:r>
    </w:p>
    <w:p w14:paraId="58D78220">
      <w:pPr>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13.1 乙方应当以支票、汇票、本票或者金融机构、担保机构出具的保函等非现金形式提交。</w:t>
      </w:r>
    </w:p>
    <w:p w14:paraId="4EC66A57">
      <w:pPr>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13.2 如果乙方出现</w:t>
      </w:r>
      <w:r>
        <w:rPr>
          <w:rFonts w:hint="eastAsia" w:ascii="仿宋_GB2312" w:hAnsi="仿宋_GB2312" w:eastAsia="仿宋_GB2312" w:cs="仿宋_GB2312"/>
          <w:b/>
          <w:bCs/>
          <w:color w:val="auto"/>
          <w:szCs w:val="21"/>
          <w:highlight w:val="none"/>
        </w:rPr>
        <w:t>【政府采购合同专用条款】</w:t>
      </w:r>
      <w:r>
        <w:rPr>
          <w:rFonts w:hint="eastAsia" w:ascii="仿宋_GB2312" w:hAnsi="仿宋_GB2312" w:eastAsia="仿宋_GB2312" w:cs="仿宋_GB2312"/>
          <w:color w:val="auto"/>
          <w:szCs w:val="21"/>
          <w:highlight w:val="none"/>
        </w:rPr>
        <w:t>约定情形的，履约保证金不予退还；如果乙方未能按合同约定全面履行义务，甲方有权从履约保证金中取得补偿或赔偿，且不影响甲方要求乙方承担合同约定的超过履约保证金的违约责任的权利。</w:t>
      </w:r>
    </w:p>
    <w:p w14:paraId="2D100D09">
      <w:pPr>
        <w:spacing w:line="400" w:lineRule="exact"/>
        <w:ind w:firstLine="42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13.3 甲方在项目通过验收后按照</w:t>
      </w:r>
      <w:r>
        <w:rPr>
          <w:rFonts w:hint="eastAsia" w:ascii="仿宋_GB2312" w:hAnsi="仿宋_GB2312" w:eastAsia="仿宋_GB2312" w:cs="仿宋_GB2312"/>
          <w:b/>
          <w:color w:val="auto"/>
          <w:szCs w:val="21"/>
          <w:highlight w:val="none"/>
        </w:rPr>
        <w:t>【政府采购合同专用条款】</w:t>
      </w:r>
      <w:r>
        <w:rPr>
          <w:rFonts w:hint="eastAsia" w:ascii="仿宋_GB2312" w:hAnsi="仿宋_GB2312" w:eastAsia="仿宋_GB2312" w:cs="仿宋_GB2312"/>
          <w:color w:val="auto"/>
          <w:szCs w:val="21"/>
          <w:highlight w:val="none"/>
        </w:rPr>
        <w:t>规定的时间内将履约保证金退还乙方；逾期退还的，乙方可要求甲方支付违约金，违约金按照</w:t>
      </w:r>
      <w:r>
        <w:rPr>
          <w:rFonts w:hint="eastAsia" w:ascii="仿宋_GB2312" w:hAnsi="仿宋_GB2312" w:eastAsia="仿宋_GB2312" w:cs="仿宋_GB2312"/>
          <w:b/>
          <w:color w:val="auto"/>
          <w:szCs w:val="21"/>
          <w:highlight w:val="none"/>
        </w:rPr>
        <w:t>【政府采购合同专用条款】</w:t>
      </w:r>
      <w:r>
        <w:rPr>
          <w:rFonts w:hint="eastAsia" w:ascii="仿宋_GB2312" w:hAnsi="仿宋_GB2312" w:eastAsia="仿宋_GB2312" w:cs="仿宋_GB2312"/>
          <w:color w:val="auto"/>
          <w:szCs w:val="21"/>
          <w:highlight w:val="none"/>
        </w:rPr>
        <w:t>规定支付。</w:t>
      </w:r>
    </w:p>
    <w:p w14:paraId="1D4379B6">
      <w:pPr>
        <w:autoSpaceDE w:val="0"/>
        <w:autoSpaceDN w:val="0"/>
        <w:adjustRightInd w:val="0"/>
        <w:snapToGrid w:val="0"/>
        <w:spacing w:line="400" w:lineRule="exact"/>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b/>
          <w:bCs/>
          <w:color w:val="auto"/>
          <w:szCs w:val="21"/>
          <w:highlight w:val="none"/>
        </w:rPr>
        <w:t xml:space="preserve">14. </w:t>
      </w:r>
      <w:r>
        <w:rPr>
          <w:rFonts w:hint="eastAsia" w:ascii="仿宋_GB2312" w:hAnsi="仿宋_GB2312" w:eastAsia="仿宋_GB2312" w:cs="仿宋_GB2312"/>
          <w:b/>
          <w:color w:val="auto"/>
          <w:szCs w:val="21"/>
          <w:highlight w:val="none"/>
        </w:rPr>
        <w:t>售后服务</w:t>
      </w:r>
    </w:p>
    <w:p w14:paraId="78C14AF8">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14.1 除项目不涉及或采购活动中明确约定无须承担外，乙方还应提供下列服务：</w:t>
      </w:r>
    </w:p>
    <w:p w14:paraId="1D5F89B4">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（1）货物的现场移动、安装、调试、启动监督及技术支持；</w:t>
      </w:r>
    </w:p>
    <w:p w14:paraId="4AE8B21E">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（2）提供货物组装和维修所需的专用工具和辅助材料；</w:t>
      </w:r>
    </w:p>
    <w:p w14:paraId="4077909E">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（3）在</w:t>
      </w:r>
      <w:r>
        <w:rPr>
          <w:rFonts w:hint="eastAsia" w:ascii="仿宋_GB2312" w:hAnsi="仿宋_GB2312" w:eastAsia="仿宋_GB2312" w:cs="仿宋_GB2312"/>
          <w:b/>
          <w:bCs/>
          <w:color w:val="auto"/>
          <w:szCs w:val="21"/>
          <w:highlight w:val="none"/>
        </w:rPr>
        <w:t>【政府采购合同专用条款】</w:t>
      </w:r>
      <w:r>
        <w:rPr>
          <w:rFonts w:hint="eastAsia" w:ascii="仿宋_GB2312" w:hAnsi="仿宋_GB2312" w:eastAsia="仿宋_GB2312" w:cs="仿宋_GB2312"/>
          <w:color w:val="auto"/>
          <w:szCs w:val="21"/>
          <w:highlight w:val="none"/>
        </w:rPr>
        <w:t>约定的期限内对所有的货物实施运行监督、维修，但前提条件是该服务并不能免除乙方在质量保证期内所承担的义务；</w:t>
      </w:r>
    </w:p>
    <w:p w14:paraId="0800D09B">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（4）在制造商所在地或指定现场就货物的安装、启动、运营、维护、废弃处置等对甲方操作人员进行培训；</w:t>
      </w:r>
    </w:p>
    <w:p w14:paraId="59E303D6">
      <w:pPr>
        <w:pStyle w:val="67"/>
        <w:ind w:firstLine="420"/>
        <w:rPr>
          <w:rFonts w:ascii="仿宋_GB2312" w:hAnsi="仿宋_GB2312" w:eastAsia="仿宋_GB2312" w:cs="仿宋_GB2312"/>
          <w:color w:val="auto"/>
          <w:sz w:val="21"/>
          <w:highlight w:val="none"/>
        </w:rPr>
      </w:pPr>
      <w:r>
        <w:rPr>
          <w:rFonts w:hint="eastAsia" w:ascii="仿宋_GB2312" w:hAnsi="仿宋_GB2312" w:eastAsia="仿宋_GB2312" w:cs="仿宋_GB2312"/>
          <w:color w:val="auto"/>
          <w:sz w:val="21"/>
          <w:highlight w:val="none"/>
        </w:rPr>
        <w:t>（5）依照法律、行政法规的规定或者按照</w:t>
      </w:r>
      <w:r>
        <w:rPr>
          <w:rFonts w:hint="eastAsia" w:ascii="仿宋_GB2312" w:hAnsi="仿宋_GB2312" w:eastAsia="仿宋_GB2312" w:cs="仿宋_GB2312"/>
          <w:b/>
          <w:bCs/>
          <w:color w:val="auto"/>
          <w:sz w:val="21"/>
          <w:highlight w:val="none"/>
        </w:rPr>
        <w:t>【政府采购合同专用条款】</w:t>
      </w:r>
      <w:r>
        <w:rPr>
          <w:rFonts w:hint="eastAsia" w:ascii="仿宋_GB2312" w:hAnsi="仿宋_GB2312" w:eastAsia="仿宋_GB2312" w:cs="仿宋_GB2312"/>
          <w:color w:val="auto"/>
          <w:sz w:val="21"/>
          <w:highlight w:val="none"/>
        </w:rPr>
        <w:t>约定，货物在有效使用年限届满后应予回收的，乙方负有自行或者委托第三人对货物予以回收的义务；</w:t>
      </w:r>
    </w:p>
    <w:p w14:paraId="28049BB1">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w:t>
      </w:r>
      <w:r>
        <w:rPr>
          <w:rFonts w:hint="eastAsia" w:ascii="仿宋_GB2312" w:hAnsi="仿宋_GB2312" w:eastAsia="仿宋_GB2312" w:cs="仿宋_GB2312"/>
          <w:b/>
          <w:color w:val="auto"/>
          <w:szCs w:val="21"/>
          <w:highlight w:val="none"/>
        </w:rPr>
        <w:t>【政府采购合同专用条款】</w:t>
      </w:r>
      <w:r>
        <w:rPr>
          <w:rFonts w:hint="eastAsia" w:ascii="仿宋_GB2312" w:hAnsi="仿宋_GB2312" w:eastAsia="仿宋_GB2312" w:cs="仿宋_GB2312"/>
          <w:color w:val="auto"/>
          <w:szCs w:val="21"/>
          <w:highlight w:val="none"/>
        </w:rPr>
        <w:t>规定由乙方提供的其他服务。</w:t>
      </w:r>
    </w:p>
    <w:p w14:paraId="7FB00655">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14.2 乙方提供的售后服务的费用已包含在合同价款中，甲方不再另行支付。</w:t>
      </w:r>
    </w:p>
    <w:p w14:paraId="608E16B0">
      <w:pPr>
        <w:adjustRightInd w:val="0"/>
        <w:snapToGrid w:val="0"/>
        <w:spacing w:line="400" w:lineRule="exact"/>
        <w:jc w:val="left"/>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15. 违约责任</w:t>
      </w:r>
    </w:p>
    <w:p w14:paraId="5C5DFC5B">
      <w:pPr>
        <w:adjustRightInd w:val="0"/>
        <w:snapToGrid w:val="0"/>
        <w:spacing w:line="400" w:lineRule="exact"/>
        <w:ind w:firstLine="420" w:firstLineChars="200"/>
        <w:jc w:val="left"/>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15.1质量瑕疵的违约责任</w:t>
      </w:r>
    </w:p>
    <w:p w14:paraId="3A7E3F9D">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乙方提供的产品不符合合同约定的质量标准或存在产品质量缺陷，甲方有权要求乙方根据</w:t>
      </w:r>
      <w:r>
        <w:rPr>
          <w:rFonts w:hint="eastAsia" w:ascii="仿宋_GB2312" w:hAnsi="仿宋_GB2312" w:eastAsia="仿宋_GB2312" w:cs="仿宋_GB2312"/>
          <w:b/>
          <w:color w:val="auto"/>
          <w:szCs w:val="21"/>
          <w:highlight w:val="none"/>
        </w:rPr>
        <w:t>【政府采购合同专用条款】</w:t>
      </w:r>
      <w:r>
        <w:rPr>
          <w:rFonts w:hint="eastAsia" w:ascii="仿宋_GB2312" w:hAnsi="仿宋_GB2312" w:eastAsia="仿宋_GB2312" w:cs="仿宋_GB2312"/>
          <w:bCs/>
          <w:color w:val="auto"/>
          <w:szCs w:val="21"/>
          <w:highlight w:val="none"/>
        </w:rPr>
        <w:t>要求</w:t>
      </w:r>
      <w:r>
        <w:rPr>
          <w:rFonts w:hint="eastAsia" w:ascii="仿宋_GB2312" w:hAnsi="仿宋_GB2312" w:eastAsia="仿宋_GB2312" w:cs="仿宋_GB2312"/>
          <w:color w:val="auto"/>
          <w:szCs w:val="21"/>
          <w:highlight w:val="none"/>
        </w:rPr>
        <w:t>及时修理、重作、更换，并承担由此给甲方造成的损失。</w:t>
      </w:r>
    </w:p>
    <w:p w14:paraId="4EFFD491">
      <w:pPr>
        <w:autoSpaceDE w:val="0"/>
        <w:autoSpaceDN w:val="0"/>
        <w:adjustRightInd w:val="0"/>
        <w:snapToGrid w:val="0"/>
        <w:spacing w:line="400" w:lineRule="exact"/>
        <w:ind w:firstLine="420" w:firstLineChars="200"/>
        <w:jc w:val="left"/>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15.2 迟延交货的违约责任</w:t>
      </w:r>
    </w:p>
    <w:p w14:paraId="0C87033F">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22EDB5B4">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（2）如果乙方没有按照合同规定的时间交货和提供相关服务，甲方有权从货款中扣除误期赔偿费而不影响合同项下的其他补救方法，赔偿费按</w:t>
      </w:r>
      <w:r>
        <w:rPr>
          <w:rFonts w:hint="eastAsia" w:ascii="仿宋_GB2312" w:hAnsi="仿宋_GB2312" w:eastAsia="仿宋_GB2312" w:cs="仿宋_GB2312"/>
          <w:b/>
          <w:color w:val="auto"/>
          <w:szCs w:val="21"/>
          <w:highlight w:val="none"/>
        </w:rPr>
        <w:t>【政府采购合同专用条款】</w:t>
      </w:r>
      <w:r>
        <w:rPr>
          <w:rFonts w:hint="eastAsia" w:ascii="仿宋_GB2312" w:hAnsi="仿宋_GB2312" w:eastAsia="仿宋_GB2312" w:cs="仿宋_GB2312"/>
          <w:color w:val="auto"/>
          <w:szCs w:val="21"/>
          <w:highlight w:val="none"/>
        </w:rPr>
        <w:t>规定执行。如果涉及公共利益，且赔偿金额无法弥补公共利益损失，甲方可要求继续履行或者采取其他补救措施。</w:t>
      </w:r>
    </w:p>
    <w:p w14:paraId="1065DB5B">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15.3 迟延支付的违约责任</w:t>
      </w:r>
    </w:p>
    <w:p w14:paraId="0AE523B8">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甲方存在迟延支付乙方合同款项的，应当承担</w:t>
      </w:r>
      <w:r>
        <w:rPr>
          <w:rFonts w:hint="eastAsia" w:ascii="仿宋_GB2312" w:hAnsi="仿宋_GB2312" w:eastAsia="仿宋_GB2312" w:cs="仿宋_GB2312"/>
          <w:b/>
          <w:bCs/>
          <w:color w:val="auto"/>
          <w:szCs w:val="21"/>
          <w:highlight w:val="none"/>
        </w:rPr>
        <w:t>【政府采购合同专用条款】</w:t>
      </w:r>
      <w:r>
        <w:rPr>
          <w:rFonts w:hint="eastAsia" w:ascii="仿宋_GB2312" w:hAnsi="仿宋_GB2312" w:eastAsia="仿宋_GB2312" w:cs="仿宋_GB2312"/>
          <w:color w:val="auto"/>
          <w:szCs w:val="21"/>
          <w:highlight w:val="none"/>
        </w:rPr>
        <w:t>规定的逾期付款利息。</w:t>
      </w:r>
    </w:p>
    <w:p w14:paraId="376F5495">
      <w:pPr>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bCs/>
          <w:color w:val="auto"/>
          <w:szCs w:val="21"/>
          <w:highlight w:val="none"/>
        </w:rPr>
        <w:t>15.4其他违约责任根据项目实际需要按</w:t>
      </w:r>
      <w:r>
        <w:rPr>
          <w:rFonts w:hint="eastAsia" w:ascii="仿宋_GB2312" w:hAnsi="仿宋_GB2312" w:eastAsia="仿宋_GB2312" w:cs="仿宋_GB2312"/>
          <w:b/>
          <w:bCs/>
          <w:color w:val="auto"/>
          <w:szCs w:val="21"/>
          <w:highlight w:val="none"/>
        </w:rPr>
        <w:t>【政府采购合同专用条款】</w:t>
      </w:r>
      <w:r>
        <w:rPr>
          <w:rFonts w:hint="eastAsia" w:ascii="仿宋_GB2312" w:hAnsi="仿宋_GB2312" w:eastAsia="仿宋_GB2312" w:cs="仿宋_GB2312"/>
          <w:color w:val="auto"/>
          <w:szCs w:val="21"/>
          <w:highlight w:val="none"/>
        </w:rPr>
        <w:t>规定执行。</w:t>
      </w:r>
    </w:p>
    <w:p w14:paraId="58FE89BB">
      <w:pPr>
        <w:numPr>
          <w:ilvl w:val="0"/>
          <w:numId w:val="16"/>
        </w:numPr>
        <w:autoSpaceDE w:val="0"/>
        <w:autoSpaceDN w:val="0"/>
        <w:adjustRightInd w:val="0"/>
        <w:snapToGrid w:val="0"/>
        <w:spacing w:line="400" w:lineRule="exact"/>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合同变更、中止与终止</w:t>
      </w:r>
    </w:p>
    <w:p w14:paraId="705DF1F4">
      <w:pPr>
        <w:adjustRightInd w:val="0"/>
        <w:snapToGrid w:val="0"/>
        <w:spacing w:line="400" w:lineRule="exact"/>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16.1合同的变更</w:t>
      </w:r>
    </w:p>
    <w:p w14:paraId="438A82E7">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政府采购合同履行中，在不改变合同其他条款的前提下，甲方可以在合同价款10%的范围内追加与合同标的相同的货物，并就此与乙方协商一致后签订补充协议。</w:t>
      </w:r>
    </w:p>
    <w:p w14:paraId="7DCDEE89">
      <w:pPr>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16.2合同的中止</w:t>
      </w:r>
    </w:p>
    <w:p w14:paraId="341F562F">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（1）合同履行过程中因供应商就采购文件、采购过程或结果提起投诉的，甲方认为有必要的，可以中止合同的履行。</w:t>
      </w:r>
    </w:p>
    <w:p w14:paraId="00E68E7A">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7E15B44E">
      <w:pPr>
        <w:pStyle w:val="67"/>
        <w:ind w:firstLine="420"/>
        <w:jc w:val="both"/>
        <w:rPr>
          <w:rFonts w:ascii="仿宋_GB2312" w:hAnsi="仿宋_GB2312" w:eastAsia="仿宋_GB2312" w:cs="仿宋_GB2312"/>
          <w:color w:val="auto"/>
          <w:sz w:val="21"/>
          <w:highlight w:val="none"/>
        </w:rPr>
      </w:pPr>
      <w:r>
        <w:rPr>
          <w:rFonts w:hint="eastAsia" w:ascii="仿宋_GB2312" w:hAnsi="仿宋_GB2312" w:eastAsia="仿宋_GB2312" w:cs="仿宋_GB2312"/>
          <w:color w:val="auto"/>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1919B8CD">
      <w:pPr>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（4）甲方不得以行政区划调整、政府换届、机构或者职能调整以及相关责任人更替为由中止合同。</w:t>
      </w:r>
    </w:p>
    <w:p w14:paraId="7698E8CD">
      <w:pPr>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16.3合同的终止</w:t>
      </w:r>
    </w:p>
    <w:p w14:paraId="521BA5C6">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（1）合同因有效期限届满而终止；</w:t>
      </w:r>
    </w:p>
    <w:p w14:paraId="3544D0FE">
      <w:pPr>
        <w:snapToGrid w:val="0"/>
        <w:spacing w:line="400" w:lineRule="exact"/>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（2）乙方未按合同约定履行，构成根本性违约的，甲方有权终止合同，并追究乙方的违约责任。</w:t>
      </w:r>
    </w:p>
    <w:p w14:paraId="10C6940F">
      <w:pPr>
        <w:pStyle w:val="67"/>
        <w:ind w:firstLine="420"/>
        <w:rPr>
          <w:rFonts w:ascii="仿宋_GB2312" w:hAnsi="仿宋_GB2312" w:eastAsia="仿宋_GB2312" w:cs="仿宋_GB2312"/>
          <w:color w:val="auto"/>
          <w:sz w:val="21"/>
          <w:highlight w:val="none"/>
        </w:rPr>
      </w:pPr>
      <w:r>
        <w:rPr>
          <w:rFonts w:hint="eastAsia" w:ascii="仿宋_GB2312" w:hAnsi="仿宋_GB2312" w:eastAsia="仿宋_GB2312" w:cs="仿宋_GB2312"/>
          <w:color w:val="auto"/>
          <w:sz w:val="21"/>
          <w:highlight w:val="none"/>
        </w:rPr>
        <w:t xml:space="preserve">16.4 </w:t>
      </w:r>
      <w:r>
        <w:rPr>
          <w:rFonts w:hint="eastAsia" w:ascii="仿宋_GB2312" w:hAnsi="仿宋_GB2312" w:eastAsia="仿宋_GB2312" w:cs="仿宋_GB2312"/>
          <w:color w:val="auto"/>
          <w:kern w:val="2"/>
          <w:sz w:val="21"/>
          <w:highlight w:val="none"/>
        </w:rPr>
        <w:t>涉及国家利益、社会公共利益的情形</w:t>
      </w:r>
    </w:p>
    <w:p w14:paraId="729371A3">
      <w:pPr>
        <w:pStyle w:val="67"/>
        <w:ind w:firstLine="420"/>
        <w:jc w:val="both"/>
        <w:rPr>
          <w:rFonts w:ascii="仿宋_GB2312" w:hAnsi="仿宋_GB2312" w:eastAsia="仿宋_GB2312" w:cs="仿宋_GB2312"/>
          <w:color w:val="auto"/>
          <w:sz w:val="21"/>
          <w:highlight w:val="none"/>
        </w:rPr>
      </w:pPr>
      <w:r>
        <w:rPr>
          <w:rFonts w:hint="eastAsia" w:ascii="仿宋_GB2312" w:hAnsi="仿宋_GB2312" w:eastAsia="仿宋_GB2312" w:cs="仿宋_GB2312"/>
          <w:color w:val="auto"/>
          <w:sz w:val="21"/>
          <w:highlight w:val="none"/>
        </w:rPr>
        <w:t>政府采购合同继续履行将损害国家利益和社会公共利益的，双方当事人应当变更、中止或者终止合同。有过错的一方应当承担赔偿责任，双方都有过错的，各自承担相应的责任。</w:t>
      </w:r>
    </w:p>
    <w:p w14:paraId="416D924A">
      <w:pPr>
        <w:autoSpaceDE w:val="0"/>
        <w:autoSpaceDN w:val="0"/>
        <w:adjustRightInd w:val="0"/>
        <w:snapToGrid w:val="0"/>
        <w:spacing w:line="400" w:lineRule="exact"/>
        <w:jc w:val="left"/>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17. 合同分包</w:t>
      </w:r>
    </w:p>
    <w:p w14:paraId="3186CB82">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17.1 乙方不得将合同转包给其他供应商。涉及合同分包的，乙方应根据采购文件和投标（响应）文件规定进行合同分包。</w:t>
      </w:r>
    </w:p>
    <w:p w14:paraId="45C5409B">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17.2 乙方执行政府采购政策向中小企业依法分包的，乙方应当按采购文件和投标（响应）文件签订分包意向协议，分包意向协议属于本合同组成部分。</w:t>
      </w:r>
    </w:p>
    <w:p w14:paraId="4DC32B6A">
      <w:pPr>
        <w:autoSpaceDE w:val="0"/>
        <w:autoSpaceDN w:val="0"/>
        <w:adjustRightInd w:val="0"/>
        <w:snapToGrid w:val="0"/>
        <w:spacing w:line="400" w:lineRule="exact"/>
        <w:jc w:val="left"/>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18. 不可抗力</w:t>
      </w:r>
    </w:p>
    <w:p w14:paraId="66DFC7C6">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18.1 不可抗力是指合同双方不能预见、不能避免且不能克服的客观情况。</w:t>
      </w:r>
    </w:p>
    <w:p w14:paraId="570A4476">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18.2 任何一方对由于不可抗力造成的部分或全部不能履行合同不承担违约责任。但迟延履行后发生不可抗力的，不能免除责任。</w:t>
      </w:r>
    </w:p>
    <w:p w14:paraId="2B01FC5C">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6B39917F">
      <w:pPr>
        <w:autoSpaceDE w:val="0"/>
        <w:autoSpaceDN w:val="0"/>
        <w:adjustRightInd w:val="0"/>
        <w:snapToGrid w:val="0"/>
        <w:spacing w:line="400" w:lineRule="exact"/>
        <w:jc w:val="left"/>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19. 解决争议的方法</w:t>
      </w:r>
    </w:p>
    <w:p w14:paraId="243BE531">
      <w:pPr>
        <w:pStyle w:val="67"/>
        <w:ind w:firstLine="420"/>
        <w:jc w:val="both"/>
        <w:rPr>
          <w:rFonts w:ascii="仿宋_GB2312" w:hAnsi="仿宋_GB2312" w:eastAsia="仿宋_GB2312" w:cs="仿宋_GB2312"/>
          <w:color w:val="auto"/>
          <w:sz w:val="21"/>
          <w:highlight w:val="none"/>
        </w:rPr>
      </w:pPr>
      <w:r>
        <w:rPr>
          <w:rFonts w:hint="eastAsia" w:ascii="仿宋_GB2312" w:hAnsi="仿宋_GB2312" w:eastAsia="仿宋_GB2312" w:cs="仿宋_GB2312"/>
          <w:color w:val="auto"/>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3D31E817">
      <w:pPr>
        <w:pStyle w:val="67"/>
        <w:ind w:firstLine="420"/>
        <w:jc w:val="both"/>
        <w:rPr>
          <w:rFonts w:ascii="仿宋_GB2312" w:hAnsi="仿宋_GB2312" w:eastAsia="仿宋_GB2312" w:cs="仿宋_GB2312"/>
          <w:color w:val="auto"/>
          <w:sz w:val="21"/>
          <w:highlight w:val="none"/>
        </w:rPr>
      </w:pPr>
      <w:r>
        <w:rPr>
          <w:rFonts w:hint="eastAsia" w:ascii="仿宋_GB2312" w:hAnsi="仿宋_GB2312" w:eastAsia="仿宋_GB2312" w:cs="仿宋_GB2312"/>
          <w:color w:val="auto"/>
          <w:sz w:val="21"/>
          <w:highlight w:val="none"/>
        </w:rPr>
        <w:t>19.2 选择仲裁的，应在</w:t>
      </w:r>
      <w:r>
        <w:rPr>
          <w:rFonts w:hint="eastAsia" w:ascii="仿宋_GB2312" w:hAnsi="仿宋_GB2312" w:eastAsia="仿宋_GB2312" w:cs="仿宋_GB2312"/>
          <w:b/>
          <w:bCs/>
          <w:color w:val="auto"/>
          <w:sz w:val="21"/>
          <w:highlight w:val="none"/>
        </w:rPr>
        <w:t>【政府采购合同专用条款】</w:t>
      </w:r>
      <w:r>
        <w:rPr>
          <w:rFonts w:hint="eastAsia" w:ascii="仿宋_GB2312" w:hAnsi="仿宋_GB2312" w:eastAsia="仿宋_GB2312" w:cs="仿宋_GB2312"/>
          <w:color w:val="auto"/>
          <w:sz w:val="21"/>
          <w:highlight w:val="none"/>
        </w:rPr>
        <w:t>中明确仲裁机构及仲裁地；通过诉讼方式解决的，可以在</w:t>
      </w:r>
      <w:r>
        <w:rPr>
          <w:rFonts w:hint="eastAsia" w:ascii="仿宋_GB2312" w:hAnsi="仿宋_GB2312" w:eastAsia="仿宋_GB2312" w:cs="仿宋_GB2312"/>
          <w:b/>
          <w:bCs/>
          <w:color w:val="auto"/>
          <w:sz w:val="21"/>
          <w:highlight w:val="none"/>
        </w:rPr>
        <w:t>【政府采购合同专用条款】</w:t>
      </w:r>
      <w:r>
        <w:rPr>
          <w:rFonts w:hint="eastAsia" w:ascii="仿宋_GB2312" w:hAnsi="仿宋_GB2312" w:eastAsia="仿宋_GB2312" w:cs="仿宋_GB2312"/>
          <w:color w:val="auto"/>
          <w:sz w:val="21"/>
          <w:highlight w:val="none"/>
        </w:rPr>
        <w:t>中进一步约定选择与争议有实际联系的地点的人民法院管辖，但管辖法院的约定不得违反级别管辖和专属管辖的规定。</w:t>
      </w:r>
    </w:p>
    <w:p w14:paraId="63F16987">
      <w:pPr>
        <w:pStyle w:val="67"/>
        <w:ind w:firstLine="420"/>
        <w:jc w:val="both"/>
        <w:rPr>
          <w:rFonts w:ascii="仿宋_GB2312" w:hAnsi="仿宋_GB2312" w:eastAsia="仿宋_GB2312" w:cs="仿宋_GB2312"/>
          <w:color w:val="auto"/>
          <w:sz w:val="21"/>
          <w:highlight w:val="none"/>
        </w:rPr>
      </w:pPr>
      <w:r>
        <w:rPr>
          <w:rFonts w:hint="eastAsia" w:ascii="仿宋_GB2312" w:hAnsi="仿宋_GB2312" w:eastAsia="仿宋_GB2312" w:cs="仿宋_GB2312"/>
          <w:color w:val="auto"/>
          <w:sz w:val="21"/>
          <w:highlight w:val="none"/>
        </w:rPr>
        <w:t>19.3 如甲乙双方有争议的事项不影响合同其他部分的履行，在争议解决期间，合同其他部分应当继续履行。</w:t>
      </w:r>
    </w:p>
    <w:p w14:paraId="56417D2F">
      <w:pPr>
        <w:autoSpaceDE w:val="0"/>
        <w:autoSpaceDN w:val="0"/>
        <w:adjustRightInd w:val="0"/>
        <w:snapToGrid w:val="0"/>
        <w:spacing w:line="400" w:lineRule="exact"/>
        <w:jc w:val="left"/>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rPr>
        <w:t>20. 政府采购政策</w:t>
      </w:r>
    </w:p>
    <w:p w14:paraId="144E9418">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20.1 </w:t>
      </w:r>
      <w:r>
        <w:rPr>
          <w:rFonts w:hint="eastAsia" w:ascii="仿宋_GB2312" w:hAnsi="仿宋_GB2312" w:eastAsia="仿宋_GB2312" w:cs="仿宋_GB2312"/>
          <w:color w:val="auto"/>
          <w:szCs w:val="21"/>
          <w:highlight w:val="none"/>
          <w:lang w:val="en-GB"/>
        </w:rPr>
        <w:t>本合同应当按照规定执行政府采购政策。</w:t>
      </w:r>
    </w:p>
    <w:p w14:paraId="71506289">
      <w:pPr>
        <w:autoSpaceDE w:val="0"/>
        <w:autoSpaceDN w:val="0"/>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20.2 本合同依法执行政府采购政策的方式和内容，属于合同履约验收的范围。甲乙双方</w:t>
      </w:r>
      <w:r>
        <w:rPr>
          <w:rFonts w:hint="eastAsia" w:ascii="仿宋_GB2312" w:hAnsi="仿宋_GB2312" w:eastAsia="仿宋_GB2312" w:cs="仿宋_GB2312"/>
          <w:color w:val="auto"/>
          <w:szCs w:val="21"/>
          <w:highlight w:val="none"/>
          <w:lang w:val="en-GB"/>
        </w:rPr>
        <w:t>未按规定要求执行政府采购政策造成损失的</w:t>
      </w:r>
      <w:r>
        <w:rPr>
          <w:rFonts w:hint="eastAsia" w:ascii="仿宋_GB2312" w:hAnsi="仿宋_GB2312" w:eastAsia="仿宋_GB2312" w:cs="仿宋_GB2312"/>
          <w:color w:val="auto"/>
          <w:szCs w:val="21"/>
          <w:highlight w:val="none"/>
        </w:rPr>
        <w:t>，有过错的一方应当承担赔偿责任，双方都有过错的，各自承担相应的责任。</w:t>
      </w:r>
    </w:p>
    <w:p w14:paraId="10652FA7">
      <w:pPr>
        <w:pStyle w:val="11"/>
        <w:spacing w:after="0" w:line="400" w:lineRule="exact"/>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21DC1B88">
      <w:pPr>
        <w:autoSpaceDE w:val="0"/>
        <w:autoSpaceDN w:val="0"/>
        <w:adjustRightInd w:val="0"/>
        <w:snapToGrid w:val="0"/>
        <w:spacing w:line="400" w:lineRule="exact"/>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21. 法律适用</w:t>
      </w:r>
    </w:p>
    <w:p w14:paraId="67D70D0A">
      <w:pPr>
        <w:pStyle w:val="67"/>
        <w:ind w:firstLine="420"/>
        <w:jc w:val="both"/>
        <w:rPr>
          <w:rFonts w:ascii="仿宋_GB2312" w:hAnsi="仿宋_GB2312" w:eastAsia="仿宋_GB2312" w:cs="仿宋_GB2312"/>
          <w:color w:val="auto"/>
          <w:sz w:val="21"/>
          <w:highlight w:val="none"/>
        </w:rPr>
      </w:pPr>
      <w:r>
        <w:rPr>
          <w:rFonts w:hint="eastAsia" w:ascii="仿宋_GB2312" w:hAnsi="仿宋_GB2312" w:eastAsia="仿宋_GB2312" w:cs="仿宋_GB2312"/>
          <w:color w:val="auto"/>
          <w:sz w:val="21"/>
          <w:highlight w:val="none"/>
        </w:rPr>
        <w:t>21.1 本合同的订立、生效、解释、履行及与本合同有关的争议解决，均适用法律、行政法规。</w:t>
      </w:r>
    </w:p>
    <w:p w14:paraId="2241ED9A">
      <w:pPr>
        <w:pStyle w:val="67"/>
        <w:ind w:firstLine="420"/>
        <w:jc w:val="both"/>
        <w:rPr>
          <w:rFonts w:ascii="仿宋_GB2312" w:hAnsi="仿宋_GB2312" w:eastAsia="仿宋_GB2312" w:cs="仿宋_GB2312"/>
          <w:color w:val="auto"/>
          <w:sz w:val="21"/>
          <w:highlight w:val="none"/>
        </w:rPr>
      </w:pPr>
      <w:r>
        <w:rPr>
          <w:rFonts w:hint="eastAsia" w:ascii="仿宋_GB2312" w:hAnsi="仿宋_GB2312" w:eastAsia="仿宋_GB2312" w:cs="仿宋_GB2312"/>
          <w:color w:val="auto"/>
          <w:sz w:val="21"/>
          <w:highlight w:val="none"/>
        </w:rPr>
        <w:t>21.2 本合同条款与法律、行政法规的强制性规定不一致的，双方当事人应按照法律、行政法规的强制性规定修改本合同的相关条款。</w:t>
      </w:r>
    </w:p>
    <w:p w14:paraId="6AC24E98">
      <w:pPr>
        <w:numPr>
          <w:ilvl w:val="255"/>
          <w:numId w:val="0"/>
        </w:numPr>
        <w:autoSpaceDE w:val="0"/>
        <w:autoSpaceDN w:val="0"/>
        <w:adjustRightInd w:val="0"/>
        <w:snapToGrid w:val="0"/>
        <w:spacing w:line="400" w:lineRule="exact"/>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22. 通知</w:t>
      </w:r>
    </w:p>
    <w:p w14:paraId="798A6377">
      <w:pPr>
        <w:pStyle w:val="67"/>
        <w:ind w:firstLine="420"/>
        <w:jc w:val="both"/>
        <w:rPr>
          <w:rFonts w:ascii="仿宋_GB2312" w:hAnsi="仿宋_GB2312" w:eastAsia="仿宋_GB2312" w:cs="仿宋_GB2312"/>
          <w:color w:val="auto"/>
          <w:sz w:val="21"/>
          <w:highlight w:val="none"/>
        </w:rPr>
      </w:pPr>
      <w:r>
        <w:rPr>
          <w:rFonts w:hint="eastAsia" w:ascii="仿宋_GB2312" w:hAnsi="仿宋_GB2312" w:eastAsia="仿宋_GB2312" w:cs="仿宋_GB2312"/>
          <w:color w:val="auto"/>
          <w:sz w:val="21"/>
          <w:highlight w:val="none"/>
        </w:rPr>
        <w:t>22.1 本合同任何一方向对方发出的通知、信件、数据电文等，应当发送至本合同第一部分《政府采购合同协议书》所约定的通讯地址、联系人、联系电话或电子邮箱。</w:t>
      </w:r>
    </w:p>
    <w:p w14:paraId="0358057C">
      <w:pPr>
        <w:pStyle w:val="67"/>
        <w:ind w:firstLine="0" w:firstLineChars="0"/>
        <w:jc w:val="both"/>
        <w:rPr>
          <w:rFonts w:ascii="仿宋_GB2312" w:hAnsi="仿宋_GB2312" w:eastAsia="仿宋_GB2312" w:cs="仿宋_GB2312"/>
          <w:color w:val="auto"/>
          <w:sz w:val="21"/>
          <w:highlight w:val="none"/>
        </w:rPr>
      </w:pPr>
      <w:r>
        <w:rPr>
          <w:rFonts w:hint="eastAsia" w:ascii="仿宋_GB2312" w:hAnsi="仿宋_GB2312" w:eastAsia="仿宋_GB2312" w:cs="仿宋_GB2312"/>
          <w:color w:val="auto"/>
          <w:sz w:val="21"/>
          <w:highlight w:val="none"/>
        </w:rPr>
        <w:t xml:space="preserve">    22.2 一方当事人变更名称、住所、联系人、联系电话或电子邮箱等信息的，应当在变更后3日内及时书面通知对方，对方实际收到变更通知前的送达仍为有效送达。</w:t>
      </w:r>
    </w:p>
    <w:p w14:paraId="6E151C70">
      <w:pPr>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22.3本合同一方给另一方的通知均应采用书面形式，传真或快递送到本合同中规定的对方的地址和办理签收手续。</w:t>
      </w:r>
    </w:p>
    <w:p w14:paraId="07C73C54">
      <w:pPr>
        <w:adjustRightInd w:val="0"/>
        <w:snapToGrid w:val="0"/>
        <w:spacing w:line="400" w:lineRule="exact"/>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22.4通知以送达之日或通知书中规定的生效之日起生效，两者中以较迟之日为准。</w:t>
      </w:r>
    </w:p>
    <w:p w14:paraId="33C69FAD">
      <w:pPr>
        <w:numPr>
          <w:ilvl w:val="0"/>
          <w:numId w:val="17"/>
        </w:numPr>
        <w:adjustRightInd w:val="0"/>
        <w:snapToGrid w:val="0"/>
        <w:spacing w:line="400" w:lineRule="exact"/>
        <w:jc w:val="left"/>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合同未尽事项</w:t>
      </w:r>
    </w:p>
    <w:p w14:paraId="1A3664DB">
      <w:pPr>
        <w:adjustRightInd w:val="0"/>
        <w:snapToGrid w:val="0"/>
        <w:spacing w:line="400" w:lineRule="exact"/>
        <w:ind w:firstLine="420" w:firstLineChars="200"/>
        <w:jc w:val="left"/>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23.1合同未尽事项见</w:t>
      </w:r>
      <w:r>
        <w:rPr>
          <w:rFonts w:hint="eastAsia" w:ascii="仿宋_GB2312" w:hAnsi="仿宋_GB2312" w:eastAsia="仿宋_GB2312" w:cs="仿宋_GB2312"/>
          <w:b/>
          <w:color w:val="auto"/>
          <w:szCs w:val="21"/>
          <w:highlight w:val="none"/>
        </w:rPr>
        <w:t>【政府采购合同专用条款】</w:t>
      </w:r>
      <w:r>
        <w:rPr>
          <w:rFonts w:hint="eastAsia" w:ascii="仿宋_GB2312" w:hAnsi="仿宋_GB2312" w:eastAsia="仿宋_GB2312" w:cs="仿宋_GB2312"/>
          <w:bCs/>
          <w:color w:val="auto"/>
          <w:szCs w:val="21"/>
          <w:highlight w:val="none"/>
        </w:rPr>
        <w:t>。</w:t>
      </w:r>
    </w:p>
    <w:p w14:paraId="04E70870">
      <w:pPr>
        <w:adjustRightInd w:val="0"/>
        <w:snapToGrid w:val="0"/>
        <w:spacing w:line="400" w:lineRule="exact"/>
        <w:jc w:val="left"/>
        <w:rPr>
          <w:rFonts w:ascii="仿宋_GB2312" w:hAnsi="仿宋_GB2312" w:eastAsia="仿宋_GB2312" w:cs="仿宋_GB2312"/>
          <w:color w:val="auto"/>
          <w:szCs w:val="21"/>
          <w:highlight w:val="none"/>
        </w:rPr>
      </w:pPr>
      <w:r>
        <w:rPr>
          <w:rFonts w:hint="eastAsia" w:ascii="仿宋_GB2312" w:hAnsi="仿宋_GB2312" w:eastAsia="仿宋_GB2312" w:cs="仿宋_GB2312"/>
          <w:bCs/>
          <w:color w:val="auto"/>
          <w:szCs w:val="21"/>
          <w:highlight w:val="none"/>
        </w:rPr>
        <w:t xml:space="preserve">    23.2 合同附件与合同正文具有同等的法律效力。</w:t>
      </w:r>
      <w:bookmarkStart w:id="134" w:name="_Toc20313"/>
    </w:p>
    <w:p w14:paraId="1F9E726F">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br w:type="page"/>
      </w:r>
    </w:p>
    <w:p w14:paraId="371A929A">
      <w:pPr>
        <w:pStyle w:val="3"/>
        <w:adjustRightInd w:val="0"/>
        <w:snapToGrid w:val="0"/>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第三节 政府采购合同专用条款</w:t>
      </w:r>
      <w:bookmarkEnd w:id="134"/>
    </w:p>
    <w:tbl>
      <w:tblPr>
        <w:tblStyle w:val="22"/>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6B0AB9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BA3EFF6">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第二节</w:t>
            </w:r>
          </w:p>
          <w:p w14:paraId="3679C6FC">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第1.2（6）项</w:t>
            </w:r>
          </w:p>
        </w:tc>
        <w:tc>
          <w:tcPr>
            <w:tcW w:w="1742" w:type="dxa"/>
            <w:vAlign w:val="center"/>
          </w:tcPr>
          <w:p w14:paraId="1BE38F83">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联合体具体要求</w:t>
            </w:r>
          </w:p>
        </w:tc>
        <w:tc>
          <w:tcPr>
            <w:tcW w:w="5170" w:type="dxa"/>
            <w:vAlign w:val="center"/>
          </w:tcPr>
          <w:p w14:paraId="2488D0A6">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无</w:t>
            </w:r>
          </w:p>
        </w:tc>
      </w:tr>
      <w:tr w14:paraId="721E68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1D5BD0EB">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第二节</w:t>
            </w:r>
          </w:p>
          <w:p w14:paraId="74C05CF6">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第1.2（7）项</w:t>
            </w:r>
          </w:p>
        </w:tc>
        <w:tc>
          <w:tcPr>
            <w:tcW w:w="1742" w:type="dxa"/>
            <w:vAlign w:val="center"/>
          </w:tcPr>
          <w:p w14:paraId="545D7AB8">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其他术语解释</w:t>
            </w:r>
          </w:p>
        </w:tc>
        <w:tc>
          <w:tcPr>
            <w:tcW w:w="5170" w:type="dxa"/>
            <w:vAlign w:val="center"/>
          </w:tcPr>
          <w:p w14:paraId="014B390C">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无</w:t>
            </w:r>
          </w:p>
        </w:tc>
      </w:tr>
      <w:tr w14:paraId="47AC16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81D4EA1">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第二节</w:t>
            </w:r>
          </w:p>
          <w:p w14:paraId="6A1F5CCC">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第4.4款</w:t>
            </w:r>
          </w:p>
        </w:tc>
        <w:tc>
          <w:tcPr>
            <w:tcW w:w="1742" w:type="dxa"/>
            <w:vAlign w:val="center"/>
          </w:tcPr>
          <w:p w14:paraId="54BB6CEA">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履约验收中甲方提出异议或作出说明的期限</w:t>
            </w:r>
          </w:p>
        </w:tc>
        <w:tc>
          <w:tcPr>
            <w:tcW w:w="5170" w:type="dxa"/>
            <w:vAlign w:val="center"/>
          </w:tcPr>
          <w:p w14:paraId="2FCEA3B6">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履约验收后30个工作日内</w:t>
            </w:r>
          </w:p>
        </w:tc>
      </w:tr>
      <w:tr w14:paraId="3E73A3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FA19D7D">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第二节</w:t>
            </w:r>
          </w:p>
          <w:p w14:paraId="7B9CE220">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第4.6款</w:t>
            </w:r>
          </w:p>
        </w:tc>
        <w:tc>
          <w:tcPr>
            <w:tcW w:w="1742" w:type="dxa"/>
            <w:vAlign w:val="center"/>
          </w:tcPr>
          <w:p w14:paraId="16D41E9C">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约定甲方承担的其他义务和责任</w:t>
            </w:r>
          </w:p>
        </w:tc>
        <w:tc>
          <w:tcPr>
            <w:tcW w:w="5170" w:type="dxa"/>
            <w:vAlign w:val="center"/>
          </w:tcPr>
          <w:p w14:paraId="37C9E198">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无</w:t>
            </w:r>
          </w:p>
        </w:tc>
      </w:tr>
      <w:tr w14:paraId="2B93ED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1E87413">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第二节</w:t>
            </w:r>
          </w:p>
          <w:p w14:paraId="71D6475C">
            <w:pPr>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第5.4款</w:t>
            </w:r>
          </w:p>
        </w:tc>
        <w:tc>
          <w:tcPr>
            <w:tcW w:w="1742" w:type="dxa"/>
            <w:vAlign w:val="center"/>
          </w:tcPr>
          <w:p w14:paraId="37C879E0">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约定乙方承担的其他义务和责任</w:t>
            </w:r>
          </w:p>
        </w:tc>
        <w:tc>
          <w:tcPr>
            <w:tcW w:w="5170" w:type="dxa"/>
            <w:vAlign w:val="center"/>
          </w:tcPr>
          <w:p w14:paraId="1BFF65D9">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无</w:t>
            </w:r>
          </w:p>
        </w:tc>
      </w:tr>
      <w:tr w14:paraId="535DFD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721C34B">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第二节</w:t>
            </w:r>
          </w:p>
          <w:p w14:paraId="08B8D139">
            <w:pPr>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第6.1款</w:t>
            </w:r>
          </w:p>
        </w:tc>
        <w:tc>
          <w:tcPr>
            <w:tcW w:w="1742" w:type="dxa"/>
            <w:vAlign w:val="center"/>
          </w:tcPr>
          <w:p w14:paraId="2C6085E8">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履行合同义务的顺序</w:t>
            </w:r>
          </w:p>
        </w:tc>
        <w:tc>
          <w:tcPr>
            <w:tcW w:w="5170" w:type="dxa"/>
            <w:vAlign w:val="center"/>
          </w:tcPr>
          <w:p w14:paraId="382D5222">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无特殊要求，按通用条款执行</w:t>
            </w:r>
          </w:p>
        </w:tc>
      </w:tr>
      <w:tr w14:paraId="411C1C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03F363B8">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第二节</w:t>
            </w:r>
          </w:p>
          <w:p w14:paraId="3A0C7854">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第7.1款</w:t>
            </w:r>
          </w:p>
        </w:tc>
        <w:tc>
          <w:tcPr>
            <w:tcW w:w="1742" w:type="dxa"/>
            <w:vAlign w:val="center"/>
          </w:tcPr>
          <w:p w14:paraId="5A2128A8">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包装特殊要求</w:t>
            </w:r>
          </w:p>
        </w:tc>
        <w:tc>
          <w:tcPr>
            <w:tcW w:w="5170" w:type="dxa"/>
            <w:vAlign w:val="center"/>
          </w:tcPr>
          <w:p w14:paraId="3B0CAE74">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无</w:t>
            </w:r>
          </w:p>
        </w:tc>
      </w:tr>
      <w:tr w14:paraId="299856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416FD021">
            <w:pPr>
              <w:adjustRightInd w:val="0"/>
              <w:snapToGrid w:val="0"/>
              <w:jc w:val="center"/>
              <w:rPr>
                <w:rFonts w:ascii="仿宋_GB2312" w:hAnsi="仿宋_GB2312" w:eastAsia="仿宋_GB2312" w:cs="仿宋_GB2312"/>
                <w:color w:val="auto"/>
                <w:szCs w:val="21"/>
                <w:highlight w:val="none"/>
              </w:rPr>
            </w:pPr>
          </w:p>
        </w:tc>
        <w:tc>
          <w:tcPr>
            <w:tcW w:w="1742" w:type="dxa"/>
            <w:vAlign w:val="center"/>
          </w:tcPr>
          <w:p w14:paraId="6390246A">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指定现场</w:t>
            </w:r>
          </w:p>
        </w:tc>
        <w:tc>
          <w:tcPr>
            <w:tcW w:w="5170" w:type="dxa"/>
            <w:vAlign w:val="center"/>
          </w:tcPr>
          <w:p w14:paraId="584DDAEF">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采购人指定地点</w:t>
            </w:r>
          </w:p>
        </w:tc>
      </w:tr>
      <w:tr w14:paraId="1AE0B0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2B60D1F6">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第二节</w:t>
            </w:r>
          </w:p>
          <w:p w14:paraId="1F596E49">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第7.2款</w:t>
            </w:r>
          </w:p>
        </w:tc>
        <w:tc>
          <w:tcPr>
            <w:tcW w:w="1742" w:type="dxa"/>
            <w:vAlign w:val="center"/>
          </w:tcPr>
          <w:p w14:paraId="2ADAB1CB">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运输特殊要求</w:t>
            </w:r>
          </w:p>
        </w:tc>
        <w:tc>
          <w:tcPr>
            <w:tcW w:w="5170" w:type="dxa"/>
            <w:vAlign w:val="center"/>
          </w:tcPr>
          <w:p w14:paraId="18FF63B3">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按招标文件要求执行</w:t>
            </w:r>
          </w:p>
        </w:tc>
      </w:tr>
      <w:tr w14:paraId="7FC4BC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593B2A01">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第二节</w:t>
            </w:r>
          </w:p>
          <w:p w14:paraId="2B255488">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第7.3款</w:t>
            </w:r>
          </w:p>
        </w:tc>
        <w:tc>
          <w:tcPr>
            <w:tcW w:w="1742" w:type="dxa"/>
            <w:vAlign w:val="center"/>
          </w:tcPr>
          <w:p w14:paraId="6871727E">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保险要求</w:t>
            </w:r>
          </w:p>
        </w:tc>
        <w:tc>
          <w:tcPr>
            <w:tcW w:w="5170" w:type="dxa"/>
            <w:vAlign w:val="center"/>
          </w:tcPr>
          <w:p w14:paraId="677196A5">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无</w:t>
            </w:r>
          </w:p>
        </w:tc>
      </w:tr>
      <w:tr w14:paraId="5DF14E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F22F5DA">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第二节</w:t>
            </w:r>
          </w:p>
          <w:p w14:paraId="7C1AE025">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第8.2（1）项</w:t>
            </w:r>
          </w:p>
        </w:tc>
        <w:tc>
          <w:tcPr>
            <w:tcW w:w="1742" w:type="dxa"/>
            <w:vAlign w:val="center"/>
          </w:tcPr>
          <w:p w14:paraId="285245B0">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质量保证期</w:t>
            </w:r>
          </w:p>
        </w:tc>
        <w:tc>
          <w:tcPr>
            <w:tcW w:w="5170" w:type="dxa"/>
            <w:vAlign w:val="center"/>
          </w:tcPr>
          <w:p w14:paraId="4EE57649">
            <w:pPr>
              <w:autoSpaceDE w:val="0"/>
              <w:autoSpaceDN w:val="0"/>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按招标文件要求执行</w:t>
            </w:r>
          </w:p>
        </w:tc>
      </w:tr>
      <w:tr w14:paraId="05884D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643C6B5">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第二节</w:t>
            </w:r>
          </w:p>
          <w:p w14:paraId="3BF5F341">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第8.2（3）项</w:t>
            </w:r>
          </w:p>
        </w:tc>
        <w:tc>
          <w:tcPr>
            <w:tcW w:w="1742" w:type="dxa"/>
            <w:vAlign w:val="center"/>
          </w:tcPr>
          <w:p w14:paraId="43AAF9F0">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货物质量缺陷</w:t>
            </w:r>
          </w:p>
          <w:p w14:paraId="7910390C">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响应时间</w:t>
            </w:r>
          </w:p>
        </w:tc>
        <w:tc>
          <w:tcPr>
            <w:tcW w:w="5170" w:type="dxa"/>
            <w:vAlign w:val="center"/>
          </w:tcPr>
          <w:p w14:paraId="65EFA67D">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按招标文件要求及投标文件承诺执行</w:t>
            </w:r>
          </w:p>
        </w:tc>
      </w:tr>
      <w:tr w14:paraId="6EB5112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D509E18">
            <w:pPr>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第二节</w:t>
            </w:r>
          </w:p>
          <w:p w14:paraId="40DDB5FE">
            <w:pPr>
              <w:pStyle w:val="67"/>
              <w:ind w:firstLine="0" w:firstLineChars="0"/>
              <w:jc w:val="center"/>
              <w:rPr>
                <w:rFonts w:ascii="仿宋_GB2312" w:hAnsi="仿宋_GB2312" w:eastAsia="仿宋_GB2312" w:cs="仿宋_GB2312"/>
                <w:color w:val="auto"/>
                <w:sz w:val="21"/>
                <w:highlight w:val="none"/>
              </w:rPr>
            </w:pPr>
            <w:r>
              <w:rPr>
                <w:rFonts w:hint="eastAsia" w:ascii="仿宋_GB2312" w:hAnsi="仿宋_GB2312" w:eastAsia="仿宋_GB2312" w:cs="仿宋_GB2312"/>
                <w:color w:val="auto"/>
                <w:sz w:val="21"/>
                <w:highlight w:val="none"/>
              </w:rPr>
              <w:t>第11.1款</w:t>
            </w:r>
          </w:p>
        </w:tc>
        <w:tc>
          <w:tcPr>
            <w:tcW w:w="1742" w:type="dxa"/>
            <w:vAlign w:val="center"/>
          </w:tcPr>
          <w:p w14:paraId="34FF4E5D">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其他应当保密的信息</w:t>
            </w:r>
          </w:p>
        </w:tc>
        <w:tc>
          <w:tcPr>
            <w:tcW w:w="5170" w:type="dxa"/>
            <w:vAlign w:val="center"/>
          </w:tcPr>
          <w:p w14:paraId="37DA71BE">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无</w:t>
            </w:r>
          </w:p>
        </w:tc>
      </w:tr>
      <w:tr w14:paraId="5F27EB5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60639987">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第二节</w:t>
            </w:r>
          </w:p>
          <w:p w14:paraId="4DF66EE2">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第12.2款</w:t>
            </w:r>
          </w:p>
        </w:tc>
        <w:tc>
          <w:tcPr>
            <w:tcW w:w="1742" w:type="dxa"/>
            <w:vAlign w:val="center"/>
          </w:tcPr>
          <w:p w14:paraId="2056CE51">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合同价款支付时间</w:t>
            </w:r>
          </w:p>
        </w:tc>
        <w:tc>
          <w:tcPr>
            <w:tcW w:w="5170" w:type="dxa"/>
            <w:vAlign w:val="center"/>
          </w:tcPr>
          <w:p w14:paraId="3402ADB4">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按合同约定</w:t>
            </w:r>
          </w:p>
        </w:tc>
      </w:tr>
      <w:tr w14:paraId="7876D6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15AFB674">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第二节</w:t>
            </w:r>
          </w:p>
          <w:p w14:paraId="29ECF312">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第13.2款</w:t>
            </w:r>
          </w:p>
        </w:tc>
        <w:tc>
          <w:tcPr>
            <w:tcW w:w="1742" w:type="dxa"/>
            <w:vAlign w:val="center"/>
          </w:tcPr>
          <w:p w14:paraId="04D05027">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履约保证金不予退还的情形</w:t>
            </w:r>
          </w:p>
        </w:tc>
        <w:tc>
          <w:tcPr>
            <w:tcW w:w="5170" w:type="dxa"/>
            <w:vAlign w:val="center"/>
          </w:tcPr>
          <w:p w14:paraId="387DBC52">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未按招标文件要求及投标文件承诺履约</w:t>
            </w:r>
          </w:p>
        </w:tc>
      </w:tr>
      <w:tr w14:paraId="29BBB7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5C0DA6C">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第二节</w:t>
            </w:r>
          </w:p>
          <w:p w14:paraId="0091F084">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第13.3款</w:t>
            </w:r>
          </w:p>
        </w:tc>
        <w:tc>
          <w:tcPr>
            <w:tcW w:w="1742" w:type="dxa"/>
            <w:vAlign w:val="center"/>
          </w:tcPr>
          <w:p w14:paraId="38B673B1">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履约保证金退还时间及逾期退还的违约金</w:t>
            </w:r>
          </w:p>
        </w:tc>
        <w:tc>
          <w:tcPr>
            <w:tcW w:w="5170" w:type="dxa"/>
            <w:vAlign w:val="center"/>
          </w:tcPr>
          <w:p w14:paraId="0DDD2188">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按招标文件要求执行</w:t>
            </w:r>
          </w:p>
        </w:tc>
      </w:tr>
      <w:tr w14:paraId="5B203DB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363F4EAF">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第二节</w:t>
            </w:r>
          </w:p>
          <w:p w14:paraId="2018AC07">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第14.1（3）项</w:t>
            </w:r>
          </w:p>
        </w:tc>
        <w:tc>
          <w:tcPr>
            <w:tcW w:w="1742" w:type="dxa"/>
            <w:vAlign w:val="center"/>
          </w:tcPr>
          <w:p w14:paraId="7E3442E6">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运行监督、维修期限</w:t>
            </w:r>
          </w:p>
        </w:tc>
        <w:tc>
          <w:tcPr>
            <w:tcW w:w="5170" w:type="dxa"/>
            <w:vAlign w:val="center"/>
          </w:tcPr>
          <w:p w14:paraId="117E2884">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无</w:t>
            </w:r>
          </w:p>
        </w:tc>
      </w:tr>
      <w:tr w14:paraId="0890FC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117FCF8C">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第二节</w:t>
            </w:r>
          </w:p>
          <w:p w14:paraId="313761D2">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第14.1（5）项</w:t>
            </w:r>
          </w:p>
        </w:tc>
        <w:tc>
          <w:tcPr>
            <w:tcW w:w="1742" w:type="dxa"/>
            <w:vAlign w:val="center"/>
          </w:tcPr>
          <w:p w14:paraId="3D9DE9E5">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货物回收的约定</w:t>
            </w:r>
          </w:p>
        </w:tc>
        <w:tc>
          <w:tcPr>
            <w:tcW w:w="5170" w:type="dxa"/>
            <w:vAlign w:val="center"/>
          </w:tcPr>
          <w:p w14:paraId="52B0F56D">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无</w:t>
            </w:r>
          </w:p>
        </w:tc>
      </w:tr>
      <w:tr w14:paraId="52BBE5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91F5204">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第二节</w:t>
            </w:r>
          </w:p>
          <w:p w14:paraId="5ECECFB5">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第14.1（6）项</w:t>
            </w:r>
          </w:p>
        </w:tc>
        <w:tc>
          <w:tcPr>
            <w:tcW w:w="1742" w:type="dxa"/>
            <w:vAlign w:val="center"/>
          </w:tcPr>
          <w:p w14:paraId="39E8E6E5">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乙方提供的其他服务</w:t>
            </w:r>
          </w:p>
        </w:tc>
        <w:tc>
          <w:tcPr>
            <w:tcW w:w="5170" w:type="dxa"/>
            <w:vAlign w:val="center"/>
          </w:tcPr>
          <w:p w14:paraId="397F72E5">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按投标文件承诺执行</w:t>
            </w:r>
          </w:p>
        </w:tc>
      </w:tr>
      <w:tr w14:paraId="5CC5B9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8EC589D">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第二节</w:t>
            </w:r>
          </w:p>
          <w:p w14:paraId="2A047CA4">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第15.1款</w:t>
            </w:r>
          </w:p>
        </w:tc>
        <w:tc>
          <w:tcPr>
            <w:tcW w:w="1742" w:type="dxa"/>
            <w:vAlign w:val="center"/>
          </w:tcPr>
          <w:p w14:paraId="1A0913AE">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修理、重作、更换相关具体规定</w:t>
            </w:r>
          </w:p>
        </w:tc>
        <w:tc>
          <w:tcPr>
            <w:tcW w:w="5170" w:type="dxa"/>
            <w:vAlign w:val="center"/>
          </w:tcPr>
          <w:p w14:paraId="5E9F5256">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按招标文件要求及投标文件承诺执行</w:t>
            </w:r>
          </w:p>
        </w:tc>
      </w:tr>
      <w:tr w14:paraId="7B377D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F2CAC47">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第二节</w:t>
            </w:r>
          </w:p>
          <w:p w14:paraId="605738AE">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第15.2（2）项</w:t>
            </w:r>
          </w:p>
        </w:tc>
        <w:tc>
          <w:tcPr>
            <w:tcW w:w="1742" w:type="dxa"/>
            <w:vAlign w:val="center"/>
          </w:tcPr>
          <w:p w14:paraId="3531173B">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迟延交货赔偿费</w:t>
            </w:r>
          </w:p>
        </w:tc>
        <w:tc>
          <w:tcPr>
            <w:tcW w:w="5170" w:type="dxa"/>
            <w:vAlign w:val="center"/>
          </w:tcPr>
          <w:p w14:paraId="4F9ED501">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供方未按政府采购合同规定的交货日期向需方交货时，则每逾期一日，供方应按逾期交付货物价款总值的0.05%计算，向需方支付逾期交货违约金，但不超过政府采购合同总金额的10%。供方支付逾期交货违约金并不免除供方交货的责任。</w:t>
            </w:r>
          </w:p>
          <w:p w14:paraId="228B67FB">
            <w:pPr>
              <w:adjustRightInd w:val="0"/>
              <w:snapToGrid w:val="0"/>
              <w:jc w:val="left"/>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如供方在政府采购合同规定的交货日期后10天内仍未能交货，则视为供方不能交货，需方有权解除政府采购合同，供方除退还已收取的货款外，还应向需方偿付政府采购合同总金额10%的违约金。</w:t>
            </w:r>
          </w:p>
        </w:tc>
      </w:tr>
      <w:tr w14:paraId="099E89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BE0C9C1">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第二节</w:t>
            </w:r>
          </w:p>
          <w:p w14:paraId="5A14947D">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第15.3款</w:t>
            </w:r>
          </w:p>
        </w:tc>
        <w:tc>
          <w:tcPr>
            <w:tcW w:w="1742" w:type="dxa"/>
            <w:vAlign w:val="center"/>
          </w:tcPr>
          <w:p w14:paraId="406004B4">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逾期付款利息</w:t>
            </w:r>
          </w:p>
        </w:tc>
        <w:tc>
          <w:tcPr>
            <w:tcW w:w="5170" w:type="dxa"/>
            <w:vAlign w:val="center"/>
          </w:tcPr>
          <w:p w14:paraId="4662CE2E">
            <w:pPr>
              <w:adjustRightInd w:val="0"/>
              <w:snapToGrid w:val="0"/>
              <w:jc w:val="left"/>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无</w:t>
            </w:r>
          </w:p>
        </w:tc>
      </w:tr>
      <w:tr w14:paraId="080867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28F7D151">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第二节</w:t>
            </w:r>
          </w:p>
          <w:p w14:paraId="1261D713">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第15.4款</w:t>
            </w:r>
          </w:p>
        </w:tc>
        <w:tc>
          <w:tcPr>
            <w:tcW w:w="1742" w:type="dxa"/>
            <w:tcBorders>
              <w:left w:val="single" w:color="auto" w:sz="2" w:space="0"/>
              <w:bottom w:val="single" w:color="auto" w:sz="2" w:space="0"/>
              <w:right w:val="single" w:color="auto" w:sz="2" w:space="0"/>
            </w:tcBorders>
            <w:vAlign w:val="center"/>
          </w:tcPr>
          <w:p w14:paraId="5FFF9FCC">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其他违约责任</w:t>
            </w:r>
          </w:p>
        </w:tc>
        <w:tc>
          <w:tcPr>
            <w:tcW w:w="5170" w:type="dxa"/>
            <w:tcBorders>
              <w:left w:val="single" w:color="auto" w:sz="2" w:space="0"/>
              <w:bottom w:val="single" w:color="auto" w:sz="2" w:space="0"/>
            </w:tcBorders>
            <w:vAlign w:val="center"/>
          </w:tcPr>
          <w:p w14:paraId="6672726D">
            <w:pPr>
              <w:adjustRightInd w:val="0"/>
              <w:snapToGrid w:val="0"/>
              <w:jc w:val="left"/>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按招标文件要求及投标文件承诺执行</w:t>
            </w:r>
          </w:p>
        </w:tc>
      </w:tr>
      <w:tr w14:paraId="6CC422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1A92FEC1">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第二节</w:t>
            </w:r>
          </w:p>
          <w:p w14:paraId="4799C5AC">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第19.2款</w:t>
            </w:r>
          </w:p>
        </w:tc>
        <w:tc>
          <w:tcPr>
            <w:tcW w:w="1742" w:type="dxa"/>
            <w:tcBorders>
              <w:top w:val="single" w:color="auto" w:sz="2" w:space="0"/>
              <w:left w:val="single" w:color="auto" w:sz="2" w:space="0"/>
              <w:right w:val="single" w:color="auto" w:sz="2" w:space="0"/>
            </w:tcBorders>
            <w:vAlign w:val="center"/>
          </w:tcPr>
          <w:p w14:paraId="3FC77ED3">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解决争议的方法</w:t>
            </w:r>
          </w:p>
        </w:tc>
        <w:tc>
          <w:tcPr>
            <w:tcW w:w="5170" w:type="dxa"/>
            <w:tcBorders>
              <w:top w:val="single" w:color="auto" w:sz="2" w:space="0"/>
              <w:left w:val="single" w:color="auto" w:sz="2" w:space="0"/>
            </w:tcBorders>
            <w:vAlign w:val="center"/>
          </w:tcPr>
          <w:p w14:paraId="520EB245">
            <w:pPr>
              <w:autoSpaceDE w:val="0"/>
              <w:autoSpaceDN w:val="0"/>
              <w:adjustRightInd w:val="0"/>
              <w:snapToGrid w:val="0"/>
              <w:jc w:val="left"/>
              <w:rPr>
                <w:rFonts w:ascii="仿宋_GB2312" w:hAnsi="仿宋_GB2312" w:eastAsia="仿宋_GB2312" w:cs="仿宋_GB2312"/>
                <w:iCs/>
                <w:color w:val="auto"/>
                <w:szCs w:val="21"/>
                <w:highlight w:val="none"/>
              </w:rPr>
            </w:pPr>
            <w:r>
              <w:rPr>
                <w:rFonts w:hint="eastAsia" w:ascii="仿宋_GB2312" w:hAnsi="仿宋_GB2312" w:eastAsia="仿宋_GB2312" w:cs="仿宋_GB2312"/>
                <w:iCs/>
                <w:color w:val="auto"/>
                <w:szCs w:val="21"/>
                <w:highlight w:val="none"/>
              </w:rPr>
              <w:t>因本合同及合同有关事项发生的争议，按下列第2种方式解决：</w:t>
            </w:r>
          </w:p>
          <w:p w14:paraId="6933C4AF">
            <w:pPr>
              <w:autoSpaceDE w:val="0"/>
              <w:autoSpaceDN w:val="0"/>
              <w:adjustRightInd w:val="0"/>
              <w:snapToGrid w:val="0"/>
              <w:jc w:val="left"/>
              <w:rPr>
                <w:rFonts w:ascii="仿宋_GB2312" w:hAnsi="仿宋_GB2312" w:eastAsia="仿宋_GB2312" w:cs="仿宋_GB2312"/>
                <w:iCs/>
                <w:color w:val="auto"/>
                <w:szCs w:val="21"/>
                <w:highlight w:val="none"/>
              </w:rPr>
            </w:pPr>
            <w:r>
              <w:rPr>
                <w:rFonts w:hint="eastAsia" w:ascii="仿宋_GB2312" w:hAnsi="仿宋_GB2312" w:eastAsia="仿宋_GB2312" w:cs="仿宋_GB2312"/>
                <w:iCs/>
                <w:color w:val="auto"/>
                <w:szCs w:val="21"/>
                <w:highlight w:val="none"/>
              </w:rPr>
              <w:t>（1）向仲裁委员会申请仲裁，仲裁地点为；</w:t>
            </w:r>
          </w:p>
          <w:p w14:paraId="63A06332">
            <w:pPr>
              <w:adjustRightInd w:val="0"/>
              <w:snapToGrid w:val="0"/>
              <w:jc w:val="left"/>
              <w:rPr>
                <w:rFonts w:ascii="仿宋_GB2312" w:hAnsi="仿宋_GB2312" w:eastAsia="仿宋_GB2312" w:cs="仿宋_GB2312"/>
                <w:color w:val="auto"/>
                <w:szCs w:val="21"/>
                <w:highlight w:val="none"/>
                <w:u w:val="single"/>
              </w:rPr>
            </w:pPr>
            <w:r>
              <w:rPr>
                <w:rFonts w:hint="eastAsia" w:ascii="仿宋_GB2312" w:hAnsi="仿宋_GB2312" w:eastAsia="仿宋_GB2312" w:cs="仿宋_GB2312"/>
                <w:iCs/>
                <w:color w:val="auto"/>
                <w:szCs w:val="21"/>
                <w:highlight w:val="none"/>
              </w:rPr>
              <w:t>（2）向</w:t>
            </w:r>
            <w:r>
              <w:rPr>
                <w:rFonts w:hint="eastAsia" w:ascii="仿宋_GB2312" w:hAnsi="仿宋_GB2312" w:eastAsia="仿宋_GB2312" w:cs="仿宋_GB2312"/>
                <w:b/>
                <w:bCs/>
                <w:iCs/>
                <w:color w:val="auto"/>
                <w:szCs w:val="21"/>
                <w:highlight w:val="none"/>
              </w:rPr>
              <w:t>采购人所在地的</w:t>
            </w:r>
            <w:r>
              <w:rPr>
                <w:rFonts w:hint="eastAsia" w:ascii="仿宋_GB2312" w:hAnsi="仿宋_GB2312" w:eastAsia="仿宋_GB2312" w:cs="仿宋_GB2312"/>
                <w:iCs/>
                <w:color w:val="auto"/>
                <w:szCs w:val="21"/>
                <w:highlight w:val="none"/>
              </w:rPr>
              <w:t>人民法院起诉。</w:t>
            </w:r>
          </w:p>
        </w:tc>
      </w:tr>
      <w:tr w14:paraId="308C46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193E41CE">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第二节</w:t>
            </w:r>
          </w:p>
          <w:p w14:paraId="4310B0A5">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第23.1款</w:t>
            </w:r>
          </w:p>
        </w:tc>
        <w:tc>
          <w:tcPr>
            <w:tcW w:w="1742" w:type="dxa"/>
            <w:vAlign w:val="center"/>
          </w:tcPr>
          <w:p w14:paraId="64F179AE">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bCs/>
                <w:color w:val="auto"/>
                <w:szCs w:val="21"/>
                <w:highlight w:val="none"/>
              </w:rPr>
              <w:t>其他专用条款</w:t>
            </w:r>
          </w:p>
        </w:tc>
        <w:tc>
          <w:tcPr>
            <w:tcW w:w="5170" w:type="dxa"/>
            <w:vAlign w:val="center"/>
          </w:tcPr>
          <w:p w14:paraId="798C068A">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无</w:t>
            </w:r>
          </w:p>
        </w:tc>
      </w:tr>
    </w:tbl>
    <w:p w14:paraId="19B6CE66">
      <w:pPr>
        <w:widowControl/>
        <w:jc w:val="left"/>
        <w:rPr>
          <w:rFonts w:ascii="仿宋_GB2312" w:hAnsi="仿宋_GB2312" w:eastAsia="仿宋_GB2312" w:cs="仿宋_GB2312"/>
          <w:b/>
          <w:color w:val="auto"/>
          <w:sz w:val="28"/>
          <w:szCs w:val="28"/>
          <w:highlight w:val="none"/>
        </w:rPr>
      </w:pPr>
    </w:p>
    <w:p w14:paraId="7076BF44">
      <w:pPr>
        <w:wordWrap w:val="0"/>
        <w:adjustRightInd w:val="0"/>
        <w:snapToGrid w:val="0"/>
        <w:spacing w:line="360" w:lineRule="auto"/>
        <w:jc w:val="right"/>
        <w:rPr>
          <w:rFonts w:ascii="仿宋_GB2312" w:hAnsi="仿宋_GB2312" w:eastAsia="仿宋_GB2312" w:cs="仿宋_GB2312"/>
          <w:color w:val="auto"/>
          <w:szCs w:val="21"/>
          <w:highlight w:val="none"/>
        </w:rPr>
      </w:pPr>
    </w:p>
    <w:p w14:paraId="1B7BD928">
      <w:pPr>
        <w:pStyle w:val="2"/>
        <w:spacing w:before="638" w:beforeLines="200" w:after="478" w:afterLines="150"/>
        <w:rPr>
          <w:rFonts w:ascii="仿宋_GB2312" w:hAnsi="仿宋_GB2312" w:eastAsia="仿宋_GB2312" w:cs="仿宋_GB2312"/>
          <w:bCs/>
          <w:color w:val="auto"/>
          <w:sz w:val="24"/>
          <w:highlight w:val="none"/>
        </w:rPr>
      </w:pPr>
    </w:p>
    <w:p w14:paraId="20C35608">
      <w:pPr>
        <w:widowControl/>
        <w:jc w:val="left"/>
        <w:rPr>
          <w:rFonts w:ascii="仿宋_GB2312" w:hAnsi="仿宋_GB2312" w:eastAsia="仿宋_GB2312" w:cs="仿宋_GB2312"/>
          <w:b/>
          <w:color w:val="auto"/>
          <w:sz w:val="28"/>
          <w:szCs w:val="28"/>
          <w:highlight w:val="none"/>
        </w:rPr>
      </w:pPr>
    </w:p>
    <w:bookmarkEnd w:id="130"/>
    <w:p w14:paraId="72BDEF2B">
      <w:pPr>
        <w:wordWrap w:val="0"/>
        <w:adjustRightInd w:val="0"/>
        <w:snapToGrid w:val="0"/>
        <w:spacing w:line="360" w:lineRule="auto"/>
        <w:jc w:val="right"/>
        <w:rPr>
          <w:rFonts w:ascii="仿宋_GB2312" w:hAnsi="仿宋_GB2312" w:eastAsia="仿宋_GB2312" w:cs="仿宋_GB2312"/>
          <w:color w:val="auto"/>
          <w:szCs w:val="21"/>
          <w:highlight w:val="none"/>
        </w:rPr>
      </w:pPr>
    </w:p>
    <w:p w14:paraId="56928CF8">
      <w:pPr>
        <w:rPr>
          <w:color w:val="auto"/>
          <w:highlight w:val="none"/>
        </w:rPr>
      </w:pPr>
    </w:p>
    <w:sectPr>
      <w:pgSz w:w="11906" w:h="16838"/>
      <w:pgMar w:top="1440" w:right="1803" w:bottom="1440" w:left="180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DengXian">
    <w:altName w:val="宋体"/>
    <w:panose1 w:val="02010600030101010101"/>
    <w:charset w:val="86"/>
    <w:family w:val="auto"/>
    <w:pitch w:val="default"/>
    <w:sig w:usb0="00000000" w:usb1="00000000" w:usb2="00000016" w:usb3="00000000" w:csb0="0004000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Wingdings 2">
    <w:panose1 w:val="05020102010507070707"/>
    <w:charset w:val="00"/>
    <w:family w:val="decorative"/>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58690A">
    <w:pPr>
      <w:pStyle w:val="1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0C4589">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ofIv8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HyL/KwIAAFcEAAAOAAAAAAAAAAEAIAAAAB8BAABkcnMvZTJvRG9jLnhtbFBLBQYAAAAABgAG&#10;AFkBAAC8BQAAAAA=&#10;">
              <v:fill on="f" focussize="0,0"/>
              <v:stroke on="f" weight="0.5pt"/>
              <v:imagedata o:title=""/>
              <o:lock v:ext="edit" aspectratio="f"/>
              <v:textbox inset="0mm,0mm,0mm,0mm" style="mso-fit-shape-to-text:t;">
                <w:txbxContent>
                  <w:p w14:paraId="190C4589">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2A508">
    <w:pPr>
      <w:pStyle w:val="1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DA1725">
                          <w:pPr>
                            <w:pStyle w:val="16"/>
                            <w:jc w:val="center"/>
                          </w:pPr>
                          <w:r>
                            <w:fldChar w:fldCharType="begin"/>
                          </w:r>
                          <w:r>
                            <w:instrText xml:space="preserve">PAGE   \* MERGEFORMAT</w:instrText>
                          </w:r>
                          <w:r>
                            <w:fldChar w:fldCharType="separate"/>
                          </w:r>
                          <w:r>
                            <w:rPr>
                              <w:lang w:val="zh-CN"/>
                            </w:rPr>
                            <w:t>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J1z8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snXPywCAABXBAAADgAAAAAAAAABACAAAAAfAQAAZHJzL2Uyb0RvYy54bWxQSwUGAAAAAAYA&#10;BgBZAQAAvQUAAAAA&#10;">
              <v:fill on="f" focussize="0,0"/>
              <v:stroke on="f" weight="0.5pt"/>
              <v:imagedata o:title=""/>
              <o:lock v:ext="edit" aspectratio="f"/>
              <v:textbox inset="0mm,0mm,0mm,0mm" style="mso-fit-shape-to-text:t;">
                <w:txbxContent>
                  <w:p w14:paraId="63DA1725">
                    <w:pPr>
                      <w:pStyle w:val="16"/>
                      <w:jc w:val="center"/>
                    </w:pPr>
                    <w:r>
                      <w:fldChar w:fldCharType="begin"/>
                    </w:r>
                    <w:r>
                      <w:instrText xml:space="preserve">PAGE   \* MERGEFORMAT</w:instrText>
                    </w:r>
                    <w:r>
                      <w:fldChar w:fldCharType="separate"/>
                    </w:r>
                    <w:r>
                      <w:rPr>
                        <w:lang w:val="zh-CN"/>
                      </w:rPr>
                      <w:t>7</w:t>
                    </w:r>
                    <w:r>
                      <w:fldChar w:fldCharType="end"/>
                    </w:r>
                  </w:p>
                </w:txbxContent>
              </v:textbox>
            </v:shape>
          </w:pict>
        </mc:Fallback>
      </mc:AlternateContent>
    </w:r>
  </w:p>
  <w:p w14:paraId="3994DE92">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BA236">
    <w:pPr>
      <w:pStyle w:val="1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B3B0E1">
                          <w:pPr>
                            <w:pStyle w:val="16"/>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EhH8t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SWaKVT8/OP7&#10;+efv869vBGcQqLF+jrgHi8jQvjMt2mY49ziMvNvSqfgFIwI/5D1d5BVtIDxemk1nszFcHL5hA/zs&#10;6bp1PrwXRpFo5NShfklWdtz60IUOITGbNptaylRDqUmT0+urt+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MqEhH8tAgAAVwQAAA4AAAAAAAAAAQAgAAAAHwEAAGRycy9lMm9Eb2MueG1sUEsFBgAAAAAG&#10;AAYAWQEAAL4FAAAAAA==&#10;">
              <v:fill on="f" focussize="0,0"/>
              <v:stroke on="f" weight="0.5pt"/>
              <v:imagedata o:title=""/>
              <o:lock v:ext="edit" aspectratio="f"/>
              <v:textbox inset="0mm,0mm,0mm,0mm" style="mso-fit-shape-to-text:t;">
                <w:txbxContent>
                  <w:p w14:paraId="3FB3B0E1">
                    <w:pPr>
                      <w:pStyle w:val="16"/>
                    </w:pPr>
                    <w:r>
                      <w:fldChar w:fldCharType="begin"/>
                    </w:r>
                    <w:r>
                      <w:instrText xml:space="preserve"> PAGE  \* MERGEFORMAT </w:instrText>
                    </w:r>
                    <w:r>
                      <w:fldChar w:fldCharType="separate"/>
                    </w:r>
                    <w:r>
                      <w:t>52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EBFB6">
    <w:pPr>
      <w:pStyle w:val="1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FEFC674"/>
    <w:multiLevelType w:val="singleLevel"/>
    <w:tmpl w:val="FFEFC674"/>
    <w:lvl w:ilvl="0" w:tentative="0">
      <w:start w:val="1"/>
      <w:numFmt w:val="decimal"/>
      <w:suff w:val="nothing"/>
      <w:lvlText w:val="（%1）"/>
      <w:lvlJc w:val="left"/>
    </w:lvl>
  </w:abstractNum>
  <w:abstractNum w:abstractNumId="6">
    <w:nsid w:val="00000002"/>
    <w:multiLevelType w:val="singleLevel"/>
    <w:tmpl w:val="00000002"/>
    <w:lvl w:ilvl="0" w:tentative="0">
      <w:start w:val="1"/>
      <w:numFmt w:val="chineseCounting"/>
      <w:suff w:val="space"/>
      <w:lvlText w:val="第%1章"/>
      <w:lvlJc w:val="left"/>
      <w:rPr>
        <w:rFonts w:hint="eastAsia"/>
      </w:rPr>
    </w:lvl>
  </w:abstractNum>
  <w:abstractNum w:abstractNumId="7">
    <w:nsid w:val="00000007"/>
    <w:multiLevelType w:val="singleLevel"/>
    <w:tmpl w:val="00000007"/>
    <w:lvl w:ilvl="0" w:tentative="0">
      <w:start w:val="1"/>
      <w:numFmt w:val="decimal"/>
      <w:suff w:val="nothing"/>
      <w:lvlText w:val="（%1）"/>
      <w:lvlJc w:val="left"/>
    </w:lvl>
  </w:abstractNum>
  <w:abstractNum w:abstractNumId="8">
    <w:nsid w:val="00000009"/>
    <w:multiLevelType w:val="singleLevel"/>
    <w:tmpl w:val="00000009"/>
    <w:lvl w:ilvl="0" w:tentative="0">
      <w:start w:val="1"/>
      <w:numFmt w:val="decimal"/>
      <w:suff w:val="nothing"/>
      <w:lvlText w:val="（%1）"/>
      <w:lvlJc w:val="left"/>
    </w:lvl>
  </w:abstractNum>
  <w:abstractNum w:abstractNumId="9">
    <w:nsid w:val="0000000B"/>
    <w:multiLevelType w:val="singleLevel"/>
    <w:tmpl w:val="0000000B"/>
    <w:lvl w:ilvl="0" w:tentative="0">
      <w:start w:val="1"/>
      <w:numFmt w:val="decimal"/>
      <w:suff w:val="nothing"/>
      <w:lvlText w:val="（%1）"/>
      <w:lvlJc w:val="left"/>
    </w:lvl>
  </w:abstractNum>
  <w:abstractNum w:abstractNumId="10">
    <w:nsid w:val="0000000C"/>
    <w:multiLevelType w:val="multilevel"/>
    <w:tmpl w:val="0000000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000000F"/>
    <w:multiLevelType w:val="singleLevel"/>
    <w:tmpl w:val="0000000F"/>
    <w:lvl w:ilvl="0" w:tentative="0">
      <w:start w:val="1"/>
      <w:numFmt w:val="decimal"/>
      <w:suff w:val="nothing"/>
      <w:lvlText w:val="（%1）"/>
      <w:lvlJc w:val="left"/>
    </w:lvl>
  </w:abstractNum>
  <w:abstractNum w:abstractNumId="12">
    <w:nsid w:val="00000010"/>
    <w:multiLevelType w:val="multilevel"/>
    <w:tmpl w:val="00000010"/>
    <w:lvl w:ilvl="0" w:tentative="0">
      <w:start w:val="1"/>
      <w:numFmt w:val="decimal"/>
      <w:pStyle w:val="6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3">
    <w:nsid w:val="00000011"/>
    <w:multiLevelType w:val="multilevel"/>
    <w:tmpl w:val="000000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00000012"/>
    <w:multiLevelType w:val="singleLevel"/>
    <w:tmpl w:val="00000012"/>
    <w:lvl w:ilvl="0" w:tentative="0">
      <w:start w:val="1"/>
      <w:numFmt w:val="decimal"/>
      <w:suff w:val="nothing"/>
      <w:lvlText w:val="（%1）"/>
      <w:lvlJc w:val="left"/>
    </w:lvl>
  </w:abstractNum>
  <w:abstractNum w:abstractNumId="15">
    <w:nsid w:val="00000013"/>
    <w:multiLevelType w:val="singleLevel"/>
    <w:tmpl w:val="00000013"/>
    <w:lvl w:ilvl="0" w:tentative="0">
      <w:start w:val="2"/>
      <w:numFmt w:val="chineseCounting"/>
      <w:suff w:val="nothing"/>
      <w:lvlText w:val="（%1）"/>
      <w:lvlJc w:val="left"/>
      <w:rPr>
        <w:rFonts w:hint="eastAsia"/>
      </w:rPr>
    </w:lvl>
  </w:abstractNum>
  <w:abstractNum w:abstractNumId="16">
    <w:nsid w:val="7A0F6431"/>
    <w:multiLevelType w:val="singleLevel"/>
    <w:tmpl w:val="7A0F6431"/>
    <w:lvl w:ilvl="0" w:tentative="0">
      <w:start w:val="1"/>
      <w:numFmt w:val="decimal"/>
      <w:suff w:val="space"/>
      <w:lvlText w:val="%1."/>
      <w:lvlJc w:val="left"/>
    </w:lvl>
  </w:abstractNum>
  <w:num w:numId="1">
    <w:abstractNumId w:val="12"/>
  </w:num>
  <w:num w:numId="2">
    <w:abstractNumId w:val="6"/>
  </w:num>
  <w:num w:numId="3">
    <w:abstractNumId w:val="7"/>
  </w:num>
  <w:num w:numId="4">
    <w:abstractNumId w:val="10"/>
  </w:num>
  <w:num w:numId="5">
    <w:abstractNumId w:val="13"/>
  </w:num>
  <w:num w:numId="6">
    <w:abstractNumId w:val="9"/>
  </w:num>
  <w:num w:numId="7">
    <w:abstractNumId w:val="11"/>
  </w:num>
  <w:num w:numId="8">
    <w:abstractNumId w:val="8"/>
  </w:num>
  <w:num w:numId="9">
    <w:abstractNumId w:val="14"/>
  </w:num>
  <w:num w:numId="10">
    <w:abstractNumId w:val="15"/>
  </w:num>
  <w:num w:numId="11">
    <w:abstractNumId w:val="16"/>
  </w:num>
  <w:num w:numId="12">
    <w:abstractNumId w:val="1"/>
  </w:num>
  <w:num w:numId="13">
    <w:abstractNumId w:val="5"/>
  </w:num>
  <w:num w:numId="14">
    <w:abstractNumId w:val="3"/>
  </w:num>
  <w:num w:numId="15">
    <w:abstractNumId w:val="2"/>
  </w:num>
  <w:num w:numId="16">
    <w:abstractNumId w:val="0"/>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VerticalSpacing w:val="159"/>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UyYTJmOTRhYmJiMTQyODAzYjdkNzZkODY5ZDE0MjUifQ=="/>
  </w:docVars>
  <w:rsids>
    <w:rsidRoot w:val="00172A27"/>
    <w:rsid w:val="00172A27"/>
    <w:rsid w:val="00191AE2"/>
    <w:rsid w:val="00375FA7"/>
    <w:rsid w:val="00512FC0"/>
    <w:rsid w:val="00541D85"/>
    <w:rsid w:val="005F6716"/>
    <w:rsid w:val="00646F37"/>
    <w:rsid w:val="0069211B"/>
    <w:rsid w:val="007025F4"/>
    <w:rsid w:val="007423A8"/>
    <w:rsid w:val="00767249"/>
    <w:rsid w:val="00773CF5"/>
    <w:rsid w:val="007B4B19"/>
    <w:rsid w:val="009524FC"/>
    <w:rsid w:val="00A35960"/>
    <w:rsid w:val="00A9278D"/>
    <w:rsid w:val="00AB68AA"/>
    <w:rsid w:val="00C13EF4"/>
    <w:rsid w:val="00DC7298"/>
    <w:rsid w:val="00F9022F"/>
    <w:rsid w:val="00FE7363"/>
    <w:rsid w:val="017E2A82"/>
    <w:rsid w:val="02947ACD"/>
    <w:rsid w:val="02C6361D"/>
    <w:rsid w:val="02DA5983"/>
    <w:rsid w:val="04E11CA6"/>
    <w:rsid w:val="052F53D3"/>
    <w:rsid w:val="09F00565"/>
    <w:rsid w:val="0A102466"/>
    <w:rsid w:val="0AE65C0F"/>
    <w:rsid w:val="0BAA6DE1"/>
    <w:rsid w:val="0C1F3094"/>
    <w:rsid w:val="0D0F4ED6"/>
    <w:rsid w:val="0ED741A8"/>
    <w:rsid w:val="10D66437"/>
    <w:rsid w:val="12011292"/>
    <w:rsid w:val="14E927DC"/>
    <w:rsid w:val="19597AEA"/>
    <w:rsid w:val="1DE33822"/>
    <w:rsid w:val="1FB93013"/>
    <w:rsid w:val="20387251"/>
    <w:rsid w:val="214C4631"/>
    <w:rsid w:val="22691AB2"/>
    <w:rsid w:val="22B32483"/>
    <w:rsid w:val="24543E51"/>
    <w:rsid w:val="24E82290"/>
    <w:rsid w:val="25B51CD6"/>
    <w:rsid w:val="263500D1"/>
    <w:rsid w:val="265617F0"/>
    <w:rsid w:val="278E115C"/>
    <w:rsid w:val="28065CCB"/>
    <w:rsid w:val="299E6BFE"/>
    <w:rsid w:val="2B280569"/>
    <w:rsid w:val="2B7A50B4"/>
    <w:rsid w:val="2CD33373"/>
    <w:rsid w:val="2DC02647"/>
    <w:rsid w:val="2DF71334"/>
    <w:rsid w:val="30A9502B"/>
    <w:rsid w:val="31C111E4"/>
    <w:rsid w:val="31F1138D"/>
    <w:rsid w:val="321E1594"/>
    <w:rsid w:val="328D3004"/>
    <w:rsid w:val="34880A06"/>
    <w:rsid w:val="34E131EE"/>
    <w:rsid w:val="34E950E4"/>
    <w:rsid w:val="35937F0C"/>
    <w:rsid w:val="375D66BB"/>
    <w:rsid w:val="38314031"/>
    <w:rsid w:val="3A707F10"/>
    <w:rsid w:val="3AFD4854"/>
    <w:rsid w:val="3B6B19C2"/>
    <w:rsid w:val="3B963249"/>
    <w:rsid w:val="3C1B7B63"/>
    <w:rsid w:val="3C84487F"/>
    <w:rsid w:val="3E9F347B"/>
    <w:rsid w:val="3F312907"/>
    <w:rsid w:val="3F3F1B06"/>
    <w:rsid w:val="405568E6"/>
    <w:rsid w:val="4136379D"/>
    <w:rsid w:val="44845F69"/>
    <w:rsid w:val="44F7014F"/>
    <w:rsid w:val="48BA1BBF"/>
    <w:rsid w:val="49390A5B"/>
    <w:rsid w:val="4CF11927"/>
    <w:rsid w:val="4D6B339F"/>
    <w:rsid w:val="4DAF3530"/>
    <w:rsid w:val="50B45146"/>
    <w:rsid w:val="517C4963"/>
    <w:rsid w:val="524B278B"/>
    <w:rsid w:val="52E41C8D"/>
    <w:rsid w:val="544A7053"/>
    <w:rsid w:val="54530B87"/>
    <w:rsid w:val="55AD39E6"/>
    <w:rsid w:val="56FF337D"/>
    <w:rsid w:val="575253A9"/>
    <w:rsid w:val="58B46D0A"/>
    <w:rsid w:val="59FB07B9"/>
    <w:rsid w:val="5CC64D1F"/>
    <w:rsid w:val="5EF37781"/>
    <w:rsid w:val="6036417E"/>
    <w:rsid w:val="60987D3C"/>
    <w:rsid w:val="615F445D"/>
    <w:rsid w:val="61883DFC"/>
    <w:rsid w:val="62A60731"/>
    <w:rsid w:val="67875410"/>
    <w:rsid w:val="67EA0050"/>
    <w:rsid w:val="687C58DC"/>
    <w:rsid w:val="6B1F63D8"/>
    <w:rsid w:val="6E3B32AB"/>
    <w:rsid w:val="6FEC1164"/>
    <w:rsid w:val="70906F6A"/>
    <w:rsid w:val="71066EA0"/>
    <w:rsid w:val="72715183"/>
    <w:rsid w:val="75DC0B17"/>
    <w:rsid w:val="7A167F1E"/>
    <w:rsid w:val="7C4B500A"/>
    <w:rsid w:val="7E0740DA"/>
    <w:rsid w:val="7EA768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2">
    <w:name w:val="heading 1"/>
    <w:basedOn w:val="1"/>
    <w:next w:val="1"/>
    <w:link w:val="29"/>
    <w:qFormat/>
    <w:uiPriority w:val="0"/>
    <w:pPr>
      <w:keepNext/>
      <w:keepLines/>
      <w:spacing w:before="120" w:after="120"/>
      <w:jc w:val="center"/>
      <w:outlineLvl w:val="0"/>
    </w:pPr>
    <w:rPr>
      <w:rFonts w:ascii="Calibri" w:hAnsi="Calibri"/>
      <w:b/>
      <w:kern w:val="44"/>
      <w:sz w:val="44"/>
    </w:rPr>
  </w:style>
  <w:style w:type="paragraph" w:styleId="3">
    <w:name w:val="heading 2"/>
    <w:basedOn w:val="1"/>
    <w:next w:val="1"/>
    <w:link w:val="30"/>
    <w:qFormat/>
    <w:uiPriority w:val="0"/>
    <w:pPr>
      <w:keepNext/>
      <w:keepLines/>
      <w:spacing w:before="140" w:after="140" w:line="413" w:lineRule="auto"/>
      <w:jc w:val="center"/>
      <w:outlineLvl w:val="1"/>
    </w:pPr>
    <w:rPr>
      <w:rFonts w:ascii="Arial" w:hAnsi="Arial"/>
      <w:b/>
      <w:sz w:val="28"/>
    </w:rPr>
  </w:style>
  <w:style w:type="paragraph" w:styleId="4">
    <w:name w:val="heading 3"/>
    <w:basedOn w:val="1"/>
    <w:next w:val="1"/>
    <w:link w:val="31"/>
    <w:qFormat/>
    <w:uiPriority w:val="0"/>
    <w:pPr>
      <w:keepNext/>
      <w:keepLines/>
      <w:spacing w:before="260" w:after="260" w:line="416" w:lineRule="auto"/>
      <w:outlineLvl w:val="2"/>
    </w:pPr>
    <w:rPr>
      <w:b/>
      <w:bCs/>
      <w:sz w:val="32"/>
      <w:szCs w:val="32"/>
    </w:rPr>
  </w:style>
  <w:style w:type="paragraph" w:styleId="5">
    <w:name w:val="heading 4"/>
    <w:basedOn w:val="1"/>
    <w:next w:val="1"/>
    <w:link w:val="32"/>
    <w:qFormat/>
    <w:uiPriority w:val="0"/>
    <w:pPr>
      <w:keepNext/>
      <w:keepLines/>
      <w:outlineLvl w:val="3"/>
    </w:pPr>
    <w:rPr>
      <w:rFonts w:ascii="Arial" w:hAnsi="Arial" w:eastAsia="黑体"/>
      <w:bCs/>
      <w:sz w:val="24"/>
      <w:szCs w:val="28"/>
    </w:rPr>
  </w:style>
  <w:style w:type="paragraph" w:styleId="6">
    <w:name w:val="heading 5"/>
    <w:basedOn w:val="1"/>
    <w:next w:val="1"/>
    <w:link w:val="33"/>
    <w:qFormat/>
    <w:uiPriority w:val="0"/>
    <w:pPr>
      <w:keepNext/>
      <w:keepLines/>
      <w:spacing w:before="280" w:after="290" w:line="376" w:lineRule="auto"/>
      <w:outlineLvl w:val="4"/>
    </w:pPr>
    <w:rPr>
      <w:b/>
      <w:bCs/>
      <w:sz w:val="28"/>
      <w:szCs w:val="28"/>
    </w:rPr>
  </w:style>
  <w:style w:type="character" w:default="1" w:styleId="23">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7">
    <w:name w:val="table of authorities"/>
    <w:basedOn w:val="1"/>
    <w:next w:val="1"/>
    <w:qFormat/>
    <w:uiPriority w:val="99"/>
    <w:pPr>
      <w:ind w:left="420" w:leftChars="200"/>
    </w:pPr>
  </w:style>
  <w:style w:type="paragraph" w:styleId="8">
    <w:name w:val="Normal Indent"/>
    <w:basedOn w:val="1"/>
    <w:qFormat/>
    <w:uiPriority w:val="0"/>
    <w:pPr>
      <w:spacing w:line="360" w:lineRule="auto"/>
      <w:ind w:firstLine="420" w:firstLineChars="200"/>
    </w:pPr>
    <w:rPr>
      <w:rFonts w:eastAsia="宋体"/>
    </w:rPr>
  </w:style>
  <w:style w:type="paragraph" w:styleId="9">
    <w:name w:val="Document Map"/>
    <w:basedOn w:val="1"/>
    <w:link w:val="34"/>
    <w:qFormat/>
    <w:uiPriority w:val="0"/>
    <w:rPr>
      <w:rFonts w:ascii="宋体" w:hAnsi="Calibri"/>
      <w:sz w:val="18"/>
      <w:szCs w:val="18"/>
    </w:rPr>
  </w:style>
  <w:style w:type="paragraph" w:styleId="10">
    <w:name w:val="annotation text"/>
    <w:basedOn w:val="1"/>
    <w:link w:val="35"/>
    <w:qFormat/>
    <w:uiPriority w:val="0"/>
    <w:pPr>
      <w:jc w:val="left"/>
    </w:pPr>
    <w:rPr>
      <w:rFonts w:ascii="Calibri" w:hAnsi="Calibri"/>
    </w:rPr>
  </w:style>
  <w:style w:type="paragraph" w:styleId="11">
    <w:name w:val="Body Text"/>
    <w:basedOn w:val="1"/>
    <w:next w:val="1"/>
    <w:link w:val="36"/>
    <w:qFormat/>
    <w:uiPriority w:val="0"/>
    <w:pPr>
      <w:spacing w:after="120"/>
    </w:pPr>
    <w:rPr>
      <w:szCs w:val="22"/>
    </w:rPr>
  </w:style>
  <w:style w:type="paragraph" w:styleId="12">
    <w:name w:val="Body Text Indent"/>
    <w:basedOn w:val="1"/>
    <w:next w:val="1"/>
    <w:qFormat/>
    <w:uiPriority w:val="0"/>
    <w:pPr>
      <w:ind w:left="-531" w:leftChars="-253" w:firstLine="753" w:firstLineChars="251"/>
    </w:pPr>
    <w:rPr>
      <w:rFonts w:eastAsia="黑体"/>
      <w:kern w:val="10"/>
      <w:sz w:val="30"/>
      <w:szCs w:val="20"/>
    </w:rPr>
  </w:style>
  <w:style w:type="paragraph" w:styleId="13">
    <w:name w:val="Plain Text"/>
    <w:basedOn w:val="1"/>
    <w:link w:val="37"/>
    <w:qFormat/>
    <w:uiPriority w:val="0"/>
    <w:rPr>
      <w:rFonts w:ascii="宋体" w:hAnsi="Courier New" w:cs="Courier New"/>
      <w:szCs w:val="21"/>
    </w:rPr>
  </w:style>
  <w:style w:type="paragraph" w:styleId="14">
    <w:name w:val="Body Text Indent 2"/>
    <w:basedOn w:val="1"/>
    <w:link w:val="38"/>
    <w:qFormat/>
    <w:uiPriority w:val="0"/>
    <w:pPr>
      <w:spacing w:after="120" w:line="480" w:lineRule="auto"/>
      <w:ind w:left="420" w:leftChars="200"/>
    </w:pPr>
  </w:style>
  <w:style w:type="paragraph" w:styleId="15">
    <w:name w:val="Balloon Text"/>
    <w:basedOn w:val="1"/>
    <w:link w:val="39"/>
    <w:qFormat/>
    <w:uiPriority w:val="0"/>
    <w:rPr>
      <w:rFonts w:ascii="Calibri" w:hAnsi="Calibri"/>
      <w:sz w:val="18"/>
      <w:szCs w:val="18"/>
    </w:rPr>
  </w:style>
  <w:style w:type="paragraph" w:styleId="16">
    <w:name w:val="footer"/>
    <w:basedOn w:val="1"/>
    <w:qFormat/>
    <w:uiPriority w:val="0"/>
    <w:pPr>
      <w:tabs>
        <w:tab w:val="center" w:pos="4153"/>
        <w:tab w:val="right" w:pos="8306"/>
      </w:tabs>
      <w:snapToGrid w:val="0"/>
      <w:jc w:val="left"/>
    </w:pPr>
    <w:rPr>
      <w:sz w:val="18"/>
    </w:rPr>
  </w:style>
  <w:style w:type="paragraph" w:styleId="17">
    <w:name w:val="header"/>
    <w:basedOn w:val="1"/>
    <w:link w:val="40"/>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8">
    <w:name w:val="toc 1"/>
    <w:basedOn w:val="1"/>
    <w:next w:val="1"/>
    <w:qFormat/>
    <w:uiPriority w:val="0"/>
  </w:style>
  <w:style w:type="paragraph" w:styleId="19">
    <w:name w:val="Normal (Web)"/>
    <w:basedOn w:val="1"/>
    <w:link w:val="41"/>
    <w:qFormat/>
    <w:uiPriority w:val="0"/>
    <w:pPr>
      <w:widowControl/>
      <w:spacing w:before="100" w:beforeAutospacing="1" w:after="100" w:afterAutospacing="1"/>
      <w:jc w:val="left"/>
    </w:pPr>
    <w:rPr>
      <w:rFonts w:ascii="宋体" w:hAnsi="宋体" w:cs="宋体"/>
      <w:sz w:val="24"/>
    </w:rPr>
  </w:style>
  <w:style w:type="paragraph" w:styleId="20">
    <w:name w:val="annotation subject"/>
    <w:basedOn w:val="10"/>
    <w:next w:val="10"/>
    <w:link w:val="42"/>
    <w:qFormat/>
    <w:uiPriority w:val="0"/>
    <w:rPr>
      <w:b/>
      <w:bCs/>
    </w:rPr>
  </w:style>
  <w:style w:type="paragraph" w:styleId="21">
    <w:name w:val="Body Text First Indent 2"/>
    <w:basedOn w:val="12"/>
    <w:next w:val="1"/>
    <w:qFormat/>
    <w:uiPriority w:val="0"/>
    <w:pPr>
      <w:ind w:firstLine="420"/>
    </w:pPr>
    <w:rPr>
      <w:rFonts w:ascii="DengXian" w:hAnsi="DengXian" w:eastAsia="DengXian"/>
    </w:rPr>
  </w:style>
  <w:style w:type="character" w:styleId="24">
    <w:name w:val="Strong"/>
    <w:basedOn w:val="23"/>
    <w:qFormat/>
    <w:uiPriority w:val="0"/>
    <w:rPr>
      <w:b/>
    </w:rPr>
  </w:style>
  <w:style w:type="character" w:styleId="25">
    <w:name w:val="page number"/>
    <w:basedOn w:val="23"/>
    <w:qFormat/>
    <w:uiPriority w:val="0"/>
  </w:style>
  <w:style w:type="character" w:styleId="26">
    <w:name w:val="Hyperlink"/>
    <w:qFormat/>
    <w:uiPriority w:val="0"/>
    <w:rPr>
      <w:color w:val="0000FF"/>
      <w:u w:val="single"/>
    </w:rPr>
  </w:style>
  <w:style w:type="character" w:styleId="27">
    <w:name w:val="annotation reference"/>
    <w:basedOn w:val="23"/>
    <w:qFormat/>
    <w:uiPriority w:val="0"/>
    <w:rPr>
      <w:sz w:val="21"/>
      <w:szCs w:val="21"/>
    </w:rPr>
  </w:style>
  <w:style w:type="paragraph" w:customStyle="1" w:styleId="28">
    <w:name w:val="Default"/>
    <w:unhideWhenUsed/>
    <w:qFormat/>
    <w:uiPriority w:val="99"/>
    <w:pPr>
      <w:widowControl w:val="0"/>
      <w:autoSpaceDE w:val="0"/>
      <w:autoSpaceDN w:val="0"/>
      <w:adjustRightInd w:val="0"/>
    </w:pPr>
    <w:rPr>
      <w:rFonts w:hint="eastAsia" w:ascii="宋体" w:hAnsi="宋体" w:eastAsia="宋体" w:cs="Times New Roman"/>
      <w:color w:val="000000"/>
      <w:sz w:val="24"/>
      <w:lang w:val="en-US" w:eastAsia="zh-CN" w:bidi="ar-SA"/>
    </w:rPr>
  </w:style>
  <w:style w:type="character" w:customStyle="1" w:styleId="29">
    <w:name w:val="标题 1 字符"/>
    <w:link w:val="2"/>
    <w:qFormat/>
    <w:uiPriority w:val="0"/>
    <w:rPr>
      <w:rFonts w:ascii="Calibri" w:hAnsi="Calibri" w:eastAsia="仿宋" w:cs="Times New Roman"/>
      <w:b/>
      <w:kern w:val="44"/>
      <w:sz w:val="44"/>
      <w:szCs w:val="24"/>
    </w:rPr>
  </w:style>
  <w:style w:type="character" w:customStyle="1" w:styleId="30">
    <w:name w:val="标题 2 字符1"/>
    <w:basedOn w:val="23"/>
    <w:link w:val="3"/>
    <w:qFormat/>
    <w:uiPriority w:val="0"/>
    <w:rPr>
      <w:rFonts w:ascii="Arial" w:hAnsi="Arial" w:eastAsia="仿宋"/>
      <w:b/>
      <w:kern w:val="2"/>
      <w:sz w:val="28"/>
      <w:szCs w:val="24"/>
    </w:rPr>
  </w:style>
  <w:style w:type="character" w:customStyle="1" w:styleId="31">
    <w:name w:val="标题 3 字符"/>
    <w:basedOn w:val="23"/>
    <w:link w:val="4"/>
    <w:qFormat/>
    <w:uiPriority w:val="0"/>
    <w:rPr>
      <w:rFonts w:ascii="Times New Roman" w:hAnsi="Times New Roman" w:cs="Times New Roman"/>
      <w:b/>
      <w:bCs/>
      <w:kern w:val="2"/>
      <w:sz w:val="32"/>
      <w:szCs w:val="32"/>
    </w:rPr>
  </w:style>
  <w:style w:type="character" w:customStyle="1" w:styleId="32">
    <w:name w:val="标题 4 字符"/>
    <w:basedOn w:val="23"/>
    <w:link w:val="5"/>
    <w:qFormat/>
    <w:uiPriority w:val="0"/>
    <w:rPr>
      <w:rFonts w:ascii="Arial" w:hAnsi="Arial" w:eastAsia="黑体"/>
      <w:bCs/>
      <w:sz w:val="24"/>
      <w:szCs w:val="28"/>
    </w:rPr>
  </w:style>
  <w:style w:type="character" w:customStyle="1" w:styleId="33">
    <w:name w:val="标题 5 字符"/>
    <w:basedOn w:val="23"/>
    <w:link w:val="6"/>
    <w:qFormat/>
    <w:uiPriority w:val="0"/>
    <w:rPr>
      <w:rFonts w:ascii="Times New Roman" w:hAnsi="Times New Roman" w:cs="Times New Roman"/>
      <w:b/>
      <w:bCs/>
      <w:kern w:val="2"/>
      <w:sz w:val="28"/>
      <w:szCs w:val="28"/>
    </w:rPr>
  </w:style>
  <w:style w:type="character" w:customStyle="1" w:styleId="34">
    <w:name w:val="文档结构图 字符"/>
    <w:link w:val="9"/>
    <w:qFormat/>
    <w:uiPriority w:val="0"/>
    <w:rPr>
      <w:rFonts w:ascii="宋体" w:hAnsi="Calibri" w:cs="Times New Roman"/>
      <w:kern w:val="2"/>
      <w:sz w:val="18"/>
      <w:szCs w:val="18"/>
    </w:rPr>
  </w:style>
  <w:style w:type="character" w:customStyle="1" w:styleId="35">
    <w:name w:val="批注文字 字符"/>
    <w:link w:val="10"/>
    <w:qFormat/>
    <w:uiPriority w:val="0"/>
    <w:rPr>
      <w:rFonts w:ascii="Calibri" w:hAnsi="Calibri" w:eastAsia="仿宋" w:cs="Times New Roman"/>
      <w:kern w:val="2"/>
      <w:sz w:val="21"/>
      <w:szCs w:val="24"/>
    </w:rPr>
  </w:style>
  <w:style w:type="character" w:customStyle="1" w:styleId="36">
    <w:name w:val="正文文本 字符"/>
    <w:basedOn w:val="23"/>
    <w:link w:val="11"/>
    <w:qFormat/>
    <w:uiPriority w:val="0"/>
    <w:rPr>
      <w:rFonts w:ascii="Times New Roman" w:hAnsi="Times New Roman" w:cs="Times New Roman"/>
      <w:kern w:val="2"/>
      <w:sz w:val="21"/>
      <w:szCs w:val="22"/>
    </w:rPr>
  </w:style>
  <w:style w:type="character" w:customStyle="1" w:styleId="37">
    <w:name w:val="纯文本 字符"/>
    <w:basedOn w:val="23"/>
    <w:link w:val="13"/>
    <w:qFormat/>
    <w:uiPriority w:val="0"/>
    <w:rPr>
      <w:rFonts w:ascii="宋体" w:hAnsi="Courier New" w:eastAsia="仿宋" w:cs="Courier New"/>
      <w:kern w:val="2"/>
      <w:sz w:val="21"/>
      <w:szCs w:val="21"/>
    </w:rPr>
  </w:style>
  <w:style w:type="character" w:customStyle="1" w:styleId="38">
    <w:name w:val="正文文本缩进 2 字符"/>
    <w:link w:val="14"/>
    <w:qFormat/>
    <w:uiPriority w:val="0"/>
    <w:rPr>
      <w:kern w:val="2"/>
      <w:sz w:val="21"/>
      <w:szCs w:val="24"/>
    </w:rPr>
  </w:style>
  <w:style w:type="character" w:customStyle="1" w:styleId="39">
    <w:name w:val="批注框文本 字符"/>
    <w:link w:val="15"/>
    <w:qFormat/>
    <w:uiPriority w:val="0"/>
    <w:rPr>
      <w:rFonts w:ascii="Calibri" w:hAnsi="Calibri" w:eastAsia="仿宋" w:cs="Times New Roman"/>
      <w:kern w:val="2"/>
      <w:sz w:val="18"/>
      <w:szCs w:val="18"/>
    </w:rPr>
  </w:style>
  <w:style w:type="character" w:customStyle="1" w:styleId="40">
    <w:name w:val="页眉 字符"/>
    <w:link w:val="17"/>
    <w:qFormat/>
    <w:uiPriority w:val="0"/>
    <w:rPr>
      <w:rFonts w:eastAsia="仿宋"/>
      <w:kern w:val="2"/>
      <w:sz w:val="18"/>
      <w:szCs w:val="24"/>
    </w:rPr>
  </w:style>
  <w:style w:type="character" w:customStyle="1" w:styleId="41">
    <w:name w:val="普通(网站) 字符"/>
    <w:link w:val="19"/>
    <w:qFormat/>
    <w:uiPriority w:val="0"/>
    <w:rPr>
      <w:rFonts w:ascii="宋体" w:hAnsi="宋体" w:cs="宋体"/>
      <w:sz w:val="24"/>
      <w:szCs w:val="24"/>
    </w:rPr>
  </w:style>
  <w:style w:type="character" w:customStyle="1" w:styleId="42">
    <w:name w:val="批注主题 字符"/>
    <w:link w:val="20"/>
    <w:qFormat/>
    <w:uiPriority w:val="0"/>
    <w:rPr>
      <w:rFonts w:ascii="Calibri" w:hAnsi="Calibri" w:eastAsia="仿宋" w:cs="Times New Roman"/>
      <w:b/>
      <w:bCs/>
      <w:kern w:val="2"/>
      <w:sz w:val="21"/>
      <w:szCs w:val="24"/>
    </w:rPr>
  </w:style>
  <w:style w:type="character" w:customStyle="1" w:styleId="43">
    <w:name w:val="批注框文本 Char Char"/>
    <w:basedOn w:val="23"/>
    <w:qFormat/>
    <w:uiPriority w:val="0"/>
    <w:rPr>
      <w:rFonts w:ascii="Times New Roman" w:hAnsi="Times New Roman" w:eastAsia="宋体" w:cs="Times New Roman"/>
      <w:sz w:val="18"/>
      <w:szCs w:val="18"/>
    </w:rPr>
  </w:style>
  <w:style w:type="character" w:customStyle="1" w:styleId="44">
    <w:name w:val="标题 2 字符"/>
    <w:qFormat/>
    <w:uiPriority w:val="0"/>
    <w:rPr>
      <w:rFonts w:ascii="Arial" w:hAnsi="Arial" w:eastAsia="黑体"/>
      <w:b/>
      <w:kern w:val="2"/>
      <w:sz w:val="32"/>
      <w:szCs w:val="24"/>
    </w:rPr>
  </w:style>
  <w:style w:type="character" w:customStyle="1" w:styleId="45">
    <w:name w:val="列表段落 字符"/>
    <w:link w:val="46"/>
    <w:qFormat/>
    <w:uiPriority w:val="0"/>
    <w:rPr>
      <w:rFonts w:eastAsia="仿宋"/>
      <w:kern w:val="2"/>
      <w:sz w:val="21"/>
      <w:szCs w:val="24"/>
    </w:rPr>
  </w:style>
  <w:style w:type="paragraph" w:customStyle="1" w:styleId="46">
    <w:name w:val="列表段落1"/>
    <w:basedOn w:val="1"/>
    <w:link w:val="45"/>
    <w:qFormat/>
    <w:uiPriority w:val="0"/>
    <w:pPr>
      <w:ind w:firstLine="420" w:firstLineChars="200"/>
    </w:pPr>
  </w:style>
  <w:style w:type="character" w:customStyle="1" w:styleId="47">
    <w:name w:val="正文文本缩进 2 Char1"/>
    <w:basedOn w:val="23"/>
    <w:qFormat/>
    <w:uiPriority w:val="0"/>
    <w:rPr>
      <w:rFonts w:eastAsia="仿宋"/>
      <w:kern w:val="2"/>
      <w:sz w:val="21"/>
      <w:szCs w:val="24"/>
    </w:rPr>
  </w:style>
  <w:style w:type="character" w:customStyle="1" w:styleId="48">
    <w:name w:val="标题 1 Char Char"/>
    <w:basedOn w:val="23"/>
    <w:qFormat/>
    <w:uiPriority w:val="0"/>
    <w:rPr>
      <w:rFonts w:ascii="Calibri" w:hAnsi="Calibri" w:eastAsia="仿宋" w:cs="Calibri"/>
      <w:b/>
      <w:bCs/>
      <w:kern w:val="44"/>
      <w:sz w:val="44"/>
      <w:szCs w:val="44"/>
    </w:rPr>
  </w:style>
  <w:style w:type="character" w:customStyle="1" w:styleId="49">
    <w:name w:val="批注文字 Char Char"/>
    <w:basedOn w:val="23"/>
    <w:qFormat/>
    <w:uiPriority w:val="0"/>
    <w:rPr>
      <w:rFonts w:ascii="Times New Roman" w:hAnsi="Times New Roman" w:eastAsia="宋体" w:cs="Times New Roman"/>
      <w:szCs w:val="24"/>
    </w:rPr>
  </w:style>
  <w:style w:type="character" w:customStyle="1" w:styleId="50">
    <w:name w:val="页脚 字符"/>
    <w:qFormat/>
    <w:uiPriority w:val="0"/>
    <w:rPr>
      <w:rFonts w:eastAsia="仿宋"/>
      <w:kern w:val="2"/>
      <w:sz w:val="18"/>
      <w:szCs w:val="24"/>
    </w:rPr>
  </w:style>
  <w:style w:type="character" w:customStyle="1" w:styleId="51">
    <w:name w:val="文档结构图 Char Char"/>
    <w:basedOn w:val="23"/>
    <w:qFormat/>
    <w:uiPriority w:val="0"/>
    <w:rPr>
      <w:rFonts w:ascii="宋体" w:hAnsi="Calibri" w:eastAsia="宋体" w:cs="Calibri"/>
      <w:sz w:val="18"/>
      <w:szCs w:val="18"/>
    </w:rPr>
  </w:style>
  <w:style w:type="character" w:customStyle="1" w:styleId="52">
    <w:name w:val="批注主题 Char Char"/>
    <w:basedOn w:val="49"/>
    <w:qFormat/>
    <w:uiPriority w:val="0"/>
    <w:rPr>
      <w:rFonts w:ascii="Times New Roman" w:hAnsi="Times New Roman" w:eastAsia="宋体" w:cs="Times New Roman"/>
      <w:b/>
      <w:bCs/>
      <w:szCs w:val="24"/>
    </w:rPr>
  </w:style>
  <w:style w:type="character" w:customStyle="1" w:styleId="53">
    <w:name w:val="页脚 Char Char"/>
    <w:basedOn w:val="23"/>
    <w:qFormat/>
    <w:uiPriority w:val="0"/>
    <w:rPr>
      <w:rFonts w:ascii="Times New Roman" w:hAnsi="Times New Roman" w:eastAsia="宋体" w:cs="Times New Roman"/>
      <w:sz w:val="18"/>
      <w:szCs w:val="18"/>
    </w:rPr>
  </w:style>
  <w:style w:type="paragraph" w:customStyle="1" w:styleId="54">
    <w:name w:val="列表段落11"/>
    <w:basedOn w:val="1"/>
    <w:qFormat/>
    <w:uiPriority w:val="0"/>
    <w:pPr>
      <w:spacing w:line="360" w:lineRule="auto"/>
      <w:ind w:firstLine="420" w:firstLineChars="200"/>
    </w:pPr>
    <w:rPr>
      <w:rFonts w:eastAsia="宋体"/>
    </w:rPr>
  </w:style>
  <w:style w:type="paragraph" w:customStyle="1" w:styleId="55">
    <w:name w:val="列出段落1"/>
    <w:basedOn w:val="1"/>
    <w:qFormat/>
    <w:uiPriority w:val="0"/>
    <w:pPr>
      <w:ind w:firstLine="200" w:firstLineChars="200"/>
    </w:pPr>
    <w:rPr>
      <w:rFonts w:eastAsia="宋体"/>
      <w:szCs w:val="22"/>
    </w:rPr>
  </w:style>
  <w:style w:type="paragraph" w:customStyle="1" w:styleId="56">
    <w:name w:val="样式N"/>
    <w:basedOn w:val="57"/>
    <w:qFormat/>
    <w:uiPriority w:val="0"/>
    <w:rPr>
      <w:sz w:val="30"/>
    </w:rPr>
  </w:style>
  <w:style w:type="paragraph" w:customStyle="1" w:styleId="57">
    <w:name w:val="样式H"/>
    <w:basedOn w:val="2"/>
    <w:next w:val="1"/>
    <w:qFormat/>
    <w:uiPriority w:val="0"/>
    <w:pPr>
      <w:spacing w:before="100" w:line="500" w:lineRule="exact"/>
    </w:pPr>
  </w:style>
  <w:style w:type="paragraph" w:customStyle="1" w:styleId="5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59">
    <w:name w:val="列出段落11"/>
    <w:basedOn w:val="1"/>
    <w:qFormat/>
    <w:uiPriority w:val="0"/>
    <w:pPr>
      <w:ind w:firstLine="420" w:firstLineChars="200"/>
    </w:pPr>
    <w:rPr>
      <w:rFonts w:ascii="Calibri" w:hAnsi="Calibri" w:eastAsia="宋体"/>
      <w:szCs w:val="22"/>
      <w:lang w:val="zh-CN"/>
    </w:rPr>
  </w:style>
  <w:style w:type="paragraph" w:customStyle="1" w:styleId="60">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61">
    <w:name w:val="WPSOffice手动目录 1"/>
    <w:qFormat/>
    <w:uiPriority w:val="0"/>
    <w:rPr>
      <w:rFonts w:ascii="Times New Roman" w:hAnsi="Times New Roman" w:eastAsia="宋体" w:cs="Times New Roman"/>
      <w:lang w:val="en-US" w:eastAsia="zh-CN" w:bidi="ar-SA"/>
    </w:rPr>
  </w:style>
  <w:style w:type="paragraph" w:customStyle="1" w:styleId="62">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63">
    <w:name w:val="样式1"/>
    <w:basedOn w:val="1"/>
    <w:qFormat/>
    <w:uiPriority w:val="0"/>
    <w:pPr>
      <w:numPr>
        <w:ilvl w:val="0"/>
        <w:numId w:val="1"/>
      </w:numPr>
      <w:adjustRightInd w:val="0"/>
      <w:textAlignment w:val="baseline"/>
    </w:pPr>
    <w:rPr>
      <w:rFonts w:ascii="宋体" w:hAnsi="宋体"/>
      <w:kern w:val="0"/>
      <w:szCs w:val="21"/>
    </w:rPr>
  </w:style>
  <w:style w:type="character" w:customStyle="1" w:styleId="64">
    <w:name w:val="NormalCharacter"/>
    <w:qFormat/>
    <w:uiPriority w:val="0"/>
  </w:style>
  <w:style w:type="character" w:customStyle="1" w:styleId="65">
    <w:name w:val="font21"/>
    <w:qFormat/>
    <w:uiPriority w:val="0"/>
    <w:rPr>
      <w:rFonts w:hint="eastAsia" w:ascii="宋体" w:hAnsi="宋体" w:eastAsia="宋体" w:cs="宋体"/>
      <w:color w:val="000000"/>
      <w:sz w:val="24"/>
      <w:szCs w:val="24"/>
      <w:u w:val="none"/>
    </w:rPr>
  </w:style>
  <w:style w:type="paragraph" w:customStyle="1" w:styleId="66">
    <w:name w:val="_Style 51"/>
    <w:basedOn w:val="1"/>
    <w:next w:val="46"/>
    <w:qFormat/>
    <w:uiPriority w:val="0"/>
    <w:pPr>
      <w:widowControl/>
      <w:pBdr>
        <w:top w:val="none" w:color="000000" w:sz="0" w:space="0"/>
        <w:left w:val="none" w:color="000000" w:sz="0" w:space="0"/>
        <w:bottom w:val="none" w:color="000000" w:sz="0" w:space="0"/>
        <w:right w:val="none" w:color="000000" w:sz="0" w:space="0"/>
        <w:between w:val="none" w:color="000000" w:sz="0" w:space="0"/>
      </w:pBdr>
      <w:ind w:firstLine="420"/>
      <w:jc w:val="left"/>
    </w:pPr>
    <w:rPr>
      <w:kern w:val="0"/>
      <w:sz w:val="20"/>
      <w:lang w:eastAsia="en-US" w:bidi="en-US"/>
    </w:rPr>
  </w:style>
  <w:style w:type="paragraph" w:customStyle="1" w:styleId="6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8">
    <w:name w:val="p0"/>
    <w:basedOn w:val="1"/>
    <w:qFormat/>
    <w:uiPriority w:val="0"/>
    <w:pPr>
      <w:widowControl/>
    </w:pPr>
    <w:rPr>
      <w:rFonts w:eastAsia="宋体"/>
      <w:kern w:val="0"/>
      <w:szCs w:val="21"/>
    </w:rPr>
  </w:style>
  <w:style w:type="paragraph" w:customStyle="1" w:styleId="69">
    <w:name w:val="_Style 3"/>
    <w:qFormat/>
    <w:uiPriority w:val="0"/>
    <w:pPr>
      <w:widowControl w:val="0"/>
      <w:jc w:val="both"/>
    </w:pPr>
    <w:rPr>
      <w:rFonts w:ascii="Calibri" w:hAnsi="Calibri" w:eastAsia="宋体" w:cs="Times New Roman"/>
      <w:kern w:val="2"/>
      <w:sz w:val="21"/>
      <w:szCs w:val="22"/>
      <w:lang w:val="en-US" w:eastAsia="zh-CN" w:bidi="ar-SA"/>
    </w:rPr>
  </w:style>
  <w:style w:type="character" w:customStyle="1" w:styleId="70">
    <w:name w:val="font11"/>
    <w:basedOn w:val="23"/>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宋体"/>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.~WRD3012</Template>
  <Company>Microsoft</Company>
  <Pages>95</Pages>
  <Words>15246</Words>
  <Characters>16378</Characters>
  <Lines>487</Lines>
  <Paragraphs>137</Paragraphs>
  <TotalTime>29</TotalTime>
  <ScaleCrop>false</ScaleCrop>
  <LinksUpToDate>false</LinksUpToDate>
  <CharactersWithSpaces>16901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2019-11-26T12:18:00Z</dcterms:created>
  <dc:creator>meimei</dc:creator>
  <cp:lastModifiedBy>tongli</cp:lastModifiedBy>
  <cp:lastPrinted>2020-12-09T02:14:00Z</cp:lastPrinted>
  <dcterms:modified xsi:type="dcterms:W3CDTF">2025-08-06T05:17:47Z</dcterms:modified>
  <dc:title>辽宁省政府采购项目</dc:title>
  <cp:revision>393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FC7E4B598F1D4854966B463F80EA8C36_13</vt:lpwstr>
  </property>
  <property fmtid="{D5CDD505-2E9C-101B-9397-08002B2CF9AE}" pid="4" name="KSOTemplateDocerSaveRecord">
    <vt:lpwstr>eyJoZGlkIjoiYzUyYTJmOTRhYmJiMTQyODAzYjdkNzZkODY5ZDE0MjUiLCJ1c2VySWQiOiI2MTkzMjU2MjYifQ==</vt:lpwstr>
  </property>
</Properties>
</file>