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27379A">
      <w:pPr>
        <w:keepNext w:val="0"/>
        <w:keepLines w:val="0"/>
        <w:pageBreakBefore w:val="0"/>
        <w:widowControl w:val="0"/>
        <w:shd w:val="clear" w:color="auto" w:fill="auto"/>
        <w:kinsoku w:val="0"/>
        <w:wordWrap w:val="0"/>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color w:val="auto"/>
          <w:sz w:val="44"/>
          <w:szCs w:val="44"/>
          <w:highlight w:val="none"/>
        </w:rPr>
      </w:pPr>
    </w:p>
    <w:p w14:paraId="41D09903">
      <w:pPr>
        <w:keepNext w:val="0"/>
        <w:keepLines w:val="0"/>
        <w:pageBreakBefore w:val="0"/>
        <w:widowControl w:val="0"/>
        <w:shd w:val="clear" w:color="auto" w:fill="auto"/>
        <w:kinsoku w:val="0"/>
        <w:wordWrap w:val="0"/>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b/>
          <w:color w:val="auto"/>
          <w:sz w:val="40"/>
          <w:szCs w:val="40"/>
          <w:highlight w:val="none"/>
          <w:lang w:eastAsia="zh-CN"/>
        </w:rPr>
      </w:pPr>
      <w:r>
        <w:rPr>
          <w:rFonts w:hint="eastAsia" w:asciiTheme="minorEastAsia" w:hAnsiTheme="minorEastAsia" w:eastAsiaTheme="minorEastAsia" w:cstheme="minorEastAsia"/>
          <w:b/>
          <w:color w:val="auto"/>
          <w:sz w:val="40"/>
          <w:szCs w:val="40"/>
          <w:highlight w:val="none"/>
          <w:lang w:eastAsia="zh-CN"/>
        </w:rPr>
        <w:t>文笔小学功能室、食堂及信息化设备采购</w:t>
      </w:r>
    </w:p>
    <w:p w14:paraId="3B0D4F8B">
      <w:pPr>
        <w:keepNext w:val="0"/>
        <w:keepLines w:val="0"/>
        <w:pageBreakBefore w:val="0"/>
        <w:widowControl w:val="0"/>
        <w:shd w:val="clear" w:color="auto" w:fill="auto"/>
        <w:kinsoku w:val="0"/>
        <w:wordWrap w:val="0"/>
        <w:bidi w:val="0"/>
        <w:textAlignment w:val="auto"/>
        <w:rPr>
          <w:rFonts w:hint="eastAsia" w:asciiTheme="minorEastAsia" w:hAnsiTheme="minorEastAsia" w:eastAsiaTheme="minorEastAsia" w:cstheme="minorEastAsia"/>
          <w:color w:val="auto"/>
          <w:sz w:val="52"/>
          <w:szCs w:val="52"/>
          <w:highlight w:val="none"/>
        </w:rPr>
      </w:pPr>
    </w:p>
    <w:p w14:paraId="7E8A4468">
      <w:pPr>
        <w:pStyle w:val="9"/>
        <w:keepNext w:val="0"/>
        <w:keepLines w:val="0"/>
        <w:pageBreakBefore w:val="0"/>
        <w:widowControl w:val="0"/>
        <w:shd w:val="clear" w:color="auto" w:fill="auto"/>
        <w:kinsoku w:val="0"/>
        <w:wordWrap w:val="0"/>
        <w:bidi w:val="0"/>
        <w:textAlignment w:val="auto"/>
        <w:rPr>
          <w:rFonts w:hint="eastAsia" w:asciiTheme="minorEastAsia" w:hAnsiTheme="minorEastAsia" w:eastAsiaTheme="minorEastAsia" w:cstheme="minorEastAsia"/>
          <w:color w:val="auto"/>
          <w:highlight w:val="none"/>
        </w:rPr>
      </w:pPr>
    </w:p>
    <w:p w14:paraId="4CCD6121">
      <w:pPr>
        <w:pStyle w:val="9"/>
        <w:keepNext w:val="0"/>
        <w:keepLines w:val="0"/>
        <w:pageBreakBefore w:val="0"/>
        <w:widowControl w:val="0"/>
        <w:shd w:val="clear" w:color="auto" w:fill="auto"/>
        <w:kinsoku w:val="0"/>
        <w:wordWrap w:val="0"/>
        <w:bidi w:val="0"/>
        <w:textAlignment w:val="auto"/>
        <w:rPr>
          <w:rFonts w:hint="eastAsia" w:asciiTheme="minorEastAsia" w:hAnsiTheme="minorEastAsia" w:eastAsiaTheme="minorEastAsia" w:cstheme="minorEastAsia"/>
          <w:color w:val="auto"/>
          <w:highlight w:val="none"/>
        </w:rPr>
      </w:pPr>
    </w:p>
    <w:p w14:paraId="20E2D7F6">
      <w:pPr>
        <w:pStyle w:val="11"/>
        <w:keepNext w:val="0"/>
        <w:keepLines w:val="0"/>
        <w:pageBreakBefore w:val="0"/>
        <w:widowControl w:val="0"/>
        <w:shd w:val="clear" w:color="auto" w:fill="auto"/>
        <w:kinsoku w:val="0"/>
        <w:wordWrap w:val="0"/>
        <w:bidi w:val="0"/>
        <w:jc w:val="center"/>
        <w:textAlignment w:val="auto"/>
        <w:rPr>
          <w:rFonts w:hint="eastAsia" w:asciiTheme="minorEastAsia" w:hAnsiTheme="minorEastAsia" w:eastAsiaTheme="minorEastAsia" w:cstheme="minorEastAsia"/>
          <w:color w:val="auto"/>
          <w:sz w:val="72"/>
          <w:highlight w:val="none"/>
        </w:rPr>
      </w:pPr>
    </w:p>
    <w:p w14:paraId="410079BD">
      <w:pPr>
        <w:pStyle w:val="11"/>
        <w:keepNext w:val="0"/>
        <w:keepLines w:val="0"/>
        <w:pageBreakBefore w:val="0"/>
        <w:widowControl w:val="0"/>
        <w:shd w:val="clear" w:color="auto" w:fill="auto"/>
        <w:kinsoku w:val="0"/>
        <w:wordWrap w:val="0"/>
        <w:bidi w:val="0"/>
        <w:jc w:val="both"/>
        <w:textAlignment w:val="auto"/>
        <w:rPr>
          <w:rFonts w:hint="eastAsia" w:asciiTheme="minorEastAsia" w:hAnsiTheme="minorEastAsia" w:eastAsiaTheme="minorEastAsia" w:cstheme="minorEastAsia"/>
          <w:color w:val="auto"/>
          <w:sz w:val="72"/>
          <w:highlight w:val="none"/>
        </w:rPr>
      </w:pPr>
    </w:p>
    <w:p w14:paraId="763B31E3">
      <w:pPr>
        <w:keepNext w:val="0"/>
        <w:keepLines w:val="0"/>
        <w:pageBreakBefore w:val="0"/>
        <w:widowControl w:val="0"/>
        <w:shd w:val="clear" w:color="auto" w:fill="auto"/>
        <w:kinsoku w:val="0"/>
        <w:wordWrap w:val="0"/>
        <w:bidi w:val="0"/>
        <w:jc w:val="center"/>
        <w:textAlignment w:val="auto"/>
        <w:rPr>
          <w:rFonts w:hint="eastAsia" w:asciiTheme="minorEastAsia" w:hAnsiTheme="minorEastAsia" w:eastAsiaTheme="minorEastAsia" w:cstheme="minorEastAsia"/>
          <w:b/>
          <w:color w:val="auto"/>
          <w:sz w:val="52"/>
          <w:highlight w:val="none"/>
        </w:rPr>
      </w:pPr>
      <w:r>
        <w:rPr>
          <w:rFonts w:hint="eastAsia" w:asciiTheme="minorEastAsia" w:hAnsiTheme="minorEastAsia" w:eastAsiaTheme="minorEastAsia" w:cstheme="minorEastAsia"/>
          <w:b/>
          <w:color w:val="auto"/>
          <w:sz w:val="52"/>
          <w:highlight w:val="none"/>
          <w:lang w:val="en-US" w:eastAsia="zh-CN"/>
        </w:rPr>
        <w:t xml:space="preserve">采   购   </w:t>
      </w:r>
      <w:r>
        <w:rPr>
          <w:rFonts w:hint="eastAsia" w:asciiTheme="minorEastAsia" w:hAnsiTheme="minorEastAsia" w:eastAsiaTheme="minorEastAsia" w:cstheme="minorEastAsia"/>
          <w:b/>
          <w:color w:val="auto"/>
          <w:sz w:val="52"/>
          <w:highlight w:val="none"/>
        </w:rPr>
        <w:t>文</w:t>
      </w:r>
      <w:r>
        <w:rPr>
          <w:rFonts w:hint="eastAsia" w:asciiTheme="minorEastAsia" w:hAnsiTheme="minorEastAsia" w:eastAsiaTheme="minorEastAsia" w:cstheme="minorEastAsia"/>
          <w:b/>
          <w:color w:val="auto"/>
          <w:sz w:val="52"/>
          <w:highlight w:val="none"/>
          <w:lang w:val="en-US" w:eastAsia="zh-CN"/>
        </w:rPr>
        <w:t xml:space="preserve">   </w:t>
      </w:r>
      <w:r>
        <w:rPr>
          <w:rFonts w:hint="eastAsia" w:asciiTheme="minorEastAsia" w:hAnsiTheme="minorEastAsia" w:eastAsiaTheme="minorEastAsia" w:cstheme="minorEastAsia"/>
          <w:b/>
          <w:color w:val="auto"/>
          <w:sz w:val="52"/>
          <w:highlight w:val="none"/>
        </w:rPr>
        <w:t>件</w:t>
      </w:r>
    </w:p>
    <w:p w14:paraId="31EEF7A7">
      <w:pPr>
        <w:pStyle w:val="11"/>
        <w:keepNext w:val="0"/>
        <w:keepLines w:val="0"/>
        <w:pageBreakBefore w:val="0"/>
        <w:widowControl w:val="0"/>
        <w:shd w:val="clear" w:color="auto" w:fill="auto"/>
        <w:kinsoku w:val="0"/>
        <w:wordWrap w:val="0"/>
        <w:bidi w:val="0"/>
        <w:jc w:val="center"/>
        <w:textAlignment w:val="auto"/>
        <w:rPr>
          <w:rFonts w:hint="eastAsia" w:asciiTheme="minorEastAsia" w:hAnsiTheme="minorEastAsia" w:eastAsiaTheme="minorEastAsia" w:cstheme="minorEastAsia"/>
          <w:b/>
          <w:color w:val="auto"/>
          <w:sz w:val="32"/>
          <w:szCs w:val="32"/>
          <w:highlight w:val="none"/>
        </w:rPr>
      </w:pPr>
    </w:p>
    <w:p w14:paraId="6239CC02">
      <w:pPr>
        <w:pStyle w:val="11"/>
        <w:keepNext w:val="0"/>
        <w:keepLines w:val="0"/>
        <w:pageBreakBefore w:val="0"/>
        <w:widowControl w:val="0"/>
        <w:shd w:val="clear" w:color="auto" w:fill="auto"/>
        <w:kinsoku w:val="0"/>
        <w:wordWrap w:val="0"/>
        <w:bidi w:val="0"/>
        <w:jc w:val="center"/>
        <w:textAlignment w:val="auto"/>
        <w:rPr>
          <w:rFonts w:hint="eastAsia" w:asciiTheme="minorEastAsia" w:hAnsiTheme="minorEastAsia" w:eastAsiaTheme="minorEastAsia" w:cstheme="minorEastAsia"/>
          <w:b/>
          <w:color w:val="auto"/>
          <w:sz w:val="32"/>
          <w:szCs w:val="32"/>
          <w:highlight w:val="none"/>
          <w:lang w:val="en-US" w:eastAsia="zh-CN"/>
        </w:rPr>
      </w:pPr>
      <w:r>
        <w:rPr>
          <w:rFonts w:hint="eastAsia" w:asciiTheme="minorEastAsia" w:hAnsiTheme="minorEastAsia" w:eastAsiaTheme="minorEastAsia" w:cstheme="minorEastAsia"/>
          <w:b/>
          <w:color w:val="auto"/>
          <w:sz w:val="32"/>
          <w:szCs w:val="32"/>
          <w:highlight w:val="none"/>
        </w:rPr>
        <w:t>项目编号:</w:t>
      </w:r>
      <w:r>
        <w:rPr>
          <w:rFonts w:hint="eastAsia" w:asciiTheme="minorEastAsia" w:hAnsiTheme="minorEastAsia" w:eastAsiaTheme="minorEastAsia" w:cstheme="minorEastAsia"/>
          <w:b/>
          <w:color w:val="auto"/>
          <w:sz w:val="32"/>
          <w:szCs w:val="32"/>
          <w:highlight w:val="none"/>
          <w:lang w:eastAsia="zh-CN"/>
        </w:rPr>
        <w:t>YNGZ20250602</w:t>
      </w:r>
    </w:p>
    <w:p w14:paraId="50690B6B">
      <w:pPr>
        <w:pStyle w:val="11"/>
        <w:keepNext w:val="0"/>
        <w:keepLines w:val="0"/>
        <w:pageBreakBefore w:val="0"/>
        <w:widowControl w:val="0"/>
        <w:shd w:val="clear" w:color="auto" w:fill="auto"/>
        <w:kinsoku w:val="0"/>
        <w:wordWrap w:val="0"/>
        <w:bidi w:val="0"/>
        <w:textAlignment w:val="auto"/>
        <w:rPr>
          <w:rFonts w:hint="eastAsia" w:asciiTheme="minorEastAsia" w:hAnsiTheme="minorEastAsia" w:eastAsiaTheme="minorEastAsia" w:cstheme="minorEastAsia"/>
          <w:color w:val="auto"/>
          <w:highlight w:val="none"/>
        </w:rPr>
      </w:pPr>
    </w:p>
    <w:p w14:paraId="3495F057">
      <w:pPr>
        <w:pStyle w:val="11"/>
        <w:keepNext w:val="0"/>
        <w:keepLines w:val="0"/>
        <w:pageBreakBefore w:val="0"/>
        <w:widowControl w:val="0"/>
        <w:shd w:val="clear" w:color="auto" w:fill="auto"/>
        <w:kinsoku w:val="0"/>
        <w:wordWrap w:val="0"/>
        <w:bidi w:val="0"/>
        <w:textAlignment w:val="auto"/>
        <w:rPr>
          <w:rFonts w:hint="eastAsia" w:asciiTheme="minorEastAsia" w:hAnsiTheme="minorEastAsia" w:eastAsiaTheme="minorEastAsia" w:cstheme="minorEastAsia"/>
          <w:color w:val="auto"/>
          <w:highlight w:val="none"/>
        </w:rPr>
      </w:pPr>
    </w:p>
    <w:p w14:paraId="2790B6A1">
      <w:pPr>
        <w:pStyle w:val="11"/>
        <w:keepNext w:val="0"/>
        <w:keepLines w:val="0"/>
        <w:pageBreakBefore w:val="0"/>
        <w:widowControl w:val="0"/>
        <w:shd w:val="clear" w:color="auto" w:fill="auto"/>
        <w:kinsoku w:val="0"/>
        <w:wordWrap w:val="0"/>
        <w:bidi w:val="0"/>
        <w:textAlignment w:val="auto"/>
        <w:rPr>
          <w:rFonts w:hint="eastAsia" w:asciiTheme="minorEastAsia" w:hAnsiTheme="minorEastAsia" w:eastAsiaTheme="minorEastAsia" w:cstheme="minorEastAsia"/>
          <w:color w:val="auto"/>
          <w:sz w:val="36"/>
          <w:highlight w:val="none"/>
        </w:rPr>
      </w:pPr>
    </w:p>
    <w:p w14:paraId="55DF16F4">
      <w:pPr>
        <w:pStyle w:val="11"/>
        <w:keepNext w:val="0"/>
        <w:keepLines w:val="0"/>
        <w:pageBreakBefore w:val="0"/>
        <w:widowControl w:val="0"/>
        <w:shd w:val="clear" w:color="auto" w:fill="auto"/>
        <w:kinsoku w:val="0"/>
        <w:wordWrap w:val="0"/>
        <w:bidi w:val="0"/>
        <w:textAlignment w:val="auto"/>
        <w:rPr>
          <w:rFonts w:hint="eastAsia" w:asciiTheme="minorEastAsia" w:hAnsiTheme="minorEastAsia" w:eastAsiaTheme="minorEastAsia" w:cstheme="minorEastAsia"/>
          <w:color w:val="auto"/>
          <w:sz w:val="36"/>
          <w:highlight w:val="none"/>
        </w:rPr>
      </w:pPr>
    </w:p>
    <w:p w14:paraId="3AA43636">
      <w:pPr>
        <w:pStyle w:val="11"/>
        <w:keepNext w:val="0"/>
        <w:keepLines w:val="0"/>
        <w:pageBreakBefore w:val="0"/>
        <w:widowControl w:val="0"/>
        <w:shd w:val="clear" w:color="auto" w:fill="auto"/>
        <w:kinsoku w:val="0"/>
        <w:wordWrap w:val="0"/>
        <w:bidi w:val="0"/>
        <w:textAlignment w:val="auto"/>
        <w:rPr>
          <w:rFonts w:hint="eastAsia" w:asciiTheme="minorEastAsia" w:hAnsiTheme="minorEastAsia" w:eastAsiaTheme="minorEastAsia" w:cstheme="minorEastAsia"/>
          <w:color w:val="auto"/>
          <w:sz w:val="36"/>
          <w:highlight w:val="none"/>
        </w:rPr>
      </w:pPr>
    </w:p>
    <w:p w14:paraId="4216753F">
      <w:pPr>
        <w:keepNext w:val="0"/>
        <w:keepLines w:val="0"/>
        <w:pageBreakBefore w:val="0"/>
        <w:widowControl w:val="0"/>
        <w:shd w:val="clear" w:color="auto" w:fill="auto"/>
        <w:kinsoku w:val="0"/>
        <w:wordWrap w:val="0"/>
        <w:bidi w:val="0"/>
        <w:textAlignment w:val="auto"/>
        <w:rPr>
          <w:rFonts w:hint="eastAsia" w:asciiTheme="minorEastAsia" w:hAnsiTheme="minorEastAsia" w:eastAsiaTheme="minorEastAsia" w:cstheme="minorEastAsia"/>
          <w:color w:val="auto"/>
          <w:highlight w:val="none"/>
        </w:rPr>
      </w:pPr>
    </w:p>
    <w:p w14:paraId="0AA7360E">
      <w:pPr>
        <w:pStyle w:val="13"/>
        <w:keepNext w:val="0"/>
        <w:keepLines w:val="0"/>
        <w:pageBreakBefore w:val="0"/>
        <w:widowControl w:val="0"/>
        <w:shd w:val="clear" w:color="auto" w:fill="auto"/>
        <w:kinsoku w:val="0"/>
        <w:wordWrap w:val="0"/>
        <w:bidi w:val="0"/>
        <w:textAlignment w:val="auto"/>
        <w:rPr>
          <w:rFonts w:hint="eastAsia" w:asciiTheme="minorEastAsia" w:hAnsiTheme="minorEastAsia" w:eastAsiaTheme="minorEastAsia" w:cstheme="minorEastAsia"/>
          <w:color w:val="auto"/>
          <w:highlight w:val="none"/>
        </w:rPr>
      </w:pPr>
    </w:p>
    <w:p w14:paraId="629D44FF">
      <w:pPr>
        <w:pStyle w:val="9"/>
        <w:keepNext w:val="0"/>
        <w:keepLines w:val="0"/>
        <w:pageBreakBefore w:val="0"/>
        <w:widowControl w:val="0"/>
        <w:shd w:val="clear" w:color="auto" w:fill="auto"/>
        <w:kinsoku w:val="0"/>
        <w:wordWrap w:val="0"/>
        <w:bidi w:val="0"/>
        <w:textAlignment w:val="auto"/>
        <w:rPr>
          <w:rFonts w:hint="eastAsia" w:asciiTheme="minorEastAsia" w:hAnsiTheme="minorEastAsia" w:eastAsiaTheme="minorEastAsia" w:cstheme="minorEastAsia"/>
          <w:color w:val="auto"/>
          <w:highlight w:val="none"/>
        </w:rPr>
      </w:pPr>
    </w:p>
    <w:p w14:paraId="7CFCDCD9">
      <w:pPr>
        <w:keepNext w:val="0"/>
        <w:keepLines w:val="0"/>
        <w:pageBreakBefore w:val="0"/>
        <w:widowControl w:val="0"/>
        <w:shd w:val="clear" w:color="auto" w:fill="auto"/>
        <w:kinsoku w:val="0"/>
        <w:wordWrap w:val="0"/>
        <w:bidi w:val="0"/>
        <w:spacing w:line="800" w:lineRule="exact"/>
        <w:textAlignment w:val="auto"/>
        <w:rPr>
          <w:rFonts w:hint="eastAsia" w:asciiTheme="minorEastAsia" w:hAnsiTheme="minorEastAsia" w:eastAsiaTheme="minorEastAsia" w:cstheme="minorEastAsia"/>
          <w:b/>
          <w:color w:val="auto"/>
          <w:sz w:val="36"/>
          <w:szCs w:val="36"/>
          <w:highlight w:val="none"/>
        </w:rPr>
      </w:pPr>
    </w:p>
    <w:p w14:paraId="3D5002C5">
      <w:pPr>
        <w:keepNext w:val="0"/>
        <w:keepLines w:val="0"/>
        <w:pageBreakBefore w:val="0"/>
        <w:widowControl w:val="0"/>
        <w:shd w:val="clear" w:color="auto" w:fill="auto"/>
        <w:kinsoku w:val="0"/>
        <w:wordWrap w:val="0"/>
        <w:bidi w:val="0"/>
        <w:spacing w:line="800" w:lineRule="exact"/>
        <w:ind w:firstLine="723" w:firstLineChars="200"/>
        <w:textAlignment w:val="auto"/>
        <w:rPr>
          <w:rFonts w:hint="eastAsia" w:asciiTheme="minorEastAsia" w:hAnsiTheme="minorEastAsia" w:eastAsiaTheme="minorEastAsia" w:cstheme="minorEastAsia"/>
          <w:b/>
          <w:color w:val="auto"/>
          <w:sz w:val="36"/>
          <w:szCs w:val="36"/>
          <w:highlight w:val="none"/>
          <w:u w:val="none"/>
        </w:rPr>
      </w:pPr>
      <w:r>
        <w:rPr>
          <w:rFonts w:hint="eastAsia" w:asciiTheme="minorEastAsia" w:hAnsiTheme="minorEastAsia" w:eastAsiaTheme="minorEastAsia" w:cstheme="minorEastAsia"/>
          <w:b/>
          <w:color w:val="auto"/>
          <w:sz w:val="36"/>
          <w:szCs w:val="36"/>
          <w:highlight w:val="none"/>
        </w:rPr>
        <w:t>采 购 人：</w:t>
      </w:r>
      <w:r>
        <w:rPr>
          <w:rFonts w:hint="eastAsia" w:asciiTheme="minorEastAsia" w:hAnsiTheme="minorEastAsia" w:eastAsiaTheme="minorEastAsia" w:cstheme="minorEastAsia"/>
          <w:b/>
          <w:color w:val="auto"/>
          <w:sz w:val="36"/>
          <w:szCs w:val="36"/>
          <w:highlight w:val="none"/>
          <w:lang w:eastAsia="zh-CN"/>
        </w:rPr>
        <w:t>会泽县金钟街道文笔小学</w:t>
      </w:r>
      <w:r>
        <w:rPr>
          <w:rFonts w:hint="eastAsia" w:asciiTheme="minorEastAsia" w:hAnsiTheme="minorEastAsia" w:eastAsiaTheme="minorEastAsia" w:cstheme="minorEastAsia"/>
          <w:b/>
          <w:color w:val="auto"/>
          <w:sz w:val="36"/>
          <w:szCs w:val="36"/>
          <w:highlight w:val="none"/>
          <w:u w:val="none"/>
        </w:rPr>
        <w:t xml:space="preserve"> </w:t>
      </w:r>
    </w:p>
    <w:p w14:paraId="74F91341">
      <w:pPr>
        <w:keepNext w:val="0"/>
        <w:keepLines w:val="0"/>
        <w:pageBreakBefore w:val="0"/>
        <w:widowControl w:val="0"/>
        <w:shd w:val="clear" w:color="auto" w:fill="auto"/>
        <w:kinsoku w:val="0"/>
        <w:wordWrap w:val="0"/>
        <w:bidi w:val="0"/>
        <w:spacing w:line="800" w:lineRule="exact"/>
        <w:ind w:firstLine="723" w:firstLineChars="200"/>
        <w:textAlignment w:val="auto"/>
        <w:rPr>
          <w:rFonts w:hint="eastAsia" w:asciiTheme="minorEastAsia" w:hAnsiTheme="minorEastAsia" w:eastAsiaTheme="minorEastAsia" w:cstheme="minorEastAsia"/>
          <w:b/>
          <w:color w:val="auto"/>
          <w:sz w:val="36"/>
          <w:szCs w:val="36"/>
          <w:highlight w:val="none"/>
          <w:u w:val="none"/>
          <w:lang w:eastAsia="zh-CN"/>
        </w:rPr>
      </w:pPr>
      <w:r>
        <w:rPr>
          <w:rFonts w:hint="eastAsia" w:asciiTheme="minorEastAsia" w:hAnsiTheme="minorEastAsia" w:eastAsiaTheme="minorEastAsia" w:cstheme="minorEastAsia"/>
          <w:b/>
          <w:color w:val="auto"/>
          <w:sz w:val="36"/>
          <w:szCs w:val="36"/>
          <w:highlight w:val="none"/>
          <w:u w:val="none"/>
        </w:rPr>
        <w:t>代理机构：</w:t>
      </w:r>
      <w:r>
        <w:rPr>
          <w:rFonts w:hint="eastAsia" w:asciiTheme="minorEastAsia" w:hAnsiTheme="minorEastAsia" w:eastAsiaTheme="minorEastAsia" w:cstheme="minorEastAsia"/>
          <w:b/>
          <w:color w:val="auto"/>
          <w:sz w:val="36"/>
          <w:szCs w:val="36"/>
          <w:highlight w:val="none"/>
          <w:u w:val="none"/>
          <w:lang w:eastAsia="zh-CN"/>
        </w:rPr>
        <w:t>云南规正招投标有限公司</w:t>
      </w:r>
    </w:p>
    <w:p w14:paraId="0A3C6CB2">
      <w:pPr>
        <w:keepNext w:val="0"/>
        <w:keepLines w:val="0"/>
        <w:pageBreakBefore w:val="0"/>
        <w:widowControl w:val="0"/>
        <w:shd w:val="clear" w:color="auto" w:fill="auto"/>
        <w:kinsoku w:val="0"/>
        <w:wordWrap w:val="0"/>
        <w:bidi w:val="0"/>
        <w:spacing w:line="800" w:lineRule="exact"/>
        <w:ind w:firstLine="723" w:firstLineChars="200"/>
        <w:textAlignment w:val="auto"/>
        <w:rPr>
          <w:rFonts w:hint="eastAsia" w:asciiTheme="minorEastAsia" w:hAnsiTheme="minorEastAsia" w:eastAsiaTheme="minorEastAsia" w:cstheme="minorEastAsia"/>
          <w:b/>
          <w:color w:val="auto"/>
          <w:sz w:val="36"/>
          <w:szCs w:val="36"/>
          <w:highlight w:val="none"/>
        </w:rPr>
      </w:pPr>
      <w:r>
        <w:rPr>
          <w:rFonts w:hint="eastAsia" w:asciiTheme="minorEastAsia" w:hAnsiTheme="minorEastAsia" w:eastAsiaTheme="minorEastAsia" w:cstheme="minorEastAsia"/>
          <w:b/>
          <w:color w:val="auto"/>
          <w:sz w:val="36"/>
          <w:szCs w:val="36"/>
          <w:highlight w:val="none"/>
        </w:rPr>
        <w:t>日</w:t>
      </w:r>
      <w:r>
        <w:rPr>
          <w:rFonts w:hint="eastAsia" w:asciiTheme="minorEastAsia" w:hAnsiTheme="minorEastAsia" w:eastAsiaTheme="minorEastAsia" w:cstheme="minorEastAsia"/>
          <w:b/>
          <w:color w:val="auto"/>
          <w:sz w:val="36"/>
          <w:szCs w:val="36"/>
          <w:highlight w:val="none"/>
          <w:lang w:val="en-US" w:eastAsia="zh-CN"/>
        </w:rPr>
        <w:t xml:space="preserve">    </w:t>
      </w:r>
      <w:r>
        <w:rPr>
          <w:rFonts w:hint="eastAsia" w:asciiTheme="minorEastAsia" w:hAnsiTheme="minorEastAsia" w:eastAsiaTheme="minorEastAsia" w:cstheme="minorEastAsia"/>
          <w:b/>
          <w:color w:val="auto"/>
          <w:sz w:val="36"/>
          <w:szCs w:val="36"/>
          <w:highlight w:val="none"/>
        </w:rPr>
        <w:t>期：</w:t>
      </w:r>
      <w:r>
        <w:rPr>
          <w:rFonts w:hint="eastAsia" w:asciiTheme="minorEastAsia" w:hAnsiTheme="minorEastAsia" w:eastAsiaTheme="minorEastAsia" w:cstheme="minorEastAsia"/>
          <w:b/>
          <w:color w:val="auto"/>
          <w:sz w:val="36"/>
          <w:szCs w:val="36"/>
          <w:highlight w:val="none"/>
          <w:u w:val="none"/>
        </w:rPr>
        <w:t>202</w:t>
      </w:r>
      <w:r>
        <w:rPr>
          <w:rFonts w:hint="eastAsia" w:asciiTheme="minorEastAsia" w:hAnsiTheme="minorEastAsia" w:eastAsiaTheme="minorEastAsia" w:cstheme="minorEastAsia"/>
          <w:b/>
          <w:color w:val="auto"/>
          <w:sz w:val="36"/>
          <w:szCs w:val="36"/>
          <w:highlight w:val="none"/>
          <w:u w:val="none"/>
          <w:lang w:val="en-US" w:eastAsia="zh-CN"/>
        </w:rPr>
        <w:t>5</w:t>
      </w:r>
      <w:r>
        <w:rPr>
          <w:rFonts w:hint="eastAsia" w:asciiTheme="minorEastAsia" w:hAnsiTheme="minorEastAsia" w:eastAsiaTheme="minorEastAsia" w:cstheme="minorEastAsia"/>
          <w:b/>
          <w:color w:val="auto"/>
          <w:sz w:val="36"/>
          <w:szCs w:val="36"/>
          <w:highlight w:val="none"/>
          <w:u w:val="none"/>
        </w:rPr>
        <w:t>年</w:t>
      </w:r>
      <w:r>
        <w:rPr>
          <w:rFonts w:hint="eastAsia" w:asciiTheme="minorEastAsia" w:hAnsiTheme="minorEastAsia" w:eastAsiaTheme="minorEastAsia" w:cstheme="minorEastAsia"/>
          <w:b/>
          <w:color w:val="auto"/>
          <w:sz w:val="36"/>
          <w:szCs w:val="36"/>
          <w:highlight w:val="none"/>
          <w:u w:val="none"/>
          <w:lang w:val="en-US" w:eastAsia="zh-CN"/>
        </w:rPr>
        <w:t>06</w:t>
      </w:r>
      <w:r>
        <w:rPr>
          <w:rFonts w:hint="eastAsia" w:asciiTheme="minorEastAsia" w:hAnsiTheme="minorEastAsia" w:eastAsiaTheme="minorEastAsia" w:cstheme="minorEastAsia"/>
          <w:b/>
          <w:color w:val="auto"/>
          <w:sz w:val="36"/>
          <w:szCs w:val="36"/>
          <w:highlight w:val="none"/>
        </w:rPr>
        <w:t>月</w:t>
      </w:r>
    </w:p>
    <w:p w14:paraId="5A72A32E">
      <w:pPr>
        <w:keepNext w:val="0"/>
        <w:keepLines w:val="0"/>
        <w:pageBreakBefore w:val="0"/>
        <w:widowControl w:val="0"/>
        <w:shd w:val="clear" w:color="auto" w:fill="auto"/>
        <w:kinsoku w:val="0"/>
        <w:wordWrap w:val="0"/>
        <w:bidi w:val="0"/>
        <w:jc w:val="center"/>
        <w:textAlignment w:val="auto"/>
        <w:rPr>
          <w:rFonts w:hint="eastAsia" w:asciiTheme="minorEastAsia" w:hAnsiTheme="minorEastAsia" w:eastAsiaTheme="minorEastAsia" w:cstheme="minorEastAsia"/>
          <w:b/>
          <w:color w:val="auto"/>
          <w:sz w:val="32"/>
          <w:szCs w:val="32"/>
          <w:highlight w:val="none"/>
        </w:rPr>
        <w:sectPr>
          <w:headerReference r:id="rId5" w:type="first"/>
          <w:headerReference r:id="rId3" w:type="default"/>
          <w:footerReference r:id="rId6" w:type="default"/>
          <w:headerReference r:id="rId4" w:type="even"/>
          <w:footerReference r:id="rId7" w:type="even"/>
          <w:pgSz w:w="11906" w:h="16838"/>
          <w:pgMar w:top="1361" w:right="1474" w:bottom="1361" w:left="1587" w:header="850" w:footer="992" w:gutter="0"/>
          <w:pgNumType w:fmt="decimal" w:start="1"/>
          <w:cols w:space="0" w:num="1"/>
          <w:rtlGutter w:val="0"/>
          <w:docGrid w:type="lines" w:linePitch="314" w:charSpace="0"/>
        </w:sectPr>
      </w:pPr>
    </w:p>
    <w:p w14:paraId="74C10D88">
      <w:pPr>
        <w:keepNext w:val="0"/>
        <w:keepLines w:val="0"/>
        <w:pageBreakBefore w:val="0"/>
        <w:widowControl w:val="0"/>
        <w:shd w:val="clear" w:color="auto" w:fill="auto"/>
        <w:kinsoku w:val="0"/>
        <w:wordWrap w:val="0"/>
        <w:bidi w:val="0"/>
        <w:jc w:val="center"/>
        <w:textAlignment w:val="auto"/>
        <w:rPr>
          <w:rFonts w:hint="eastAsia" w:asciiTheme="minorEastAsia" w:hAnsiTheme="minorEastAsia" w:eastAsiaTheme="minorEastAsia" w:cstheme="minorEastAsia"/>
          <w:b/>
          <w:color w:val="auto"/>
          <w:sz w:val="44"/>
          <w:szCs w:val="44"/>
          <w:highlight w:val="none"/>
        </w:rPr>
        <w:sectPr>
          <w:headerReference r:id="rId8" w:type="first"/>
          <w:footerReference r:id="rId9" w:type="default"/>
          <w:type w:val="continuous"/>
          <w:pgSz w:w="11906" w:h="16838"/>
          <w:pgMar w:top="1361" w:right="1474" w:bottom="1361" w:left="1587" w:header="850" w:footer="992" w:gutter="0"/>
          <w:pgNumType w:fmt="decimal"/>
          <w:cols w:space="0" w:num="1"/>
          <w:rtlGutter w:val="0"/>
          <w:docGrid w:type="lines" w:linePitch="314" w:charSpace="0"/>
        </w:sectPr>
      </w:pPr>
      <w:r>
        <w:rPr>
          <w:rFonts w:hint="eastAsia" w:asciiTheme="minorEastAsia" w:hAnsiTheme="minorEastAsia" w:eastAsiaTheme="minorEastAsia" w:cstheme="minorEastAsia"/>
          <w:b/>
          <w:color w:val="auto"/>
          <w:sz w:val="44"/>
          <w:szCs w:val="44"/>
          <w:highlight w:val="none"/>
        </w:rPr>
        <w:br w:type="page"/>
      </w:r>
    </w:p>
    <w:p w14:paraId="30B634F6">
      <w:pPr>
        <w:keepNext w:val="0"/>
        <w:keepLines w:val="0"/>
        <w:pageBreakBefore w:val="0"/>
        <w:widowControl w:val="0"/>
        <w:shd w:val="clear" w:color="auto" w:fill="auto"/>
        <w:kinsoku w:val="0"/>
        <w:wordWrap w:val="0"/>
        <w:bidi w:val="0"/>
        <w:jc w:val="center"/>
        <w:textAlignment w:val="auto"/>
        <w:rPr>
          <w:rFonts w:hint="eastAsia" w:asciiTheme="minorEastAsia" w:hAnsiTheme="minorEastAsia" w:eastAsiaTheme="minorEastAsia" w:cstheme="minorEastAsia"/>
          <w:b/>
          <w:color w:val="auto"/>
          <w:sz w:val="44"/>
          <w:szCs w:val="44"/>
          <w:highlight w:val="none"/>
        </w:rPr>
      </w:pPr>
      <w:r>
        <w:rPr>
          <w:rFonts w:hint="eastAsia" w:asciiTheme="minorEastAsia" w:hAnsiTheme="minorEastAsia" w:eastAsiaTheme="minorEastAsia" w:cstheme="minorEastAsia"/>
          <w:b/>
          <w:color w:val="auto"/>
          <w:sz w:val="44"/>
          <w:szCs w:val="44"/>
          <w:highlight w:val="none"/>
        </w:rPr>
        <w:t>目     录</w:t>
      </w:r>
    </w:p>
    <w:p w14:paraId="78066AFF">
      <w:pPr>
        <w:keepNext w:val="0"/>
        <w:keepLines w:val="0"/>
        <w:pageBreakBefore w:val="0"/>
        <w:widowControl w:val="0"/>
        <w:shd w:val="clear" w:color="auto" w:fill="auto"/>
        <w:kinsoku w:val="0"/>
        <w:wordWrap w:val="0"/>
        <w:bidi w:val="0"/>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smallCaps/>
          <w:color w:val="auto"/>
          <w:sz w:val="32"/>
          <w:szCs w:val="32"/>
          <w:highlight w:val="none"/>
        </w:rPr>
        <w:t xml:space="preserve"> </w:t>
      </w:r>
    </w:p>
    <w:p w14:paraId="7EA55309">
      <w:pPr>
        <w:pStyle w:val="14"/>
        <w:keepNext w:val="0"/>
        <w:keepLines w:val="0"/>
        <w:pageBreakBefore w:val="0"/>
        <w:widowControl w:val="0"/>
        <w:tabs>
          <w:tab w:val="right" w:leader="dot" w:pos="8845"/>
          <w:tab w:val="clear" w:pos="9628"/>
        </w:tabs>
        <w:kinsoku w:val="0"/>
        <w:wordWrap w:val="0"/>
        <w:overflowPunct/>
        <w:topLinePunct w:val="0"/>
        <w:autoSpaceDE/>
        <w:autoSpaceDN/>
        <w:bidi w:val="0"/>
        <w:adjustRightInd/>
        <w:snapToGrid/>
        <w:spacing w:line="640" w:lineRule="exact"/>
        <w:ind w:left="0" w:leftChars="0" w:firstLine="0" w:firstLineChars="0"/>
        <w:textAlignment w:val="auto"/>
        <w:rPr>
          <w:b w:val="0"/>
          <w:bCs w:val="0"/>
          <w:sz w:val="32"/>
          <w:szCs w:val="32"/>
        </w:rPr>
      </w:pPr>
      <w:r>
        <w:rPr>
          <w:rFonts w:hint="eastAsia" w:ascii="宋体" w:hAnsi="宋体" w:eastAsia="宋体" w:cs="宋体"/>
          <w:b w:val="0"/>
          <w:bCs w:val="0"/>
          <w:color w:val="auto"/>
          <w:sz w:val="32"/>
          <w:szCs w:val="32"/>
          <w:highlight w:val="none"/>
        </w:rPr>
        <w:fldChar w:fldCharType="begin"/>
      </w:r>
      <w:r>
        <w:rPr>
          <w:rFonts w:hint="eastAsia" w:ascii="宋体" w:hAnsi="宋体" w:eastAsia="宋体" w:cs="宋体"/>
          <w:b w:val="0"/>
          <w:bCs w:val="0"/>
          <w:color w:val="auto"/>
          <w:sz w:val="32"/>
          <w:szCs w:val="32"/>
          <w:highlight w:val="none"/>
        </w:rPr>
        <w:instrText xml:space="preserve">TOC \o "1-3" \h \u </w:instrText>
      </w:r>
      <w:r>
        <w:rPr>
          <w:rFonts w:hint="eastAsia" w:ascii="宋体" w:hAnsi="宋体" w:eastAsia="宋体" w:cs="宋体"/>
          <w:b w:val="0"/>
          <w:bCs w:val="0"/>
          <w:color w:val="auto"/>
          <w:sz w:val="32"/>
          <w:szCs w:val="32"/>
          <w:highlight w:val="none"/>
        </w:rPr>
        <w:fldChar w:fldCharType="separate"/>
      </w:r>
      <w:r>
        <w:rPr>
          <w:rFonts w:hint="eastAsia" w:ascii="宋体" w:hAnsi="宋体" w:eastAsia="宋体" w:cs="宋体"/>
          <w:b w:val="0"/>
          <w:bCs w:val="0"/>
          <w:color w:val="auto"/>
          <w:sz w:val="32"/>
          <w:szCs w:val="32"/>
          <w:highlight w:val="none"/>
        </w:rPr>
        <w:fldChar w:fldCharType="begin"/>
      </w:r>
      <w:r>
        <w:rPr>
          <w:rFonts w:hint="eastAsia" w:ascii="宋体" w:hAnsi="宋体" w:eastAsia="宋体" w:cs="宋体"/>
          <w:b w:val="0"/>
          <w:bCs w:val="0"/>
          <w:sz w:val="32"/>
          <w:szCs w:val="32"/>
          <w:highlight w:val="none"/>
        </w:rPr>
        <w:instrText xml:space="preserve"> HYPERLINK \l _Toc6840 </w:instrText>
      </w:r>
      <w:r>
        <w:rPr>
          <w:rFonts w:hint="eastAsia" w:ascii="宋体" w:hAnsi="宋体" w:eastAsia="宋体" w:cs="宋体"/>
          <w:b w:val="0"/>
          <w:bCs w:val="0"/>
          <w:sz w:val="32"/>
          <w:szCs w:val="32"/>
          <w:highlight w:val="none"/>
        </w:rPr>
        <w:fldChar w:fldCharType="separate"/>
      </w:r>
      <w:r>
        <w:rPr>
          <w:rFonts w:hint="eastAsia" w:asciiTheme="minorEastAsia" w:hAnsiTheme="minorEastAsia" w:eastAsiaTheme="minorEastAsia" w:cstheme="minorEastAsia"/>
          <w:b w:val="0"/>
          <w:bCs w:val="0"/>
          <w:kern w:val="0"/>
          <w:sz w:val="32"/>
          <w:szCs w:val="32"/>
          <w:highlight w:val="none"/>
        </w:rPr>
        <w:t xml:space="preserve">第一章 </w:t>
      </w:r>
      <w:r>
        <w:rPr>
          <w:rFonts w:hint="eastAsia" w:asciiTheme="minorEastAsia" w:hAnsiTheme="minorEastAsia" w:eastAsiaTheme="minorEastAsia" w:cstheme="minorEastAsia"/>
          <w:b w:val="0"/>
          <w:bCs w:val="0"/>
          <w:kern w:val="0"/>
          <w:sz w:val="32"/>
          <w:szCs w:val="32"/>
          <w:highlight w:val="none"/>
          <w:lang w:eastAsia="zh-CN"/>
        </w:rPr>
        <w:t>采购公告</w:t>
      </w:r>
      <w:r>
        <w:rPr>
          <w:b w:val="0"/>
          <w:bCs w:val="0"/>
          <w:sz w:val="32"/>
          <w:szCs w:val="32"/>
        </w:rPr>
        <w:tab/>
      </w:r>
      <w:r>
        <w:rPr>
          <w:b w:val="0"/>
          <w:bCs w:val="0"/>
          <w:sz w:val="32"/>
          <w:szCs w:val="32"/>
        </w:rPr>
        <w:fldChar w:fldCharType="begin"/>
      </w:r>
      <w:r>
        <w:rPr>
          <w:b w:val="0"/>
          <w:bCs w:val="0"/>
          <w:sz w:val="32"/>
          <w:szCs w:val="32"/>
        </w:rPr>
        <w:instrText xml:space="preserve"> PAGEREF _Toc6840 \h </w:instrText>
      </w:r>
      <w:r>
        <w:rPr>
          <w:b w:val="0"/>
          <w:bCs w:val="0"/>
          <w:sz w:val="32"/>
          <w:szCs w:val="32"/>
        </w:rPr>
        <w:fldChar w:fldCharType="separate"/>
      </w:r>
      <w:r>
        <w:rPr>
          <w:b w:val="0"/>
          <w:bCs w:val="0"/>
          <w:sz w:val="32"/>
          <w:szCs w:val="32"/>
        </w:rPr>
        <w:t>1</w:t>
      </w:r>
      <w:r>
        <w:rPr>
          <w:b w:val="0"/>
          <w:bCs w:val="0"/>
          <w:sz w:val="32"/>
          <w:szCs w:val="32"/>
        </w:rPr>
        <w:fldChar w:fldCharType="end"/>
      </w:r>
      <w:r>
        <w:rPr>
          <w:rFonts w:hint="eastAsia" w:ascii="宋体" w:hAnsi="宋体" w:eastAsia="宋体" w:cs="宋体"/>
          <w:b w:val="0"/>
          <w:bCs w:val="0"/>
          <w:color w:val="auto"/>
          <w:sz w:val="32"/>
          <w:szCs w:val="32"/>
          <w:highlight w:val="none"/>
        </w:rPr>
        <w:fldChar w:fldCharType="end"/>
      </w:r>
    </w:p>
    <w:p w14:paraId="4EDA2212">
      <w:pPr>
        <w:pStyle w:val="14"/>
        <w:keepNext w:val="0"/>
        <w:keepLines w:val="0"/>
        <w:pageBreakBefore w:val="0"/>
        <w:widowControl w:val="0"/>
        <w:tabs>
          <w:tab w:val="right" w:leader="dot" w:pos="8845"/>
          <w:tab w:val="clear" w:pos="9628"/>
        </w:tabs>
        <w:kinsoku w:val="0"/>
        <w:wordWrap w:val="0"/>
        <w:overflowPunct/>
        <w:topLinePunct w:val="0"/>
        <w:autoSpaceDE/>
        <w:autoSpaceDN/>
        <w:bidi w:val="0"/>
        <w:adjustRightInd/>
        <w:snapToGrid/>
        <w:spacing w:line="640" w:lineRule="exact"/>
        <w:ind w:left="0" w:leftChars="0" w:firstLine="0" w:firstLineChars="0"/>
        <w:textAlignment w:val="auto"/>
        <w:rPr>
          <w:b w:val="0"/>
          <w:bCs w:val="0"/>
          <w:sz w:val="32"/>
          <w:szCs w:val="32"/>
        </w:rPr>
      </w:pPr>
      <w:r>
        <w:rPr>
          <w:rFonts w:hint="eastAsia" w:ascii="宋体" w:hAnsi="宋体" w:eastAsia="宋体" w:cs="宋体"/>
          <w:b w:val="0"/>
          <w:bCs w:val="0"/>
          <w:color w:val="auto"/>
          <w:sz w:val="32"/>
          <w:szCs w:val="32"/>
          <w:highlight w:val="none"/>
        </w:rPr>
        <w:fldChar w:fldCharType="begin"/>
      </w:r>
      <w:r>
        <w:rPr>
          <w:rFonts w:hint="eastAsia" w:ascii="宋体" w:hAnsi="宋体" w:eastAsia="宋体" w:cs="宋体"/>
          <w:b w:val="0"/>
          <w:bCs w:val="0"/>
          <w:sz w:val="32"/>
          <w:szCs w:val="32"/>
          <w:highlight w:val="none"/>
        </w:rPr>
        <w:instrText xml:space="preserve"> HYPERLINK \l _Toc15040 </w:instrText>
      </w:r>
      <w:r>
        <w:rPr>
          <w:rFonts w:hint="eastAsia" w:ascii="宋体" w:hAnsi="宋体" w:eastAsia="宋体" w:cs="宋体"/>
          <w:b w:val="0"/>
          <w:bCs w:val="0"/>
          <w:sz w:val="32"/>
          <w:szCs w:val="32"/>
          <w:highlight w:val="none"/>
        </w:rPr>
        <w:fldChar w:fldCharType="separate"/>
      </w:r>
      <w:r>
        <w:rPr>
          <w:rFonts w:hint="eastAsia" w:asciiTheme="minorEastAsia" w:hAnsiTheme="minorEastAsia" w:eastAsiaTheme="minorEastAsia" w:cstheme="minorEastAsia"/>
          <w:b w:val="0"/>
          <w:bCs w:val="0"/>
          <w:sz w:val="32"/>
          <w:szCs w:val="32"/>
          <w:highlight w:val="none"/>
        </w:rPr>
        <w:t xml:space="preserve">第二章 </w:t>
      </w:r>
      <w:r>
        <w:rPr>
          <w:rFonts w:hint="eastAsia" w:asciiTheme="minorEastAsia" w:hAnsiTheme="minorEastAsia" w:eastAsiaTheme="minorEastAsia" w:cstheme="minorEastAsia"/>
          <w:b w:val="0"/>
          <w:bCs w:val="0"/>
          <w:sz w:val="32"/>
          <w:szCs w:val="32"/>
          <w:highlight w:val="none"/>
          <w:lang w:val="en-US" w:eastAsia="zh-CN"/>
        </w:rPr>
        <w:t>供应商</w:t>
      </w:r>
      <w:r>
        <w:rPr>
          <w:rFonts w:hint="eastAsia" w:asciiTheme="minorEastAsia" w:hAnsiTheme="minorEastAsia" w:eastAsiaTheme="minorEastAsia" w:cstheme="minorEastAsia"/>
          <w:b w:val="0"/>
          <w:bCs w:val="0"/>
          <w:sz w:val="32"/>
          <w:szCs w:val="32"/>
          <w:highlight w:val="none"/>
        </w:rPr>
        <w:t>须知</w:t>
      </w:r>
      <w:r>
        <w:rPr>
          <w:b w:val="0"/>
          <w:bCs w:val="0"/>
          <w:sz w:val="32"/>
          <w:szCs w:val="32"/>
        </w:rPr>
        <w:tab/>
      </w:r>
      <w:r>
        <w:rPr>
          <w:b w:val="0"/>
          <w:bCs w:val="0"/>
          <w:sz w:val="32"/>
          <w:szCs w:val="32"/>
        </w:rPr>
        <w:fldChar w:fldCharType="begin"/>
      </w:r>
      <w:r>
        <w:rPr>
          <w:b w:val="0"/>
          <w:bCs w:val="0"/>
          <w:sz w:val="32"/>
          <w:szCs w:val="32"/>
        </w:rPr>
        <w:instrText xml:space="preserve"> PAGEREF _Toc15040 \h </w:instrText>
      </w:r>
      <w:r>
        <w:rPr>
          <w:b w:val="0"/>
          <w:bCs w:val="0"/>
          <w:sz w:val="32"/>
          <w:szCs w:val="32"/>
        </w:rPr>
        <w:fldChar w:fldCharType="separate"/>
      </w:r>
      <w:r>
        <w:rPr>
          <w:b w:val="0"/>
          <w:bCs w:val="0"/>
          <w:sz w:val="32"/>
          <w:szCs w:val="32"/>
        </w:rPr>
        <w:t>30</w:t>
      </w:r>
      <w:r>
        <w:rPr>
          <w:b w:val="0"/>
          <w:bCs w:val="0"/>
          <w:sz w:val="32"/>
          <w:szCs w:val="32"/>
        </w:rPr>
        <w:fldChar w:fldCharType="end"/>
      </w:r>
      <w:r>
        <w:rPr>
          <w:rFonts w:hint="eastAsia" w:ascii="宋体" w:hAnsi="宋体" w:eastAsia="宋体" w:cs="宋体"/>
          <w:b w:val="0"/>
          <w:bCs w:val="0"/>
          <w:color w:val="auto"/>
          <w:sz w:val="32"/>
          <w:szCs w:val="32"/>
          <w:highlight w:val="none"/>
        </w:rPr>
        <w:fldChar w:fldCharType="end"/>
      </w:r>
    </w:p>
    <w:p w14:paraId="58C85B20">
      <w:pPr>
        <w:pStyle w:val="14"/>
        <w:keepNext w:val="0"/>
        <w:keepLines w:val="0"/>
        <w:pageBreakBefore w:val="0"/>
        <w:widowControl w:val="0"/>
        <w:tabs>
          <w:tab w:val="right" w:leader="dot" w:pos="8845"/>
          <w:tab w:val="clear" w:pos="9628"/>
        </w:tabs>
        <w:kinsoku w:val="0"/>
        <w:wordWrap w:val="0"/>
        <w:overflowPunct/>
        <w:topLinePunct w:val="0"/>
        <w:autoSpaceDE/>
        <w:autoSpaceDN/>
        <w:bidi w:val="0"/>
        <w:adjustRightInd/>
        <w:snapToGrid/>
        <w:spacing w:line="640" w:lineRule="exact"/>
        <w:ind w:left="0" w:leftChars="0" w:firstLine="0" w:firstLineChars="0"/>
        <w:textAlignment w:val="auto"/>
        <w:rPr>
          <w:b w:val="0"/>
          <w:bCs w:val="0"/>
          <w:sz w:val="32"/>
          <w:szCs w:val="32"/>
        </w:rPr>
      </w:pPr>
      <w:r>
        <w:rPr>
          <w:rFonts w:hint="eastAsia" w:ascii="宋体" w:hAnsi="宋体" w:eastAsia="宋体" w:cs="宋体"/>
          <w:b w:val="0"/>
          <w:bCs w:val="0"/>
          <w:color w:val="auto"/>
          <w:sz w:val="32"/>
          <w:szCs w:val="32"/>
          <w:highlight w:val="none"/>
        </w:rPr>
        <w:fldChar w:fldCharType="begin"/>
      </w:r>
      <w:r>
        <w:rPr>
          <w:rFonts w:hint="eastAsia" w:ascii="宋体" w:hAnsi="宋体" w:eastAsia="宋体" w:cs="宋体"/>
          <w:b w:val="0"/>
          <w:bCs w:val="0"/>
          <w:sz w:val="32"/>
          <w:szCs w:val="32"/>
          <w:highlight w:val="none"/>
        </w:rPr>
        <w:instrText xml:space="preserve"> HYPERLINK \l _Toc12031 </w:instrText>
      </w:r>
      <w:r>
        <w:rPr>
          <w:rFonts w:hint="eastAsia" w:ascii="宋体" w:hAnsi="宋体" w:eastAsia="宋体" w:cs="宋体"/>
          <w:b w:val="0"/>
          <w:bCs w:val="0"/>
          <w:sz w:val="32"/>
          <w:szCs w:val="32"/>
          <w:highlight w:val="none"/>
        </w:rPr>
        <w:fldChar w:fldCharType="separate"/>
      </w:r>
      <w:r>
        <w:rPr>
          <w:rFonts w:hint="eastAsia" w:asciiTheme="minorEastAsia" w:hAnsiTheme="minorEastAsia" w:eastAsiaTheme="minorEastAsia" w:cstheme="minorEastAsia"/>
          <w:b w:val="0"/>
          <w:bCs w:val="0"/>
          <w:sz w:val="32"/>
          <w:szCs w:val="32"/>
          <w:highlight w:val="none"/>
        </w:rPr>
        <w:t>第</w:t>
      </w:r>
      <w:r>
        <w:rPr>
          <w:rFonts w:hint="eastAsia" w:asciiTheme="minorEastAsia" w:hAnsiTheme="minorEastAsia" w:eastAsiaTheme="minorEastAsia" w:cstheme="minorEastAsia"/>
          <w:b w:val="0"/>
          <w:bCs w:val="0"/>
          <w:sz w:val="32"/>
          <w:szCs w:val="32"/>
          <w:highlight w:val="none"/>
          <w:lang w:val="en-US" w:eastAsia="zh-CN"/>
        </w:rPr>
        <w:t>三</w:t>
      </w:r>
      <w:r>
        <w:rPr>
          <w:rFonts w:hint="eastAsia" w:asciiTheme="minorEastAsia" w:hAnsiTheme="minorEastAsia" w:eastAsiaTheme="minorEastAsia" w:cstheme="minorEastAsia"/>
          <w:b w:val="0"/>
          <w:bCs w:val="0"/>
          <w:sz w:val="32"/>
          <w:szCs w:val="32"/>
          <w:highlight w:val="none"/>
        </w:rPr>
        <w:t xml:space="preserve">章 </w:t>
      </w:r>
      <w:r>
        <w:rPr>
          <w:rFonts w:hint="eastAsia" w:asciiTheme="minorEastAsia" w:hAnsiTheme="minorEastAsia" w:eastAsiaTheme="minorEastAsia" w:cstheme="minorEastAsia"/>
          <w:b w:val="0"/>
          <w:bCs w:val="0"/>
          <w:sz w:val="32"/>
          <w:szCs w:val="32"/>
          <w:highlight w:val="none"/>
          <w:lang w:eastAsia="zh-CN"/>
        </w:rPr>
        <w:t>评标办法</w:t>
      </w:r>
      <w:r>
        <w:rPr>
          <w:rFonts w:hint="eastAsia" w:asciiTheme="minorEastAsia" w:hAnsiTheme="minorEastAsia" w:eastAsiaTheme="minorEastAsia" w:cstheme="minorEastAsia"/>
          <w:b w:val="0"/>
          <w:bCs w:val="0"/>
          <w:sz w:val="32"/>
          <w:szCs w:val="32"/>
          <w:highlight w:val="none"/>
        </w:rPr>
        <w:t>（综合评分法）</w:t>
      </w:r>
      <w:r>
        <w:rPr>
          <w:b w:val="0"/>
          <w:bCs w:val="0"/>
          <w:sz w:val="32"/>
          <w:szCs w:val="32"/>
        </w:rPr>
        <w:tab/>
      </w:r>
      <w:r>
        <w:rPr>
          <w:b w:val="0"/>
          <w:bCs w:val="0"/>
          <w:sz w:val="32"/>
          <w:szCs w:val="32"/>
        </w:rPr>
        <w:fldChar w:fldCharType="begin"/>
      </w:r>
      <w:r>
        <w:rPr>
          <w:b w:val="0"/>
          <w:bCs w:val="0"/>
          <w:sz w:val="32"/>
          <w:szCs w:val="32"/>
        </w:rPr>
        <w:instrText xml:space="preserve"> PAGEREF _Toc12031 \h </w:instrText>
      </w:r>
      <w:r>
        <w:rPr>
          <w:b w:val="0"/>
          <w:bCs w:val="0"/>
          <w:sz w:val="32"/>
          <w:szCs w:val="32"/>
        </w:rPr>
        <w:fldChar w:fldCharType="separate"/>
      </w:r>
      <w:r>
        <w:rPr>
          <w:b w:val="0"/>
          <w:bCs w:val="0"/>
          <w:sz w:val="32"/>
          <w:szCs w:val="32"/>
        </w:rPr>
        <w:t>44</w:t>
      </w:r>
      <w:r>
        <w:rPr>
          <w:b w:val="0"/>
          <w:bCs w:val="0"/>
          <w:sz w:val="32"/>
          <w:szCs w:val="32"/>
        </w:rPr>
        <w:fldChar w:fldCharType="end"/>
      </w:r>
      <w:r>
        <w:rPr>
          <w:rFonts w:hint="eastAsia" w:ascii="宋体" w:hAnsi="宋体" w:eastAsia="宋体" w:cs="宋体"/>
          <w:b w:val="0"/>
          <w:bCs w:val="0"/>
          <w:color w:val="auto"/>
          <w:sz w:val="32"/>
          <w:szCs w:val="32"/>
          <w:highlight w:val="none"/>
        </w:rPr>
        <w:fldChar w:fldCharType="end"/>
      </w:r>
    </w:p>
    <w:p w14:paraId="226349DA">
      <w:pPr>
        <w:pStyle w:val="14"/>
        <w:keepNext w:val="0"/>
        <w:keepLines w:val="0"/>
        <w:pageBreakBefore w:val="0"/>
        <w:widowControl w:val="0"/>
        <w:tabs>
          <w:tab w:val="right" w:leader="dot" w:pos="8845"/>
          <w:tab w:val="clear" w:pos="9628"/>
        </w:tabs>
        <w:kinsoku w:val="0"/>
        <w:wordWrap w:val="0"/>
        <w:overflowPunct/>
        <w:topLinePunct w:val="0"/>
        <w:autoSpaceDE/>
        <w:autoSpaceDN/>
        <w:bidi w:val="0"/>
        <w:adjustRightInd/>
        <w:snapToGrid/>
        <w:spacing w:line="640" w:lineRule="exact"/>
        <w:ind w:left="0" w:leftChars="0" w:firstLine="0" w:firstLineChars="0"/>
        <w:textAlignment w:val="auto"/>
        <w:rPr>
          <w:b w:val="0"/>
          <w:bCs w:val="0"/>
          <w:sz w:val="32"/>
          <w:szCs w:val="32"/>
        </w:rPr>
      </w:pPr>
      <w:r>
        <w:rPr>
          <w:rFonts w:hint="eastAsia" w:ascii="宋体" w:hAnsi="宋体" w:eastAsia="宋体" w:cs="宋体"/>
          <w:b w:val="0"/>
          <w:bCs w:val="0"/>
          <w:color w:val="auto"/>
          <w:sz w:val="32"/>
          <w:szCs w:val="32"/>
          <w:highlight w:val="none"/>
        </w:rPr>
        <w:fldChar w:fldCharType="begin"/>
      </w:r>
      <w:r>
        <w:rPr>
          <w:rFonts w:hint="eastAsia" w:ascii="宋体" w:hAnsi="宋体" w:eastAsia="宋体" w:cs="宋体"/>
          <w:b w:val="0"/>
          <w:bCs w:val="0"/>
          <w:sz w:val="32"/>
          <w:szCs w:val="32"/>
          <w:highlight w:val="none"/>
        </w:rPr>
        <w:instrText xml:space="preserve"> HYPERLINK \l _Toc31662 </w:instrText>
      </w:r>
      <w:r>
        <w:rPr>
          <w:rFonts w:hint="eastAsia" w:ascii="宋体" w:hAnsi="宋体" w:eastAsia="宋体" w:cs="宋体"/>
          <w:b w:val="0"/>
          <w:bCs w:val="0"/>
          <w:sz w:val="32"/>
          <w:szCs w:val="32"/>
          <w:highlight w:val="none"/>
        </w:rPr>
        <w:fldChar w:fldCharType="separate"/>
      </w:r>
      <w:r>
        <w:rPr>
          <w:rFonts w:hint="eastAsia" w:asciiTheme="minorEastAsia" w:hAnsiTheme="minorEastAsia" w:eastAsiaTheme="minorEastAsia" w:cstheme="minorEastAsia"/>
          <w:b w:val="0"/>
          <w:bCs w:val="0"/>
          <w:sz w:val="32"/>
          <w:szCs w:val="32"/>
          <w:highlight w:val="none"/>
        </w:rPr>
        <w:t>第四章 采购需求</w:t>
      </w:r>
      <w:r>
        <w:rPr>
          <w:b w:val="0"/>
          <w:bCs w:val="0"/>
          <w:sz w:val="32"/>
          <w:szCs w:val="32"/>
        </w:rPr>
        <w:tab/>
      </w:r>
      <w:r>
        <w:rPr>
          <w:b w:val="0"/>
          <w:bCs w:val="0"/>
          <w:sz w:val="32"/>
          <w:szCs w:val="32"/>
        </w:rPr>
        <w:fldChar w:fldCharType="begin"/>
      </w:r>
      <w:r>
        <w:rPr>
          <w:b w:val="0"/>
          <w:bCs w:val="0"/>
          <w:sz w:val="32"/>
          <w:szCs w:val="32"/>
        </w:rPr>
        <w:instrText xml:space="preserve"> PAGEREF _Toc31662 \h </w:instrText>
      </w:r>
      <w:r>
        <w:rPr>
          <w:b w:val="0"/>
          <w:bCs w:val="0"/>
          <w:sz w:val="32"/>
          <w:szCs w:val="32"/>
        </w:rPr>
        <w:fldChar w:fldCharType="separate"/>
      </w:r>
      <w:r>
        <w:rPr>
          <w:b w:val="0"/>
          <w:bCs w:val="0"/>
          <w:sz w:val="32"/>
          <w:szCs w:val="32"/>
        </w:rPr>
        <w:t>52</w:t>
      </w:r>
      <w:r>
        <w:rPr>
          <w:b w:val="0"/>
          <w:bCs w:val="0"/>
          <w:sz w:val="32"/>
          <w:szCs w:val="32"/>
        </w:rPr>
        <w:fldChar w:fldCharType="end"/>
      </w:r>
      <w:r>
        <w:rPr>
          <w:rFonts w:hint="eastAsia" w:ascii="宋体" w:hAnsi="宋体" w:eastAsia="宋体" w:cs="宋体"/>
          <w:b w:val="0"/>
          <w:bCs w:val="0"/>
          <w:color w:val="auto"/>
          <w:sz w:val="32"/>
          <w:szCs w:val="32"/>
          <w:highlight w:val="none"/>
        </w:rPr>
        <w:fldChar w:fldCharType="end"/>
      </w:r>
    </w:p>
    <w:p w14:paraId="4ECF7902">
      <w:pPr>
        <w:pStyle w:val="14"/>
        <w:keepNext w:val="0"/>
        <w:keepLines w:val="0"/>
        <w:pageBreakBefore w:val="0"/>
        <w:widowControl w:val="0"/>
        <w:tabs>
          <w:tab w:val="right" w:leader="dot" w:pos="8845"/>
          <w:tab w:val="clear" w:pos="9628"/>
        </w:tabs>
        <w:kinsoku w:val="0"/>
        <w:wordWrap w:val="0"/>
        <w:overflowPunct/>
        <w:topLinePunct w:val="0"/>
        <w:autoSpaceDE/>
        <w:autoSpaceDN/>
        <w:bidi w:val="0"/>
        <w:adjustRightInd/>
        <w:snapToGrid/>
        <w:spacing w:line="640" w:lineRule="exact"/>
        <w:ind w:left="0" w:leftChars="0" w:firstLine="0" w:firstLineChars="0"/>
        <w:textAlignment w:val="auto"/>
        <w:rPr>
          <w:b w:val="0"/>
          <w:bCs w:val="0"/>
          <w:sz w:val="32"/>
          <w:szCs w:val="32"/>
        </w:rPr>
      </w:pPr>
      <w:r>
        <w:rPr>
          <w:rFonts w:hint="eastAsia" w:ascii="宋体" w:hAnsi="宋体" w:eastAsia="宋体" w:cs="宋体"/>
          <w:b w:val="0"/>
          <w:bCs w:val="0"/>
          <w:color w:val="auto"/>
          <w:sz w:val="32"/>
          <w:szCs w:val="32"/>
          <w:highlight w:val="none"/>
        </w:rPr>
        <w:fldChar w:fldCharType="begin"/>
      </w:r>
      <w:r>
        <w:rPr>
          <w:rFonts w:hint="eastAsia" w:ascii="宋体" w:hAnsi="宋体" w:eastAsia="宋体" w:cs="宋体"/>
          <w:b w:val="0"/>
          <w:bCs w:val="0"/>
          <w:sz w:val="32"/>
          <w:szCs w:val="32"/>
          <w:highlight w:val="none"/>
        </w:rPr>
        <w:instrText xml:space="preserve"> HYPERLINK \l _Toc26126 </w:instrText>
      </w:r>
      <w:r>
        <w:rPr>
          <w:rFonts w:hint="eastAsia" w:ascii="宋体" w:hAnsi="宋体" w:eastAsia="宋体" w:cs="宋体"/>
          <w:b w:val="0"/>
          <w:bCs w:val="0"/>
          <w:sz w:val="32"/>
          <w:szCs w:val="32"/>
          <w:highlight w:val="none"/>
        </w:rPr>
        <w:fldChar w:fldCharType="separate"/>
      </w:r>
      <w:r>
        <w:rPr>
          <w:rFonts w:hint="eastAsia" w:asciiTheme="minorEastAsia" w:hAnsiTheme="minorEastAsia" w:eastAsiaTheme="minorEastAsia" w:cstheme="minorEastAsia"/>
          <w:b w:val="0"/>
          <w:bCs w:val="0"/>
          <w:sz w:val="32"/>
          <w:szCs w:val="32"/>
          <w:highlight w:val="none"/>
          <w:lang w:val="en-US" w:eastAsia="zh-CN"/>
        </w:rPr>
        <w:t>第五章 采购清单</w:t>
      </w:r>
      <w:r>
        <w:rPr>
          <w:b w:val="0"/>
          <w:bCs w:val="0"/>
          <w:sz w:val="32"/>
          <w:szCs w:val="32"/>
        </w:rPr>
        <w:tab/>
      </w:r>
      <w:r>
        <w:rPr>
          <w:b w:val="0"/>
          <w:bCs w:val="0"/>
          <w:sz w:val="32"/>
          <w:szCs w:val="32"/>
        </w:rPr>
        <w:fldChar w:fldCharType="begin"/>
      </w:r>
      <w:r>
        <w:rPr>
          <w:b w:val="0"/>
          <w:bCs w:val="0"/>
          <w:sz w:val="32"/>
          <w:szCs w:val="32"/>
        </w:rPr>
        <w:instrText xml:space="preserve"> PAGEREF _Toc26126 \h </w:instrText>
      </w:r>
      <w:r>
        <w:rPr>
          <w:b w:val="0"/>
          <w:bCs w:val="0"/>
          <w:sz w:val="32"/>
          <w:szCs w:val="32"/>
        </w:rPr>
        <w:fldChar w:fldCharType="separate"/>
      </w:r>
      <w:r>
        <w:rPr>
          <w:b w:val="0"/>
          <w:bCs w:val="0"/>
          <w:sz w:val="32"/>
          <w:szCs w:val="32"/>
        </w:rPr>
        <w:t>55</w:t>
      </w:r>
      <w:r>
        <w:rPr>
          <w:b w:val="0"/>
          <w:bCs w:val="0"/>
          <w:sz w:val="32"/>
          <w:szCs w:val="32"/>
        </w:rPr>
        <w:fldChar w:fldCharType="end"/>
      </w:r>
      <w:r>
        <w:rPr>
          <w:rFonts w:hint="eastAsia" w:ascii="宋体" w:hAnsi="宋体" w:eastAsia="宋体" w:cs="宋体"/>
          <w:b w:val="0"/>
          <w:bCs w:val="0"/>
          <w:color w:val="auto"/>
          <w:sz w:val="32"/>
          <w:szCs w:val="32"/>
          <w:highlight w:val="none"/>
        </w:rPr>
        <w:fldChar w:fldCharType="end"/>
      </w:r>
    </w:p>
    <w:p w14:paraId="126E27EE">
      <w:pPr>
        <w:pStyle w:val="14"/>
        <w:keepNext w:val="0"/>
        <w:keepLines w:val="0"/>
        <w:pageBreakBefore w:val="0"/>
        <w:widowControl w:val="0"/>
        <w:tabs>
          <w:tab w:val="right" w:leader="dot" w:pos="8845"/>
          <w:tab w:val="clear" w:pos="9628"/>
        </w:tabs>
        <w:kinsoku w:val="0"/>
        <w:wordWrap w:val="0"/>
        <w:overflowPunct/>
        <w:topLinePunct w:val="0"/>
        <w:autoSpaceDE/>
        <w:autoSpaceDN/>
        <w:bidi w:val="0"/>
        <w:adjustRightInd/>
        <w:snapToGrid/>
        <w:spacing w:line="640" w:lineRule="exact"/>
        <w:ind w:left="0" w:leftChars="0" w:firstLine="0" w:firstLineChars="0"/>
        <w:textAlignment w:val="auto"/>
        <w:rPr>
          <w:b w:val="0"/>
          <w:bCs w:val="0"/>
          <w:sz w:val="32"/>
          <w:szCs w:val="32"/>
        </w:rPr>
      </w:pPr>
      <w:r>
        <w:rPr>
          <w:rFonts w:hint="eastAsia" w:ascii="宋体" w:hAnsi="宋体" w:eastAsia="宋体" w:cs="宋体"/>
          <w:b w:val="0"/>
          <w:bCs w:val="0"/>
          <w:color w:val="auto"/>
          <w:sz w:val="32"/>
          <w:szCs w:val="32"/>
          <w:highlight w:val="none"/>
        </w:rPr>
        <w:fldChar w:fldCharType="begin"/>
      </w:r>
      <w:r>
        <w:rPr>
          <w:rFonts w:hint="eastAsia" w:ascii="宋体" w:hAnsi="宋体" w:eastAsia="宋体" w:cs="宋体"/>
          <w:b w:val="0"/>
          <w:bCs w:val="0"/>
          <w:sz w:val="32"/>
          <w:szCs w:val="32"/>
          <w:highlight w:val="none"/>
        </w:rPr>
        <w:instrText xml:space="preserve"> HYPERLINK \l _Toc3990 </w:instrText>
      </w:r>
      <w:r>
        <w:rPr>
          <w:rFonts w:hint="eastAsia" w:ascii="宋体" w:hAnsi="宋体" w:eastAsia="宋体" w:cs="宋体"/>
          <w:b w:val="0"/>
          <w:bCs w:val="0"/>
          <w:sz w:val="32"/>
          <w:szCs w:val="32"/>
          <w:highlight w:val="none"/>
        </w:rPr>
        <w:fldChar w:fldCharType="separate"/>
      </w:r>
      <w:r>
        <w:rPr>
          <w:rFonts w:hint="eastAsia" w:asciiTheme="minorEastAsia" w:hAnsiTheme="minorEastAsia" w:eastAsiaTheme="minorEastAsia" w:cstheme="minorEastAsia"/>
          <w:b w:val="0"/>
          <w:bCs w:val="0"/>
          <w:sz w:val="32"/>
          <w:szCs w:val="32"/>
          <w:highlight w:val="none"/>
          <w:lang w:val="en-US" w:eastAsia="zh-CN"/>
        </w:rPr>
        <w:t xml:space="preserve">第六章 </w:t>
      </w:r>
      <w:r>
        <w:rPr>
          <w:rFonts w:hint="eastAsia" w:asciiTheme="minorEastAsia" w:hAnsiTheme="minorEastAsia" w:eastAsiaTheme="minorEastAsia" w:cstheme="minorEastAsia"/>
          <w:b w:val="0"/>
          <w:bCs w:val="0"/>
          <w:sz w:val="32"/>
          <w:szCs w:val="32"/>
          <w:highlight w:val="none"/>
        </w:rPr>
        <w:t>合同主要条款</w:t>
      </w:r>
      <w:r>
        <w:rPr>
          <w:rFonts w:hint="eastAsia" w:asciiTheme="minorEastAsia" w:hAnsiTheme="minorEastAsia" w:eastAsiaTheme="minorEastAsia" w:cstheme="minorEastAsia"/>
          <w:b w:val="0"/>
          <w:bCs w:val="0"/>
          <w:sz w:val="32"/>
          <w:szCs w:val="32"/>
          <w:highlight w:val="none"/>
          <w:lang w:val="en-US" w:eastAsia="zh-CN"/>
        </w:rPr>
        <w:t>及</w:t>
      </w:r>
      <w:r>
        <w:rPr>
          <w:rFonts w:hint="eastAsia" w:asciiTheme="minorEastAsia" w:hAnsiTheme="minorEastAsia" w:eastAsiaTheme="minorEastAsia" w:cstheme="minorEastAsia"/>
          <w:b w:val="0"/>
          <w:bCs w:val="0"/>
          <w:sz w:val="32"/>
          <w:szCs w:val="32"/>
          <w:highlight w:val="none"/>
        </w:rPr>
        <w:t>格式</w:t>
      </w:r>
      <w:r>
        <w:rPr>
          <w:b w:val="0"/>
          <w:bCs w:val="0"/>
          <w:sz w:val="32"/>
          <w:szCs w:val="32"/>
        </w:rPr>
        <w:tab/>
      </w:r>
      <w:r>
        <w:rPr>
          <w:b w:val="0"/>
          <w:bCs w:val="0"/>
          <w:sz w:val="32"/>
          <w:szCs w:val="32"/>
        </w:rPr>
        <w:fldChar w:fldCharType="begin"/>
      </w:r>
      <w:r>
        <w:rPr>
          <w:b w:val="0"/>
          <w:bCs w:val="0"/>
          <w:sz w:val="32"/>
          <w:szCs w:val="32"/>
        </w:rPr>
        <w:instrText xml:space="preserve"> PAGEREF _Toc3990 \h </w:instrText>
      </w:r>
      <w:r>
        <w:rPr>
          <w:b w:val="0"/>
          <w:bCs w:val="0"/>
          <w:sz w:val="32"/>
          <w:szCs w:val="32"/>
        </w:rPr>
        <w:fldChar w:fldCharType="separate"/>
      </w:r>
      <w:r>
        <w:rPr>
          <w:b w:val="0"/>
          <w:bCs w:val="0"/>
          <w:sz w:val="32"/>
          <w:szCs w:val="32"/>
        </w:rPr>
        <w:t>145</w:t>
      </w:r>
      <w:r>
        <w:rPr>
          <w:b w:val="0"/>
          <w:bCs w:val="0"/>
          <w:sz w:val="32"/>
          <w:szCs w:val="32"/>
        </w:rPr>
        <w:fldChar w:fldCharType="end"/>
      </w:r>
      <w:r>
        <w:rPr>
          <w:rFonts w:hint="eastAsia" w:ascii="宋体" w:hAnsi="宋体" w:eastAsia="宋体" w:cs="宋体"/>
          <w:b w:val="0"/>
          <w:bCs w:val="0"/>
          <w:color w:val="auto"/>
          <w:sz w:val="32"/>
          <w:szCs w:val="32"/>
          <w:highlight w:val="none"/>
        </w:rPr>
        <w:fldChar w:fldCharType="end"/>
      </w:r>
    </w:p>
    <w:p w14:paraId="741F1E59">
      <w:pPr>
        <w:pStyle w:val="14"/>
        <w:keepNext w:val="0"/>
        <w:keepLines w:val="0"/>
        <w:pageBreakBefore w:val="0"/>
        <w:widowControl w:val="0"/>
        <w:tabs>
          <w:tab w:val="right" w:leader="dot" w:pos="8845"/>
          <w:tab w:val="clear" w:pos="9628"/>
        </w:tabs>
        <w:kinsoku w:val="0"/>
        <w:wordWrap w:val="0"/>
        <w:overflowPunct/>
        <w:topLinePunct w:val="0"/>
        <w:autoSpaceDE/>
        <w:autoSpaceDN/>
        <w:bidi w:val="0"/>
        <w:adjustRightInd/>
        <w:snapToGrid/>
        <w:spacing w:line="640" w:lineRule="exact"/>
        <w:ind w:left="0" w:leftChars="0" w:firstLine="0" w:firstLineChars="0"/>
        <w:textAlignment w:val="auto"/>
        <w:rPr>
          <w:b w:val="0"/>
          <w:bCs w:val="0"/>
          <w:sz w:val="32"/>
          <w:szCs w:val="32"/>
        </w:rPr>
      </w:pPr>
      <w:r>
        <w:rPr>
          <w:rFonts w:hint="eastAsia" w:ascii="宋体" w:hAnsi="宋体" w:eastAsia="宋体" w:cs="宋体"/>
          <w:b w:val="0"/>
          <w:bCs w:val="0"/>
          <w:color w:val="auto"/>
          <w:sz w:val="32"/>
          <w:szCs w:val="32"/>
          <w:highlight w:val="none"/>
        </w:rPr>
        <w:fldChar w:fldCharType="begin"/>
      </w:r>
      <w:r>
        <w:rPr>
          <w:rFonts w:hint="eastAsia" w:ascii="宋体" w:hAnsi="宋体" w:eastAsia="宋体" w:cs="宋体"/>
          <w:b w:val="0"/>
          <w:bCs w:val="0"/>
          <w:sz w:val="32"/>
          <w:szCs w:val="32"/>
          <w:highlight w:val="none"/>
        </w:rPr>
        <w:instrText xml:space="preserve"> HYPERLINK \l _Toc6559 </w:instrText>
      </w:r>
      <w:r>
        <w:rPr>
          <w:rFonts w:hint="eastAsia" w:ascii="宋体" w:hAnsi="宋体" w:eastAsia="宋体" w:cs="宋体"/>
          <w:b w:val="0"/>
          <w:bCs w:val="0"/>
          <w:sz w:val="32"/>
          <w:szCs w:val="32"/>
          <w:highlight w:val="none"/>
        </w:rPr>
        <w:fldChar w:fldCharType="separate"/>
      </w:r>
      <w:r>
        <w:rPr>
          <w:rFonts w:hint="eastAsia" w:asciiTheme="minorEastAsia" w:hAnsiTheme="minorEastAsia" w:eastAsiaTheme="minorEastAsia" w:cstheme="minorEastAsia"/>
          <w:b w:val="0"/>
          <w:bCs w:val="0"/>
          <w:sz w:val="32"/>
          <w:szCs w:val="32"/>
          <w:highlight w:val="none"/>
        </w:rPr>
        <w:t>第</w:t>
      </w:r>
      <w:r>
        <w:rPr>
          <w:rFonts w:hint="eastAsia" w:asciiTheme="minorEastAsia" w:hAnsiTheme="minorEastAsia" w:eastAsiaTheme="minorEastAsia" w:cstheme="minorEastAsia"/>
          <w:b w:val="0"/>
          <w:bCs w:val="0"/>
          <w:sz w:val="32"/>
          <w:szCs w:val="32"/>
          <w:highlight w:val="none"/>
          <w:lang w:val="en-US" w:eastAsia="zh-CN"/>
        </w:rPr>
        <w:t>七</w:t>
      </w:r>
      <w:r>
        <w:rPr>
          <w:rFonts w:hint="eastAsia" w:asciiTheme="minorEastAsia" w:hAnsiTheme="minorEastAsia" w:eastAsiaTheme="minorEastAsia" w:cstheme="minorEastAsia"/>
          <w:b w:val="0"/>
          <w:bCs w:val="0"/>
          <w:sz w:val="32"/>
          <w:szCs w:val="32"/>
          <w:highlight w:val="none"/>
        </w:rPr>
        <w:t>章 投标文件格式</w:t>
      </w:r>
      <w:r>
        <w:rPr>
          <w:b w:val="0"/>
          <w:bCs w:val="0"/>
          <w:sz w:val="32"/>
          <w:szCs w:val="32"/>
        </w:rPr>
        <w:tab/>
      </w:r>
      <w:r>
        <w:rPr>
          <w:b w:val="0"/>
          <w:bCs w:val="0"/>
          <w:sz w:val="32"/>
          <w:szCs w:val="32"/>
        </w:rPr>
        <w:fldChar w:fldCharType="begin"/>
      </w:r>
      <w:r>
        <w:rPr>
          <w:b w:val="0"/>
          <w:bCs w:val="0"/>
          <w:sz w:val="32"/>
          <w:szCs w:val="32"/>
        </w:rPr>
        <w:instrText xml:space="preserve"> PAGEREF _Toc6559 \h </w:instrText>
      </w:r>
      <w:r>
        <w:rPr>
          <w:b w:val="0"/>
          <w:bCs w:val="0"/>
          <w:sz w:val="32"/>
          <w:szCs w:val="32"/>
        </w:rPr>
        <w:fldChar w:fldCharType="separate"/>
      </w:r>
      <w:r>
        <w:rPr>
          <w:b w:val="0"/>
          <w:bCs w:val="0"/>
          <w:sz w:val="32"/>
          <w:szCs w:val="32"/>
        </w:rPr>
        <w:t>165</w:t>
      </w:r>
      <w:r>
        <w:rPr>
          <w:b w:val="0"/>
          <w:bCs w:val="0"/>
          <w:sz w:val="32"/>
          <w:szCs w:val="32"/>
        </w:rPr>
        <w:fldChar w:fldCharType="end"/>
      </w:r>
      <w:r>
        <w:rPr>
          <w:rFonts w:hint="eastAsia" w:ascii="宋体" w:hAnsi="宋体" w:eastAsia="宋体" w:cs="宋体"/>
          <w:b w:val="0"/>
          <w:bCs w:val="0"/>
          <w:color w:val="auto"/>
          <w:sz w:val="32"/>
          <w:szCs w:val="32"/>
          <w:highlight w:val="none"/>
        </w:rPr>
        <w:fldChar w:fldCharType="end"/>
      </w:r>
    </w:p>
    <w:p w14:paraId="02493C37">
      <w:pPr>
        <w:pStyle w:val="2"/>
        <w:keepNext w:val="0"/>
        <w:keepLines w:val="0"/>
        <w:pageBreakBefore w:val="0"/>
        <w:widowControl w:val="0"/>
        <w:shd w:val="clear" w:color="auto" w:fill="auto"/>
        <w:tabs>
          <w:tab w:val="left" w:pos="360"/>
        </w:tabs>
        <w:kinsoku w:val="0"/>
        <w:wordWrap w:val="0"/>
        <w:overflowPunct/>
        <w:topLinePunct w:val="0"/>
        <w:autoSpaceDE/>
        <w:autoSpaceDN/>
        <w:bidi w:val="0"/>
        <w:adjustRightInd/>
        <w:snapToGrid/>
        <w:spacing w:line="640" w:lineRule="exact"/>
        <w:jc w:val="center"/>
        <w:textAlignment w:val="auto"/>
        <w:rPr>
          <w:rFonts w:hint="eastAsia" w:asciiTheme="minorEastAsia" w:hAnsiTheme="minorEastAsia" w:eastAsiaTheme="minorEastAsia" w:cstheme="minorEastAsia"/>
          <w:color w:val="auto"/>
          <w:sz w:val="36"/>
          <w:szCs w:val="36"/>
          <w:highlight w:val="none"/>
        </w:rPr>
        <w:sectPr>
          <w:pgSz w:w="11906" w:h="16838"/>
          <w:pgMar w:top="1361" w:right="1474" w:bottom="1361" w:left="1587" w:header="850" w:footer="992" w:gutter="0"/>
          <w:pgNumType w:fmt="decimal"/>
          <w:cols w:space="0" w:num="1"/>
          <w:rtlGutter w:val="0"/>
          <w:docGrid w:type="lines" w:linePitch="314" w:charSpace="0"/>
        </w:sectPr>
      </w:pPr>
      <w:r>
        <w:rPr>
          <w:rFonts w:hint="eastAsia" w:ascii="宋体" w:hAnsi="宋体" w:eastAsia="宋体" w:cs="宋体"/>
          <w:b w:val="0"/>
          <w:bCs w:val="0"/>
          <w:color w:val="auto"/>
          <w:sz w:val="32"/>
          <w:szCs w:val="32"/>
          <w:highlight w:val="none"/>
        </w:rPr>
        <w:fldChar w:fldCharType="end"/>
      </w:r>
      <w:bookmarkStart w:id="0" w:name="_Toc29933"/>
    </w:p>
    <w:p w14:paraId="230BE211">
      <w:pPr>
        <w:pStyle w:val="2"/>
        <w:keepNext w:val="0"/>
        <w:keepLines w:val="0"/>
        <w:pageBreakBefore w:val="0"/>
        <w:widowControl w:val="0"/>
        <w:shd w:val="clear" w:color="auto" w:fill="auto"/>
        <w:tabs>
          <w:tab w:val="left" w:pos="360"/>
        </w:tabs>
        <w:kinsoku w:val="0"/>
        <w:wordWrap w:val="0"/>
        <w:overflowPunct/>
        <w:topLinePunct w:val="0"/>
        <w:autoSpaceDE/>
        <w:autoSpaceDN/>
        <w:bidi w:val="0"/>
        <w:adjustRightInd/>
        <w:snapToGrid/>
        <w:spacing w:line="540" w:lineRule="exact"/>
        <w:jc w:val="center"/>
        <w:textAlignment w:val="auto"/>
        <w:rPr>
          <w:rFonts w:hint="eastAsia" w:asciiTheme="minorEastAsia" w:hAnsiTheme="minorEastAsia" w:eastAsiaTheme="minorEastAsia" w:cstheme="minorEastAsia"/>
          <w:color w:val="auto"/>
          <w:kern w:val="0"/>
          <w:sz w:val="32"/>
          <w:szCs w:val="32"/>
          <w:highlight w:val="none"/>
          <w:lang w:eastAsia="zh-CN"/>
        </w:rPr>
      </w:pPr>
      <w:bookmarkStart w:id="1" w:name="_Toc6840"/>
      <w:r>
        <w:rPr>
          <w:rFonts w:hint="eastAsia" w:asciiTheme="minorEastAsia" w:hAnsiTheme="minorEastAsia" w:eastAsiaTheme="minorEastAsia" w:cstheme="minorEastAsia"/>
          <w:color w:val="auto"/>
          <w:kern w:val="0"/>
          <w:sz w:val="32"/>
          <w:szCs w:val="32"/>
          <w:highlight w:val="none"/>
        </w:rPr>
        <w:t xml:space="preserve">第一章 </w:t>
      </w:r>
      <w:bookmarkEnd w:id="0"/>
      <w:r>
        <w:rPr>
          <w:rFonts w:hint="eastAsia" w:asciiTheme="minorEastAsia" w:hAnsiTheme="minorEastAsia" w:eastAsiaTheme="minorEastAsia" w:cstheme="minorEastAsia"/>
          <w:color w:val="auto"/>
          <w:kern w:val="0"/>
          <w:sz w:val="32"/>
          <w:szCs w:val="32"/>
          <w:highlight w:val="none"/>
          <w:lang w:eastAsia="zh-CN"/>
        </w:rPr>
        <w:t>采购公告</w:t>
      </w:r>
      <w:bookmarkEnd w:id="1"/>
    </w:p>
    <w:p w14:paraId="116B992F">
      <w:pPr>
        <w:keepNext w:val="0"/>
        <w:keepLines w:val="0"/>
        <w:pageBreakBefore w:val="0"/>
        <w:widowControl w:val="0"/>
        <w:shd w:val="clear" w:color="auto" w:fill="auto"/>
        <w:kinsoku w:val="0"/>
        <w:wordWrap w:val="0"/>
        <w:overflowPunct/>
        <w:topLinePunct w:val="0"/>
        <w:autoSpaceDE/>
        <w:bidi w:val="0"/>
        <w:adjustRightInd/>
        <w:snapToGrid/>
        <w:spacing w:line="560" w:lineRule="exact"/>
        <w:jc w:val="center"/>
        <w:textAlignment w:val="auto"/>
        <w:rPr>
          <w:rFonts w:hint="eastAsia" w:asciiTheme="minorEastAsia" w:hAnsiTheme="minorEastAsia" w:eastAsiaTheme="minorEastAsia" w:cstheme="minorEastAsia"/>
          <w:b/>
          <w:bCs/>
          <w:color w:val="auto"/>
          <w:sz w:val="28"/>
          <w:szCs w:val="28"/>
          <w:highlight w:val="none"/>
          <w:lang w:eastAsia="zh-CN"/>
        </w:rPr>
      </w:pPr>
      <w:r>
        <w:rPr>
          <w:rFonts w:hint="eastAsia" w:asciiTheme="minorEastAsia" w:hAnsiTheme="minorEastAsia" w:eastAsiaTheme="minorEastAsia" w:cstheme="minorEastAsia"/>
          <w:b/>
          <w:bCs/>
          <w:color w:val="auto"/>
          <w:sz w:val="28"/>
          <w:szCs w:val="28"/>
          <w:highlight w:val="none"/>
          <w:lang w:val="en-US" w:eastAsia="zh-CN"/>
        </w:rPr>
        <w:t>文笔小学功能室、食堂及信息化设备采购</w:t>
      </w:r>
      <w:r>
        <w:rPr>
          <w:rFonts w:hint="eastAsia" w:asciiTheme="minorEastAsia" w:hAnsiTheme="minorEastAsia" w:eastAsiaTheme="minorEastAsia" w:cstheme="minorEastAsia"/>
          <w:b/>
          <w:bCs/>
          <w:color w:val="auto"/>
          <w:sz w:val="28"/>
          <w:szCs w:val="28"/>
          <w:highlight w:val="none"/>
          <w:lang w:eastAsia="zh-CN"/>
        </w:rPr>
        <w:t>采购公告</w:t>
      </w:r>
    </w:p>
    <w:p w14:paraId="6D4633B8">
      <w:pPr>
        <w:keepNext w:val="0"/>
        <w:keepLines w:val="0"/>
        <w:pageBreakBefore w:val="0"/>
        <w:widowControl w:val="0"/>
        <w:pBdr>
          <w:top w:val="single" w:color="auto" w:sz="4" w:space="1"/>
          <w:left w:val="single" w:color="auto" w:sz="4" w:space="4"/>
          <w:bottom w:val="single" w:color="auto" w:sz="4" w:space="1"/>
          <w:right w:val="single" w:color="auto" w:sz="4" w:space="4"/>
        </w:pBdr>
        <w:shd w:val="clear" w:color="auto" w:fill="auto"/>
        <w:kinsoku w:val="0"/>
        <w:wordWrap w:val="0"/>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项目概况</w:t>
      </w:r>
    </w:p>
    <w:p w14:paraId="11054A9B">
      <w:pPr>
        <w:keepNext w:val="0"/>
        <w:keepLines w:val="0"/>
        <w:pageBreakBefore w:val="0"/>
        <w:widowControl w:val="0"/>
        <w:pBdr>
          <w:top w:val="single" w:color="auto" w:sz="4" w:space="1"/>
          <w:left w:val="single" w:color="auto" w:sz="4" w:space="4"/>
          <w:bottom w:val="single" w:color="auto" w:sz="4" w:space="1"/>
          <w:right w:val="single" w:color="auto" w:sz="4" w:space="4"/>
        </w:pBdr>
        <w:shd w:val="clear" w:color="auto" w:fill="auto"/>
        <w:kinsoku w:val="0"/>
        <w:wordWrap w:val="0"/>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u w:val="single"/>
          <w:lang w:eastAsia="zh-CN"/>
        </w:rPr>
        <w:t>文笔小学功能室、食堂及信息化设备采购</w:t>
      </w:r>
      <w:r>
        <w:rPr>
          <w:rFonts w:hint="eastAsia" w:ascii="宋体" w:hAnsi="宋体" w:eastAsia="宋体" w:cs="宋体"/>
          <w:color w:val="auto"/>
          <w:sz w:val="24"/>
          <w:szCs w:val="24"/>
          <w:highlight w:val="none"/>
        </w:rPr>
        <w:t>的潜在</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应在</w:t>
      </w:r>
      <w:r>
        <w:rPr>
          <w:rFonts w:hint="eastAsia" w:ascii="宋体" w:hAnsi="宋体" w:eastAsia="宋体" w:cs="宋体"/>
          <w:color w:val="auto"/>
          <w:sz w:val="24"/>
          <w:szCs w:val="24"/>
          <w:highlight w:val="none"/>
          <w:u w:val="single"/>
        </w:rPr>
        <w:t>政采云平台（</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HYPERLINK "https://www.zcygov.cn/"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https://www.zcygov.cn/</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lang w:val="en-US" w:eastAsia="zh-CN"/>
        </w:rPr>
        <w:t>下同</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获取</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，并于</w:t>
      </w:r>
      <w:r>
        <w:rPr>
          <w:rFonts w:hint="eastAsia" w:ascii="宋体" w:hAnsi="宋体" w:eastAsia="宋体" w:cs="宋体"/>
          <w:color w:val="auto"/>
          <w:sz w:val="24"/>
          <w:szCs w:val="24"/>
          <w:highlight w:val="yellow"/>
          <w:u w:val="single"/>
          <w:lang w:eastAsia="zh-CN"/>
        </w:rPr>
        <w:t>2025年</w:t>
      </w:r>
      <w:r>
        <w:rPr>
          <w:rFonts w:hint="eastAsia" w:ascii="宋体" w:hAnsi="宋体" w:cs="宋体"/>
          <w:color w:val="auto"/>
          <w:sz w:val="24"/>
          <w:szCs w:val="24"/>
          <w:highlight w:val="yellow"/>
          <w:u w:val="single"/>
          <w:lang w:val="en-US" w:eastAsia="zh-CN"/>
        </w:rPr>
        <w:t>7</w:t>
      </w:r>
      <w:r>
        <w:rPr>
          <w:rFonts w:hint="eastAsia" w:ascii="宋体" w:hAnsi="宋体" w:eastAsia="宋体" w:cs="宋体"/>
          <w:color w:val="auto"/>
          <w:sz w:val="24"/>
          <w:szCs w:val="24"/>
          <w:highlight w:val="yellow"/>
          <w:u w:val="single"/>
          <w:lang w:eastAsia="zh-CN"/>
        </w:rPr>
        <w:t>月</w:t>
      </w:r>
      <w:r>
        <w:rPr>
          <w:rFonts w:hint="eastAsia" w:ascii="宋体" w:hAnsi="宋体" w:cs="宋体"/>
          <w:color w:val="auto"/>
          <w:sz w:val="24"/>
          <w:szCs w:val="24"/>
          <w:highlight w:val="yellow"/>
          <w:u w:val="single"/>
          <w:lang w:val="en-US" w:eastAsia="zh-CN"/>
        </w:rPr>
        <w:t>11</w:t>
      </w:r>
      <w:r>
        <w:rPr>
          <w:rFonts w:hint="eastAsia" w:ascii="宋体" w:hAnsi="宋体" w:eastAsia="宋体" w:cs="宋体"/>
          <w:color w:val="auto"/>
          <w:sz w:val="24"/>
          <w:szCs w:val="24"/>
          <w:highlight w:val="yellow"/>
          <w:u w:val="single"/>
          <w:lang w:eastAsia="zh-CN"/>
        </w:rPr>
        <w:t>日</w:t>
      </w:r>
      <w:r>
        <w:rPr>
          <w:rFonts w:hint="eastAsia" w:ascii="宋体" w:hAnsi="宋体" w:eastAsia="宋体" w:cs="宋体"/>
          <w:bCs/>
          <w:color w:val="auto"/>
          <w:sz w:val="24"/>
          <w:szCs w:val="24"/>
          <w:highlight w:val="none"/>
          <w:u w:val="single"/>
          <w:lang w:val="en-US" w:eastAsia="zh-CN"/>
        </w:rPr>
        <w:t>9时00分</w:t>
      </w:r>
      <w:r>
        <w:rPr>
          <w:rFonts w:hint="eastAsia" w:ascii="宋体" w:hAnsi="宋体" w:eastAsia="宋体" w:cs="宋体"/>
          <w:bCs/>
          <w:color w:val="auto"/>
          <w:sz w:val="24"/>
          <w:szCs w:val="24"/>
          <w:highlight w:val="none"/>
          <w:u w:val="none"/>
        </w:rPr>
        <w:t>（</w:t>
      </w:r>
      <w:r>
        <w:rPr>
          <w:rFonts w:hint="eastAsia" w:ascii="宋体" w:hAnsi="宋体" w:eastAsia="宋体" w:cs="宋体"/>
          <w:bCs/>
          <w:color w:val="auto"/>
          <w:sz w:val="24"/>
          <w:szCs w:val="24"/>
          <w:highlight w:val="none"/>
        </w:rPr>
        <w:t>北京时间）前递交投标文件</w:t>
      </w:r>
      <w:r>
        <w:rPr>
          <w:rFonts w:hint="eastAsia" w:ascii="宋体" w:hAnsi="宋体" w:eastAsia="宋体" w:cs="宋体"/>
          <w:color w:val="auto"/>
          <w:sz w:val="24"/>
          <w:szCs w:val="24"/>
          <w:highlight w:val="none"/>
        </w:rPr>
        <w:t>。</w:t>
      </w:r>
    </w:p>
    <w:p w14:paraId="36878C9B">
      <w:pPr>
        <w:keepNext w:val="0"/>
        <w:keepLines w:val="0"/>
        <w:pageBreakBefore w:val="0"/>
        <w:widowControl w:val="0"/>
        <w:shd w:val="clear" w:color="auto" w:fill="auto"/>
        <w:kinsoku w:val="0"/>
        <w:wordWrap w:val="0"/>
        <w:overflowPunct/>
        <w:topLinePunct w:val="0"/>
        <w:autoSpaceDE/>
        <w:bidi w:val="0"/>
        <w:adjustRightInd/>
        <w:snapToGrid/>
        <w:spacing w:line="500" w:lineRule="exact"/>
        <w:jc w:val="left"/>
        <w:textAlignment w:val="auto"/>
        <w:rPr>
          <w:rFonts w:hint="eastAsia" w:ascii="宋体" w:hAnsi="宋体" w:eastAsia="宋体" w:cs="宋体"/>
          <w:color w:val="auto"/>
          <w:sz w:val="24"/>
          <w:szCs w:val="24"/>
          <w:highlight w:val="none"/>
        </w:rPr>
      </w:pPr>
      <w:bookmarkStart w:id="2" w:name="_Toc35393790"/>
      <w:bookmarkStart w:id="3" w:name="_Toc35393621"/>
      <w:bookmarkStart w:id="4" w:name="_Toc28359002"/>
      <w:bookmarkStart w:id="5" w:name="_Toc28359079"/>
      <w:bookmarkStart w:id="6" w:name="_Hlk24379207"/>
      <w:r>
        <w:rPr>
          <w:rFonts w:hint="eastAsia" w:ascii="宋体" w:hAnsi="宋体" w:eastAsia="宋体" w:cs="宋体"/>
          <w:b/>
          <w:bCs/>
          <w:color w:val="auto"/>
          <w:sz w:val="24"/>
          <w:szCs w:val="24"/>
          <w:highlight w:val="none"/>
        </w:rPr>
        <w:t>一、项目基本情况</w:t>
      </w:r>
      <w:bookmarkEnd w:id="2"/>
      <w:bookmarkEnd w:id="3"/>
      <w:bookmarkEnd w:id="4"/>
      <w:bookmarkEnd w:id="5"/>
    </w:p>
    <w:p w14:paraId="4F9E4611">
      <w:pPr>
        <w:keepNext w:val="0"/>
        <w:keepLines w:val="0"/>
        <w:pageBreakBefore w:val="0"/>
        <w:widowControl w:val="0"/>
        <w:shd w:val="clear" w:color="auto" w:fill="auto"/>
        <w:kinsoku w:val="0"/>
        <w:wordWrap w:val="0"/>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项目</w:t>
      </w:r>
      <w:r>
        <w:rPr>
          <w:rFonts w:hint="eastAsia" w:ascii="宋体" w:hAnsi="宋体" w:eastAsia="宋体" w:cs="宋体"/>
          <w:color w:val="auto"/>
          <w:sz w:val="24"/>
          <w:szCs w:val="24"/>
          <w:highlight w:val="none"/>
        </w:rPr>
        <w:t>编号：</w:t>
      </w:r>
      <w:r>
        <w:rPr>
          <w:rFonts w:hint="eastAsia" w:ascii="宋体" w:hAnsi="宋体" w:cs="宋体"/>
          <w:color w:val="auto"/>
          <w:sz w:val="24"/>
          <w:szCs w:val="24"/>
          <w:highlight w:val="none"/>
          <w:lang w:eastAsia="zh-CN"/>
        </w:rPr>
        <w:t>YNGZ20250602</w:t>
      </w:r>
    </w:p>
    <w:p w14:paraId="1DEEA49C">
      <w:pPr>
        <w:keepNext w:val="0"/>
        <w:keepLines w:val="0"/>
        <w:pageBreakBefore w:val="0"/>
        <w:widowControl w:val="0"/>
        <w:shd w:val="clear" w:color="auto" w:fill="auto"/>
        <w:kinsoku w:val="0"/>
        <w:wordWrap w:val="0"/>
        <w:overflowPunct/>
        <w:topLinePunct w:val="0"/>
        <w:autoSpaceDE/>
        <w:bidi w:val="0"/>
        <w:adjustRightInd/>
        <w:snapToGrid/>
        <w:spacing w:line="500" w:lineRule="exact"/>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项目名称：</w:t>
      </w:r>
      <w:r>
        <w:rPr>
          <w:rFonts w:hint="eastAsia" w:ascii="宋体" w:hAnsi="宋体" w:cs="宋体"/>
          <w:color w:val="auto"/>
          <w:sz w:val="24"/>
          <w:szCs w:val="24"/>
          <w:highlight w:val="none"/>
          <w:lang w:eastAsia="zh-CN"/>
        </w:rPr>
        <w:t>文笔小学功能室、食堂及信息化设备采购</w:t>
      </w:r>
    </w:p>
    <w:bookmarkEnd w:id="6"/>
    <w:p w14:paraId="582D83E5">
      <w:pPr>
        <w:keepNext w:val="0"/>
        <w:keepLines w:val="0"/>
        <w:pageBreakBefore w:val="0"/>
        <w:widowControl w:val="0"/>
        <w:shd w:val="clear" w:color="auto" w:fill="auto"/>
        <w:kinsoku w:val="0"/>
        <w:wordWrap w:val="0"/>
        <w:overflowPunct/>
        <w:topLinePunct w:val="0"/>
        <w:autoSpaceDE/>
        <w:bidi w:val="0"/>
        <w:adjustRightInd/>
        <w:snapToGrid/>
        <w:spacing w:line="500" w:lineRule="exact"/>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预算</w:t>
      </w:r>
      <w:r>
        <w:rPr>
          <w:rFonts w:hint="eastAsia" w:ascii="宋体" w:hAnsi="宋体" w:cs="宋体"/>
          <w:color w:val="auto"/>
          <w:sz w:val="24"/>
          <w:szCs w:val="24"/>
          <w:highlight w:val="none"/>
          <w:lang w:val="en-US" w:eastAsia="zh-CN"/>
        </w:rPr>
        <w:t>总</w:t>
      </w:r>
      <w:r>
        <w:rPr>
          <w:rFonts w:hint="eastAsia" w:ascii="宋体" w:hAnsi="宋体" w:eastAsia="宋体" w:cs="宋体"/>
          <w:color w:val="auto"/>
          <w:sz w:val="24"/>
          <w:szCs w:val="24"/>
          <w:highlight w:val="none"/>
        </w:rPr>
        <w:t>金额</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元</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3779668.60</w:t>
      </w:r>
    </w:p>
    <w:p w14:paraId="08C4C69B">
      <w:pPr>
        <w:keepNext w:val="0"/>
        <w:keepLines w:val="0"/>
        <w:pageBreakBefore w:val="0"/>
        <w:widowControl w:val="0"/>
        <w:shd w:val="clear" w:color="auto" w:fill="auto"/>
        <w:kinsoku w:val="0"/>
        <w:wordWrap w:val="0"/>
        <w:overflowPunct/>
        <w:topLinePunct w:val="0"/>
        <w:autoSpaceDE/>
        <w:bidi w:val="0"/>
        <w:adjustRightInd/>
        <w:snapToGrid/>
        <w:spacing w:line="500" w:lineRule="exact"/>
        <w:ind w:firstLine="480" w:firstLineChars="20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采购需求：</w:t>
      </w:r>
    </w:p>
    <w:p w14:paraId="6A8B1009">
      <w:pPr>
        <w:keepNext w:val="0"/>
        <w:keepLines w:val="0"/>
        <w:pageBreakBefore w:val="0"/>
        <w:widowControl w:val="0"/>
        <w:numPr>
          <w:ilvl w:val="0"/>
          <w:numId w:val="0"/>
        </w:numPr>
        <w:shd w:val="clear" w:color="auto" w:fill="auto"/>
        <w:kinsoku w:val="0"/>
        <w:wordWrap w:val="0"/>
        <w:overflowPunct/>
        <w:topLinePunct w:val="0"/>
        <w:autoSpaceDE/>
        <w:autoSpaceDN w:val="0"/>
        <w:bidi w:val="0"/>
        <w:adjustRightInd/>
        <w:snapToGrid/>
        <w:spacing w:line="500" w:lineRule="exact"/>
        <w:ind w:firstLine="480" w:firstLineChars="200"/>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lang w:val="en-US" w:eastAsia="zh-CN" w:bidi="ar-SA"/>
        </w:rPr>
        <w:t>1.</w:t>
      </w:r>
      <w:r>
        <w:rPr>
          <w:rFonts w:hint="eastAsia" w:ascii="宋体" w:hAnsi="宋体" w:eastAsia="宋体" w:cs="宋体"/>
          <w:b w:val="0"/>
          <w:bCs w:val="0"/>
          <w:color w:val="auto"/>
          <w:kern w:val="0"/>
          <w:sz w:val="24"/>
          <w:szCs w:val="24"/>
          <w:highlight w:val="none"/>
        </w:rPr>
        <w:t>采购内容</w:t>
      </w:r>
    </w:p>
    <w:p w14:paraId="27C17665">
      <w:pPr>
        <w:keepNext w:val="0"/>
        <w:keepLines w:val="0"/>
        <w:pageBreakBefore w:val="0"/>
        <w:widowControl w:val="0"/>
        <w:numPr>
          <w:ilvl w:val="0"/>
          <w:numId w:val="0"/>
        </w:numPr>
        <w:shd w:val="clear" w:color="auto" w:fill="auto"/>
        <w:kinsoku w:val="0"/>
        <w:wordWrap w:val="0"/>
        <w:overflowPunct/>
        <w:topLinePunct w:val="0"/>
        <w:autoSpaceDE/>
        <w:autoSpaceDN w:val="0"/>
        <w:bidi w:val="0"/>
        <w:adjustRightInd/>
        <w:snapToGrid/>
        <w:spacing w:line="500" w:lineRule="exact"/>
        <w:ind w:firstLine="480" w:firstLineChars="200"/>
        <w:textAlignment w:val="auto"/>
        <w:rPr>
          <w:rFonts w:hint="eastAsia" w:ascii="宋体" w:hAnsi="宋体" w:eastAsia="宋体" w:cs="宋体"/>
          <w:b w:val="0"/>
          <w:bCs w:val="0"/>
          <w:color w:val="0000FF"/>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计划采购教育信息化</w:t>
      </w:r>
      <w:r>
        <w:rPr>
          <w:rFonts w:hint="eastAsia" w:ascii="宋体" w:hAnsi="宋体" w:cs="宋体"/>
          <w:b w:val="0"/>
          <w:bCs w:val="0"/>
          <w:color w:val="auto"/>
          <w:kern w:val="0"/>
          <w:sz w:val="24"/>
          <w:szCs w:val="24"/>
          <w:highlight w:val="none"/>
          <w:lang w:val="en-US" w:eastAsia="zh-CN"/>
        </w:rPr>
        <w:t>、</w:t>
      </w:r>
      <w:r>
        <w:rPr>
          <w:rFonts w:hint="eastAsia" w:ascii="宋体" w:hAnsi="宋体" w:eastAsia="宋体" w:cs="宋体"/>
          <w:b w:val="0"/>
          <w:bCs w:val="0"/>
          <w:color w:val="auto"/>
          <w:kern w:val="0"/>
          <w:sz w:val="24"/>
          <w:szCs w:val="24"/>
          <w:highlight w:val="none"/>
          <w:lang w:val="en-US" w:eastAsia="zh-CN"/>
        </w:rPr>
        <w:t>教学</w:t>
      </w:r>
      <w:r>
        <w:rPr>
          <w:rFonts w:hint="eastAsia" w:ascii="宋体" w:hAnsi="宋体" w:cs="宋体"/>
          <w:b w:val="0"/>
          <w:bCs w:val="0"/>
          <w:color w:val="auto"/>
          <w:kern w:val="0"/>
          <w:sz w:val="24"/>
          <w:szCs w:val="24"/>
          <w:highlight w:val="none"/>
          <w:lang w:val="en-US" w:eastAsia="zh-CN"/>
        </w:rPr>
        <w:t>及食堂</w:t>
      </w:r>
      <w:r>
        <w:rPr>
          <w:rFonts w:hint="eastAsia" w:ascii="宋体" w:hAnsi="宋体" w:eastAsia="宋体" w:cs="宋体"/>
          <w:b w:val="0"/>
          <w:bCs w:val="0"/>
          <w:color w:val="auto"/>
          <w:kern w:val="0"/>
          <w:sz w:val="24"/>
          <w:szCs w:val="24"/>
          <w:highlight w:val="none"/>
          <w:lang w:val="en-US" w:eastAsia="zh-CN"/>
        </w:rPr>
        <w:t>设备一批。</w:t>
      </w:r>
      <w:r>
        <w:rPr>
          <w:rFonts w:hint="eastAsia" w:ascii="宋体" w:hAnsi="宋体" w:cs="宋体"/>
          <w:color w:val="auto"/>
          <w:sz w:val="24"/>
          <w:szCs w:val="24"/>
          <w:lang w:val="en-US" w:eastAsia="zh-CN"/>
        </w:rPr>
        <w:t>按功能划分共分为2个标段，</w:t>
      </w:r>
      <w:r>
        <w:rPr>
          <w:rFonts w:hint="eastAsia" w:ascii="宋体" w:hAnsi="宋体" w:eastAsia="宋体" w:cs="宋体"/>
          <w:b w:val="0"/>
          <w:bCs w:val="0"/>
          <w:color w:val="auto"/>
          <w:kern w:val="0"/>
          <w:sz w:val="24"/>
          <w:szCs w:val="24"/>
          <w:highlight w:val="none"/>
          <w:lang w:val="en-US" w:eastAsia="zh-CN"/>
        </w:rPr>
        <w:t>具体功能、性能、配置要求、产品技术要求详见采购文件第五章“采购清单”。</w:t>
      </w:r>
    </w:p>
    <w:p w14:paraId="117205AC">
      <w:pPr>
        <w:outlineLvl w:val="9"/>
        <w:rPr>
          <w:rFonts w:hint="eastAsia" w:cs="宋体"/>
          <w:b w:val="0"/>
          <w:bCs w:val="0"/>
          <w:color w:val="auto"/>
          <w:kern w:val="0"/>
          <w:sz w:val="24"/>
          <w:szCs w:val="24"/>
          <w:highlight w:val="none"/>
          <w:lang w:val="en-US" w:eastAsia="zh-CN"/>
        </w:rPr>
      </w:pPr>
    </w:p>
    <w:p w14:paraId="262A67C8">
      <w:pPr>
        <w:outlineLvl w:val="9"/>
        <w:rPr>
          <w:rFonts w:hint="default" w:cs="宋体"/>
          <w:b/>
          <w:bCs/>
          <w:color w:val="auto"/>
          <w:kern w:val="0"/>
          <w:sz w:val="24"/>
          <w:szCs w:val="24"/>
          <w:highlight w:val="none"/>
          <w:lang w:val="en-US" w:eastAsia="zh-CN"/>
        </w:rPr>
      </w:pPr>
      <w:r>
        <w:rPr>
          <w:rFonts w:hint="eastAsia" w:cs="宋体"/>
          <w:b/>
          <w:bCs/>
          <w:color w:val="auto"/>
          <w:kern w:val="0"/>
          <w:sz w:val="24"/>
          <w:szCs w:val="24"/>
          <w:highlight w:val="none"/>
          <w:lang w:val="en-US" w:eastAsia="zh-CN"/>
        </w:rPr>
        <w:t>一标段：功能室及食堂设备1748840.00元</w:t>
      </w:r>
    </w:p>
    <w:tbl>
      <w:tblPr>
        <w:tblStyle w:val="21"/>
        <w:tblW w:w="8928"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63"/>
        <w:gridCol w:w="4979"/>
        <w:gridCol w:w="1743"/>
        <w:gridCol w:w="1443"/>
      </w:tblGrid>
      <w:tr w14:paraId="7FDFA3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D9E1F4"/>
            <w:vAlign w:val="center"/>
          </w:tcPr>
          <w:p w14:paraId="6BD513F5">
            <w:pPr>
              <w:keepNext w:val="0"/>
              <w:keepLines w:val="0"/>
              <w:widowControl/>
              <w:suppressLineNumbers w:val="0"/>
              <w:jc w:val="center"/>
              <w:textAlignment w:val="center"/>
              <w:rPr>
                <w:rFonts w:ascii="方正黑体_GBK" w:hAnsi="方正黑体_GBK" w:eastAsia="方正黑体_GBK" w:cs="方正黑体_GBK"/>
                <w:i w:val="0"/>
                <w:iCs w:val="0"/>
                <w:color w:val="000000"/>
                <w:sz w:val="18"/>
                <w:szCs w:val="18"/>
                <w:u w:val="none"/>
              </w:rPr>
            </w:pPr>
            <w:r>
              <w:rPr>
                <w:rFonts w:hint="default" w:ascii="方正黑体_GBK" w:hAnsi="方正黑体_GBK" w:eastAsia="方正黑体_GBK" w:cs="方正黑体_GBK"/>
                <w:i w:val="0"/>
                <w:iCs w:val="0"/>
                <w:color w:val="000000"/>
                <w:kern w:val="0"/>
                <w:sz w:val="18"/>
                <w:szCs w:val="18"/>
                <w:u w:val="none"/>
                <w:lang w:val="en-US" w:eastAsia="zh-CN" w:bidi="ar"/>
              </w:rPr>
              <w:t>序号</w:t>
            </w:r>
          </w:p>
        </w:tc>
        <w:tc>
          <w:tcPr>
            <w:tcW w:w="4979" w:type="dxa"/>
            <w:tcBorders>
              <w:top w:val="single" w:color="000000" w:sz="4" w:space="0"/>
              <w:left w:val="single" w:color="000000" w:sz="4" w:space="0"/>
              <w:bottom w:val="single" w:color="000000" w:sz="4" w:space="0"/>
              <w:right w:val="single" w:color="000000" w:sz="4" w:space="0"/>
            </w:tcBorders>
            <w:shd w:val="clear" w:color="auto" w:fill="D9E1F4"/>
            <w:vAlign w:val="center"/>
          </w:tcPr>
          <w:p w14:paraId="1FEFC917">
            <w:pPr>
              <w:keepNext w:val="0"/>
              <w:keepLines w:val="0"/>
              <w:widowControl/>
              <w:suppressLineNumbers w:val="0"/>
              <w:jc w:val="center"/>
              <w:textAlignment w:val="center"/>
              <w:rPr>
                <w:rFonts w:hint="default" w:ascii="方正黑体_GBK" w:hAnsi="方正黑体_GBK" w:eastAsia="方正黑体_GBK" w:cs="方正黑体_GBK"/>
                <w:i w:val="0"/>
                <w:iCs w:val="0"/>
                <w:color w:val="000000"/>
                <w:sz w:val="18"/>
                <w:szCs w:val="18"/>
                <w:u w:val="none"/>
              </w:rPr>
            </w:pPr>
            <w:r>
              <w:rPr>
                <w:rFonts w:hint="default" w:ascii="方正黑体_GBK" w:hAnsi="方正黑体_GBK" w:eastAsia="方正黑体_GBK" w:cs="方正黑体_GBK"/>
                <w:i w:val="0"/>
                <w:iCs w:val="0"/>
                <w:color w:val="000000"/>
                <w:kern w:val="0"/>
                <w:sz w:val="18"/>
                <w:szCs w:val="18"/>
                <w:u w:val="none"/>
                <w:lang w:val="en-US" w:eastAsia="zh-CN" w:bidi="ar"/>
              </w:rPr>
              <w:t>采购货物名称</w:t>
            </w:r>
          </w:p>
        </w:tc>
        <w:tc>
          <w:tcPr>
            <w:tcW w:w="1743" w:type="dxa"/>
            <w:tcBorders>
              <w:top w:val="single" w:color="000000" w:sz="4" w:space="0"/>
              <w:left w:val="single" w:color="000000" w:sz="4" w:space="0"/>
              <w:bottom w:val="single" w:color="000000" w:sz="4" w:space="0"/>
              <w:right w:val="single" w:color="000000" w:sz="4" w:space="0"/>
            </w:tcBorders>
            <w:shd w:val="clear" w:color="auto" w:fill="D9E1F4"/>
            <w:vAlign w:val="center"/>
          </w:tcPr>
          <w:p w14:paraId="41EEC51D">
            <w:pPr>
              <w:keepNext w:val="0"/>
              <w:keepLines w:val="0"/>
              <w:widowControl/>
              <w:suppressLineNumbers w:val="0"/>
              <w:jc w:val="center"/>
              <w:textAlignment w:val="center"/>
              <w:rPr>
                <w:rFonts w:hint="default" w:ascii="方正黑体_GBK" w:hAnsi="方正黑体_GBK" w:eastAsia="方正黑体_GBK" w:cs="方正黑体_GBK"/>
                <w:i w:val="0"/>
                <w:iCs w:val="0"/>
                <w:color w:val="000000"/>
                <w:sz w:val="18"/>
                <w:szCs w:val="18"/>
                <w:u w:val="none"/>
              </w:rPr>
            </w:pPr>
            <w:r>
              <w:rPr>
                <w:rFonts w:hint="default" w:ascii="方正黑体_GBK" w:hAnsi="方正黑体_GBK" w:eastAsia="方正黑体_GBK" w:cs="方正黑体_GBK"/>
                <w:i w:val="0"/>
                <w:iCs w:val="0"/>
                <w:color w:val="000000"/>
                <w:kern w:val="0"/>
                <w:sz w:val="18"/>
                <w:szCs w:val="18"/>
                <w:u w:val="none"/>
                <w:lang w:val="en-US" w:eastAsia="zh-CN" w:bidi="ar"/>
              </w:rPr>
              <w:t>数量</w:t>
            </w:r>
          </w:p>
        </w:tc>
        <w:tc>
          <w:tcPr>
            <w:tcW w:w="1443" w:type="dxa"/>
            <w:tcBorders>
              <w:top w:val="single" w:color="000000" w:sz="4" w:space="0"/>
              <w:left w:val="single" w:color="000000" w:sz="4" w:space="0"/>
              <w:bottom w:val="single" w:color="000000" w:sz="4" w:space="0"/>
              <w:right w:val="single" w:color="000000" w:sz="4" w:space="0"/>
            </w:tcBorders>
            <w:shd w:val="clear" w:color="auto" w:fill="D9E1F4"/>
            <w:vAlign w:val="center"/>
          </w:tcPr>
          <w:p w14:paraId="29A8AA49">
            <w:pPr>
              <w:keepNext w:val="0"/>
              <w:keepLines w:val="0"/>
              <w:widowControl/>
              <w:suppressLineNumbers w:val="0"/>
              <w:jc w:val="center"/>
              <w:textAlignment w:val="center"/>
              <w:rPr>
                <w:rFonts w:hint="default" w:ascii="方正黑体_GBK" w:hAnsi="方正黑体_GBK" w:eastAsia="方正黑体_GBK" w:cs="方正黑体_GBK"/>
                <w:i w:val="0"/>
                <w:iCs w:val="0"/>
                <w:color w:val="000000"/>
                <w:sz w:val="18"/>
                <w:szCs w:val="18"/>
                <w:u w:val="none"/>
              </w:rPr>
            </w:pPr>
            <w:r>
              <w:rPr>
                <w:rFonts w:hint="default" w:ascii="方正黑体_GBK" w:hAnsi="方正黑体_GBK" w:eastAsia="方正黑体_GBK" w:cs="方正黑体_GBK"/>
                <w:i w:val="0"/>
                <w:iCs w:val="0"/>
                <w:color w:val="000000"/>
                <w:kern w:val="0"/>
                <w:sz w:val="18"/>
                <w:szCs w:val="18"/>
                <w:u w:val="none"/>
                <w:lang w:val="en-US" w:eastAsia="zh-CN" w:bidi="ar"/>
              </w:rPr>
              <w:t>单位</w:t>
            </w:r>
          </w:p>
        </w:tc>
      </w:tr>
      <w:tr w14:paraId="09A353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8928" w:type="dxa"/>
            <w:gridSpan w:val="4"/>
            <w:tcBorders>
              <w:top w:val="single" w:color="000000" w:sz="4" w:space="0"/>
              <w:left w:val="single" w:color="000000" w:sz="4" w:space="0"/>
              <w:bottom w:val="single" w:color="000000" w:sz="4" w:space="0"/>
              <w:right w:val="single" w:color="000000" w:sz="4" w:space="0"/>
            </w:tcBorders>
            <w:shd w:val="clear" w:color="auto" w:fill="FFFF00"/>
            <w:vAlign w:val="center"/>
          </w:tcPr>
          <w:p w14:paraId="6F78FA30">
            <w:pPr>
              <w:keepNext w:val="0"/>
              <w:keepLines w:val="0"/>
              <w:widowControl/>
              <w:suppressLineNumbers w:val="0"/>
              <w:jc w:val="center"/>
              <w:textAlignment w:val="center"/>
              <w:rPr>
                <w:rFonts w:hint="default" w:ascii="方正黑体_GBK" w:hAnsi="方正黑体_GBK" w:eastAsia="方正黑体_GBK" w:cs="方正黑体_GBK"/>
                <w:i w:val="0"/>
                <w:iCs w:val="0"/>
                <w:color w:val="000000"/>
                <w:sz w:val="18"/>
                <w:szCs w:val="18"/>
                <w:u w:val="none"/>
              </w:rPr>
            </w:pPr>
            <w:r>
              <w:rPr>
                <w:rFonts w:hint="default" w:ascii="方正黑体_GBK" w:hAnsi="方正黑体_GBK" w:eastAsia="方正黑体_GBK" w:cs="方正黑体_GBK"/>
                <w:i w:val="0"/>
                <w:iCs w:val="0"/>
                <w:color w:val="000000"/>
                <w:kern w:val="0"/>
                <w:sz w:val="18"/>
                <w:szCs w:val="18"/>
                <w:u w:val="none"/>
                <w:lang w:val="en-US" w:eastAsia="zh-CN" w:bidi="ar"/>
              </w:rPr>
              <w:t>科学实验室仪器设备</w:t>
            </w:r>
          </w:p>
        </w:tc>
      </w:tr>
      <w:tr w14:paraId="468B6D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5CC2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497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D6418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教师演示台</w:t>
            </w:r>
          </w:p>
        </w:tc>
        <w:tc>
          <w:tcPr>
            <w:tcW w:w="17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B49D1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4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64374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w:t>
            </w:r>
          </w:p>
        </w:tc>
      </w:tr>
      <w:tr w14:paraId="49F05E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9401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50C1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学生实验桌（八边形）</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85036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3215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w:t>
            </w:r>
          </w:p>
        </w:tc>
      </w:tr>
      <w:tr w14:paraId="634C72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7BCD0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A4F7F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学生实验凳</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5E59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96</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089C7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w:t>
            </w:r>
          </w:p>
        </w:tc>
      </w:tr>
      <w:tr w14:paraId="16C134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86C6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3098F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安装及调试</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9C056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079E2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566B15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FA01D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21A32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仪器柜</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0DDA9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7C46F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6B7B5C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6EBF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57369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打孔器</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3791F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95DA4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356637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9C482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014E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打气筒</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69214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4013E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576FEB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85CB5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0107D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放大镜</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0806F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AC948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656BA6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EAF3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83FD6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酒精喷灯</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E0BDC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B8CB2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252251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4E1E7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ECB96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听诊器</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E6607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56</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563BC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14:paraId="7B46E9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166F9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000FE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水族箱</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15ABD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14548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14:paraId="374113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1D8F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55124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水槽</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651D2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135D8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657741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22F39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875F9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方座支架</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D3AA1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4E6DE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3398CF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29BF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79235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三脚架</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4A75B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CF5E6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31A909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1B3BC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51E36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试管架</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EF73F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E285B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58CADD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8CB0D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F093A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旋转架</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AA2A9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EFD4A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5EE902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0017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0514A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百叶箱支架</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212E8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ACA23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4CED7B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0A89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0B705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百叶箱</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23D45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AFF0D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1042F4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2411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7771B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教学电源</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79398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888A6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14:paraId="65DE42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F4C3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F16E6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电池盒</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83CA9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5B26D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525E45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EB5A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8DD32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直尺</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45D6C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31756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r>
      <w:tr w14:paraId="538077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A0320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8DB91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软尺</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1AF29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3329D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484025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F6968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2BB52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托盘天平</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9CE61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76A4E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14:paraId="5D93BD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73CA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614E9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金属钩码</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F9841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264F2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17B806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E874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C40E7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电子停表</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D913E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971C9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块</w:t>
            </w:r>
          </w:p>
        </w:tc>
      </w:tr>
      <w:tr w14:paraId="2436CF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ADE6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26</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D726A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温度计</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338A1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56</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B5C6C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支</w:t>
            </w:r>
          </w:p>
        </w:tc>
      </w:tr>
      <w:tr w14:paraId="067C9A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7FC69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27</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B83E5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温度计</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58559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073BE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支</w:t>
            </w:r>
          </w:p>
        </w:tc>
      </w:tr>
      <w:tr w14:paraId="364460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64C7D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F1137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体温计</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3FE66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56</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6F08B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支</w:t>
            </w:r>
          </w:p>
        </w:tc>
      </w:tr>
      <w:tr w14:paraId="2CF599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3191E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A9B87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寒暑表</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C3053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5EC6A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r>
      <w:tr w14:paraId="03F7E8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34657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15E0C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最高温度表</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E4603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BA56B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支</w:t>
            </w:r>
          </w:p>
        </w:tc>
      </w:tr>
      <w:tr w14:paraId="3CA46F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BF5C1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28EA8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最低温度表</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BB4D7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7CCE4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支</w:t>
            </w:r>
          </w:p>
        </w:tc>
      </w:tr>
      <w:tr w14:paraId="5BB197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183ED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39F2F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条形盒测力计</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63B99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916B4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41126B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5BAFF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F9CFA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条形盒测力计</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86CAF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5D9D0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78A117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192A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4D7BD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条形盒测力计</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458A4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F4BCF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2FDA92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B552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C8DDD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多用电表</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CC319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CCA49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461545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90740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36</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AD0EA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湿度计</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1B107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91E5A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4311D6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DA9A2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37</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32BC0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指南针</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570C3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A5351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052470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9061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38</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4DF8A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肺活量计</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BA7DD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2515B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14:paraId="1B7913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30390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39</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273FF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雨量器</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D5E99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86048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34C572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CA4A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6F393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风杯式风速表</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111EE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A4513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20CDC8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02078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41</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D7D92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斜面</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5BF14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89873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630564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A0BA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42</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CD402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压簧</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14303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8668D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378F09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560C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43</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69541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拉簧</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98F2D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8556C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6172C2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0F65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44</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D4BC3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沉浮块</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B52F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917C9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343160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07B2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60797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杠杆尺及支架</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B3A3D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825E7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02DB4B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1369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46</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F31EC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滑轮组及支架</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D0C81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1A41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23E9D5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2FBB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47</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57C1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轮轴及支架</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974DF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BC0DA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563B2B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7F036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48</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F0C92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齿轮组及支架</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AAF27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1D2BF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190E42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9C475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49</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3F85C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弹簧片</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FFD83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894A8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7DE7B5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2D7B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D48BC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小车</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CDF74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68C29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14:paraId="0C4DB5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1C86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51</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35DE1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三球仪</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7692D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BE19F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14:paraId="56B9E1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0501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52</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13CEC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太阳高度测量器</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7AC12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FBEC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0858C5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C12B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53</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E329C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风的形成实验材料</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02204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0AD71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79A144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8D90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54</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7FCAB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组装风车材料</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994B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AB016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6DCAED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D0F6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55</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922CC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组装水轮材料</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B567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3AE01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1CFDFB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3290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56</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DC6A0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太阳能的应用材料</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A4125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558AA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7A310B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E56A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57</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B3AC5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音叉</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217FA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8777E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r>
      <w:tr w14:paraId="41ED95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FE0C6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58</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B8034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小鼓</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7E128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6B297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0C5418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A5B5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59</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5E44F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组装土电话材料</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53CF2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2F872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0E6A45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90FD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1D593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热传导实验材料</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9B6A3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8F5E7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115EFF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F64D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61</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48F12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物体热涨冷缩实验材料</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72734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8C0D7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7FCBC5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10C6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62</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C193A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灯座及灯泡</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1E44B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56</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A0E83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6CF65E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F1A56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63</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D06EE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开关</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DF406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56</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97641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组</w:t>
            </w:r>
          </w:p>
        </w:tc>
      </w:tr>
      <w:tr w14:paraId="60990A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44AC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64</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B2AB6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物体导电性实验材料</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65570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A8CAD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6B555A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F3E7A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65</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5372E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条形磁铁</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F96F7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B402D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w:t>
            </w:r>
          </w:p>
        </w:tc>
      </w:tr>
      <w:tr w14:paraId="502AB0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0B16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66</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692E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条形磁铁</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3CA82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83B3D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w:t>
            </w:r>
          </w:p>
        </w:tc>
      </w:tr>
      <w:tr w14:paraId="35D0A9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058B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67</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8AB8E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蹄形磁铁</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3A605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1F53D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151322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543E2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68</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AE0E9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蹄形磁铁</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21421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14E31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7CC412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693A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69</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FFE18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磁针</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4732A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86F35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347F99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8105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70</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6ADA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环形磁铁</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EC644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5752A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72B16D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5D46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71</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9C04D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电磁铁组装材料</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82E78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FEB0E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129FC6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8720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72</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C5B69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电磁铁</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5446D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A89B6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535013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C11B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73</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79716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手摇发电机</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2AEFB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10F36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14:paraId="70CFE4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0B3E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74</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6E1D2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激光笔</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5964B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32EED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支</w:t>
            </w:r>
          </w:p>
        </w:tc>
      </w:tr>
      <w:tr w14:paraId="1548CF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C725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75</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EF011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小孔成像装置</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CF6FA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83863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0B77F8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312E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76</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640CD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平面镜及支架</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B61F2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2A4F1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27CF90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ED88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77</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A46FE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曲面镜及支架</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FB459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3711D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48917A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4EC69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78</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40AF2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透镜、棱镜及支架</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220A2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F193B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0C83AA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F55A7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79</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AE7F1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成像屏及支架</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01B5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63AFA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0144FB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1A8D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80</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7700C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昆虫观察盒</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1CC31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D5BB4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盒</w:t>
            </w:r>
          </w:p>
        </w:tc>
      </w:tr>
      <w:tr w14:paraId="4FC5D3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F8FC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81</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55DD2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动物饲养笼</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A2AA0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F3638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403128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42E8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82</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08CFD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塑料注射器</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2BD86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A6813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68BCDB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CDE6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83</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B13F3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儿童骨骼模型</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59B09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A0D17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件</w:t>
            </w:r>
          </w:p>
        </w:tc>
      </w:tr>
      <w:tr w14:paraId="61774B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7F03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84</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75B89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儿童牙列模型</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BBB7D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AD3D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件</w:t>
            </w:r>
          </w:p>
        </w:tc>
      </w:tr>
      <w:tr w14:paraId="4CE64C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D0CC8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85</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14B15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少年人体半身模型</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3BC88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5BF53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件</w:t>
            </w:r>
          </w:p>
        </w:tc>
      </w:tr>
      <w:tr w14:paraId="3C4B58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4FCA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86</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FD594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眼构造模型</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81880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94333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件</w:t>
            </w:r>
          </w:p>
        </w:tc>
      </w:tr>
      <w:tr w14:paraId="4A4F33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E1AD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87</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A16A0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啄木鸟仿真模型</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E5CFA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2CA67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件</w:t>
            </w:r>
          </w:p>
        </w:tc>
      </w:tr>
      <w:tr w14:paraId="3B895F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5802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88</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CA6B9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猫头鹰仿真模型</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B5B7C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B9418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件</w:t>
            </w:r>
          </w:p>
        </w:tc>
      </w:tr>
      <w:tr w14:paraId="63DB70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945E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89</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1A643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平面政区地球仪</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E8004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C6F63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515221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7FAF7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90</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8A117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平面地形地球仪</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39781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32C56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16A1DE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A2C8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91</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B9A6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地球构造模型</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7DB17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0C244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件</w:t>
            </w:r>
          </w:p>
        </w:tc>
      </w:tr>
      <w:tr w14:paraId="3277C5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847AE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92</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ACEE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月相变化演示器</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586C3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300A3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件</w:t>
            </w:r>
          </w:p>
        </w:tc>
      </w:tr>
      <w:tr w14:paraId="399B09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90E0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93</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A7DCD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蟾蜍标本</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15BC1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F9190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盒</w:t>
            </w:r>
          </w:p>
        </w:tc>
      </w:tr>
      <w:tr w14:paraId="6D03EC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A2D1A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94</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779F7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河蚌标本</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367AD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9D19E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盒</w:t>
            </w:r>
          </w:p>
        </w:tc>
      </w:tr>
      <w:tr w14:paraId="76F45E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EBF47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95</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B4CB1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爬行动物（水蛇）标本</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DEDF5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89397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盒</w:t>
            </w:r>
          </w:p>
        </w:tc>
      </w:tr>
      <w:tr w14:paraId="06C5DD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38D23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96</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2C36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爬行动物（蜥蜴）标本</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0B9F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A14B0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盒</w:t>
            </w:r>
          </w:p>
        </w:tc>
      </w:tr>
      <w:tr w14:paraId="4F6F84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0DC6C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97</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88D11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蛙发育顺序标本</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7F83F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9F8A9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盒</w:t>
            </w:r>
          </w:p>
        </w:tc>
      </w:tr>
      <w:tr w14:paraId="5A8CA0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8362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98</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B7872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昆虫标本</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6F5B2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F2601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盒</w:t>
            </w:r>
          </w:p>
        </w:tc>
      </w:tr>
      <w:tr w14:paraId="450B6B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F992F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99</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42789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桑蚕生活史标本</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79656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7CB34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盒</w:t>
            </w:r>
          </w:p>
        </w:tc>
      </w:tr>
      <w:tr w14:paraId="388ACA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1C73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51223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免外型标本</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F7362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98562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盒</w:t>
            </w:r>
          </w:p>
        </w:tc>
      </w:tr>
      <w:tr w14:paraId="4086D3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C951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101</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B172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植物种子传播方式标本</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7506A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3A357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盒</w:t>
            </w:r>
          </w:p>
        </w:tc>
      </w:tr>
      <w:tr w14:paraId="52CD2A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B0CC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102</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307A0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矿物标本</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B2C60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BEF75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7B27C5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5913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103</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2E50C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岩石标本</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48F0C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995B9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570E5B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015C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104</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9D8E7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金属矿物标本</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712EB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8E0E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633D61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1337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105</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58EC6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土壤标本</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42B26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7DE8C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459159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5E584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106</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95635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矿物提炼物标本</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4A05C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21BB5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547932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CE68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107</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28171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洋葱表皮装片</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02419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DD972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片</w:t>
            </w:r>
          </w:p>
        </w:tc>
      </w:tr>
      <w:tr w14:paraId="5C6353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068E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108</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03709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叶片横切</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89AF2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F5978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片</w:t>
            </w:r>
          </w:p>
        </w:tc>
      </w:tr>
      <w:tr w14:paraId="4286BD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AE34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109</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3BB85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叶片气孔装片</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E9C83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37CE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片</w:t>
            </w:r>
          </w:p>
        </w:tc>
      </w:tr>
      <w:tr w14:paraId="181685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36F3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110</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89EA9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动物表皮细胞装片</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1F1D7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BD5B7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片</w:t>
            </w:r>
          </w:p>
        </w:tc>
      </w:tr>
      <w:tr w14:paraId="352919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BED2C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111</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3604C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蛙卵细胞切片</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6BD9A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CC0A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片</w:t>
            </w:r>
          </w:p>
        </w:tc>
      </w:tr>
      <w:tr w14:paraId="6DD0D8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66E68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112</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7CF98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骨细胞切片</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045F3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6E284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片</w:t>
            </w:r>
          </w:p>
        </w:tc>
      </w:tr>
      <w:tr w14:paraId="23C69B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FB75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113</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9418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口腔粘膜细胞装片</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A4D5A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A7A1A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片</w:t>
            </w:r>
          </w:p>
        </w:tc>
      </w:tr>
      <w:tr w14:paraId="08EF8F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75168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114</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6FCF6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人血细胞装片</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B8AE1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1CD50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片</w:t>
            </w:r>
          </w:p>
        </w:tc>
      </w:tr>
      <w:tr w14:paraId="15A50C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6DF0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115</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4396D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中国政区地图</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C64C7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DD048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w:t>
            </w:r>
          </w:p>
        </w:tc>
      </w:tr>
      <w:tr w14:paraId="07532B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4438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116</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4263C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中国地形地图</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540CF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C8E11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w:t>
            </w:r>
          </w:p>
        </w:tc>
      </w:tr>
      <w:tr w14:paraId="6707EF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D2C3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117</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C1913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小学科学安全操作挂图</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56540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74519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660468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C85F8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118</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20C8C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小学科学生命世界教学挂图</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CDE2B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D373C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544805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9FD9C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119</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81C86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小学科学物质世界教学挂图</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72C2B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CA775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24751A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D8A32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120</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67FC2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小学科学地球与宇宙教学挂图</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24ED1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118BB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139343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AA21F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121</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5A047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植物分类图谱</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FE209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F81E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0265E2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B0A4B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122</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D167F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动物分类图谱</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C5AD6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61F3D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153A39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FA860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123</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0D749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测电笔</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0D4AF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7BA83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r>
      <w:tr w14:paraId="0297E0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5F95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124</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76C6C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一字螺丝刀</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4EC75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3CA43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把</w:t>
            </w:r>
          </w:p>
        </w:tc>
      </w:tr>
      <w:tr w14:paraId="5469DC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F357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125</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624F7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十字螺丝刀</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8784F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9D0F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把</w:t>
            </w:r>
          </w:p>
        </w:tc>
      </w:tr>
      <w:tr w14:paraId="1EBC8B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B31FC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126</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510BF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尖嘴钳</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F218C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973C9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把</w:t>
            </w:r>
          </w:p>
        </w:tc>
      </w:tr>
      <w:tr w14:paraId="0D6829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44CE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127</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EAF02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木工锯</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9CCDA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CD322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把</w:t>
            </w:r>
          </w:p>
        </w:tc>
      </w:tr>
      <w:tr w14:paraId="442947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4826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128</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0F69D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钢丝钳</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14469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0F623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把</w:t>
            </w:r>
          </w:p>
        </w:tc>
      </w:tr>
      <w:tr w14:paraId="78D53D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278B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129</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A19E2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手锤</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8531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C574C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把</w:t>
            </w:r>
          </w:p>
        </w:tc>
      </w:tr>
      <w:tr w14:paraId="697E95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C140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130</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B1210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活扳手</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BB9DE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CCE42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把</w:t>
            </w:r>
          </w:p>
        </w:tc>
      </w:tr>
      <w:tr w14:paraId="59B413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8E88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131</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C9B50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剪刀</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E6450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C8C25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把</w:t>
            </w:r>
          </w:p>
        </w:tc>
      </w:tr>
      <w:tr w14:paraId="00E235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71A6D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132</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669B0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塑料桶</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06CAB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0380F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r>
      <w:tr w14:paraId="468804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E02C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133</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F768F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手摇铃</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94649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A8856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41CCA6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3E76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134</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E9D25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手持筛子</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CC765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F3CF7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025981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B4B7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135</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8CF60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喷水壶</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D956C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20B1D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73728A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BE955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136</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E1E19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吹风机</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60513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7A3C4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5E8A23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CD16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137</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5D0CB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采集捕捞工具</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006C1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343A9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0E445B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74AE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138</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3E958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生物显微镜</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55FDD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CC565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14:paraId="5C71AE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55065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139</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CCDB5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生物显微演示装置</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CB5F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0DFAD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14:paraId="28F13B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60CA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140</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D9F70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学生显微镜</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EC820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865A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14:paraId="77D28C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2974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141</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4CDC0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量筒</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BDD8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EBF76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1DA61B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D939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142</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5B44D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量杯</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B2577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38B2D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5F63B3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02DE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143</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43463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甘油注射器</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C1103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83CF8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703370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15F8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144</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625E5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试管</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76BE2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56</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42CEE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支</w:t>
            </w:r>
          </w:p>
        </w:tc>
      </w:tr>
      <w:tr w14:paraId="57BCCB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4945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145</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778CB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试管</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29091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56</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3FEA7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支</w:t>
            </w:r>
          </w:p>
        </w:tc>
      </w:tr>
      <w:tr w14:paraId="543617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8DDA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146</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C2F7C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烧杯</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2460F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56</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DD932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3162B8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8C95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147</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26CB5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烧杯</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16335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A4495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6B070C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DEB46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148</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70B76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烧杯</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1A57A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6DF05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43EE2B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464D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149</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8A0AF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烧杯</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F5FA7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1CF8E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6FE7B9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B9F6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150</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0EEF2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烧瓶</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57BC2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56</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FEA8A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626F9D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5FA9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151</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03FAD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锥形瓶</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270B9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00745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7DABF1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2EF24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152</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ED7E5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酒精灯</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C40BA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01C6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6CA9AC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B6EB4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153</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236E4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漏斗</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CEFD8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0C0C8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253A7C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B249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154</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8DA89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Y形管</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EA457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D8F75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5664FC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F224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155</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1AA76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滴管</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5A773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43EA8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1DCF6E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DCF0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156</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38328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集气瓶</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7CD5A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47164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3CBA0D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22D9A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157</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8EBD0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镊子</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4CF7B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B0500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52E6AA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CC2D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158</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9C8E8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试管夹</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260F9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5A046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71D8C4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CF4B1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159</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16413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石棉网</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BA2DD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478B1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212166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3C412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160</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610EF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燃烧匙</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C7103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D6634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把</w:t>
            </w:r>
          </w:p>
        </w:tc>
      </w:tr>
      <w:tr w14:paraId="554912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21763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161</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CDC7F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药匙</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82FA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9E9BD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把</w:t>
            </w:r>
          </w:p>
        </w:tc>
      </w:tr>
      <w:tr w14:paraId="6AE46A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90FD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162</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ABB46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玻璃管</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04BFE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29D2B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千克</w:t>
            </w:r>
          </w:p>
        </w:tc>
      </w:tr>
      <w:tr w14:paraId="55E7BA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BEF93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163</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5BC7D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玻璃棒</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7FF51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978D0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支</w:t>
            </w:r>
          </w:p>
        </w:tc>
      </w:tr>
      <w:tr w14:paraId="0A22F5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7C4A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164</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4D86B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橡胶管</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2CFD1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54FE2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千克</w:t>
            </w:r>
          </w:p>
        </w:tc>
      </w:tr>
      <w:tr w14:paraId="792095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B992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165</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7E548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橡胶塞</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AE6B1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77B5D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千克</w:t>
            </w:r>
          </w:p>
        </w:tc>
      </w:tr>
      <w:tr w14:paraId="5B4998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1E9F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166</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330D8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试管刷</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EB345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A9A31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把</w:t>
            </w:r>
          </w:p>
        </w:tc>
      </w:tr>
      <w:tr w14:paraId="618B89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1176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167</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08B69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烧瓶刷</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BACC2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FBB84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把</w:t>
            </w:r>
          </w:p>
        </w:tc>
      </w:tr>
      <w:tr w14:paraId="5A7ABC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0E6E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168</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30EA7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培养皿</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CE183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56</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6DA39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286862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E7B84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169</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B0F15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蒸发皿</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53A75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3A308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4D896F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507EC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170</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872DF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塑料量杯</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2CABC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CE2B0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69FB59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C31E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171</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C7E8D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载玻片</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8B726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EF180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盒</w:t>
            </w:r>
          </w:p>
        </w:tc>
      </w:tr>
      <w:tr w14:paraId="4DA0E0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7EFD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172</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EA313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盖玻片</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3F940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7197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包</w:t>
            </w:r>
          </w:p>
        </w:tc>
      </w:tr>
      <w:tr w14:paraId="6B5F52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3218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173</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6093D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方格黑板</w:t>
            </w:r>
          </w:p>
        </w:tc>
        <w:tc>
          <w:tcPr>
            <w:tcW w:w="17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558CF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0F09C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块</w:t>
            </w:r>
          </w:p>
        </w:tc>
      </w:tr>
      <w:tr w14:paraId="46BE1E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9FF7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174</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2D01B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计算器</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80E1C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7478B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14:paraId="140E64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A2E5C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175</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FAB8A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剪刀</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FB1E4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F48EE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把</w:t>
            </w:r>
          </w:p>
        </w:tc>
      </w:tr>
      <w:tr w14:paraId="7F7750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5C86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176</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4BCE9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刻刀</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D06BB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73C01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把</w:t>
            </w:r>
          </w:p>
        </w:tc>
      </w:tr>
      <w:tr w14:paraId="2E23B4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A2901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177</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8A179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 年级磁性教具</w:t>
            </w:r>
          </w:p>
        </w:tc>
        <w:tc>
          <w:tcPr>
            <w:tcW w:w="17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D1B60C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DC592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23EAF4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3EFC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178</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9C00A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4～6 年级磁性教具</w:t>
            </w:r>
          </w:p>
        </w:tc>
        <w:tc>
          <w:tcPr>
            <w:tcW w:w="17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4347D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46E2B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12FC16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E9EF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179</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CA719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演示算盘</w:t>
            </w:r>
          </w:p>
        </w:tc>
        <w:tc>
          <w:tcPr>
            <w:tcW w:w="17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A225A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139C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677C2E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CB02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180</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615DB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演示算盘</w:t>
            </w:r>
          </w:p>
        </w:tc>
        <w:tc>
          <w:tcPr>
            <w:tcW w:w="17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C371CF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D9ACD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03AB0B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0C39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181</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7C303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数字、运算符号贴片</w:t>
            </w:r>
          </w:p>
        </w:tc>
        <w:tc>
          <w:tcPr>
            <w:tcW w:w="17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8150E4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A3FF0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196421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352B4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182</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FA332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数字、运算符号贴片</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0AE5E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F2459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4128FF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4DE34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183</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B7EBA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百数表</w:t>
            </w:r>
          </w:p>
        </w:tc>
        <w:tc>
          <w:tcPr>
            <w:tcW w:w="17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51A01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D4037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261769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5D79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184</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35EF5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大数进位模型</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08676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3B2FD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1F9ABF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86C0D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185</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94CCF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计数片</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0CF9F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EFF24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398E34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9492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186</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9E138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竖式计数器</w:t>
            </w:r>
          </w:p>
        </w:tc>
        <w:tc>
          <w:tcPr>
            <w:tcW w:w="17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94486B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C612D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26FD06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41F8B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187</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EFA14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竖式计数器</w:t>
            </w:r>
          </w:p>
        </w:tc>
        <w:tc>
          <w:tcPr>
            <w:tcW w:w="17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5A133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2825C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25184F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9061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188</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051ED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竖式计数器</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A4E0C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9DC5A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0795EB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E834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189</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8576B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计数棒</w:t>
            </w:r>
          </w:p>
        </w:tc>
        <w:tc>
          <w:tcPr>
            <w:tcW w:w="17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5AB46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A82B9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7BC4CD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1858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190</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6B7CC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计数棍</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F338E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56239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7C6A78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C2E5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191</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87F39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计数彩条</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44C7E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DDDF2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170A6D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F362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192</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0B7FF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分数片</w:t>
            </w:r>
          </w:p>
        </w:tc>
        <w:tc>
          <w:tcPr>
            <w:tcW w:w="17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20E2D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DADBB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1FA492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31B5B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193</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32F53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圆形分数模型</w:t>
            </w:r>
          </w:p>
        </w:tc>
        <w:tc>
          <w:tcPr>
            <w:tcW w:w="17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BB665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F0E9D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2A7EC1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02BA0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194</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6263F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立体分数模型</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3B189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50AB8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3CF61D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585E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195</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20824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口算练习器</w:t>
            </w:r>
          </w:p>
        </w:tc>
        <w:tc>
          <w:tcPr>
            <w:tcW w:w="17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6E9928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7BAB1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6C1FEE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B4C4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196</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1A849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点子图</w:t>
            </w:r>
          </w:p>
        </w:tc>
        <w:tc>
          <w:tcPr>
            <w:tcW w:w="17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E3814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2C8B6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2065F2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DAC41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197</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EE06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计数多层积木</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E4086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8BB0D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7D8653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79B09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198</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E2A69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沙漏组</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CDDC0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CD567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4BDE11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17C4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199</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4CD44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钟表模型</w:t>
            </w:r>
          </w:p>
        </w:tc>
        <w:tc>
          <w:tcPr>
            <w:tcW w:w="17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538F45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979A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4B251F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41BEE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200</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93C46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钟表模型</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ECF56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BBAC7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4C7328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E83A1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201</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E57E1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钟表模型</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8B648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A07B2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44EC4A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8C9D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202</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76F15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电子秒表</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6A6F2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6C65E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53AB74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86C1D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203</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96AB3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托盘天平</w:t>
            </w:r>
          </w:p>
        </w:tc>
        <w:tc>
          <w:tcPr>
            <w:tcW w:w="17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D22F4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2D0F4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14:paraId="78AB4A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B8014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204</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32D12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简易天平</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288BB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9DC4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14:paraId="72C069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5683A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205</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5F104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弹簧度盘秤</w:t>
            </w:r>
          </w:p>
        </w:tc>
        <w:tc>
          <w:tcPr>
            <w:tcW w:w="17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85C00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368AA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14:paraId="6707ED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53661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206</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B6841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数字天平</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613DE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2B9E7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23E851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39E57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207</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22A02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杠杆平衡器</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B370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AACCB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03196D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141C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208</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CC557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几何图形片</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456CF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9CA6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38EA37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30FAF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209</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ECD2A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几何形体模型</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F5894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5F532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件</w:t>
            </w:r>
          </w:p>
        </w:tc>
      </w:tr>
      <w:tr w14:paraId="77B7F2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F082E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210</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55C80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七巧板</w:t>
            </w:r>
          </w:p>
        </w:tc>
        <w:tc>
          <w:tcPr>
            <w:tcW w:w="17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A934F5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E2B52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30A12B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9AC9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211</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F28BC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七巧板</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9BBD9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53BBF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51737E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961A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212</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B8E1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七巧块</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67974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22773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0A9626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65E8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213</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4621E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百鸟蛋</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5373A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CC0B1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287AEA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4F5C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214</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E9B53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长正方体框架模型</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8E2F6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9C33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3F775E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F7F08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215</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57C5F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角操作材料</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8B697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B36B5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34661E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496A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216</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761D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钉板</w:t>
            </w:r>
          </w:p>
        </w:tc>
        <w:tc>
          <w:tcPr>
            <w:tcW w:w="17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67C58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A80C2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1DD39D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795D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217</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66BED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钉板</w:t>
            </w:r>
          </w:p>
        </w:tc>
        <w:tc>
          <w:tcPr>
            <w:tcW w:w="17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A2A66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3F57C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5E7024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F072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218</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DD6A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钉板</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7ED28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246E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0120C7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AE373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219</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87539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条形拼搭条</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DE40A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E6F23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6FEA17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BDF80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220</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83145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 面空间连接模型</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CEAF0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430B7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02468B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89C74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221</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DD2D7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直尺</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85847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37600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067ADD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4C74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222</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CDF59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软尺</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EA4C2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D393A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28506E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1D642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223</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3A85E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三角尺</w:t>
            </w:r>
          </w:p>
        </w:tc>
        <w:tc>
          <w:tcPr>
            <w:tcW w:w="17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9A1CDF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01743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539B5A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CCA1C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224</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AE37C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圆规</w:t>
            </w:r>
          </w:p>
        </w:tc>
        <w:tc>
          <w:tcPr>
            <w:tcW w:w="17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9C36D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D03B7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405BFF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104B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225</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03216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量角器</w:t>
            </w:r>
          </w:p>
        </w:tc>
        <w:tc>
          <w:tcPr>
            <w:tcW w:w="17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28ACF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052B5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3517A8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D9F1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226</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E72D7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面积测量器</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A33AD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E7D60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51CE6F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94C5B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227</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EF44F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探索几何图形面积计算公式材料</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68DEF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972FF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2F3EC6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D6D9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228</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3E2F4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圆周率、圆面积计算公式推导演示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模型</w:t>
            </w:r>
          </w:p>
        </w:tc>
        <w:tc>
          <w:tcPr>
            <w:tcW w:w="17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813338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0FAB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397CA5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835E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229</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D27BC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塑料量杯</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0208C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9436F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1F476A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1FB35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230</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5E2FB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塑料量杯</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A4C5A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516C4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71C679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61C4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231</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EBB67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塑料量杯</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83194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DB999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5389A9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61B0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232</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DA19C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几何形体表面积展开 模型</w:t>
            </w:r>
          </w:p>
        </w:tc>
        <w:tc>
          <w:tcPr>
            <w:tcW w:w="17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DB8F4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A411D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1CBD92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CF75F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233</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009E7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几何形体表面积展开 模型</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60CA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551FC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6F4231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4005B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234</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BF69F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立方厘米、立方分米模型</w:t>
            </w:r>
          </w:p>
        </w:tc>
        <w:tc>
          <w:tcPr>
            <w:tcW w:w="17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277293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C36C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3B68FE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EC47E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235</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5A6D2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探索几何形体体积计算公式材料</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5B186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C12BA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4CC290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5FB2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236</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41429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图形变换操作材料</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3DC82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CD022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6CC2F8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CC32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237</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B5D59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旋转模型</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D7BE0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5BA5F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件</w:t>
            </w:r>
          </w:p>
        </w:tc>
      </w:tr>
      <w:tr w14:paraId="6D7457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6BF5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238</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D9C17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演示用转盘</w:t>
            </w:r>
          </w:p>
        </w:tc>
        <w:tc>
          <w:tcPr>
            <w:tcW w:w="17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CF907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76652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1CA80F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B94C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239</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20766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数字骰子</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5878E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F8906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016D55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4E0C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240</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B01E8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空白骰子</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4DA9B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30122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44E48B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2A476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241</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E427A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塑料球</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ABE54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87972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384F40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3A5F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242</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C2747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活动日历</w:t>
            </w:r>
          </w:p>
        </w:tc>
        <w:tc>
          <w:tcPr>
            <w:tcW w:w="17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8F31B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F67B2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22276C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4672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243</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9DC8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活动日历</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64DF7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604B5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2E7CF5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9BA30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244</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CFAE0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彩色双面双色纸</w:t>
            </w:r>
          </w:p>
        </w:tc>
        <w:tc>
          <w:tcPr>
            <w:tcW w:w="17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CDE1C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8A6A3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包</w:t>
            </w:r>
          </w:p>
        </w:tc>
      </w:tr>
      <w:tr w14:paraId="498464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3C05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245</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6EB33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表面涂色的正方体</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EAC24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0BCFA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2F29B4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8928" w:type="dxa"/>
            <w:gridSpan w:val="4"/>
            <w:tcBorders>
              <w:top w:val="single" w:color="000000" w:sz="4" w:space="0"/>
              <w:left w:val="single" w:color="000000" w:sz="4" w:space="0"/>
              <w:bottom w:val="single" w:color="000000" w:sz="4" w:space="0"/>
              <w:right w:val="single" w:color="000000" w:sz="4" w:space="0"/>
            </w:tcBorders>
            <w:shd w:val="clear" w:color="auto" w:fill="FFFF00"/>
            <w:vAlign w:val="center"/>
          </w:tcPr>
          <w:p w14:paraId="0592DBCB">
            <w:pPr>
              <w:keepNext w:val="0"/>
              <w:keepLines w:val="0"/>
              <w:widowControl/>
              <w:suppressLineNumbers w:val="0"/>
              <w:jc w:val="center"/>
              <w:textAlignment w:val="center"/>
              <w:rPr>
                <w:rFonts w:hint="default" w:ascii="方正黑体_GBK" w:hAnsi="方正黑体_GBK" w:eastAsia="方正黑体_GBK" w:cs="方正黑体_GBK"/>
                <w:i w:val="0"/>
                <w:iCs w:val="0"/>
                <w:color w:val="000000"/>
                <w:sz w:val="18"/>
                <w:szCs w:val="18"/>
                <w:u w:val="none"/>
              </w:rPr>
            </w:pPr>
            <w:r>
              <w:rPr>
                <w:rFonts w:hint="default" w:ascii="方正黑体_GBK" w:hAnsi="方正黑体_GBK" w:eastAsia="方正黑体_GBK" w:cs="方正黑体_GBK"/>
                <w:i w:val="0"/>
                <w:iCs w:val="0"/>
                <w:color w:val="000000"/>
                <w:kern w:val="0"/>
                <w:sz w:val="18"/>
                <w:szCs w:val="18"/>
                <w:u w:val="none"/>
                <w:lang w:val="en-US" w:eastAsia="zh-CN" w:bidi="ar"/>
              </w:rPr>
              <w:t>音乐教室</w:t>
            </w:r>
          </w:p>
        </w:tc>
      </w:tr>
      <w:tr w14:paraId="38C1DE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2684E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6D7B9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立式钢琴</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5244F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E1131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14:paraId="3C9475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3A2F9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BC20D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琴凳</w:t>
            </w:r>
          </w:p>
        </w:tc>
        <w:tc>
          <w:tcPr>
            <w:tcW w:w="17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85570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04CF9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w:t>
            </w:r>
          </w:p>
        </w:tc>
      </w:tr>
      <w:tr w14:paraId="3D395F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B5D74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8A2EF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手风琴</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22CD9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D074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架</w:t>
            </w:r>
          </w:p>
        </w:tc>
      </w:tr>
      <w:tr w14:paraId="6390EE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254FE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CF9EE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指挥台（含指挥棒）</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6F184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03C60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73E28E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A9A0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9C83F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合唱台</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4DCC4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E23C4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组</w:t>
            </w:r>
          </w:p>
        </w:tc>
      </w:tr>
      <w:tr w14:paraId="1A331F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3A12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F7FFF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音筒</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1C911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97024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组</w:t>
            </w:r>
          </w:p>
        </w:tc>
      </w:tr>
      <w:tr w14:paraId="17E158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0332A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A89EA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音条</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455BB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78E52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233FAB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882FD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75F86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沙蛋</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ED4A0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0F36C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3963DA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6F82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39609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手摇铃</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1FC70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12932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229180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67737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13784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棒铃</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D79BF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F5473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4CF389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A51B5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E6BA2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响棒</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CC48B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0703D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w:t>
            </w:r>
          </w:p>
        </w:tc>
      </w:tr>
      <w:tr w14:paraId="6F7408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330DC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532CE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刮棒</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FD66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87232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w:t>
            </w:r>
          </w:p>
        </w:tc>
      </w:tr>
      <w:tr w14:paraId="4A1A1F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44791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162A5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鱼蛙筒</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9083C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4FE59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w:t>
            </w:r>
          </w:p>
        </w:tc>
      </w:tr>
      <w:tr w14:paraId="4A03E1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9936D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D97B3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音乐节拍器</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3DE3F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EF42C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57FD71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4CA4F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10676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音叉</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42E7F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59252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394894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25040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5C190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乐器储藏柜</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BCB92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224DA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20FA55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099B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304E2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钟琴</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F8271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11969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6AE80D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8A75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F079F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木制沙锤</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6C488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B102E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w:t>
            </w:r>
          </w:p>
        </w:tc>
      </w:tr>
      <w:tr w14:paraId="64F6F7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24B9C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D1ADB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椰壳沙锤</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22F92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79994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w:t>
            </w:r>
          </w:p>
        </w:tc>
      </w:tr>
      <w:tr w14:paraId="0428A8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639FF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A8A8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卡巴撒</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6EC38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976F2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7473B9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D6A34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88430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卡巴撒</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92B71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D25B0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0A3E2A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ADA7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FB024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双响筒</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38A53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D87F0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副</w:t>
            </w:r>
          </w:p>
        </w:tc>
      </w:tr>
      <w:tr w14:paraId="11AC79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731C0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DDDC9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响板</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5F3A7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87A31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6E5BB7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E3BE9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A7A83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北梆子</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3FDA2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3AABA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副</w:t>
            </w:r>
          </w:p>
        </w:tc>
      </w:tr>
      <w:tr w14:paraId="740F20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8D05C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33CA8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南梆子</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FC837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4574A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副</w:t>
            </w:r>
          </w:p>
        </w:tc>
      </w:tr>
      <w:tr w14:paraId="346395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91322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26</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0CD85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木鱼</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C0C8E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D9621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64B665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CFC5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27</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58265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铃鼓</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D0BD9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AEB77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1432EE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8930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95199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三角铁</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78256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9B793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03C3F9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DC7A9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CA809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碰钟</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F5BC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EDB00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副</w:t>
            </w:r>
          </w:p>
        </w:tc>
      </w:tr>
      <w:tr w14:paraId="4BA7A3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897A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D8BAB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大军鼓</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8D52A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99A6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3AE452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F6AB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209DD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小军鼓</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9B75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81EC6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733C75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9884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BBF3C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（三鼓）多音鼓</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A4F2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10F59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70C7EF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5D2EB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55B5D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竖笛</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BA270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4F18D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支</w:t>
            </w:r>
          </w:p>
        </w:tc>
      </w:tr>
      <w:tr w14:paraId="0BC49B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C587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2CCF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口风琴</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E44E3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20D53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614979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214E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4AF4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陶笛</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720DF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97AB0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03B6D3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7462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36</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6A3F1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葫芦丝</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F5B6C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E1D0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支</w:t>
            </w:r>
          </w:p>
        </w:tc>
      </w:tr>
      <w:tr w14:paraId="23663B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D8358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37</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F4A48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堂鼓</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D94DC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66D3D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284F33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111E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38</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F3ABD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小锣</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B7920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F6491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496DE5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736FA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39</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222EF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钹</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49375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1A527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副</w:t>
            </w:r>
          </w:p>
        </w:tc>
      </w:tr>
      <w:tr w14:paraId="1DD0FA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D760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16B9D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乐谱架</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27E58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8E18A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696E44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23E5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41</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206EC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六面体凳</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EC847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E6B92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02187F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3EBEA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42</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E69BD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教室装修</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A69F2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A469FF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r>
      <w:tr w14:paraId="232CE4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8928" w:type="dxa"/>
            <w:gridSpan w:val="4"/>
            <w:tcBorders>
              <w:top w:val="single" w:color="000000" w:sz="4" w:space="0"/>
              <w:left w:val="single" w:color="000000" w:sz="4" w:space="0"/>
              <w:bottom w:val="single" w:color="000000" w:sz="4" w:space="0"/>
              <w:right w:val="single" w:color="000000" w:sz="4" w:space="0"/>
            </w:tcBorders>
            <w:shd w:val="clear" w:color="auto" w:fill="FFFF00"/>
            <w:vAlign w:val="center"/>
          </w:tcPr>
          <w:p w14:paraId="1D34099F">
            <w:pPr>
              <w:keepNext w:val="0"/>
              <w:keepLines w:val="0"/>
              <w:widowControl/>
              <w:suppressLineNumbers w:val="0"/>
              <w:jc w:val="center"/>
              <w:textAlignment w:val="center"/>
              <w:rPr>
                <w:rFonts w:hint="default" w:ascii="方正黑体_GBK" w:hAnsi="方正黑体_GBK" w:eastAsia="方正黑体_GBK" w:cs="方正黑体_GBK"/>
                <w:i w:val="0"/>
                <w:iCs w:val="0"/>
                <w:color w:val="000000"/>
                <w:sz w:val="18"/>
                <w:szCs w:val="18"/>
                <w:u w:val="none"/>
              </w:rPr>
            </w:pPr>
            <w:r>
              <w:rPr>
                <w:rFonts w:hint="default" w:ascii="方正黑体_GBK" w:hAnsi="方正黑体_GBK" w:eastAsia="方正黑体_GBK" w:cs="方正黑体_GBK"/>
                <w:i w:val="0"/>
                <w:iCs w:val="0"/>
                <w:color w:val="000000"/>
                <w:kern w:val="0"/>
                <w:sz w:val="18"/>
                <w:szCs w:val="18"/>
                <w:u w:val="none"/>
                <w:lang w:val="en-US" w:eastAsia="zh-CN" w:bidi="ar"/>
              </w:rPr>
              <w:t>体育室</w:t>
            </w:r>
          </w:p>
        </w:tc>
      </w:tr>
      <w:tr w14:paraId="50B72C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896E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4979"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3E9D18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室内标准篮球架</w:t>
            </w:r>
          </w:p>
        </w:tc>
        <w:tc>
          <w:tcPr>
            <w:tcW w:w="174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CF3D48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788525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副</w:t>
            </w:r>
          </w:p>
        </w:tc>
      </w:tr>
      <w:tr w14:paraId="64D0CE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D7150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60A5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室内小篮球架（可移动)</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3407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82F5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副</w:t>
            </w:r>
          </w:p>
        </w:tc>
      </w:tr>
      <w:tr w14:paraId="425293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C139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22F4E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室外小篮球架</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B355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72D4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副</w:t>
            </w:r>
          </w:p>
        </w:tc>
      </w:tr>
      <w:tr w14:paraId="337E09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DE94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1283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羽毛球场地垫</w:t>
            </w: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7EB29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38824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块</w:t>
            </w:r>
          </w:p>
        </w:tc>
      </w:tr>
      <w:tr w14:paraId="12657F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B711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6BF2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排球柱</w:t>
            </w: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BF807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B0E88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副</w:t>
            </w:r>
          </w:p>
        </w:tc>
      </w:tr>
      <w:tr w14:paraId="2D562E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EA4BB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753F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排球网</w:t>
            </w: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1CD23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CC3F1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副</w:t>
            </w:r>
          </w:p>
        </w:tc>
      </w:tr>
      <w:tr w14:paraId="62D5BE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4F588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D465E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ABS羽毛球柱</w:t>
            </w: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8F5D5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9C9D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副</w:t>
            </w:r>
          </w:p>
        </w:tc>
      </w:tr>
      <w:tr w14:paraId="1B251E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6FC85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B1CA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羽毛球网</w:t>
            </w: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E61AD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33D95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副</w:t>
            </w:r>
          </w:p>
        </w:tc>
      </w:tr>
      <w:tr w14:paraId="3425E1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85CE0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80DEA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篮球</w:t>
            </w: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09225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C0098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630F64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1496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8CB2E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篮球</w:t>
            </w: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32618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1282D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104371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0678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610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身高体重测试仪</w:t>
            </w: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D5109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371CA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14:paraId="54FBCE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B531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7E0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肺活量测试仪</w:t>
            </w: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8AEC7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2E077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14:paraId="5552C8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FFB7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EC4A8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坐位体前屈测试仪</w:t>
            </w: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8BC13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35AFE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14:paraId="5BFB04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B2AF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FC0B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小跳垫</w:t>
            </w: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E7CDB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B90D7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块</w:t>
            </w:r>
          </w:p>
        </w:tc>
      </w:tr>
      <w:tr w14:paraId="36F167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CBB35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5D2A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大跳垫</w:t>
            </w: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65C0A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46FE9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块</w:t>
            </w:r>
          </w:p>
        </w:tc>
      </w:tr>
      <w:tr w14:paraId="00AF72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EB27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759A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实心球</w:t>
            </w: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B8578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810FC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13D477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0BD8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FECE8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实心球</w:t>
            </w: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1D12A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E41B6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5A9655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00F68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6B8B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球车</w:t>
            </w: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C4B53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EF4AE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2CFABB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DC7B8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E951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三节跳箱</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4D9E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BB7F5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44A215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94CD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E018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三节圆弧跳箱</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0CCA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BA4A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5FE1B6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FC0F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1018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四节鞍马跳箱</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04224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945E8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4032A8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C349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14511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四节跳箱</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38F54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0F71F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114C68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BC4E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DA95B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多功能四节跳箱</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8F35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5740E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6B0B19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8F25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09757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五阶跳箱</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4750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A44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5D665D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E33D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12967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S独木桥</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E18E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6CC1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5BAF2B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5734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26</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315D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三角拼接</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C6DDA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3998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675E72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B1B89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27</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40788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可折叠三角斜坡</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15E7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2F64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280974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B7AF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DD23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不折叠斜坡</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76210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71010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2B155F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BCAE0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EC2AF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跨栏组合</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59E05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C45F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038A30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6018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7E59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八角滚筒</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470A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2107F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21F920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395A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79EF6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分体八角柱</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5A20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832A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57EE8E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6F104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FEA0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堆叠垫</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176D1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F7CCB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3ED878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EE145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300F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数字跳垫</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BF99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8E13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08AF23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A9B8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B5D1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儿童数字跳垫</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CAE4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7ADA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004A22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2DD2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7701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三折垫</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C64B6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2F21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19B12B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32AAB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36</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CDC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四折垫</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5470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7274E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2C43A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3F0DF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37</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7ED62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五折垫</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D923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67971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453643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995E1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38</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ED64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软体平衡木</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9621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B265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11BCE2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3512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39</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10291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长方体</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D7BE3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8CFDA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57DCE2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1400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5F79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数字方块A</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C654C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3F61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151BC9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8C18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41</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ABCD9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彩色滚筒</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33DE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64080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3AC54E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80D3F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42</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251D3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独木桥软体9件套</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95AF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4A075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1B6C53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FB14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43</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17C0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儿童爬行架</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4229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D2514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24E7B0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8928" w:type="dxa"/>
            <w:gridSpan w:val="4"/>
            <w:tcBorders>
              <w:top w:val="single" w:color="000000" w:sz="4" w:space="0"/>
              <w:left w:val="single" w:color="000000" w:sz="4" w:space="0"/>
              <w:bottom w:val="single" w:color="000000" w:sz="4" w:space="0"/>
              <w:right w:val="single" w:color="000000" w:sz="4" w:space="0"/>
            </w:tcBorders>
            <w:shd w:val="clear" w:color="auto" w:fill="FFFF00"/>
            <w:vAlign w:val="center"/>
          </w:tcPr>
          <w:p w14:paraId="79E33440">
            <w:pPr>
              <w:keepNext w:val="0"/>
              <w:keepLines w:val="0"/>
              <w:widowControl/>
              <w:suppressLineNumbers w:val="0"/>
              <w:jc w:val="center"/>
              <w:textAlignment w:val="center"/>
              <w:rPr>
                <w:rFonts w:hint="default" w:ascii="方正黑体_GBK" w:hAnsi="方正黑体_GBK" w:eastAsia="方正黑体_GBK" w:cs="方正黑体_GBK"/>
                <w:i w:val="0"/>
                <w:iCs w:val="0"/>
                <w:color w:val="000000"/>
                <w:sz w:val="18"/>
                <w:szCs w:val="18"/>
                <w:u w:val="none"/>
              </w:rPr>
            </w:pPr>
            <w:r>
              <w:rPr>
                <w:rFonts w:hint="default" w:ascii="方正黑体_GBK" w:hAnsi="方正黑体_GBK" w:eastAsia="方正黑体_GBK" w:cs="方正黑体_GBK"/>
                <w:i w:val="0"/>
                <w:iCs w:val="0"/>
                <w:color w:val="000000"/>
                <w:kern w:val="0"/>
                <w:sz w:val="18"/>
                <w:szCs w:val="18"/>
                <w:u w:val="none"/>
                <w:lang w:val="en-US" w:eastAsia="zh-CN" w:bidi="ar"/>
              </w:rPr>
              <w:t>美术教室</w:t>
            </w:r>
          </w:p>
        </w:tc>
      </w:tr>
      <w:tr w14:paraId="548A68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BF36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001E7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教师演示台</w:t>
            </w:r>
          </w:p>
        </w:tc>
        <w:tc>
          <w:tcPr>
            <w:tcW w:w="17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40381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AF22B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w:t>
            </w:r>
          </w:p>
        </w:tc>
      </w:tr>
      <w:tr w14:paraId="6FF889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294A7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81706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画架</w:t>
            </w:r>
          </w:p>
        </w:tc>
        <w:tc>
          <w:tcPr>
            <w:tcW w:w="17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ABA986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36</w:t>
            </w:r>
          </w:p>
        </w:tc>
        <w:tc>
          <w:tcPr>
            <w:tcW w:w="14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EF925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42E234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14CD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85917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绘画凳</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2505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36</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F9728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1FF62D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BDE38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69178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书画桌</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E41BD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059D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73A494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9CE87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5F6FB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美术教学用品柜</w:t>
            </w:r>
          </w:p>
        </w:tc>
        <w:tc>
          <w:tcPr>
            <w:tcW w:w="17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A5E812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4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4C595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6E80AE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19C7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14B63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衬布</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3C95E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FB7A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块</w:t>
            </w:r>
          </w:p>
        </w:tc>
      </w:tr>
      <w:tr w14:paraId="2EC068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9600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136C4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静物台</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EC240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B8AE8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27D5DF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3FC8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24CE6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美术教学挂图</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029D9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A864F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6185B7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24D1E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27C6F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人体结构活动模型</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849EF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C8239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01BDC3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A852F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8BAD5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写生教具（1）</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B3500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8D48B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47BBD5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4670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B4123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写生教具（2）</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02636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48D8C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3D40A8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57362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58383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民间美术欣赏及写生样本</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2554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76F52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60EB56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E003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4BBFB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绘图工具</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8BF97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A1D78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155230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05C26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DC6D1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大圆规</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71D37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7BF7A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把</w:t>
            </w:r>
          </w:p>
        </w:tc>
      </w:tr>
      <w:tr w14:paraId="5AF7B0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4523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276F9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丁字尺</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2205F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9E656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r>
      <w:tr w14:paraId="56F5E2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C2C2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4C6B4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三角板</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0F9B9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BC663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付</w:t>
            </w:r>
          </w:p>
        </w:tc>
      </w:tr>
      <w:tr w14:paraId="399BC9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B43B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B1BC2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版画工具</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64224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5C021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012CA5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9B85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19C22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绘画工具</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5CCEC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715BD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55639F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B5A9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966ED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制作工具</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F9D96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A063D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19EF6D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70C8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BA050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国画和书法工具</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847CB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D6DF9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7EE373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B92E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4F667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作品展示墙</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6E327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D5C87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r>
      <w:tr w14:paraId="3D7741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8928" w:type="dxa"/>
            <w:gridSpan w:val="4"/>
            <w:tcBorders>
              <w:top w:val="single" w:color="000000" w:sz="4" w:space="0"/>
              <w:left w:val="single" w:color="000000" w:sz="4" w:space="0"/>
              <w:bottom w:val="single" w:color="000000" w:sz="4" w:space="0"/>
              <w:right w:val="single" w:color="000000" w:sz="4" w:space="0"/>
            </w:tcBorders>
            <w:shd w:val="clear" w:color="auto" w:fill="FFFF00"/>
            <w:vAlign w:val="center"/>
          </w:tcPr>
          <w:p w14:paraId="7553F1F3">
            <w:pPr>
              <w:keepNext w:val="0"/>
              <w:keepLines w:val="0"/>
              <w:widowControl/>
              <w:suppressLineNumbers w:val="0"/>
              <w:jc w:val="center"/>
              <w:textAlignment w:val="center"/>
              <w:rPr>
                <w:rFonts w:hint="default" w:ascii="方正黑体_GBK" w:hAnsi="方正黑体_GBK" w:eastAsia="方正黑体_GBK" w:cs="方正黑体_GBK"/>
                <w:i w:val="0"/>
                <w:iCs w:val="0"/>
                <w:color w:val="000000"/>
                <w:sz w:val="18"/>
                <w:szCs w:val="18"/>
                <w:u w:val="none"/>
              </w:rPr>
            </w:pPr>
            <w:r>
              <w:rPr>
                <w:rFonts w:hint="default" w:ascii="方正黑体_GBK" w:hAnsi="方正黑体_GBK" w:eastAsia="方正黑体_GBK" w:cs="方正黑体_GBK"/>
                <w:i w:val="0"/>
                <w:iCs w:val="0"/>
                <w:color w:val="000000"/>
                <w:kern w:val="0"/>
                <w:sz w:val="18"/>
                <w:szCs w:val="18"/>
                <w:u w:val="none"/>
                <w:lang w:val="en-US" w:eastAsia="zh-CN" w:bidi="ar"/>
              </w:rPr>
              <w:t>舞蹈教室</w:t>
            </w:r>
          </w:p>
        </w:tc>
      </w:tr>
      <w:tr w14:paraId="6D25CD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F842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497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08AB8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钢琴</w:t>
            </w:r>
          </w:p>
        </w:tc>
        <w:tc>
          <w:tcPr>
            <w:tcW w:w="17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4AAEA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23AB2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r>
      <w:tr w14:paraId="254692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EEF7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9C7BD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琴凳</w:t>
            </w:r>
          </w:p>
        </w:tc>
        <w:tc>
          <w:tcPr>
            <w:tcW w:w="17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B7F94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097B1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张</w:t>
            </w:r>
          </w:p>
        </w:tc>
      </w:tr>
      <w:tr w14:paraId="23A0EC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56B1A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F1BB6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功率放大器</w:t>
            </w:r>
          </w:p>
        </w:tc>
        <w:tc>
          <w:tcPr>
            <w:tcW w:w="17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3C0AE1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095226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r>
      <w:tr w14:paraId="774574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FD88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ABCFB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音箱</w:t>
            </w:r>
          </w:p>
        </w:tc>
        <w:tc>
          <w:tcPr>
            <w:tcW w:w="17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4EAB7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B136C3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对</w:t>
            </w:r>
          </w:p>
        </w:tc>
      </w:tr>
      <w:tr w14:paraId="2685B0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D89B5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9EAF4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无线话筒</w:t>
            </w:r>
          </w:p>
        </w:tc>
        <w:tc>
          <w:tcPr>
            <w:tcW w:w="17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659E33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FDF9B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r>
      <w:tr w14:paraId="0C1A51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E0D1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497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5A648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落地镜</w:t>
            </w:r>
          </w:p>
        </w:tc>
        <w:tc>
          <w:tcPr>
            <w:tcW w:w="17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262E8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14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ECD7A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平米</w:t>
            </w:r>
          </w:p>
        </w:tc>
      </w:tr>
      <w:tr w14:paraId="2DEB4D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BA70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497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9FB025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把杆</w:t>
            </w:r>
          </w:p>
        </w:tc>
        <w:tc>
          <w:tcPr>
            <w:tcW w:w="17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9F00A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14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FF622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组</w:t>
            </w:r>
          </w:p>
        </w:tc>
      </w:tr>
      <w:tr w14:paraId="1FB070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9EC68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497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A5DA7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练功凳</w:t>
            </w:r>
          </w:p>
        </w:tc>
        <w:tc>
          <w:tcPr>
            <w:tcW w:w="17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AF84C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14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6D66A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r>
      <w:tr w14:paraId="68F57B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464AA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497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7B6260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压腿凳</w:t>
            </w:r>
          </w:p>
        </w:tc>
        <w:tc>
          <w:tcPr>
            <w:tcW w:w="17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DE98A7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14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022C0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r>
      <w:tr w14:paraId="669CCB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C8C0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497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65A1D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压腿砖</w:t>
            </w:r>
          </w:p>
        </w:tc>
        <w:tc>
          <w:tcPr>
            <w:tcW w:w="17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B8565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14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85DE2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r>
      <w:tr w14:paraId="2E87EA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DB1E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497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9ED4B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舞蹈垫</w:t>
            </w:r>
          </w:p>
        </w:tc>
        <w:tc>
          <w:tcPr>
            <w:tcW w:w="17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9BA12F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14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9D5160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面</w:t>
            </w:r>
          </w:p>
        </w:tc>
      </w:tr>
      <w:tr w14:paraId="66AC1E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F890F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497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9BEF87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舞蹈练功球</w:t>
            </w:r>
          </w:p>
        </w:tc>
        <w:tc>
          <w:tcPr>
            <w:tcW w:w="17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1A3B5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14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1497C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r>
      <w:tr w14:paraId="64E13C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5E60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c>
          <w:tcPr>
            <w:tcW w:w="497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72C94E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舞蹈拉力带</w:t>
            </w:r>
          </w:p>
        </w:tc>
        <w:tc>
          <w:tcPr>
            <w:tcW w:w="17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6714D7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14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1DCB2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根</w:t>
            </w:r>
          </w:p>
        </w:tc>
      </w:tr>
      <w:tr w14:paraId="54C40D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E8919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497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2AB5B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舞蹈鞋柜</w:t>
            </w:r>
          </w:p>
        </w:tc>
        <w:tc>
          <w:tcPr>
            <w:tcW w:w="17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E4B85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4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664E4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r>
      <w:tr w14:paraId="4BA3D9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92E7A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68063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教室装修</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6E71D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B28EB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r>
      <w:tr w14:paraId="08C50A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8928" w:type="dxa"/>
            <w:gridSpan w:val="4"/>
            <w:tcBorders>
              <w:top w:val="single" w:color="000000" w:sz="4" w:space="0"/>
              <w:left w:val="single" w:color="000000" w:sz="4" w:space="0"/>
              <w:bottom w:val="single" w:color="000000" w:sz="4" w:space="0"/>
              <w:right w:val="single" w:color="000000" w:sz="4" w:space="0"/>
            </w:tcBorders>
            <w:shd w:val="clear" w:color="auto" w:fill="FFFF00"/>
            <w:vAlign w:val="center"/>
          </w:tcPr>
          <w:p w14:paraId="087615C4">
            <w:pPr>
              <w:keepNext w:val="0"/>
              <w:keepLines w:val="0"/>
              <w:widowControl/>
              <w:suppressLineNumbers w:val="0"/>
              <w:jc w:val="center"/>
              <w:textAlignment w:val="center"/>
              <w:rPr>
                <w:rFonts w:hint="default" w:ascii="方正黑体_GBK" w:hAnsi="方正黑体_GBK" w:eastAsia="方正黑体_GBK" w:cs="方正黑体_GBK"/>
                <w:i w:val="0"/>
                <w:iCs w:val="0"/>
                <w:color w:val="000000"/>
                <w:sz w:val="18"/>
                <w:szCs w:val="18"/>
                <w:u w:val="none"/>
              </w:rPr>
            </w:pPr>
            <w:r>
              <w:rPr>
                <w:rFonts w:hint="default" w:ascii="方正黑体_GBK" w:hAnsi="方正黑体_GBK" w:eastAsia="方正黑体_GBK" w:cs="方正黑体_GBK"/>
                <w:i w:val="0"/>
                <w:iCs w:val="0"/>
                <w:color w:val="000000"/>
                <w:kern w:val="0"/>
                <w:sz w:val="18"/>
                <w:szCs w:val="18"/>
                <w:u w:val="none"/>
                <w:lang w:val="en-US" w:eastAsia="zh-CN" w:bidi="ar"/>
              </w:rPr>
              <w:t>心理教室</w:t>
            </w:r>
          </w:p>
        </w:tc>
      </w:tr>
      <w:tr w14:paraId="17942B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0C64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CAE5A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无声挂钟</w:t>
            </w:r>
          </w:p>
        </w:tc>
        <w:tc>
          <w:tcPr>
            <w:tcW w:w="17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1AFE85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99508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1A7B8E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7BF8F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239A8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文件柜</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CAFCB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6AF06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5F859B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C0B54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0A0E8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多人沙发</w:t>
            </w:r>
          </w:p>
        </w:tc>
        <w:tc>
          <w:tcPr>
            <w:tcW w:w="17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6CC0F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71857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1808AE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E76E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AEBC2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茶几</w:t>
            </w:r>
          </w:p>
        </w:tc>
        <w:tc>
          <w:tcPr>
            <w:tcW w:w="17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9E15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D588B0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13ED2D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21AF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BE024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专业版心理沙盘游戏</w:t>
            </w:r>
          </w:p>
        </w:tc>
        <w:tc>
          <w:tcPr>
            <w:tcW w:w="17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6A104D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DF078C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4FA003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96454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693DA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沙盘凳</w:t>
            </w:r>
          </w:p>
        </w:tc>
        <w:tc>
          <w:tcPr>
            <w:tcW w:w="17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36AE5C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4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ACD0E0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把</w:t>
            </w:r>
          </w:p>
        </w:tc>
      </w:tr>
      <w:tr w14:paraId="677FFC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A9F5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0650E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彩色团体活动桌（八色）</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FDE27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A7E86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433E09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7E6A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9750C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室内团体活动道具包</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8851D2">
            <w:pPr>
              <w:keepNext w:val="0"/>
              <w:keepLines w:val="0"/>
              <w:widowControl/>
              <w:suppressLineNumbers w:val="0"/>
              <w:jc w:val="center"/>
              <w:textAlignment w:val="center"/>
              <w:rPr>
                <w:rFonts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8CBA62">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套</w:t>
            </w:r>
          </w:p>
        </w:tc>
      </w:tr>
      <w:tr w14:paraId="45AB48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EEC8E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E8D7D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心理挂图</w:t>
            </w:r>
          </w:p>
        </w:tc>
        <w:tc>
          <w:tcPr>
            <w:tcW w:w="17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8272E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4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DE3F17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副</w:t>
            </w:r>
          </w:p>
        </w:tc>
      </w:tr>
      <w:tr w14:paraId="4E1A36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8928" w:type="dxa"/>
            <w:gridSpan w:val="4"/>
            <w:tcBorders>
              <w:top w:val="single" w:color="000000" w:sz="4" w:space="0"/>
              <w:left w:val="single" w:color="000000" w:sz="4" w:space="0"/>
              <w:bottom w:val="single" w:color="000000" w:sz="4" w:space="0"/>
              <w:right w:val="single" w:color="000000" w:sz="4" w:space="0"/>
            </w:tcBorders>
            <w:shd w:val="clear" w:color="auto" w:fill="FFFF00"/>
            <w:vAlign w:val="center"/>
          </w:tcPr>
          <w:p w14:paraId="65F1ECC6">
            <w:pPr>
              <w:keepNext w:val="0"/>
              <w:keepLines w:val="0"/>
              <w:widowControl/>
              <w:suppressLineNumbers w:val="0"/>
              <w:jc w:val="center"/>
              <w:textAlignment w:val="center"/>
              <w:rPr>
                <w:rFonts w:hint="default" w:ascii="方正黑体_GBK" w:hAnsi="方正黑体_GBK" w:eastAsia="方正黑体_GBK" w:cs="方正黑体_GBK"/>
                <w:i w:val="0"/>
                <w:iCs w:val="0"/>
                <w:color w:val="000000"/>
                <w:sz w:val="18"/>
                <w:szCs w:val="18"/>
                <w:u w:val="none"/>
              </w:rPr>
            </w:pPr>
            <w:r>
              <w:rPr>
                <w:rFonts w:hint="default" w:ascii="方正黑体_GBK" w:hAnsi="方正黑体_GBK" w:eastAsia="方正黑体_GBK" w:cs="方正黑体_GBK"/>
                <w:i w:val="0"/>
                <w:iCs w:val="0"/>
                <w:color w:val="000000"/>
                <w:kern w:val="0"/>
                <w:sz w:val="18"/>
                <w:szCs w:val="18"/>
                <w:u w:val="none"/>
                <w:lang w:val="en-US" w:eastAsia="zh-CN" w:bidi="ar"/>
              </w:rPr>
              <w:t>少先队活动室</w:t>
            </w:r>
          </w:p>
        </w:tc>
      </w:tr>
      <w:tr w14:paraId="72F9EB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38A49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497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B7E48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青年号</w:t>
            </w:r>
          </w:p>
        </w:tc>
        <w:tc>
          <w:tcPr>
            <w:tcW w:w="17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284B1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14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B9665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支</w:t>
            </w:r>
          </w:p>
        </w:tc>
      </w:tr>
      <w:tr w14:paraId="5467CC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60BA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497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6BD38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大军鼓</w:t>
            </w:r>
          </w:p>
        </w:tc>
        <w:tc>
          <w:tcPr>
            <w:tcW w:w="17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51B2A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14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9E473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r>
      <w:tr w14:paraId="4C902D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CEF6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497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31A17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小军鼓</w:t>
            </w:r>
          </w:p>
        </w:tc>
        <w:tc>
          <w:tcPr>
            <w:tcW w:w="17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4C468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14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B3CD6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r>
      <w:tr w14:paraId="6DB4D8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F17D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497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8ADA8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大军擦</w:t>
            </w:r>
          </w:p>
        </w:tc>
        <w:tc>
          <w:tcPr>
            <w:tcW w:w="17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79A5F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14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A4A2BE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对</w:t>
            </w:r>
          </w:p>
        </w:tc>
      </w:tr>
      <w:tr w14:paraId="122F18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E7F97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497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51DEC6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小军擦</w:t>
            </w:r>
          </w:p>
        </w:tc>
        <w:tc>
          <w:tcPr>
            <w:tcW w:w="17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5A3C8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14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AE201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对</w:t>
            </w:r>
          </w:p>
        </w:tc>
      </w:tr>
      <w:tr w14:paraId="159548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DB9AE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497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B0522F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指挥旗</w:t>
            </w:r>
          </w:p>
        </w:tc>
        <w:tc>
          <w:tcPr>
            <w:tcW w:w="17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C6063B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C92C1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r>
      <w:tr w14:paraId="4229FB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5735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7775B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鼓号服</w:t>
            </w:r>
          </w:p>
        </w:tc>
        <w:tc>
          <w:tcPr>
            <w:tcW w:w="17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8BEDF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w:t>
            </w:r>
          </w:p>
        </w:tc>
        <w:tc>
          <w:tcPr>
            <w:tcW w:w="14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6F179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r>
      <w:tr w14:paraId="05E86E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CBC46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058B9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升旗手服</w:t>
            </w:r>
          </w:p>
        </w:tc>
        <w:tc>
          <w:tcPr>
            <w:tcW w:w="17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D5B8B6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14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106BC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r>
      <w:tr w14:paraId="17D5E3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000A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B7F6B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旗架</w:t>
            </w:r>
          </w:p>
        </w:tc>
        <w:tc>
          <w:tcPr>
            <w:tcW w:w="17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C94B7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4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0C197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组</w:t>
            </w:r>
          </w:p>
        </w:tc>
      </w:tr>
      <w:tr w14:paraId="7CE5BA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E29DA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CE6F0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号架</w:t>
            </w:r>
          </w:p>
        </w:tc>
        <w:tc>
          <w:tcPr>
            <w:tcW w:w="17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E88D2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896DD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组</w:t>
            </w:r>
          </w:p>
        </w:tc>
      </w:tr>
      <w:tr w14:paraId="435AE1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5C36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CFE66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军鼓架</w:t>
            </w:r>
          </w:p>
        </w:tc>
        <w:tc>
          <w:tcPr>
            <w:tcW w:w="17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C1DD2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0A748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组</w:t>
            </w:r>
          </w:p>
        </w:tc>
      </w:tr>
      <w:tr w14:paraId="33F6A1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CF062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1A1BF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队徽（铝制） 牌</w:t>
            </w:r>
          </w:p>
        </w:tc>
        <w:tc>
          <w:tcPr>
            <w:tcW w:w="17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7BEC6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w:t>
            </w:r>
          </w:p>
        </w:tc>
        <w:tc>
          <w:tcPr>
            <w:tcW w:w="14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49ADC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r>
      <w:tr w14:paraId="7207E1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02FC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73BA1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乐器储藏柜</w:t>
            </w:r>
          </w:p>
        </w:tc>
        <w:tc>
          <w:tcPr>
            <w:tcW w:w="17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12A564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4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83A06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r>
      <w:tr w14:paraId="042DBC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8928" w:type="dxa"/>
            <w:gridSpan w:val="4"/>
            <w:tcBorders>
              <w:top w:val="single" w:color="000000" w:sz="4" w:space="0"/>
              <w:left w:val="single" w:color="000000" w:sz="4" w:space="0"/>
              <w:bottom w:val="single" w:color="000000" w:sz="4" w:space="0"/>
              <w:right w:val="single" w:color="000000" w:sz="4" w:space="0"/>
            </w:tcBorders>
            <w:shd w:val="clear" w:color="auto" w:fill="FFFF00"/>
            <w:vAlign w:val="center"/>
          </w:tcPr>
          <w:p w14:paraId="17E22ED5">
            <w:pPr>
              <w:keepNext w:val="0"/>
              <w:keepLines w:val="0"/>
              <w:widowControl/>
              <w:suppressLineNumbers w:val="0"/>
              <w:jc w:val="center"/>
              <w:textAlignment w:val="center"/>
              <w:rPr>
                <w:rFonts w:hint="default" w:ascii="方正黑体_GBK" w:hAnsi="方正黑体_GBK" w:eastAsia="方正黑体_GBK" w:cs="方正黑体_GBK"/>
                <w:i w:val="0"/>
                <w:iCs w:val="0"/>
                <w:color w:val="000000"/>
                <w:sz w:val="18"/>
                <w:szCs w:val="18"/>
                <w:u w:val="none"/>
              </w:rPr>
            </w:pPr>
            <w:r>
              <w:rPr>
                <w:rFonts w:hint="default" w:ascii="方正黑体_GBK" w:hAnsi="方正黑体_GBK" w:eastAsia="方正黑体_GBK" w:cs="方正黑体_GBK"/>
                <w:i w:val="0"/>
                <w:iCs w:val="0"/>
                <w:color w:val="000000"/>
                <w:kern w:val="0"/>
                <w:sz w:val="18"/>
                <w:szCs w:val="18"/>
                <w:u w:val="none"/>
                <w:lang w:val="en-US" w:eastAsia="zh-CN" w:bidi="ar"/>
              </w:rPr>
              <w:t>劳技教室</w:t>
            </w:r>
          </w:p>
        </w:tc>
      </w:tr>
      <w:tr w14:paraId="2208C9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0291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46D8F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学生操作台</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81388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E46F2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w:t>
            </w:r>
          </w:p>
        </w:tc>
      </w:tr>
      <w:tr w14:paraId="3D6441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C46D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A364F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教师主控电源</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F201B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5842F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744673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33CF6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6E09D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学生实验电源</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438FB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6029D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4CD56A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A5C28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D6C4D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仪器柜</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20922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CA18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76A793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6AD0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F3246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知识展板</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AA98D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E8544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65802F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68C8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7312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泥塑工具</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84E94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8E0E3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10CD08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A5F0D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C62DC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美工工具</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BBDA8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35D63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46D948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CD45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9879D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旋转台</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5BDDB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131E4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3C7527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A8AB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AD510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材料（石膏、石蜡、泥土）</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915D6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5219B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27C50D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213C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A69A0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工具箱</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7CC9F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CBDE7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7B7C54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2B19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2CB13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炉具</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6B9E5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6B8E0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14:paraId="04F750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4A9CB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046C7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锅</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0A563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F7F13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22A131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32BE7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F651A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炒勺</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2F9B7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8BBA6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把</w:t>
            </w:r>
          </w:p>
        </w:tc>
      </w:tr>
      <w:tr w14:paraId="65DAA0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9CC9E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F938C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漏勺</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6AADE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C5E7B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把</w:t>
            </w:r>
          </w:p>
        </w:tc>
      </w:tr>
      <w:tr w14:paraId="43A6BF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79CC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75E05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铲子</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76C60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56A4A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把</w:t>
            </w:r>
          </w:p>
        </w:tc>
      </w:tr>
      <w:tr w14:paraId="7FC061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6130A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59533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汤勺</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3E80D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BD4B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把</w:t>
            </w:r>
          </w:p>
        </w:tc>
      </w:tr>
      <w:tr w14:paraId="65F807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F968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33870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餐具</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20FEC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1C500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1EEFC3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6163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A6945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面盆</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207D9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8BDFA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38A09E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8928" w:type="dxa"/>
            <w:gridSpan w:val="4"/>
            <w:tcBorders>
              <w:top w:val="single" w:color="000000" w:sz="4" w:space="0"/>
              <w:left w:val="single" w:color="000000" w:sz="4" w:space="0"/>
              <w:bottom w:val="single" w:color="000000" w:sz="4" w:space="0"/>
              <w:right w:val="single" w:color="000000" w:sz="4" w:space="0"/>
            </w:tcBorders>
            <w:shd w:val="clear" w:color="auto" w:fill="FFFF00"/>
            <w:vAlign w:val="center"/>
          </w:tcPr>
          <w:p w14:paraId="31C61AAC">
            <w:pPr>
              <w:keepNext w:val="0"/>
              <w:keepLines w:val="0"/>
              <w:widowControl/>
              <w:suppressLineNumbers w:val="0"/>
              <w:jc w:val="center"/>
              <w:textAlignment w:val="center"/>
              <w:rPr>
                <w:rFonts w:hint="default" w:ascii="方正黑体_GBK" w:hAnsi="方正黑体_GBK" w:eastAsia="方正黑体_GBK" w:cs="方正黑体_GBK"/>
                <w:i w:val="0"/>
                <w:iCs w:val="0"/>
                <w:color w:val="000000"/>
                <w:sz w:val="18"/>
                <w:szCs w:val="18"/>
                <w:u w:val="none"/>
              </w:rPr>
            </w:pPr>
            <w:r>
              <w:rPr>
                <w:rFonts w:hint="default" w:ascii="方正黑体_GBK" w:hAnsi="方正黑体_GBK" w:eastAsia="方正黑体_GBK" w:cs="方正黑体_GBK"/>
                <w:i w:val="0"/>
                <w:iCs w:val="0"/>
                <w:color w:val="000000"/>
                <w:kern w:val="0"/>
                <w:sz w:val="18"/>
                <w:szCs w:val="18"/>
                <w:u w:val="none"/>
                <w:lang w:val="en-US" w:eastAsia="zh-CN" w:bidi="ar"/>
              </w:rPr>
              <w:t>图书室配套设备及装修</w:t>
            </w:r>
          </w:p>
        </w:tc>
      </w:tr>
      <w:tr w14:paraId="362C96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565D8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D8686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石膏板吊顶</w:t>
            </w:r>
          </w:p>
        </w:tc>
        <w:tc>
          <w:tcPr>
            <w:tcW w:w="17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ACA5B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208.8</w:t>
            </w:r>
          </w:p>
        </w:tc>
        <w:tc>
          <w:tcPr>
            <w:tcW w:w="14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CB88E0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r>
      <w:tr w14:paraId="629D82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141EB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3AEC5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电路改造</w:t>
            </w:r>
          </w:p>
        </w:tc>
        <w:tc>
          <w:tcPr>
            <w:tcW w:w="17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386950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208.8</w:t>
            </w:r>
          </w:p>
        </w:tc>
        <w:tc>
          <w:tcPr>
            <w:tcW w:w="14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7A4CAC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r>
      <w:tr w14:paraId="09D56F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08FA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657B6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乳胶漆</w:t>
            </w:r>
          </w:p>
        </w:tc>
        <w:tc>
          <w:tcPr>
            <w:tcW w:w="17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6A0BD6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208.8</w:t>
            </w:r>
          </w:p>
        </w:tc>
        <w:tc>
          <w:tcPr>
            <w:tcW w:w="14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D63C2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r>
      <w:tr w14:paraId="6270D6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9C3CA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26292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灯具</w:t>
            </w:r>
          </w:p>
        </w:tc>
        <w:tc>
          <w:tcPr>
            <w:tcW w:w="17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A6983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A7D285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批</w:t>
            </w:r>
          </w:p>
        </w:tc>
      </w:tr>
      <w:tr w14:paraId="0B46AC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0E68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C91A1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窗帘盒</w:t>
            </w:r>
          </w:p>
        </w:tc>
        <w:tc>
          <w:tcPr>
            <w:tcW w:w="17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346912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14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7990E2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r>
      <w:tr w14:paraId="2A71BB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A6B99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A9208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窗帘</w:t>
            </w:r>
          </w:p>
        </w:tc>
        <w:tc>
          <w:tcPr>
            <w:tcW w:w="17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956AD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14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F1AE1D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r>
      <w:tr w14:paraId="48F9D2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06F3D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0A2DF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周边书柜</w:t>
            </w:r>
          </w:p>
        </w:tc>
        <w:tc>
          <w:tcPr>
            <w:tcW w:w="17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9395E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55</w:t>
            </w:r>
          </w:p>
        </w:tc>
        <w:tc>
          <w:tcPr>
            <w:tcW w:w="14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8B091B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r>
      <w:tr w14:paraId="7ABD94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43C4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63592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1+1布艺沙发</w:t>
            </w:r>
          </w:p>
        </w:tc>
        <w:tc>
          <w:tcPr>
            <w:tcW w:w="17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71B75A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4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46DB7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398ED5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E572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FA5A2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1+3布艺沙发</w:t>
            </w:r>
          </w:p>
        </w:tc>
        <w:tc>
          <w:tcPr>
            <w:tcW w:w="17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05F62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4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7035C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1144BD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1BDD1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6F634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阅览桌椅</w:t>
            </w:r>
          </w:p>
        </w:tc>
        <w:tc>
          <w:tcPr>
            <w:tcW w:w="17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588C21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4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BB98D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338157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F4FC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E1B66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格栅</w:t>
            </w:r>
          </w:p>
        </w:tc>
        <w:tc>
          <w:tcPr>
            <w:tcW w:w="17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20AED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14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10A88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r>
      <w:tr w14:paraId="4A0675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F067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24F66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图书馆文化墙</w:t>
            </w:r>
          </w:p>
        </w:tc>
        <w:tc>
          <w:tcPr>
            <w:tcW w:w="17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42E8F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09B2CE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批</w:t>
            </w:r>
          </w:p>
        </w:tc>
      </w:tr>
      <w:tr w14:paraId="4882D4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86FF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361CF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3P吸顶空调</w:t>
            </w:r>
          </w:p>
        </w:tc>
        <w:tc>
          <w:tcPr>
            <w:tcW w:w="17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5773BA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4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A0FAD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14:paraId="0C9294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8928" w:type="dxa"/>
            <w:gridSpan w:val="4"/>
            <w:tcBorders>
              <w:top w:val="single" w:color="000000" w:sz="4" w:space="0"/>
              <w:left w:val="single" w:color="000000" w:sz="4" w:space="0"/>
              <w:bottom w:val="single" w:color="000000" w:sz="4" w:space="0"/>
              <w:right w:val="single" w:color="000000" w:sz="4" w:space="0"/>
            </w:tcBorders>
            <w:shd w:val="clear" w:color="auto" w:fill="FFFF00"/>
            <w:vAlign w:val="center"/>
          </w:tcPr>
          <w:p w14:paraId="6A70B39B">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书法教室</w:t>
            </w:r>
          </w:p>
        </w:tc>
      </w:tr>
      <w:tr w14:paraId="205A7A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D0E95">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1</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6C8F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双目书法教学仪</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8E6D7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0EFFE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14:paraId="2EBC71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485F72">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2</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74ED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数字临摹学习台</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EAC4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BD6A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44CCF7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B06E0">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3</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ADA8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教师条案</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6881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5DB5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w:t>
            </w:r>
          </w:p>
        </w:tc>
      </w:tr>
      <w:tr w14:paraId="18AC3B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5B53E">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4</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0D9F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学生书法桌（含凳）</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760A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w:t>
            </w:r>
          </w:p>
        </w:tc>
        <w:tc>
          <w:tcPr>
            <w:tcW w:w="1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5B7C8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31D8D6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66143D">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5</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994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学生镇尺</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86BC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48</w:t>
            </w:r>
          </w:p>
        </w:tc>
        <w:tc>
          <w:tcPr>
            <w:tcW w:w="1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C852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w:t>
            </w:r>
          </w:p>
        </w:tc>
      </w:tr>
      <w:tr w14:paraId="2F3202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B90E8">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6</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6F761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作品展示墙</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32680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824EA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r>
      <w:tr w14:paraId="51978B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8928" w:type="dxa"/>
            <w:gridSpan w:val="4"/>
            <w:tcBorders>
              <w:top w:val="single" w:color="000000" w:sz="4" w:space="0"/>
              <w:left w:val="single" w:color="000000" w:sz="4" w:space="0"/>
              <w:bottom w:val="single" w:color="000000" w:sz="4" w:space="0"/>
              <w:right w:val="single" w:color="000000" w:sz="4" w:space="0"/>
            </w:tcBorders>
            <w:shd w:val="clear" w:color="auto" w:fill="FFFF00"/>
            <w:vAlign w:val="center"/>
          </w:tcPr>
          <w:p w14:paraId="6B257CFE">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食堂设备</w:t>
            </w:r>
          </w:p>
        </w:tc>
      </w:tr>
      <w:tr w14:paraId="43E1CA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F2F2F2"/>
            <w:vAlign w:val="center"/>
          </w:tcPr>
          <w:p w14:paraId="53B50AE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A</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348E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更衣间</w:t>
            </w:r>
          </w:p>
        </w:tc>
        <w:tc>
          <w:tcPr>
            <w:tcW w:w="1743" w:type="dxa"/>
            <w:tcBorders>
              <w:top w:val="single" w:color="000000" w:sz="4" w:space="0"/>
              <w:left w:val="single" w:color="000000" w:sz="4" w:space="0"/>
              <w:bottom w:val="single" w:color="000000" w:sz="4" w:space="0"/>
              <w:right w:val="single" w:color="000000" w:sz="4" w:space="0"/>
            </w:tcBorders>
            <w:shd w:val="clear" w:color="auto" w:fill="F2F2F2"/>
            <w:noWrap/>
            <w:vAlign w:val="center"/>
          </w:tcPr>
          <w:p w14:paraId="1B039136">
            <w:pPr>
              <w:jc w:val="center"/>
              <w:rPr>
                <w:rFonts w:hint="eastAsia" w:ascii="宋体" w:hAnsi="宋体" w:eastAsia="宋体" w:cs="宋体"/>
                <w:i w:val="0"/>
                <w:iCs w:val="0"/>
                <w:color w:val="000000"/>
                <w:sz w:val="20"/>
                <w:szCs w:val="20"/>
                <w:u w:val="none"/>
              </w:rPr>
            </w:pPr>
          </w:p>
        </w:tc>
        <w:tc>
          <w:tcPr>
            <w:tcW w:w="1443" w:type="dxa"/>
            <w:tcBorders>
              <w:top w:val="single" w:color="000000" w:sz="4" w:space="0"/>
              <w:left w:val="single" w:color="000000" w:sz="4" w:space="0"/>
              <w:bottom w:val="single" w:color="000000" w:sz="4" w:space="0"/>
              <w:right w:val="single" w:color="000000" w:sz="4" w:space="0"/>
            </w:tcBorders>
            <w:shd w:val="clear" w:color="auto" w:fill="F2F2F2"/>
            <w:noWrap/>
            <w:vAlign w:val="center"/>
          </w:tcPr>
          <w:p w14:paraId="6A65AB4B">
            <w:pPr>
              <w:jc w:val="center"/>
              <w:rPr>
                <w:rFonts w:hint="eastAsia" w:ascii="宋体" w:hAnsi="宋体" w:eastAsia="宋体" w:cs="宋体"/>
                <w:i w:val="0"/>
                <w:iCs w:val="0"/>
                <w:color w:val="000000"/>
                <w:sz w:val="20"/>
                <w:szCs w:val="20"/>
                <w:u w:val="none"/>
              </w:rPr>
            </w:pPr>
          </w:p>
        </w:tc>
      </w:tr>
      <w:tr w14:paraId="4BF385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F2F2F2"/>
            <w:vAlign w:val="center"/>
          </w:tcPr>
          <w:p w14:paraId="3774F13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B</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DEB7F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储藏室</w:t>
            </w:r>
          </w:p>
        </w:tc>
        <w:tc>
          <w:tcPr>
            <w:tcW w:w="1743" w:type="dxa"/>
            <w:tcBorders>
              <w:top w:val="single" w:color="000000" w:sz="4" w:space="0"/>
              <w:left w:val="single" w:color="000000" w:sz="4" w:space="0"/>
              <w:bottom w:val="single" w:color="000000" w:sz="4" w:space="0"/>
              <w:right w:val="single" w:color="000000" w:sz="4" w:space="0"/>
            </w:tcBorders>
            <w:shd w:val="clear" w:color="auto" w:fill="F2F2F2"/>
            <w:noWrap/>
            <w:vAlign w:val="center"/>
          </w:tcPr>
          <w:p w14:paraId="5E97BB50">
            <w:pPr>
              <w:jc w:val="center"/>
              <w:rPr>
                <w:rFonts w:hint="eastAsia" w:ascii="宋体" w:hAnsi="宋体" w:eastAsia="宋体" w:cs="宋体"/>
                <w:i w:val="0"/>
                <w:iCs w:val="0"/>
                <w:color w:val="000000"/>
                <w:sz w:val="20"/>
                <w:szCs w:val="20"/>
                <w:u w:val="none"/>
              </w:rPr>
            </w:pPr>
          </w:p>
        </w:tc>
        <w:tc>
          <w:tcPr>
            <w:tcW w:w="1443" w:type="dxa"/>
            <w:tcBorders>
              <w:top w:val="single" w:color="000000" w:sz="4" w:space="0"/>
              <w:left w:val="single" w:color="000000" w:sz="4" w:space="0"/>
              <w:bottom w:val="single" w:color="000000" w:sz="4" w:space="0"/>
              <w:right w:val="single" w:color="000000" w:sz="4" w:space="0"/>
            </w:tcBorders>
            <w:shd w:val="clear" w:color="auto" w:fill="F2F2F2"/>
            <w:noWrap/>
            <w:vAlign w:val="center"/>
          </w:tcPr>
          <w:p w14:paraId="11D5802A">
            <w:pPr>
              <w:jc w:val="center"/>
              <w:rPr>
                <w:rFonts w:hint="eastAsia" w:ascii="宋体" w:hAnsi="宋体" w:eastAsia="宋体" w:cs="宋体"/>
                <w:i w:val="0"/>
                <w:iCs w:val="0"/>
                <w:color w:val="000000"/>
                <w:sz w:val="20"/>
                <w:szCs w:val="20"/>
                <w:u w:val="none"/>
              </w:rPr>
            </w:pPr>
          </w:p>
        </w:tc>
      </w:tr>
      <w:tr w14:paraId="37AB45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F30A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B01</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2FC5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四层平板货架</w:t>
            </w: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B8F61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A7AF8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14:paraId="10F942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F2F2F2"/>
            <w:vAlign w:val="center"/>
          </w:tcPr>
          <w:p w14:paraId="3267971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C</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155D5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冷藏间</w:t>
            </w:r>
          </w:p>
        </w:tc>
        <w:tc>
          <w:tcPr>
            <w:tcW w:w="1743" w:type="dxa"/>
            <w:tcBorders>
              <w:top w:val="single" w:color="000000" w:sz="4" w:space="0"/>
              <w:left w:val="single" w:color="000000" w:sz="4" w:space="0"/>
              <w:bottom w:val="single" w:color="000000" w:sz="4" w:space="0"/>
              <w:right w:val="single" w:color="000000" w:sz="4" w:space="0"/>
            </w:tcBorders>
            <w:shd w:val="clear" w:color="auto" w:fill="F2F2F2"/>
            <w:noWrap/>
            <w:vAlign w:val="center"/>
          </w:tcPr>
          <w:p w14:paraId="0454262A">
            <w:pPr>
              <w:jc w:val="center"/>
              <w:rPr>
                <w:rFonts w:hint="eastAsia" w:ascii="宋体" w:hAnsi="宋体" w:eastAsia="宋体" w:cs="宋体"/>
                <w:i w:val="0"/>
                <w:iCs w:val="0"/>
                <w:color w:val="000000"/>
                <w:sz w:val="20"/>
                <w:szCs w:val="20"/>
                <w:u w:val="none"/>
              </w:rPr>
            </w:pPr>
          </w:p>
        </w:tc>
        <w:tc>
          <w:tcPr>
            <w:tcW w:w="1443" w:type="dxa"/>
            <w:tcBorders>
              <w:top w:val="single" w:color="000000" w:sz="4" w:space="0"/>
              <w:left w:val="single" w:color="000000" w:sz="4" w:space="0"/>
              <w:bottom w:val="single" w:color="000000" w:sz="4" w:space="0"/>
              <w:right w:val="single" w:color="000000" w:sz="4" w:space="0"/>
            </w:tcBorders>
            <w:shd w:val="clear" w:color="auto" w:fill="F2F2F2"/>
            <w:noWrap/>
            <w:vAlign w:val="center"/>
          </w:tcPr>
          <w:p w14:paraId="7A45F64A">
            <w:pPr>
              <w:jc w:val="center"/>
              <w:rPr>
                <w:rFonts w:hint="eastAsia" w:ascii="宋体" w:hAnsi="宋体" w:eastAsia="宋体" w:cs="宋体"/>
                <w:i w:val="0"/>
                <w:iCs w:val="0"/>
                <w:color w:val="000000"/>
                <w:sz w:val="20"/>
                <w:szCs w:val="20"/>
                <w:u w:val="none"/>
              </w:rPr>
            </w:pPr>
          </w:p>
        </w:tc>
      </w:tr>
      <w:tr w14:paraId="3F7915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E78D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C01</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F8CCE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四门高身雪柜</w:t>
            </w: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9C903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75F2F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14:paraId="155AC3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F2F2F2"/>
            <w:vAlign w:val="center"/>
          </w:tcPr>
          <w:p w14:paraId="57D8405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D</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B9152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主副食库</w:t>
            </w:r>
          </w:p>
        </w:tc>
        <w:tc>
          <w:tcPr>
            <w:tcW w:w="1743" w:type="dxa"/>
            <w:tcBorders>
              <w:top w:val="single" w:color="000000" w:sz="4" w:space="0"/>
              <w:left w:val="single" w:color="000000" w:sz="4" w:space="0"/>
              <w:bottom w:val="single" w:color="000000" w:sz="4" w:space="0"/>
              <w:right w:val="single" w:color="000000" w:sz="4" w:space="0"/>
            </w:tcBorders>
            <w:shd w:val="clear" w:color="auto" w:fill="F2F2F2"/>
            <w:noWrap/>
            <w:vAlign w:val="center"/>
          </w:tcPr>
          <w:p w14:paraId="69181CE7">
            <w:pPr>
              <w:jc w:val="center"/>
              <w:rPr>
                <w:rFonts w:hint="eastAsia" w:ascii="宋体" w:hAnsi="宋体" w:eastAsia="宋体" w:cs="宋体"/>
                <w:i w:val="0"/>
                <w:iCs w:val="0"/>
                <w:color w:val="000000"/>
                <w:sz w:val="20"/>
                <w:szCs w:val="20"/>
                <w:u w:val="none"/>
              </w:rPr>
            </w:pPr>
          </w:p>
        </w:tc>
        <w:tc>
          <w:tcPr>
            <w:tcW w:w="1443" w:type="dxa"/>
            <w:tcBorders>
              <w:top w:val="single" w:color="000000" w:sz="4" w:space="0"/>
              <w:left w:val="single" w:color="000000" w:sz="4" w:space="0"/>
              <w:bottom w:val="single" w:color="000000" w:sz="4" w:space="0"/>
              <w:right w:val="single" w:color="000000" w:sz="4" w:space="0"/>
            </w:tcBorders>
            <w:shd w:val="clear" w:color="auto" w:fill="F2F2F2"/>
            <w:noWrap/>
            <w:vAlign w:val="center"/>
          </w:tcPr>
          <w:p w14:paraId="24840D00">
            <w:pPr>
              <w:jc w:val="center"/>
              <w:rPr>
                <w:rFonts w:hint="eastAsia" w:ascii="宋体" w:hAnsi="宋体" w:eastAsia="宋体" w:cs="宋体"/>
                <w:i w:val="0"/>
                <w:iCs w:val="0"/>
                <w:color w:val="000000"/>
                <w:sz w:val="20"/>
                <w:szCs w:val="20"/>
                <w:u w:val="none"/>
              </w:rPr>
            </w:pPr>
          </w:p>
        </w:tc>
      </w:tr>
      <w:tr w14:paraId="396583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D67D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D01</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DF6CE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四层平板货架</w:t>
            </w: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1C554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E06B7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14:paraId="762E34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1881E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D02</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E9607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米面架</w:t>
            </w: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1C361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00E1F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14:paraId="2593B0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F2F2F2"/>
            <w:vAlign w:val="center"/>
          </w:tcPr>
          <w:p w14:paraId="384884A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E</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BCC4E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粗加工间</w:t>
            </w:r>
          </w:p>
        </w:tc>
        <w:tc>
          <w:tcPr>
            <w:tcW w:w="1743" w:type="dxa"/>
            <w:tcBorders>
              <w:top w:val="single" w:color="000000" w:sz="4" w:space="0"/>
              <w:left w:val="single" w:color="000000" w:sz="4" w:space="0"/>
              <w:bottom w:val="single" w:color="000000" w:sz="4" w:space="0"/>
              <w:right w:val="single" w:color="000000" w:sz="4" w:space="0"/>
            </w:tcBorders>
            <w:shd w:val="clear" w:color="auto" w:fill="F2F2F2"/>
            <w:noWrap/>
            <w:vAlign w:val="center"/>
          </w:tcPr>
          <w:p w14:paraId="21EA15D9">
            <w:pPr>
              <w:jc w:val="center"/>
              <w:rPr>
                <w:rFonts w:hint="eastAsia" w:ascii="宋体" w:hAnsi="宋体" w:eastAsia="宋体" w:cs="宋体"/>
                <w:i w:val="0"/>
                <w:iCs w:val="0"/>
                <w:color w:val="000000"/>
                <w:sz w:val="20"/>
                <w:szCs w:val="20"/>
                <w:u w:val="none"/>
              </w:rPr>
            </w:pPr>
          </w:p>
        </w:tc>
        <w:tc>
          <w:tcPr>
            <w:tcW w:w="1443" w:type="dxa"/>
            <w:tcBorders>
              <w:top w:val="single" w:color="000000" w:sz="4" w:space="0"/>
              <w:left w:val="single" w:color="000000" w:sz="4" w:space="0"/>
              <w:bottom w:val="single" w:color="000000" w:sz="4" w:space="0"/>
              <w:right w:val="single" w:color="000000" w:sz="4" w:space="0"/>
            </w:tcBorders>
            <w:shd w:val="clear" w:color="auto" w:fill="F2F2F2"/>
            <w:noWrap/>
            <w:vAlign w:val="center"/>
          </w:tcPr>
          <w:p w14:paraId="52241FB1">
            <w:pPr>
              <w:jc w:val="center"/>
              <w:rPr>
                <w:rFonts w:hint="eastAsia" w:ascii="宋体" w:hAnsi="宋体" w:eastAsia="宋体" w:cs="宋体"/>
                <w:i w:val="0"/>
                <w:iCs w:val="0"/>
                <w:color w:val="000000"/>
                <w:sz w:val="20"/>
                <w:szCs w:val="20"/>
                <w:u w:val="none"/>
              </w:rPr>
            </w:pPr>
          </w:p>
        </w:tc>
      </w:tr>
      <w:tr w14:paraId="003525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B3A3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E01</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B833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三星盆台</w:t>
            </w: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38240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A91CF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14:paraId="745735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B2A05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E02</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61E9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双层格栅工作台</w:t>
            </w: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03599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4B7D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14:paraId="0B5F69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CC8DC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E03</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2C58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四层栅格层架</w:t>
            </w: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D693D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D1877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14:paraId="60C172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5892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E04</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8602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绞切肉机</w:t>
            </w: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A4EC2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A65CA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14:paraId="659C7B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6969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E05</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344D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多功能切菜机 </w:t>
            </w: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26B07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05DCB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14:paraId="0CAA74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F2F2F2"/>
            <w:vAlign w:val="center"/>
          </w:tcPr>
          <w:p w14:paraId="69313BB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F</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7A01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主厨房</w:t>
            </w:r>
          </w:p>
        </w:tc>
        <w:tc>
          <w:tcPr>
            <w:tcW w:w="1743" w:type="dxa"/>
            <w:tcBorders>
              <w:top w:val="single" w:color="000000" w:sz="4" w:space="0"/>
              <w:left w:val="single" w:color="000000" w:sz="4" w:space="0"/>
              <w:bottom w:val="single" w:color="000000" w:sz="4" w:space="0"/>
              <w:right w:val="single" w:color="000000" w:sz="4" w:space="0"/>
            </w:tcBorders>
            <w:shd w:val="clear" w:color="auto" w:fill="F2F2F2"/>
            <w:noWrap/>
            <w:vAlign w:val="center"/>
          </w:tcPr>
          <w:p w14:paraId="20EA438C">
            <w:pPr>
              <w:jc w:val="center"/>
              <w:rPr>
                <w:rFonts w:hint="eastAsia" w:ascii="宋体" w:hAnsi="宋体" w:eastAsia="宋体" w:cs="宋体"/>
                <w:i w:val="0"/>
                <w:iCs w:val="0"/>
                <w:color w:val="000000"/>
                <w:sz w:val="20"/>
                <w:szCs w:val="20"/>
                <w:u w:val="none"/>
              </w:rPr>
            </w:pPr>
          </w:p>
        </w:tc>
        <w:tc>
          <w:tcPr>
            <w:tcW w:w="1443" w:type="dxa"/>
            <w:tcBorders>
              <w:top w:val="single" w:color="000000" w:sz="4" w:space="0"/>
              <w:left w:val="single" w:color="000000" w:sz="4" w:space="0"/>
              <w:bottom w:val="single" w:color="000000" w:sz="4" w:space="0"/>
              <w:right w:val="single" w:color="000000" w:sz="4" w:space="0"/>
            </w:tcBorders>
            <w:shd w:val="clear" w:color="auto" w:fill="F2F2F2"/>
            <w:noWrap/>
            <w:vAlign w:val="center"/>
          </w:tcPr>
          <w:p w14:paraId="189B3B0A">
            <w:pPr>
              <w:jc w:val="center"/>
              <w:rPr>
                <w:rFonts w:hint="eastAsia" w:ascii="宋体" w:hAnsi="宋体" w:eastAsia="宋体" w:cs="宋体"/>
                <w:i w:val="0"/>
                <w:iCs w:val="0"/>
                <w:color w:val="000000"/>
                <w:sz w:val="20"/>
                <w:szCs w:val="20"/>
                <w:u w:val="none"/>
              </w:rPr>
            </w:pPr>
          </w:p>
        </w:tc>
      </w:tr>
      <w:tr w14:paraId="6B208D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D2E5B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F01</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323E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照明滤油一体烟罩</w:t>
            </w: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CB295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3.64</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B631A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r>
      <w:tr w14:paraId="1F19AE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DB102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F02</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F210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炉后封板</w:t>
            </w: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5CDD5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E13B6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r>
      <w:tr w14:paraId="3CA47D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6A62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F03</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747D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电热双门蒸饭柜</w:t>
            </w: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B517F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93EC7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14:paraId="6777CE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5B462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F04</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A881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电磁双头大锅灶</w:t>
            </w: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F7FDF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4BC59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14:paraId="5221D7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8503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F05</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0721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炉后封板</w:t>
            </w: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79FD6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3.55</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76FF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r>
      <w:tr w14:paraId="777B06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EEEF6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F06</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DFA7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照明滤油一体烟罩</w:t>
            </w: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FB82F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4.615</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0B095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r>
      <w:tr w14:paraId="45F8D8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6909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F07</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9214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单通工作柜</w:t>
            </w: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5ED69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2B90A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14:paraId="0CBE55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EC7C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F08</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B4CDA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四层栅格层架</w:t>
            </w: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AC62A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9706E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14:paraId="6836EC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C228B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F09</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AFCB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调料台</w:t>
            </w: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BE727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20B9C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14:paraId="68D12C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584D8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F11</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7F68E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电磁单头大锅灶</w:t>
            </w: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26695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EC043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14:paraId="78B5F4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5DDE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F12</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806DB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双层格栅工作台</w:t>
            </w: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C2F92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A88D7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14:paraId="01DF2D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CD8D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F15</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7DB9F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调料台</w:t>
            </w: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8DA7E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E33D6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14:paraId="1FD6B2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3CFC5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F16</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542FA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炉后封板</w:t>
            </w: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D7C3F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2.95</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BD90B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r>
      <w:tr w14:paraId="2A4CAA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4E5AA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F17</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779B7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照明滤油一体烟罩</w:t>
            </w: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A0330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3.835</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F41D3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r>
      <w:tr w14:paraId="2BD9E7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09A7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F18</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0E0E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电磁双头矮汤炉</w:t>
            </w: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366A1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E3546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14:paraId="580723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A801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F19</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269B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刀具消毒柜</w:t>
            </w: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5B7EC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A0C36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14:paraId="34B6AD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F2F2F2"/>
            <w:vAlign w:val="center"/>
          </w:tcPr>
          <w:p w14:paraId="0520F9A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G</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D1CBA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备餐间</w:t>
            </w:r>
          </w:p>
        </w:tc>
        <w:tc>
          <w:tcPr>
            <w:tcW w:w="1743" w:type="dxa"/>
            <w:tcBorders>
              <w:top w:val="single" w:color="000000" w:sz="4" w:space="0"/>
              <w:left w:val="single" w:color="000000" w:sz="4" w:space="0"/>
              <w:bottom w:val="single" w:color="000000" w:sz="4" w:space="0"/>
              <w:right w:val="single" w:color="000000" w:sz="4" w:space="0"/>
            </w:tcBorders>
            <w:shd w:val="clear" w:color="auto" w:fill="F2F2F2"/>
            <w:noWrap/>
            <w:vAlign w:val="center"/>
          </w:tcPr>
          <w:p w14:paraId="711C7A5D">
            <w:pPr>
              <w:jc w:val="center"/>
              <w:rPr>
                <w:rFonts w:hint="eastAsia" w:ascii="宋体" w:hAnsi="宋体" w:eastAsia="宋体" w:cs="宋体"/>
                <w:i w:val="0"/>
                <w:iCs w:val="0"/>
                <w:color w:val="000000"/>
                <w:sz w:val="20"/>
                <w:szCs w:val="20"/>
                <w:u w:val="none"/>
              </w:rPr>
            </w:pPr>
          </w:p>
        </w:tc>
        <w:tc>
          <w:tcPr>
            <w:tcW w:w="1443" w:type="dxa"/>
            <w:tcBorders>
              <w:top w:val="single" w:color="000000" w:sz="4" w:space="0"/>
              <w:left w:val="single" w:color="000000" w:sz="4" w:space="0"/>
              <w:bottom w:val="single" w:color="000000" w:sz="4" w:space="0"/>
              <w:right w:val="single" w:color="000000" w:sz="4" w:space="0"/>
            </w:tcBorders>
            <w:shd w:val="clear" w:color="auto" w:fill="F2F2F2"/>
            <w:noWrap/>
            <w:vAlign w:val="center"/>
          </w:tcPr>
          <w:p w14:paraId="1E98367B">
            <w:pPr>
              <w:jc w:val="center"/>
              <w:rPr>
                <w:rFonts w:hint="eastAsia" w:ascii="宋体" w:hAnsi="宋体" w:eastAsia="宋体" w:cs="宋体"/>
                <w:i w:val="0"/>
                <w:iCs w:val="0"/>
                <w:color w:val="000000"/>
                <w:sz w:val="20"/>
                <w:szCs w:val="20"/>
                <w:u w:val="none"/>
              </w:rPr>
            </w:pPr>
          </w:p>
        </w:tc>
      </w:tr>
      <w:tr w14:paraId="2D61E7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68A1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G01</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1DF03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洗手星</w:t>
            </w: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0803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EE41F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14:paraId="06ED5B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8A29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G02</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3FB2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双层格栅工作台</w:t>
            </w: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B2598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CD3C0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14:paraId="3E2511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CDB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G03</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BAA4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活动工作台</w:t>
            </w: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BA8B5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A8CEE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14:paraId="14411D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FE42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G04</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1733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双门留样柜</w:t>
            </w: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353F3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47DD7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14:paraId="2175AB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F2F2F2"/>
            <w:vAlign w:val="center"/>
          </w:tcPr>
          <w:p w14:paraId="0A1335C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H</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8D6F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售卖间</w:t>
            </w:r>
          </w:p>
        </w:tc>
        <w:tc>
          <w:tcPr>
            <w:tcW w:w="1743" w:type="dxa"/>
            <w:tcBorders>
              <w:top w:val="single" w:color="000000" w:sz="4" w:space="0"/>
              <w:left w:val="single" w:color="000000" w:sz="4" w:space="0"/>
              <w:bottom w:val="single" w:color="000000" w:sz="4" w:space="0"/>
              <w:right w:val="single" w:color="000000" w:sz="4" w:space="0"/>
            </w:tcBorders>
            <w:shd w:val="clear" w:color="auto" w:fill="F2F2F2"/>
            <w:noWrap/>
            <w:vAlign w:val="center"/>
          </w:tcPr>
          <w:p w14:paraId="50D71F95">
            <w:pPr>
              <w:jc w:val="center"/>
              <w:rPr>
                <w:rFonts w:hint="eastAsia" w:ascii="宋体" w:hAnsi="宋体" w:eastAsia="宋体" w:cs="宋体"/>
                <w:i w:val="0"/>
                <w:iCs w:val="0"/>
                <w:color w:val="000000"/>
                <w:sz w:val="20"/>
                <w:szCs w:val="20"/>
                <w:u w:val="none"/>
              </w:rPr>
            </w:pPr>
          </w:p>
        </w:tc>
        <w:tc>
          <w:tcPr>
            <w:tcW w:w="1443" w:type="dxa"/>
            <w:tcBorders>
              <w:top w:val="single" w:color="000000" w:sz="4" w:space="0"/>
              <w:left w:val="single" w:color="000000" w:sz="4" w:space="0"/>
              <w:bottom w:val="single" w:color="000000" w:sz="4" w:space="0"/>
              <w:right w:val="single" w:color="000000" w:sz="4" w:space="0"/>
            </w:tcBorders>
            <w:shd w:val="clear" w:color="auto" w:fill="F2F2F2"/>
            <w:noWrap/>
            <w:vAlign w:val="center"/>
          </w:tcPr>
          <w:p w14:paraId="338C17E5">
            <w:pPr>
              <w:jc w:val="center"/>
              <w:rPr>
                <w:rFonts w:hint="eastAsia" w:ascii="宋体" w:hAnsi="宋体" w:eastAsia="宋体" w:cs="宋体"/>
                <w:i w:val="0"/>
                <w:iCs w:val="0"/>
                <w:color w:val="000000"/>
                <w:sz w:val="20"/>
                <w:szCs w:val="20"/>
                <w:u w:val="none"/>
              </w:rPr>
            </w:pPr>
          </w:p>
        </w:tc>
      </w:tr>
      <w:tr w14:paraId="3E0A64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6C977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H01</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2284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双层格栅工作台</w:t>
            </w: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E11D9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2A92F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14:paraId="1366D8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5E1D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H06</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6240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双层格栅工作台</w:t>
            </w: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FD811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DCD2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14:paraId="5CD62C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F97D1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H08</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9EE2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五格保温售饭台</w:t>
            </w: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479A2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9C8F3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14:paraId="35505A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6048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H09</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27DA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双门消毒柜</w:t>
            </w: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2EF51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4A1B7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14:paraId="08AE14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3BABD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H10</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A80D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双层格栅工作台</w:t>
            </w: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169BE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C1163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14:paraId="3DCA2C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F2F2F2"/>
            <w:vAlign w:val="center"/>
          </w:tcPr>
          <w:p w14:paraId="4B8A19E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I</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8A02C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洗消间1</w:t>
            </w:r>
          </w:p>
        </w:tc>
        <w:tc>
          <w:tcPr>
            <w:tcW w:w="1743" w:type="dxa"/>
            <w:tcBorders>
              <w:top w:val="single" w:color="000000" w:sz="4" w:space="0"/>
              <w:left w:val="single" w:color="000000" w:sz="4" w:space="0"/>
              <w:bottom w:val="single" w:color="000000" w:sz="4" w:space="0"/>
              <w:right w:val="single" w:color="000000" w:sz="4" w:space="0"/>
            </w:tcBorders>
            <w:shd w:val="clear" w:color="auto" w:fill="F2F2F2"/>
            <w:noWrap/>
            <w:vAlign w:val="center"/>
          </w:tcPr>
          <w:p w14:paraId="48C7C31C">
            <w:pPr>
              <w:jc w:val="center"/>
              <w:rPr>
                <w:rFonts w:hint="eastAsia" w:ascii="宋体" w:hAnsi="宋体" w:eastAsia="宋体" w:cs="宋体"/>
                <w:i w:val="0"/>
                <w:iCs w:val="0"/>
                <w:color w:val="000000"/>
                <w:sz w:val="20"/>
                <w:szCs w:val="20"/>
                <w:u w:val="none"/>
              </w:rPr>
            </w:pPr>
          </w:p>
        </w:tc>
        <w:tc>
          <w:tcPr>
            <w:tcW w:w="1443" w:type="dxa"/>
            <w:tcBorders>
              <w:top w:val="single" w:color="000000" w:sz="4" w:space="0"/>
              <w:left w:val="single" w:color="000000" w:sz="4" w:space="0"/>
              <w:bottom w:val="single" w:color="000000" w:sz="4" w:space="0"/>
              <w:right w:val="single" w:color="000000" w:sz="4" w:space="0"/>
            </w:tcBorders>
            <w:shd w:val="clear" w:color="auto" w:fill="F2F2F2"/>
            <w:noWrap/>
            <w:vAlign w:val="center"/>
          </w:tcPr>
          <w:p w14:paraId="32C37040">
            <w:pPr>
              <w:jc w:val="center"/>
              <w:rPr>
                <w:rFonts w:hint="eastAsia" w:ascii="宋体" w:hAnsi="宋体" w:eastAsia="宋体" w:cs="宋体"/>
                <w:i w:val="0"/>
                <w:iCs w:val="0"/>
                <w:color w:val="000000"/>
                <w:sz w:val="20"/>
                <w:szCs w:val="20"/>
                <w:u w:val="none"/>
              </w:rPr>
            </w:pPr>
          </w:p>
        </w:tc>
      </w:tr>
      <w:tr w14:paraId="5BDD90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33CE9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I04</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4E2C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活动工作台</w:t>
            </w: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D9FFB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7DDC0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14:paraId="40EB4C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76DF2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I05</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290F1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大单星盆台</w:t>
            </w: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1D17C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B0ACB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14:paraId="65E35D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EB30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I07</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72F45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四层栅格层架</w:t>
            </w: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5A42D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93416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14:paraId="69A6BC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F2F2F2"/>
            <w:vAlign w:val="center"/>
          </w:tcPr>
          <w:p w14:paraId="0D7CBF1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J</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F0D32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洗消间2</w:t>
            </w:r>
          </w:p>
        </w:tc>
        <w:tc>
          <w:tcPr>
            <w:tcW w:w="1743" w:type="dxa"/>
            <w:tcBorders>
              <w:top w:val="single" w:color="000000" w:sz="4" w:space="0"/>
              <w:left w:val="single" w:color="000000" w:sz="4" w:space="0"/>
              <w:bottom w:val="single" w:color="000000" w:sz="4" w:space="0"/>
              <w:right w:val="single" w:color="000000" w:sz="4" w:space="0"/>
            </w:tcBorders>
            <w:shd w:val="clear" w:color="auto" w:fill="F2F2F2"/>
            <w:noWrap/>
            <w:vAlign w:val="center"/>
          </w:tcPr>
          <w:p w14:paraId="40AD246B">
            <w:pPr>
              <w:jc w:val="center"/>
              <w:rPr>
                <w:rFonts w:hint="eastAsia" w:ascii="宋体" w:hAnsi="宋体" w:eastAsia="宋体" w:cs="宋体"/>
                <w:i w:val="0"/>
                <w:iCs w:val="0"/>
                <w:color w:val="000000"/>
                <w:sz w:val="20"/>
                <w:szCs w:val="20"/>
                <w:u w:val="none"/>
              </w:rPr>
            </w:pPr>
          </w:p>
        </w:tc>
        <w:tc>
          <w:tcPr>
            <w:tcW w:w="1443" w:type="dxa"/>
            <w:tcBorders>
              <w:top w:val="single" w:color="000000" w:sz="4" w:space="0"/>
              <w:left w:val="single" w:color="000000" w:sz="4" w:space="0"/>
              <w:bottom w:val="single" w:color="000000" w:sz="4" w:space="0"/>
              <w:right w:val="single" w:color="000000" w:sz="4" w:space="0"/>
            </w:tcBorders>
            <w:shd w:val="clear" w:color="auto" w:fill="F2F2F2"/>
            <w:noWrap/>
            <w:vAlign w:val="center"/>
          </w:tcPr>
          <w:p w14:paraId="39DCE497">
            <w:pPr>
              <w:jc w:val="center"/>
              <w:rPr>
                <w:rFonts w:hint="eastAsia" w:ascii="宋体" w:hAnsi="宋体" w:eastAsia="宋体" w:cs="宋体"/>
                <w:i w:val="0"/>
                <w:iCs w:val="0"/>
                <w:color w:val="000000"/>
                <w:sz w:val="20"/>
                <w:szCs w:val="20"/>
                <w:u w:val="none"/>
              </w:rPr>
            </w:pPr>
          </w:p>
        </w:tc>
      </w:tr>
      <w:tr w14:paraId="0580C2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63F25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J01</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B5DA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双层格栅工作台</w:t>
            </w: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77497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43F33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14:paraId="794421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34B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J02</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0F3D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单孔污碟柜连车</w:t>
            </w: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39386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92BCC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14:paraId="292ECD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022CA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J04</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555DD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大单星盆台</w:t>
            </w: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29318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4AE56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14:paraId="0FDBFC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0685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J05</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8D0F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双层格栅工作台</w:t>
            </w: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A237D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1EE8F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14:paraId="7C7148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8F1E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J06</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0C0B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双门消毒柜</w:t>
            </w: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684B0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6A872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14:paraId="0FCEC7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BF11A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J07</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F5A8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单孔污碟台</w:t>
            </w: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99DE3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2B926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14:paraId="41FC07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19C1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J08</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6E70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大单星盆台</w:t>
            </w: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51E4C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2F0C7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14:paraId="6AA6E8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97271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J09</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C010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单门长龙式洗碗机</w:t>
            </w: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B215F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C3964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14:paraId="1D9A08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5824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J10</w:t>
            </w:r>
          </w:p>
        </w:tc>
        <w:tc>
          <w:tcPr>
            <w:tcW w:w="49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81E16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照明滤油一体烟罩</w:t>
            </w: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D5FA1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3.9</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9D32D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r>
      <w:tr w14:paraId="558618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07E3B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J11</w:t>
            </w:r>
          </w:p>
        </w:tc>
        <w:tc>
          <w:tcPr>
            <w:tcW w:w="49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DB92D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活动工作台</w:t>
            </w: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56FC0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79302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14:paraId="6EA2D9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F2F2F2"/>
            <w:vAlign w:val="center"/>
          </w:tcPr>
          <w:p w14:paraId="55D449F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K</w:t>
            </w:r>
          </w:p>
        </w:tc>
        <w:tc>
          <w:tcPr>
            <w:tcW w:w="49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275D5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2层备餐间</w:t>
            </w:r>
          </w:p>
        </w:tc>
        <w:tc>
          <w:tcPr>
            <w:tcW w:w="1743" w:type="dxa"/>
            <w:tcBorders>
              <w:top w:val="single" w:color="000000" w:sz="4" w:space="0"/>
              <w:left w:val="single" w:color="000000" w:sz="4" w:space="0"/>
              <w:bottom w:val="single" w:color="000000" w:sz="4" w:space="0"/>
              <w:right w:val="single" w:color="000000" w:sz="4" w:space="0"/>
            </w:tcBorders>
            <w:shd w:val="clear" w:color="auto" w:fill="F2F2F2"/>
            <w:noWrap/>
            <w:vAlign w:val="center"/>
          </w:tcPr>
          <w:p w14:paraId="79314B2F">
            <w:pPr>
              <w:jc w:val="center"/>
              <w:rPr>
                <w:rFonts w:hint="eastAsia" w:ascii="宋体" w:hAnsi="宋体" w:eastAsia="宋体" w:cs="宋体"/>
                <w:i w:val="0"/>
                <w:iCs w:val="0"/>
                <w:color w:val="000000"/>
                <w:sz w:val="20"/>
                <w:szCs w:val="20"/>
                <w:u w:val="none"/>
              </w:rPr>
            </w:pPr>
          </w:p>
        </w:tc>
        <w:tc>
          <w:tcPr>
            <w:tcW w:w="1443" w:type="dxa"/>
            <w:tcBorders>
              <w:top w:val="single" w:color="000000" w:sz="4" w:space="0"/>
              <w:left w:val="single" w:color="000000" w:sz="4" w:space="0"/>
              <w:bottom w:val="single" w:color="000000" w:sz="4" w:space="0"/>
              <w:right w:val="single" w:color="000000" w:sz="4" w:space="0"/>
            </w:tcBorders>
            <w:shd w:val="clear" w:color="auto" w:fill="F2F2F2"/>
            <w:noWrap/>
            <w:vAlign w:val="center"/>
          </w:tcPr>
          <w:p w14:paraId="0CB9ECA5">
            <w:pPr>
              <w:jc w:val="center"/>
              <w:rPr>
                <w:rFonts w:hint="eastAsia" w:ascii="宋体" w:hAnsi="宋体" w:eastAsia="宋体" w:cs="宋体"/>
                <w:i w:val="0"/>
                <w:iCs w:val="0"/>
                <w:color w:val="000000"/>
                <w:sz w:val="20"/>
                <w:szCs w:val="20"/>
                <w:u w:val="none"/>
              </w:rPr>
            </w:pPr>
          </w:p>
        </w:tc>
      </w:tr>
      <w:tr w14:paraId="4F6BFE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2261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K01</w:t>
            </w:r>
          </w:p>
        </w:tc>
        <w:tc>
          <w:tcPr>
            <w:tcW w:w="49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4A6E7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餐具回收车</w:t>
            </w: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1F60D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9C468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14:paraId="2A552D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4F7FC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K02</w:t>
            </w:r>
          </w:p>
        </w:tc>
        <w:tc>
          <w:tcPr>
            <w:tcW w:w="49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36DDA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三层餐车</w:t>
            </w: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59E0D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0A531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14:paraId="243E82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74452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K04</w:t>
            </w:r>
          </w:p>
        </w:tc>
        <w:tc>
          <w:tcPr>
            <w:tcW w:w="49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03A5C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双层格栅工作台</w:t>
            </w: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7175A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1E5E7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14:paraId="763886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F2F2F2"/>
            <w:vAlign w:val="center"/>
          </w:tcPr>
          <w:p w14:paraId="3141A31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w:t>
            </w:r>
          </w:p>
        </w:tc>
        <w:tc>
          <w:tcPr>
            <w:tcW w:w="49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E73DA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2层洗消间</w:t>
            </w:r>
          </w:p>
        </w:tc>
        <w:tc>
          <w:tcPr>
            <w:tcW w:w="1743" w:type="dxa"/>
            <w:tcBorders>
              <w:top w:val="single" w:color="000000" w:sz="4" w:space="0"/>
              <w:left w:val="single" w:color="000000" w:sz="4" w:space="0"/>
              <w:bottom w:val="single" w:color="000000" w:sz="4" w:space="0"/>
              <w:right w:val="single" w:color="000000" w:sz="4" w:space="0"/>
            </w:tcBorders>
            <w:shd w:val="clear" w:color="auto" w:fill="F2F2F2"/>
            <w:noWrap/>
            <w:vAlign w:val="center"/>
          </w:tcPr>
          <w:p w14:paraId="35D99B09">
            <w:pPr>
              <w:jc w:val="center"/>
              <w:rPr>
                <w:rFonts w:hint="eastAsia" w:ascii="宋体" w:hAnsi="宋体" w:eastAsia="宋体" w:cs="宋体"/>
                <w:i w:val="0"/>
                <w:iCs w:val="0"/>
                <w:color w:val="000000"/>
                <w:sz w:val="20"/>
                <w:szCs w:val="20"/>
                <w:u w:val="none"/>
              </w:rPr>
            </w:pPr>
          </w:p>
        </w:tc>
        <w:tc>
          <w:tcPr>
            <w:tcW w:w="1443" w:type="dxa"/>
            <w:tcBorders>
              <w:top w:val="single" w:color="000000" w:sz="4" w:space="0"/>
              <w:left w:val="single" w:color="000000" w:sz="4" w:space="0"/>
              <w:bottom w:val="single" w:color="000000" w:sz="4" w:space="0"/>
              <w:right w:val="single" w:color="000000" w:sz="4" w:space="0"/>
            </w:tcBorders>
            <w:shd w:val="clear" w:color="auto" w:fill="F2F2F2"/>
            <w:noWrap/>
            <w:vAlign w:val="center"/>
          </w:tcPr>
          <w:p w14:paraId="2B697DFB">
            <w:pPr>
              <w:jc w:val="center"/>
              <w:rPr>
                <w:rFonts w:hint="eastAsia" w:ascii="宋体" w:hAnsi="宋体" w:eastAsia="宋体" w:cs="宋体"/>
                <w:i w:val="0"/>
                <w:iCs w:val="0"/>
                <w:color w:val="000000"/>
                <w:sz w:val="20"/>
                <w:szCs w:val="20"/>
                <w:u w:val="none"/>
              </w:rPr>
            </w:pPr>
          </w:p>
        </w:tc>
      </w:tr>
      <w:tr w14:paraId="315B9A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71F8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L01</w:t>
            </w:r>
          </w:p>
        </w:tc>
        <w:tc>
          <w:tcPr>
            <w:tcW w:w="49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EF729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双层格栅工作台</w:t>
            </w: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7E9C5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4BB47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14:paraId="355C79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1AF0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L02</w:t>
            </w:r>
          </w:p>
        </w:tc>
        <w:tc>
          <w:tcPr>
            <w:tcW w:w="49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993EF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三星盆台</w:t>
            </w: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19B86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E0439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14:paraId="24E10C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9175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L03</w:t>
            </w:r>
          </w:p>
        </w:tc>
        <w:tc>
          <w:tcPr>
            <w:tcW w:w="49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B8966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消毒柜</w:t>
            </w: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6D68A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64D1A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14:paraId="50B4BC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B818E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L04</w:t>
            </w:r>
          </w:p>
        </w:tc>
        <w:tc>
          <w:tcPr>
            <w:tcW w:w="49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C75F0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开水器连底座</w:t>
            </w: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E20DB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DD81A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14:paraId="4473BD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F2F2F2"/>
            <w:vAlign w:val="center"/>
          </w:tcPr>
          <w:p w14:paraId="1A5C3B7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N</w:t>
            </w:r>
          </w:p>
        </w:tc>
        <w:tc>
          <w:tcPr>
            <w:tcW w:w="49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1A2B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2层餐厅</w:t>
            </w:r>
          </w:p>
        </w:tc>
        <w:tc>
          <w:tcPr>
            <w:tcW w:w="1743" w:type="dxa"/>
            <w:tcBorders>
              <w:top w:val="single" w:color="000000" w:sz="4" w:space="0"/>
              <w:left w:val="single" w:color="000000" w:sz="4" w:space="0"/>
              <w:bottom w:val="single" w:color="000000" w:sz="4" w:space="0"/>
              <w:right w:val="single" w:color="000000" w:sz="4" w:space="0"/>
            </w:tcBorders>
            <w:shd w:val="clear" w:color="auto" w:fill="F2F2F2"/>
            <w:noWrap/>
            <w:vAlign w:val="center"/>
          </w:tcPr>
          <w:p w14:paraId="762A2938">
            <w:pPr>
              <w:jc w:val="center"/>
              <w:rPr>
                <w:rFonts w:hint="eastAsia" w:ascii="宋体" w:hAnsi="宋体" w:eastAsia="宋体" w:cs="宋体"/>
                <w:i w:val="0"/>
                <w:iCs w:val="0"/>
                <w:color w:val="000000"/>
                <w:sz w:val="20"/>
                <w:szCs w:val="20"/>
                <w:u w:val="none"/>
              </w:rPr>
            </w:pPr>
          </w:p>
        </w:tc>
        <w:tc>
          <w:tcPr>
            <w:tcW w:w="1443" w:type="dxa"/>
            <w:tcBorders>
              <w:top w:val="single" w:color="000000" w:sz="4" w:space="0"/>
              <w:left w:val="single" w:color="000000" w:sz="4" w:space="0"/>
              <w:bottom w:val="single" w:color="000000" w:sz="4" w:space="0"/>
              <w:right w:val="single" w:color="000000" w:sz="4" w:space="0"/>
            </w:tcBorders>
            <w:shd w:val="clear" w:color="auto" w:fill="F2F2F2"/>
            <w:noWrap/>
            <w:vAlign w:val="center"/>
          </w:tcPr>
          <w:p w14:paraId="32632668">
            <w:pPr>
              <w:jc w:val="center"/>
              <w:rPr>
                <w:rFonts w:hint="eastAsia" w:ascii="宋体" w:hAnsi="宋体" w:eastAsia="宋体" w:cs="宋体"/>
                <w:i w:val="0"/>
                <w:iCs w:val="0"/>
                <w:color w:val="000000"/>
                <w:sz w:val="20"/>
                <w:szCs w:val="20"/>
                <w:u w:val="none"/>
              </w:rPr>
            </w:pPr>
          </w:p>
        </w:tc>
      </w:tr>
      <w:tr w14:paraId="64E706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E6B7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N01</w:t>
            </w:r>
          </w:p>
        </w:tc>
        <w:tc>
          <w:tcPr>
            <w:tcW w:w="49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13818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单孔污碟柜连车</w:t>
            </w: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7A998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6DAB8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14:paraId="5AE84A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2CFCB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N02</w:t>
            </w:r>
          </w:p>
        </w:tc>
        <w:tc>
          <w:tcPr>
            <w:tcW w:w="49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85651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双门消毒柜</w:t>
            </w: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4DA52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B7A60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14:paraId="75DA55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F2F2F2"/>
            <w:vAlign w:val="center"/>
          </w:tcPr>
          <w:p w14:paraId="4678AB1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31A5E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排烟系统</w:t>
            </w:r>
          </w:p>
        </w:tc>
        <w:tc>
          <w:tcPr>
            <w:tcW w:w="1743" w:type="dxa"/>
            <w:tcBorders>
              <w:top w:val="single" w:color="000000" w:sz="4" w:space="0"/>
              <w:left w:val="single" w:color="000000" w:sz="4" w:space="0"/>
              <w:bottom w:val="single" w:color="000000" w:sz="4" w:space="0"/>
              <w:right w:val="single" w:color="000000" w:sz="4" w:space="0"/>
            </w:tcBorders>
            <w:shd w:val="clear" w:color="auto" w:fill="F2F2F2"/>
            <w:noWrap/>
            <w:vAlign w:val="center"/>
          </w:tcPr>
          <w:p w14:paraId="16F7F760">
            <w:pPr>
              <w:jc w:val="center"/>
              <w:rPr>
                <w:rFonts w:hint="eastAsia" w:ascii="宋体" w:hAnsi="宋体" w:eastAsia="宋体" w:cs="宋体"/>
                <w:i w:val="0"/>
                <w:iCs w:val="0"/>
                <w:color w:val="000000"/>
                <w:sz w:val="20"/>
                <w:szCs w:val="20"/>
                <w:u w:val="none"/>
              </w:rPr>
            </w:pPr>
          </w:p>
        </w:tc>
        <w:tc>
          <w:tcPr>
            <w:tcW w:w="1443" w:type="dxa"/>
            <w:tcBorders>
              <w:top w:val="single" w:color="000000" w:sz="4" w:space="0"/>
              <w:left w:val="single" w:color="000000" w:sz="4" w:space="0"/>
              <w:bottom w:val="single" w:color="000000" w:sz="4" w:space="0"/>
              <w:right w:val="single" w:color="000000" w:sz="4" w:space="0"/>
            </w:tcBorders>
            <w:shd w:val="clear" w:color="auto" w:fill="F2F2F2"/>
            <w:noWrap/>
            <w:vAlign w:val="center"/>
          </w:tcPr>
          <w:p w14:paraId="2BF913D7">
            <w:pPr>
              <w:jc w:val="center"/>
              <w:rPr>
                <w:rFonts w:hint="eastAsia" w:ascii="宋体" w:hAnsi="宋体" w:eastAsia="宋体" w:cs="宋体"/>
                <w:i w:val="0"/>
                <w:iCs w:val="0"/>
                <w:color w:val="000000"/>
                <w:sz w:val="20"/>
                <w:szCs w:val="20"/>
                <w:u w:val="none"/>
              </w:rPr>
            </w:pPr>
          </w:p>
        </w:tc>
      </w:tr>
      <w:tr w14:paraId="026D8E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18061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M01</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25B2D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不锈钢排烟烟管</w:t>
            </w: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07F01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59</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4DA86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r>
      <w:tr w14:paraId="29A0F4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7BBB9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M02</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8C32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后倾风柜</w:t>
            </w: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50BA6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F3DD6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14:paraId="098DD5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CA8C3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M03</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B3F32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低空油烟净化器</w:t>
            </w: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BBDFF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5B3AA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14:paraId="3503F3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FD631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M04</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AEDA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抽风柜支架</w:t>
            </w: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C6035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57377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72EA92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84D19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M05</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71969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油烟净化器支架</w:t>
            </w: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1E383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B96DF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0CB922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4B905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M06</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09BD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减震器</w:t>
            </w: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B44F8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E0D0E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5B1237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CAD5D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M07</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13E25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变频控制箱</w:t>
            </w: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2B159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8C2D6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44F71A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92214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M08</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F8F6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软连接</w:t>
            </w: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2464F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DA747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14AD71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22CD3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M09</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5B65D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不锈钢百叶窗</w:t>
            </w: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25143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DAF71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014A64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0DC04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M10</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997A2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蜗牛风机</w:t>
            </w: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67CCB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B288A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6776AB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F5F87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M11</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3A8AF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蜗牛风机支架</w:t>
            </w: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6B3E1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B80CB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39B4D0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DF2FB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M12</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5FE0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蜗牛风机控制箱</w:t>
            </w: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7734A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248E8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128006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C5EDA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BF20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自助取餐台</w:t>
            </w: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FB028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4480D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组</w:t>
            </w:r>
          </w:p>
        </w:tc>
      </w:tr>
      <w:tr w14:paraId="0AAE75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1427B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A1DB8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自助餐炉</w:t>
            </w: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93B08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650AE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7E10DD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114CC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D77E2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汤粥炉</w:t>
            </w: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5ADE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41189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1E4C8B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34695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24325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四人餐桌椅</w:t>
            </w: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4FD2C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1DAD9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1A22A0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C1002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D865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8人不锈钢餐桌椅一体</w:t>
            </w: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D6AF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39</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B3736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4019A1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28C87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49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D3CD8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保温送餐桶</w:t>
            </w: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C546D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150</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2F422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14:paraId="4D0C42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873DA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49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B4429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打菜勺</w:t>
            </w: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AE43C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150</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9DEF9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把</w:t>
            </w:r>
          </w:p>
        </w:tc>
      </w:tr>
      <w:tr w14:paraId="0B8B1C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0F0DE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49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B0174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灭蝇灯</w:t>
            </w: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D6B81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802F0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14:paraId="228A48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C33D1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49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4703E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消毒灯</w:t>
            </w: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6EB98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D943E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14:paraId="319EE2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A1CB6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49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51E8D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风幕机</w:t>
            </w: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E0D7E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5DDA0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14:paraId="545540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DF19D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49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2A211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风幕机</w:t>
            </w: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74E3B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AC746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14:paraId="10C782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0AFE6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49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D0D24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加厚无磁不锈钢汤桶</w:t>
            </w: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4BE68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6F271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3E9DF4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F014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49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D116D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加厚无磁不锈钢汤桶</w:t>
            </w: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C2A40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DABFA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206EF7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41FBD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49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4F940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加厚无磁不锈钢汤桶</w:t>
            </w: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979CB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D3927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3EE8DB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1517B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49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3AFA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大锅铲</w:t>
            </w: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14B47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4C29D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把</w:t>
            </w:r>
          </w:p>
        </w:tc>
      </w:tr>
      <w:tr w14:paraId="554CC1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5FA93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49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68E42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鹰咀炒勺</w:t>
            </w: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D6FB7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AAE94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把</w:t>
            </w:r>
          </w:p>
        </w:tc>
      </w:tr>
      <w:tr w14:paraId="6D2930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85751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9EA2E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加厚加长打菜勺</w:t>
            </w: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BD85B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10D24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把</w:t>
            </w:r>
          </w:p>
        </w:tc>
      </w:tr>
      <w:tr w14:paraId="146843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34A93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9457A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全柄钢漏壳</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416E3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54ED6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把</w:t>
            </w:r>
          </w:p>
        </w:tc>
      </w:tr>
      <w:tr w14:paraId="552F40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0FA2A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1AD0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不锈钢油格</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DA39E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0CE31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把</w:t>
            </w:r>
          </w:p>
        </w:tc>
      </w:tr>
      <w:tr w14:paraId="6C8F03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E4888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24FAB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油盆</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6B904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41077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302492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21EAF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110A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味盅</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47583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2DA5E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0DBA8E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7702D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DA57F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味盅</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AA295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1A677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752B17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4E9D1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252E4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味盅</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205EC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F686D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69FB15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DCAF3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ACAE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厨师刀</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2A92A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F37DB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把</w:t>
            </w:r>
          </w:p>
        </w:tc>
      </w:tr>
      <w:tr w14:paraId="08CB25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56BD9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01D1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厨师刀</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B10CA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E7453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把</w:t>
            </w:r>
          </w:p>
        </w:tc>
      </w:tr>
      <w:tr w14:paraId="135DD4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DE3FC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D20E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砍刀</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CBB59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5338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把</w:t>
            </w:r>
          </w:p>
        </w:tc>
      </w:tr>
      <w:tr w14:paraId="7133BE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09F4F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3ACC2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圆砧板</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09FF3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34D21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块</w:t>
            </w:r>
          </w:p>
        </w:tc>
      </w:tr>
      <w:tr w14:paraId="42CF6B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FF60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E4C8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方砧板</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EA532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5C330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块</w:t>
            </w:r>
          </w:p>
        </w:tc>
      </w:tr>
      <w:tr w14:paraId="0049B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6598E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29</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D9F2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港式腰斗</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73E18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025CE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6C527D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649EB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E75A7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码斗</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7329F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A0B5D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12208F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96383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31</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DBC02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码斗</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ADE4C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E54E4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12EAF6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47B54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262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不锈钢盆</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2BDDE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52316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4E7646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4E14D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33</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7CC14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不锈钢盆</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D80A0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B2365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22B278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E7E47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34</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F742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不锈钢盆</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B6C8D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F2D47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369AC6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6A1FA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E860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不锈钢盆</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26511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9CA68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19FDF0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581EC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36</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E798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1/1GN盆连盖</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8C202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55158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18EB0D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4C7FA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37</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137D0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不锈钢方盘</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7A9F5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C4802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716484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1309F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38</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2908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带扣保鲜盒</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EB8BA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1CBA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40535C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CD0A7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39</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5A3F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带扣保鲜盒</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7D617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621E1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7784CF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1691D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EBA6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带扣保鲜盒</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CD2F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51A23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090999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82AEB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41</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16C2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留样盒</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93EF3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BA8FA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29D482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7CDB5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42</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E11A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周转筐</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54869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71CF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5CE4EA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1EE43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43</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7B57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菜筐（蓝色）</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7E81F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33088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7C509F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16514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44</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11E2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菜筐（蓝色）</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3E8D5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23537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664A6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A093A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45</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9F9C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菜筐（蓝色）</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3FF0D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49CA9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065B76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6A4B1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46</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34E56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菜筐（白色）</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87AC2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B7BE2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351304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9FDC1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47</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43A4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菜筐（白色）</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22ACD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297B3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5D8F1F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2441C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48</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CBB44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菜筐（白色）</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2A52F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E030D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5A2942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B54C7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49</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CA6C7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菜筐（红色）</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8C15E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E5D56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42C32B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918E9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C1F7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菜筐（红色）</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E49D1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26733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2FD06C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FBBB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51</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5C115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菜筐（红色）</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A5831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55538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1D5BB8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7B545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52</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5F6FA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带轮垃圾桶</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888B4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E963E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380A39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44DCE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53</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02219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带轮垃圾桶</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C8DDE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AA6C3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68D761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41E1E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54</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CF10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不锈钢汤碗</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8696B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300</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D3178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0C7ED7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5DCF5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55</w:t>
            </w:r>
          </w:p>
        </w:tc>
        <w:tc>
          <w:tcPr>
            <w:tcW w:w="4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74A8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不锈钢面碗</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0465F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300</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650FE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497D44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8928" w:type="dxa"/>
            <w:gridSpan w:val="4"/>
            <w:tcBorders>
              <w:top w:val="single" w:color="000000" w:sz="4" w:space="0"/>
              <w:left w:val="single" w:color="000000" w:sz="4" w:space="0"/>
              <w:bottom w:val="single" w:color="000000" w:sz="4" w:space="0"/>
              <w:right w:val="single" w:color="000000" w:sz="4" w:space="0"/>
            </w:tcBorders>
            <w:shd w:val="clear" w:color="auto" w:fill="FFFF00"/>
            <w:vAlign w:val="center"/>
          </w:tcPr>
          <w:p w14:paraId="6E54ACA3">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科技教室</w:t>
            </w:r>
          </w:p>
        </w:tc>
      </w:tr>
      <w:tr w14:paraId="01029A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8492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A5F33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创意智造基础课程学习套装（初级）</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9EB35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5E9B8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r>
      <w:tr w14:paraId="79B92F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F4B5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6555B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《创意智造基础课程》（初级）学习手册</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939AF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49</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B5B75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本</w:t>
            </w:r>
          </w:p>
        </w:tc>
      </w:tr>
      <w:tr w14:paraId="51F8E3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CABC7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8A58B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创意智造基础课程学习资源（初级）</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B0FB3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D9BB9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r>
      <w:tr w14:paraId="05599F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14046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A5335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图形化编程软件</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607C5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94300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r>
      <w:tr w14:paraId="26FF7C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09CA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5B506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人工智能活动课程学习套装（小学版）</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35B45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DC4B7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r>
      <w:tr w14:paraId="2B381B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2BE0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3F81D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《人工智能实操活动课程》（小学版）学习手册</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5BD17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49</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1DA7A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r>
      <w:tr w14:paraId="4D434F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43228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CA0C6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人工智能实操活动课程（小学版）课程资源</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9D144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68D02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r>
      <w:tr w14:paraId="3E7F39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F441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339C3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人工智能活动课程图形化软件</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6E314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32B94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r>
      <w:tr w14:paraId="7E8B4A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E15F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636B4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AR编程机器人套装</w:t>
            </w:r>
          </w:p>
        </w:tc>
        <w:tc>
          <w:tcPr>
            <w:tcW w:w="17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CB18B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14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6F180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r>
      <w:tr w14:paraId="055366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E52F3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AA060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智能编程机器人套装</w:t>
            </w:r>
          </w:p>
        </w:tc>
        <w:tc>
          <w:tcPr>
            <w:tcW w:w="17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743A2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14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F460A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r>
      <w:tr w14:paraId="24F46D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5C7FF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ABCA9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初级训练无人机学习套装</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B4569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14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BA0F3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r>
      <w:tr w14:paraId="595378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F53E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E1CA0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初级训练无人机配件包</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91179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4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84CAEC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r>
      <w:tr w14:paraId="726675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23C7E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99A15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课程资源</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5BED9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34FC33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r>
      <w:tr w14:paraId="27D767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E69B2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588B8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竞赛无人机学习套装</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8D7C1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AB427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r>
      <w:tr w14:paraId="769BE9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3540B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F1883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竞赛无人机配件包</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87586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6D539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r>
      <w:tr w14:paraId="1F6BE0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1B86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6A038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搬运赛事套装</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20BDF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EC9E1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r>
      <w:tr w14:paraId="5536B4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EDDDE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17</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C7A8E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比赛场地</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A97CC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AD89B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r>
      <w:tr w14:paraId="606708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F778C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04B23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课程资源</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D1C76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6884F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r>
      <w:tr w14:paraId="6B7D9C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C823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FD44F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物联网机器人竞赛套装</w:t>
            </w:r>
          </w:p>
        </w:tc>
        <w:tc>
          <w:tcPr>
            <w:tcW w:w="17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AF9535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4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AE14E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r>
      <w:tr w14:paraId="56DD98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8F98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49369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物联网机器人竞赛场地及道具</w:t>
            </w:r>
          </w:p>
        </w:tc>
        <w:tc>
          <w:tcPr>
            <w:tcW w:w="17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FF335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F196D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r>
      <w:tr w14:paraId="3024A4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4FE6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21</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966F6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物联网机器人课程资源</w:t>
            </w:r>
          </w:p>
        </w:tc>
        <w:tc>
          <w:tcPr>
            <w:tcW w:w="17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A1193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10BA67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r>
      <w:tr w14:paraId="2DD398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CE19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22</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B2F99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物联网竞赛编程软件</w:t>
            </w:r>
          </w:p>
        </w:tc>
        <w:tc>
          <w:tcPr>
            <w:tcW w:w="17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D36E2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E30A0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r>
      <w:tr w14:paraId="78963A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B62A6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23</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5C7FC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智慧城市竞赛套装</w:t>
            </w:r>
          </w:p>
        </w:tc>
        <w:tc>
          <w:tcPr>
            <w:tcW w:w="17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2B8F7F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4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B8A61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r>
      <w:tr w14:paraId="04CF84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D3FD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60BF3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智慧城市竞赛配件包</w:t>
            </w:r>
          </w:p>
        </w:tc>
        <w:tc>
          <w:tcPr>
            <w:tcW w:w="17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E54F6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4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1CDF2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r>
      <w:tr w14:paraId="535C13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4E0F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25</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AC582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智慧城市竞赛场地及道具</w:t>
            </w:r>
          </w:p>
        </w:tc>
        <w:tc>
          <w:tcPr>
            <w:tcW w:w="17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66702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8AAF8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r>
      <w:tr w14:paraId="0B102D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098A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26</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CDE82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创客教育云平台</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EFAFE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CD71A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r>
      <w:tr w14:paraId="2129B5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670D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27</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2E1E7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吊顶</w:t>
            </w:r>
          </w:p>
        </w:tc>
        <w:tc>
          <w:tcPr>
            <w:tcW w:w="17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12F86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110</w:t>
            </w:r>
          </w:p>
        </w:tc>
        <w:tc>
          <w:tcPr>
            <w:tcW w:w="14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F4AD2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r>
      <w:tr w14:paraId="6DE4BD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8158D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28</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88E83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顶面灯具</w:t>
            </w:r>
          </w:p>
        </w:tc>
        <w:tc>
          <w:tcPr>
            <w:tcW w:w="17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C2DD8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AE999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r>
      <w:tr w14:paraId="117C42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CEA41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29</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EEA45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顶面乳胶漆</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FE429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42555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r>
      <w:tr w14:paraId="1C966A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A2028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37FA8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顶面喷乳胶漆</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2876B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17D1B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r>
      <w:tr w14:paraId="19A25A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AC217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31</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D167F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墙面乳胶漆</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92D98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120</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2BCA0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r>
      <w:tr w14:paraId="7F6F01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FD2F0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32</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27426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开关，插座线路布置</w:t>
            </w:r>
          </w:p>
        </w:tc>
        <w:tc>
          <w:tcPr>
            <w:tcW w:w="17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D69181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4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DCBD4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r>
      <w:tr w14:paraId="20811B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4211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33</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EC4D3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筒灯</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861C6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F89BE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r>
      <w:tr w14:paraId="6968B8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B020E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34</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BB746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射灯</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65BA8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EA909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r>
      <w:tr w14:paraId="31FCDE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D63D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35</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F34E6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定制圆型喷绘灯箱</w:t>
            </w:r>
          </w:p>
        </w:tc>
        <w:tc>
          <w:tcPr>
            <w:tcW w:w="17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75562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C9233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079CE6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B8FF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36</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7BE42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线形灯条</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2438C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EEA35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r>
      <w:tr w14:paraId="09E212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229E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37</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EDAA2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灯带</w:t>
            </w:r>
          </w:p>
        </w:tc>
        <w:tc>
          <w:tcPr>
            <w:tcW w:w="17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79C4D7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FC41F7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r>
      <w:tr w14:paraId="1EEAEB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AE857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38</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8644D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面板开关</w:t>
            </w:r>
          </w:p>
        </w:tc>
        <w:tc>
          <w:tcPr>
            <w:tcW w:w="17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AAB98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EB76A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r>
      <w:tr w14:paraId="73403C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529B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39</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257A9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插座开关</w:t>
            </w:r>
          </w:p>
        </w:tc>
        <w:tc>
          <w:tcPr>
            <w:tcW w:w="17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3EFE94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540F6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r>
      <w:tr w14:paraId="680CDA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483F7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40</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1BC24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镂空雕刻字及展板</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F080B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B87BF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r>
      <w:tr w14:paraId="4B8EEE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ED647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41</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79F05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背景墙装饰墙</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EDA84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83441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r>
      <w:tr w14:paraId="3E319E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7927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42</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0A7FC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窗帘</w:t>
            </w:r>
          </w:p>
        </w:tc>
        <w:tc>
          <w:tcPr>
            <w:tcW w:w="17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57E41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C860B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r>
      <w:tr w14:paraId="03421C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8928" w:type="dxa"/>
            <w:gridSpan w:val="4"/>
            <w:tcBorders>
              <w:top w:val="single" w:color="000000" w:sz="4" w:space="0"/>
              <w:left w:val="single" w:color="000000" w:sz="4" w:space="0"/>
              <w:bottom w:val="single" w:color="000000" w:sz="4" w:space="0"/>
              <w:right w:val="single" w:color="000000" w:sz="4" w:space="0"/>
            </w:tcBorders>
            <w:shd w:val="clear" w:color="auto" w:fill="FFFF00"/>
            <w:vAlign w:val="center"/>
          </w:tcPr>
          <w:p w14:paraId="63CCB687">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窗帘</w:t>
            </w:r>
          </w:p>
        </w:tc>
      </w:tr>
      <w:tr w14:paraId="53A693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FCE35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49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80368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窗帘</w:t>
            </w:r>
          </w:p>
        </w:tc>
        <w:tc>
          <w:tcPr>
            <w:tcW w:w="1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4D909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2388</w:t>
            </w:r>
          </w:p>
        </w:tc>
        <w:tc>
          <w:tcPr>
            <w:tcW w:w="14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4EAE7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米</w:t>
            </w:r>
          </w:p>
        </w:tc>
      </w:tr>
    </w:tbl>
    <w:p w14:paraId="6994E04C">
      <w:pPr>
        <w:outlineLvl w:val="9"/>
        <w:rPr>
          <w:rFonts w:hint="default"/>
          <w:lang w:val="en-US" w:eastAsia="zh-CN"/>
        </w:rPr>
      </w:pPr>
    </w:p>
    <w:p w14:paraId="09847C04">
      <w:pPr>
        <w:outlineLvl w:val="9"/>
        <w:rPr>
          <w:rFonts w:hint="eastAsia"/>
          <w:lang w:val="en-US" w:eastAsia="zh-CN"/>
        </w:rPr>
      </w:pPr>
    </w:p>
    <w:p w14:paraId="07013F13">
      <w:pPr>
        <w:outlineLvl w:val="9"/>
        <w:rPr>
          <w:rFonts w:hint="default"/>
          <w:b/>
          <w:bCs/>
          <w:sz w:val="24"/>
          <w:szCs w:val="24"/>
          <w:lang w:val="en-US" w:eastAsia="zh-CN"/>
        </w:rPr>
      </w:pPr>
      <w:r>
        <w:rPr>
          <w:rFonts w:hint="eastAsia"/>
          <w:b/>
          <w:bCs/>
          <w:sz w:val="24"/>
          <w:szCs w:val="24"/>
          <w:lang w:val="en-US" w:eastAsia="zh-CN"/>
        </w:rPr>
        <w:t>二标段：信息化设备2030828.60元</w:t>
      </w:r>
    </w:p>
    <w:tbl>
      <w:tblPr>
        <w:tblStyle w:val="21"/>
        <w:tblW w:w="8934"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56"/>
        <w:gridCol w:w="4849"/>
        <w:gridCol w:w="2214"/>
        <w:gridCol w:w="1415"/>
      </w:tblGrid>
      <w:tr w14:paraId="2894DE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D9E1F4"/>
            <w:vAlign w:val="center"/>
          </w:tcPr>
          <w:p w14:paraId="38E2F865">
            <w:pPr>
              <w:keepNext w:val="0"/>
              <w:keepLines w:val="0"/>
              <w:widowControl/>
              <w:suppressLineNumbers w:val="0"/>
              <w:jc w:val="center"/>
              <w:textAlignment w:val="center"/>
              <w:rPr>
                <w:rFonts w:ascii="方正黑体_GBK" w:hAnsi="方正黑体_GBK" w:eastAsia="方正黑体_GBK" w:cs="方正黑体_GBK"/>
                <w:i w:val="0"/>
                <w:iCs w:val="0"/>
                <w:color w:val="000000"/>
                <w:sz w:val="18"/>
                <w:szCs w:val="18"/>
                <w:u w:val="none"/>
              </w:rPr>
            </w:pPr>
            <w:r>
              <w:rPr>
                <w:rFonts w:hint="default" w:ascii="方正黑体_GBK" w:hAnsi="方正黑体_GBK" w:eastAsia="方正黑体_GBK" w:cs="方正黑体_GBK"/>
                <w:i w:val="0"/>
                <w:iCs w:val="0"/>
                <w:color w:val="000000"/>
                <w:kern w:val="0"/>
                <w:sz w:val="18"/>
                <w:szCs w:val="18"/>
                <w:u w:val="none"/>
                <w:lang w:val="en-US" w:eastAsia="zh-CN" w:bidi="ar"/>
              </w:rPr>
              <w:t>序号</w:t>
            </w:r>
          </w:p>
        </w:tc>
        <w:tc>
          <w:tcPr>
            <w:tcW w:w="4849" w:type="dxa"/>
            <w:tcBorders>
              <w:top w:val="single" w:color="000000" w:sz="4" w:space="0"/>
              <w:left w:val="single" w:color="000000" w:sz="4" w:space="0"/>
              <w:bottom w:val="single" w:color="000000" w:sz="4" w:space="0"/>
              <w:right w:val="single" w:color="000000" w:sz="4" w:space="0"/>
            </w:tcBorders>
            <w:shd w:val="clear" w:color="auto" w:fill="D9E1F4"/>
            <w:vAlign w:val="center"/>
          </w:tcPr>
          <w:p w14:paraId="32D1CBFA">
            <w:pPr>
              <w:keepNext w:val="0"/>
              <w:keepLines w:val="0"/>
              <w:widowControl/>
              <w:suppressLineNumbers w:val="0"/>
              <w:jc w:val="center"/>
              <w:textAlignment w:val="center"/>
              <w:rPr>
                <w:rFonts w:hint="default" w:ascii="方正黑体_GBK" w:hAnsi="方正黑体_GBK" w:eastAsia="方正黑体_GBK" w:cs="方正黑体_GBK"/>
                <w:i w:val="0"/>
                <w:iCs w:val="0"/>
                <w:color w:val="000000"/>
                <w:sz w:val="18"/>
                <w:szCs w:val="18"/>
                <w:u w:val="none"/>
              </w:rPr>
            </w:pPr>
            <w:r>
              <w:rPr>
                <w:rFonts w:hint="default" w:ascii="方正黑体_GBK" w:hAnsi="方正黑体_GBK" w:eastAsia="方正黑体_GBK" w:cs="方正黑体_GBK"/>
                <w:i w:val="0"/>
                <w:iCs w:val="0"/>
                <w:color w:val="000000"/>
                <w:kern w:val="0"/>
                <w:sz w:val="18"/>
                <w:szCs w:val="18"/>
                <w:u w:val="none"/>
                <w:lang w:val="en-US" w:eastAsia="zh-CN" w:bidi="ar"/>
              </w:rPr>
              <w:t>采购货物名称</w:t>
            </w:r>
          </w:p>
        </w:tc>
        <w:tc>
          <w:tcPr>
            <w:tcW w:w="2214" w:type="dxa"/>
            <w:tcBorders>
              <w:top w:val="single" w:color="000000" w:sz="4" w:space="0"/>
              <w:left w:val="single" w:color="000000" w:sz="4" w:space="0"/>
              <w:bottom w:val="single" w:color="000000" w:sz="4" w:space="0"/>
              <w:right w:val="single" w:color="000000" w:sz="4" w:space="0"/>
            </w:tcBorders>
            <w:shd w:val="clear" w:color="auto" w:fill="D9E1F4"/>
            <w:vAlign w:val="center"/>
          </w:tcPr>
          <w:p w14:paraId="49CA8603">
            <w:pPr>
              <w:keepNext w:val="0"/>
              <w:keepLines w:val="0"/>
              <w:widowControl/>
              <w:suppressLineNumbers w:val="0"/>
              <w:jc w:val="center"/>
              <w:textAlignment w:val="center"/>
              <w:rPr>
                <w:rFonts w:hint="default" w:ascii="方正黑体_GBK" w:hAnsi="方正黑体_GBK" w:eastAsia="方正黑体_GBK" w:cs="方正黑体_GBK"/>
                <w:i w:val="0"/>
                <w:iCs w:val="0"/>
                <w:color w:val="000000"/>
                <w:sz w:val="18"/>
                <w:szCs w:val="18"/>
                <w:u w:val="none"/>
              </w:rPr>
            </w:pPr>
            <w:r>
              <w:rPr>
                <w:rFonts w:hint="default" w:ascii="方正黑体_GBK" w:hAnsi="方正黑体_GBK" w:eastAsia="方正黑体_GBK" w:cs="方正黑体_GBK"/>
                <w:i w:val="0"/>
                <w:iCs w:val="0"/>
                <w:color w:val="000000"/>
                <w:kern w:val="0"/>
                <w:sz w:val="18"/>
                <w:szCs w:val="18"/>
                <w:u w:val="none"/>
                <w:lang w:val="en-US" w:eastAsia="zh-CN" w:bidi="ar"/>
              </w:rPr>
              <w:t>数量</w:t>
            </w:r>
          </w:p>
        </w:tc>
        <w:tc>
          <w:tcPr>
            <w:tcW w:w="1415" w:type="dxa"/>
            <w:tcBorders>
              <w:top w:val="single" w:color="000000" w:sz="4" w:space="0"/>
              <w:left w:val="single" w:color="000000" w:sz="4" w:space="0"/>
              <w:bottom w:val="single" w:color="000000" w:sz="4" w:space="0"/>
              <w:right w:val="single" w:color="000000" w:sz="4" w:space="0"/>
            </w:tcBorders>
            <w:shd w:val="clear" w:color="auto" w:fill="D9E1F4"/>
            <w:vAlign w:val="center"/>
          </w:tcPr>
          <w:p w14:paraId="6970307A">
            <w:pPr>
              <w:keepNext w:val="0"/>
              <w:keepLines w:val="0"/>
              <w:widowControl/>
              <w:suppressLineNumbers w:val="0"/>
              <w:jc w:val="center"/>
              <w:textAlignment w:val="center"/>
              <w:rPr>
                <w:rFonts w:hint="default" w:ascii="方正黑体_GBK" w:hAnsi="方正黑体_GBK" w:eastAsia="方正黑体_GBK" w:cs="方正黑体_GBK"/>
                <w:i w:val="0"/>
                <w:iCs w:val="0"/>
                <w:color w:val="000000"/>
                <w:sz w:val="18"/>
                <w:szCs w:val="18"/>
                <w:u w:val="none"/>
              </w:rPr>
            </w:pPr>
            <w:r>
              <w:rPr>
                <w:rFonts w:hint="default" w:ascii="方正黑体_GBK" w:hAnsi="方正黑体_GBK" w:eastAsia="方正黑体_GBK" w:cs="方正黑体_GBK"/>
                <w:i w:val="0"/>
                <w:iCs w:val="0"/>
                <w:color w:val="000000"/>
                <w:kern w:val="0"/>
                <w:sz w:val="18"/>
                <w:szCs w:val="18"/>
                <w:u w:val="none"/>
                <w:lang w:val="en-US" w:eastAsia="zh-CN" w:bidi="ar"/>
              </w:rPr>
              <w:t>单位</w:t>
            </w:r>
          </w:p>
        </w:tc>
      </w:tr>
      <w:tr w14:paraId="56FA1B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8934" w:type="dxa"/>
            <w:gridSpan w:val="4"/>
            <w:tcBorders>
              <w:top w:val="single" w:color="000000" w:sz="4" w:space="0"/>
              <w:left w:val="nil"/>
              <w:bottom w:val="single" w:color="000000" w:sz="4" w:space="0"/>
              <w:right w:val="nil"/>
            </w:tcBorders>
            <w:shd w:val="clear" w:color="auto" w:fill="FFFF00"/>
            <w:vAlign w:val="center"/>
          </w:tcPr>
          <w:p w14:paraId="4C07E2AC">
            <w:pPr>
              <w:keepNext w:val="0"/>
              <w:keepLines w:val="0"/>
              <w:widowControl/>
              <w:suppressLineNumbers w:val="0"/>
              <w:jc w:val="center"/>
              <w:textAlignment w:val="center"/>
              <w:rPr>
                <w:rFonts w:hint="default" w:ascii="方正黑体_GBK" w:hAnsi="方正黑体_GBK" w:eastAsia="方正黑体_GBK" w:cs="方正黑体_GBK"/>
                <w:i w:val="0"/>
                <w:iCs w:val="0"/>
                <w:color w:val="000000"/>
                <w:sz w:val="18"/>
                <w:szCs w:val="18"/>
                <w:u w:val="none"/>
              </w:rPr>
            </w:pPr>
            <w:r>
              <w:rPr>
                <w:rFonts w:hint="default" w:ascii="方正黑体_GBK" w:hAnsi="方正黑体_GBK" w:eastAsia="方正黑体_GBK" w:cs="方正黑体_GBK"/>
                <w:i w:val="0"/>
                <w:iCs w:val="0"/>
                <w:color w:val="000000"/>
                <w:kern w:val="0"/>
                <w:sz w:val="18"/>
                <w:szCs w:val="18"/>
                <w:u w:val="none"/>
                <w:lang w:val="en-US" w:eastAsia="zh-CN" w:bidi="ar"/>
              </w:rPr>
              <w:t>校园网络</w:t>
            </w:r>
          </w:p>
        </w:tc>
      </w:tr>
      <w:tr w14:paraId="35253F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AF072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1D1B9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出口网关</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7A57A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1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8D59D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r>
      <w:tr w14:paraId="1E741A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94B6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67F14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防火墙</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C947A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1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949C1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r>
      <w:tr w14:paraId="780382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9640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EF2C5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核心交换机</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526CD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1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27625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r>
      <w:tr w14:paraId="25FAF0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D9CF9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6FC09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AC控制器</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A9431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1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AD90D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r>
      <w:tr w14:paraId="2DE74D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554D7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C33EA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认证平台</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A32AB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1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344DDB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r>
      <w:tr w14:paraId="70C38F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E4B7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FB677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汇聚交换机</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3A5D7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141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2241C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r>
      <w:tr w14:paraId="7078ED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5688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CDB15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千兆光模块</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B6F48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141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5D0DF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只</w:t>
            </w:r>
          </w:p>
        </w:tc>
      </w:tr>
      <w:tr w14:paraId="22EB2A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0FAA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56034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教室用8口POE交换机</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1274B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47</w:t>
            </w:r>
          </w:p>
        </w:tc>
        <w:tc>
          <w:tcPr>
            <w:tcW w:w="141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D394E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r>
      <w:tr w14:paraId="0E772D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3277A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90E02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AP主机</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578A1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1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64FBC8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r>
      <w:tr w14:paraId="5D28EA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95FE2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A7AB3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光口面板AP</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859A7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141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08F5DF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r>
      <w:tr w14:paraId="74DA92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5792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25195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面板AP</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EEFFA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47</w:t>
            </w:r>
          </w:p>
        </w:tc>
        <w:tc>
          <w:tcPr>
            <w:tcW w:w="141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D47C2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r>
      <w:tr w14:paraId="3B5584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F8887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E339B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放装AP</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7B592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41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1F26D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r>
      <w:tr w14:paraId="7336D7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0CB3D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907EF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千兆光模块</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76852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54</w:t>
            </w:r>
          </w:p>
        </w:tc>
        <w:tc>
          <w:tcPr>
            <w:tcW w:w="141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DB8B6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只</w:t>
            </w:r>
          </w:p>
        </w:tc>
      </w:tr>
      <w:tr w14:paraId="6A16D4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8934" w:type="dxa"/>
            <w:gridSpan w:val="4"/>
            <w:tcBorders>
              <w:top w:val="single" w:color="000000" w:sz="4" w:space="0"/>
              <w:left w:val="nil"/>
              <w:bottom w:val="single" w:color="000000" w:sz="4" w:space="0"/>
              <w:right w:val="nil"/>
            </w:tcBorders>
            <w:shd w:val="clear" w:color="auto" w:fill="FFFF00"/>
            <w:vAlign w:val="center"/>
          </w:tcPr>
          <w:p w14:paraId="43E2E503">
            <w:pPr>
              <w:keepNext w:val="0"/>
              <w:keepLines w:val="0"/>
              <w:widowControl/>
              <w:suppressLineNumbers w:val="0"/>
              <w:jc w:val="center"/>
              <w:textAlignment w:val="center"/>
              <w:rPr>
                <w:rFonts w:hint="default" w:ascii="方正黑体_GBK" w:hAnsi="方正黑体_GBK" w:eastAsia="方正黑体_GBK" w:cs="方正黑体_GBK"/>
                <w:i w:val="0"/>
                <w:iCs w:val="0"/>
                <w:color w:val="000000"/>
                <w:sz w:val="18"/>
                <w:szCs w:val="18"/>
                <w:u w:val="none"/>
              </w:rPr>
            </w:pPr>
            <w:r>
              <w:rPr>
                <w:rFonts w:hint="default" w:ascii="方正黑体_GBK" w:hAnsi="方正黑体_GBK" w:eastAsia="方正黑体_GBK" w:cs="方正黑体_GBK"/>
                <w:i w:val="0"/>
                <w:iCs w:val="0"/>
                <w:color w:val="000000"/>
                <w:kern w:val="0"/>
                <w:sz w:val="18"/>
                <w:szCs w:val="18"/>
                <w:u w:val="none"/>
                <w:lang w:val="en-US" w:eastAsia="zh-CN" w:bidi="ar"/>
              </w:rPr>
              <w:t>综合布线系统</w:t>
            </w:r>
          </w:p>
        </w:tc>
      </w:tr>
      <w:tr w14:paraId="6DF3E0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367F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88F3E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4芯皮线光纤</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A12CA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12000</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4BE28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米</w:t>
            </w:r>
          </w:p>
        </w:tc>
      </w:tr>
      <w:tr w14:paraId="571691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FF5B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50109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熔纤盘</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A78E8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6E543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r>
      <w:tr w14:paraId="22CAD3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ED773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D31CA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144ODF单元箱（满配288芯LC）</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8FF6E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DA455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r>
      <w:tr w14:paraId="3C8C95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78231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A6D84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网络音箱预留信息点</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6ABF2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CDF12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r>
      <w:tr w14:paraId="097F40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A8F4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CA720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六类非屏蔽网线</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20E32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20050</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3A878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r>
      <w:tr w14:paraId="2EEF56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D6DC3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5EAB2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电源线</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CFD72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2F9CB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r>
      <w:tr w14:paraId="5C5790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3801F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9D0A4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电源线</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DD900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1000</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50675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r>
      <w:tr w14:paraId="334095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BCD6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B8662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电源线</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12995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1272</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9561F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r>
      <w:tr w14:paraId="3EC512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5F95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C3D7D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广播信号线</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D5401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1075</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A5D7A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r>
      <w:tr w14:paraId="4D083E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A85A3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58E89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12口光纤配线架（LC）</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0240F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689BB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r>
      <w:tr w14:paraId="62B1AB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19BF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6E7CC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机柜PDU</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8E459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249CE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r>
      <w:tr w14:paraId="1E11F6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7A8B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37988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LC－LC光纤跳线</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76BBC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200</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D9089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对</w:t>
            </w:r>
          </w:p>
        </w:tc>
      </w:tr>
      <w:tr w14:paraId="654B3D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861C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BCBAC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落地网络机柜</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93682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75FE8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r>
      <w:tr w14:paraId="477741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83DF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DE9C4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PVC材料及配件</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12980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F5EFD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r>
      <w:tr w14:paraId="152076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F470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D1E1C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单口信息面板</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53A57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6F4F1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r>
      <w:tr w14:paraId="38174D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BB20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7F97A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六类非屏蔽网络模块</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7CCD7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8775B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r>
      <w:tr w14:paraId="76627B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97953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5DDBC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单口TV面板</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12190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978CD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r>
      <w:tr w14:paraId="763F67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ABF2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78A2D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电源线</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CB61F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90814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r>
      <w:tr w14:paraId="130B47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F261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47A40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电源线</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CBA04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160</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57E2B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r>
      <w:tr w14:paraId="2D0995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569F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422AA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广播信号线</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7D659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175</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10EC3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r>
      <w:tr w14:paraId="133C92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4277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1CFA7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12口光纤配线架（LC）</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9CD00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322DC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r>
      <w:tr w14:paraId="516B77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34FE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16D91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理线器</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8D910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67191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r>
      <w:tr w14:paraId="6A4028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75E2E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1A44B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机柜PDU</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9F8F5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2D8CF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r>
      <w:tr w14:paraId="1FDE73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67CC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E73A9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LC－LC光纤跳线</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E3E89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F1140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对</w:t>
            </w:r>
          </w:p>
        </w:tc>
      </w:tr>
      <w:tr w14:paraId="158252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F8C76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C9F33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落地网络机柜</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8F0FF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0A452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r>
      <w:tr w14:paraId="18DD15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9412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26</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A0486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PVC材料及配件</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B90A9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0EC78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r>
      <w:tr w14:paraId="51B2D0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C661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27</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86CF3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单口信息面板</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04667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78243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r>
      <w:tr w14:paraId="18866C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83312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8DC0E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六类非屏蔽网络模块</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AC6B4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D9AD4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r>
      <w:tr w14:paraId="3C591A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047C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850F3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单口TV面板</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3CEAF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0FF46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r>
      <w:tr w14:paraId="2DBDD7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7931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481E2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电源线</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EBB55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F6DDC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r>
      <w:tr w14:paraId="5FDB5C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47A34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AEE92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电源线</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87017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280</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0EF9A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r>
      <w:tr w14:paraId="3CF408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1B96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D1BFC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电源线</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E46BC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1272</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56C2D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r>
      <w:tr w14:paraId="27178D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ED2FF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02CDC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广播信号线</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AECF1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280</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8DE7B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r>
      <w:tr w14:paraId="728186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D9B9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8539E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电视信号线</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9C7D0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3C203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r>
      <w:tr w14:paraId="608515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9ED3B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B9D1C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六类非屏蔽配线架</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8664E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8F448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r>
      <w:tr w14:paraId="311844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A4CB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36</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F60FF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12口光纤配线架（LC）</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6F7F8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38081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r>
      <w:tr w14:paraId="190338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C619D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37</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23FF8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理线器</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C4137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E8CF1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r>
      <w:tr w14:paraId="174C43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D955A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38</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79D96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机柜PDU</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AEB9B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0F7C9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r>
      <w:tr w14:paraId="38CA84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9D40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39</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31C3F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六类非屏蔽网络跳线（3米）</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58FE5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57272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条</w:t>
            </w:r>
          </w:p>
        </w:tc>
      </w:tr>
      <w:tr w14:paraId="390C52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8529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8EA94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LC－LC光纤跳线</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FA823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CDE8F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对</w:t>
            </w:r>
          </w:p>
        </w:tc>
      </w:tr>
      <w:tr w14:paraId="3F8E05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D1DD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41</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AB241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落地网络机柜</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B2ABD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13F54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r>
      <w:tr w14:paraId="3203DB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4AD1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42</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FBD06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PVC材料及配件</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04D7C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79B34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r>
      <w:tr w14:paraId="1A885C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1B9E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43</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7D516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单口信息面板</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680DB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0F7F6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r>
      <w:tr w14:paraId="3992F2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97C0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44</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30379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六类非屏蔽网络模块</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3643D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446B1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r>
      <w:tr w14:paraId="5279C1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2180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78A2A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电源线</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214CC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7F584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r>
      <w:tr w14:paraId="2DE91F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A66E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46</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EE919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电源线</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45DE5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9C7A6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r>
      <w:tr w14:paraId="4B9E89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A2908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47</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DF349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广播信号线</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F3A29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759EB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r>
      <w:tr w14:paraId="263CBF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BADC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48</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9D628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12口光纤配线架（LC）</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35C2F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CD9E9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r>
      <w:tr w14:paraId="0339E7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5F2B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49</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AC6E3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机柜PDU</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0522A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5B551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r>
      <w:tr w14:paraId="56D50A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B6AF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EC8D1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六类非屏蔽网络跳线（3米）</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E22FF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211</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F7EA1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条</w:t>
            </w:r>
          </w:p>
        </w:tc>
      </w:tr>
      <w:tr w14:paraId="361F1F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15AA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51</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FB9EC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LC－LC光纤跳线</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97AF4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BF250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对</w:t>
            </w:r>
          </w:p>
        </w:tc>
      </w:tr>
      <w:tr w14:paraId="7D64A5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115F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52</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55220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落地网络机柜</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07950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E6D7C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r>
      <w:tr w14:paraId="618779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A5B4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53</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E3F83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PVC材料及配件</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FD980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ADD42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r>
      <w:tr w14:paraId="02B959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70F68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54</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76965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铝合金梯型桥架</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D12DA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78</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A297C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r>
      <w:tr w14:paraId="5F74C2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8996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55</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2AA01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服务器机柜</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A27FC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E8920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r>
      <w:tr w14:paraId="70DBCB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22B3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56</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251AA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96芯ODF架</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958FC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79611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r>
      <w:tr w14:paraId="4898A7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EAE1D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57</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51DB5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机柜PDU</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70691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8113F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r>
      <w:tr w14:paraId="5F0248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34594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58</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1145D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落地室外不锈钢防水机柜</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C167C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BD9F0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r>
      <w:tr w14:paraId="6554C2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BDF8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59</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1B2A4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防水箱</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FC294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1F98C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r>
      <w:tr w14:paraId="75ECB4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A3370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98348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24芯室外光缆</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027E7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600</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9220E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r>
      <w:tr w14:paraId="1EF2C2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79CB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61</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69D31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12芯室外光缆</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461B2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1200</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2DC4D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r>
      <w:tr w14:paraId="4BDF85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067EA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62</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15371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4芯室外光缆</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1AFEC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1200</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139C5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r>
      <w:tr w14:paraId="710347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B1E6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63</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2342E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12口光纤配线架（LC）</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F7508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0789D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r>
      <w:tr w14:paraId="776393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E502E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64</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755CD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4芯光纤终端盒</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F3E58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1782F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r>
      <w:tr w14:paraId="1E5071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D613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65</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21347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电源线</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DAB6E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400</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06DCE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r>
      <w:tr w14:paraId="2BB9B5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1C922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66</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D81E9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电源线</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13961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600</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175BC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r>
      <w:tr w14:paraId="67C612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146F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67</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65D5E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电源线</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CC804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300</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33097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r>
      <w:tr w14:paraId="5EFB38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1775E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68</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29E3D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室外广播线</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AAEEC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1200</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AAE25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r>
      <w:tr w14:paraId="5ACECF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A91F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69</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4EAA5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弱电空井</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38837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0759C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座</w:t>
            </w:r>
          </w:p>
        </w:tc>
      </w:tr>
      <w:tr w14:paraId="192005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57645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70</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AA843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PVC材料及配件</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2932E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A3BCD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r>
      <w:tr w14:paraId="742B3B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54F7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71</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29AB2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系统集成费</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53E4C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F9B20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r>
      <w:tr w14:paraId="15C24C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8934" w:type="dxa"/>
            <w:gridSpan w:val="4"/>
            <w:tcBorders>
              <w:top w:val="single" w:color="000000" w:sz="4" w:space="0"/>
              <w:left w:val="nil"/>
              <w:bottom w:val="single" w:color="000000" w:sz="4" w:space="0"/>
              <w:right w:val="single" w:color="000000" w:sz="4" w:space="0"/>
            </w:tcBorders>
            <w:shd w:val="clear" w:color="auto" w:fill="FFFF00"/>
            <w:vAlign w:val="center"/>
          </w:tcPr>
          <w:p w14:paraId="4BDC0E0C">
            <w:pPr>
              <w:keepNext w:val="0"/>
              <w:keepLines w:val="0"/>
              <w:widowControl/>
              <w:suppressLineNumbers w:val="0"/>
              <w:jc w:val="center"/>
              <w:textAlignment w:val="center"/>
              <w:rPr>
                <w:rFonts w:hint="default" w:ascii="方正黑体_GBK" w:hAnsi="方正黑体_GBK" w:eastAsia="方正黑体_GBK" w:cs="方正黑体_GBK"/>
                <w:i w:val="0"/>
                <w:iCs w:val="0"/>
                <w:color w:val="000000"/>
                <w:sz w:val="18"/>
                <w:szCs w:val="18"/>
                <w:u w:val="none"/>
              </w:rPr>
            </w:pPr>
            <w:r>
              <w:rPr>
                <w:rFonts w:hint="default" w:ascii="方正黑体_GBK" w:hAnsi="方正黑体_GBK" w:eastAsia="方正黑体_GBK" w:cs="方正黑体_GBK"/>
                <w:i w:val="0"/>
                <w:iCs w:val="0"/>
                <w:color w:val="000000"/>
                <w:kern w:val="0"/>
                <w:sz w:val="18"/>
                <w:szCs w:val="18"/>
                <w:u w:val="none"/>
                <w:lang w:val="en-US" w:eastAsia="zh-CN" w:bidi="ar"/>
              </w:rPr>
              <w:t>校园监控</w:t>
            </w:r>
          </w:p>
        </w:tc>
      </w:tr>
      <w:tr w14:paraId="3B6761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nil"/>
              <w:left w:val="single" w:color="000000" w:sz="4" w:space="0"/>
              <w:bottom w:val="single" w:color="000000" w:sz="4" w:space="0"/>
              <w:right w:val="single" w:color="000000" w:sz="4" w:space="0"/>
            </w:tcBorders>
            <w:shd w:val="clear" w:color="auto" w:fill="auto"/>
            <w:vAlign w:val="center"/>
          </w:tcPr>
          <w:p w14:paraId="3C15A49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4849" w:type="dxa"/>
            <w:tcBorders>
              <w:top w:val="nil"/>
              <w:left w:val="single" w:color="000000" w:sz="4" w:space="0"/>
              <w:bottom w:val="single" w:color="000000" w:sz="4" w:space="0"/>
              <w:right w:val="single" w:color="000000" w:sz="4" w:space="0"/>
            </w:tcBorders>
            <w:shd w:val="clear" w:color="auto" w:fill="FFFFFF"/>
            <w:vAlign w:val="center"/>
          </w:tcPr>
          <w:p w14:paraId="41AC8FC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400万全彩半球</w:t>
            </w:r>
          </w:p>
        </w:tc>
        <w:tc>
          <w:tcPr>
            <w:tcW w:w="2214" w:type="dxa"/>
            <w:tcBorders>
              <w:top w:val="nil"/>
              <w:left w:val="single" w:color="000000" w:sz="4" w:space="0"/>
              <w:bottom w:val="single" w:color="000000" w:sz="4" w:space="0"/>
              <w:right w:val="single" w:color="000000" w:sz="4" w:space="0"/>
            </w:tcBorders>
            <w:shd w:val="clear" w:color="auto" w:fill="FFFFFF"/>
            <w:vAlign w:val="center"/>
          </w:tcPr>
          <w:p w14:paraId="1C9A485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106</w:t>
            </w:r>
          </w:p>
        </w:tc>
        <w:tc>
          <w:tcPr>
            <w:tcW w:w="1415" w:type="dxa"/>
            <w:tcBorders>
              <w:top w:val="nil"/>
              <w:left w:val="single" w:color="000000" w:sz="4" w:space="0"/>
              <w:bottom w:val="single" w:color="000000" w:sz="4" w:space="0"/>
              <w:right w:val="single" w:color="000000" w:sz="4" w:space="0"/>
            </w:tcBorders>
            <w:shd w:val="clear" w:color="auto" w:fill="FFFFFF"/>
            <w:vAlign w:val="center"/>
          </w:tcPr>
          <w:p w14:paraId="123D234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r>
      <w:tr w14:paraId="2EEA20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nil"/>
              <w:left w:val="single" w:color="000000" w:sz="4" w:space="0"/>
              <w:bottom w:val="single" w:color="000000" w:sz="4" w:space="0"/>
              <w:right w:val="single" w:color="000000" w:sz="4" w:space="0"/>
            </w:tcBorders>
            <w:shd w:val="clear" w:color="auto" w:fill="auto"/>
            <w:vAlign w:val="center"/>
          </w:tcPr>
          <w:p w14:paraId="3AAA8C0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510F8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400万全彩半球</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F4495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C5794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r>
      <w:tr w14:paraId="6FA2A9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456" w:type="dxa"/>
            <w:tcBorders>
              <w:top w:val="nil"/>
              <w:left w:val="single" w:color="000000" w:sz="4" w:space="0"/>
              <w:bottom w:val="single" w:color="000000" w:sz="4" w:space="0"/>
              <w:right w:val="single" w:color="000000" w:sz="4" w:space="0"/>
            </w:tcBorders>
            <w:shd w:val="clear" w:color="auto" w:fill="auto"/>
            <w:vAlign w:val="center"/>
          </w:tcPr>
          <w:p w14:paraId="0335C8E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7094B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400枪球球机</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D78BB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153C3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r>
      <w:tr w14:paraId="12953B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nil"/>
              <w:left w:val="single" w:color="000000" w:sz="4" w:space="0"/>
              <w:bottom w:val="single" w:color="000000" w:sz="4" w:space="0"/>
              <w:right w:val="single" w:color="000000" w:sz="4" w:space="0"/>
            </w:tcBorders>
            <w:shd w:val="clear" w:color="auto" w:fill="auto"/>
            <w:vAlign w:val="center"/>
          </w:tcPr>
          <w:p w14:paraId="3C57905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D3E8A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400万全彩半球</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169C6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36</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BD66E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r>
      <w:tr w14:paraId="3F8B2C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nil"/>
              <w:left w:val="single" w:color="000000" w:sz="4" w:space="0"/>
              <w:bottom w:val="single" w:color="000000" w:sz="4" w:space="0"/>
              <w:right w:val="single" w:color="000000" w:sz="4" w:space="0"/>
            </w:tcBorders>
            <w:shd w:val="clear" w:color="auto" w:fill="auto"/>
            <w:vAlign w:val="center"/>
          </w:tcPr>
          <w:p w14:paraId="3456DC0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AA3E4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600万全彩枪机</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F0A1F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9A0A1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r>
      <w:tr w14:paraId="7531F9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nil"/>
              <w:left w:val="single" w:color="000000" w:sz="4" w:space="0"/>
              <w:bottom w:val="single" w:color="000000" w:sz="4" w:space="0"/>
              <w:right w:val="single" w:color="000000" w:sz="4" w:space="0"/>
            </w:tcBorders>
            <w:shd w:val="clear" w:color="auto" w:fill="auto"/>
            <w:vAlign w:val="center"/>
          </w:tcPr>
          <w:p w14:paraId="062242B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4C4FC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视频存储</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EFAAD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376F9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r>
      <w:tr w14:paraId="0208DB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nil"/>
              <w:left w:val="single" w:color="000000" w:sz="4" w:space="0"/>
              <w:bottom w:val="single" w:color="000000" w:sz="4" w:space="0"/>
              <w:right w:val="single" w:color="000000" w:sz="4" w:space="0"/>
            </w:tcBorders>
            <w:shd w:val="clear" w:color="auto" w:fill="auto"/>
            <w:vAlign w:val="center"/>
          </w:tcPr>
          <w:p w14:paraId="44F247C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D84BE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LCD</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967D4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544B3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r>
      <w:tr w14:paraId="39F055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nil"/>
              <w:left w:val="single" w:color="000000" w:sz="4" w:space="0"/>
              <w:bottom w:val="single" w:color="000000" w:sz="4" w:space="0"/>
              <w:right w:val="single" w:color="000000" w:sz="4" w:space="0"/>
            </w:tcBorders>
            <w:shd w:val="clear" w:color="auto" w:fill="auto"/>
            <w:vAlign w:val="center"/>
          </w:tcPr>
          <w:p w14:paraId="7F4B33F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89F6A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支架</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40FBB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BAAA0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r>
      <w:tr w14:paraId="5B7D29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nil"/>
              <w:left w:val="single" w:color="000000" w:sz="4" w:space="0"/>
              <w:bottom w:val="single" w:color="000000" w:sz="4" w:space="0"/>
              <w:right w:val="single" w:color="000000" w:sz="4" w:space="0"/>
            </w:tcBorders>
            <w:shd w:val="clear" w:color="auto" w:fill="auto"/>
            <w:vAlign w:val="center"/>
          </w:tcPr>
          <w:p w14:paraId="1EA4C86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FF537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解码器</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3141F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45763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r>
      <w:tr w14:paraId="641A4D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nil"/>
              <w:left w:val="single" w:color="000000" w:sz="4" w:space="0"/>
              <w:bottom w:val="single" w:color="000000" w:sz="4" w:space="0"/>
              <w:right w:val="single" w:color="000000" w:sz="4" w:space="0"/>
            </w:tcBorders>
            <w:shd w:val="clear" w:color="auto" w:fill="auto"/>
            <w:vAlign w:val="center"/>
          </w:tcPr>
          <w:p w14:paraId="2069534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7CBE1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安防电脑</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E4C64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743F8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r>
      <w:tr w14:paraId="081653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nil"/>
              <w:left w:val="single" w:color="000000" w:sz="4" w:space="0"/>
              <w:bottom w:val="single" w:color="000000" w:sz="4" w:space="0"/>
              <w:right w:val="single" w:color="000000" w:sz="4" w:space="0"/>
            </w:tcBorders>
            <w:shd w:val="clear" w:color="auto" w:fill="auto"/>
            <w:vAlign w:val="center"/>
          </w:tcPr>
          <w:p w14:paraId="060C1E4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EDAE7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轻量化平台</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A581D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64950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r>
      <w:tr w14:paraId="083567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nil"/>
              <w:left w:val="single" w:color="000000" w:sz="4" w:space="0"/>
              <w:bottom w:val="single" w:color="000000" w:sz="4" w:space="0"/>
              <w:right w:val="single" w:color="000000" w:sz="4" w:space="0"/>
            </w:tcBorders>
            <w:shd w:val="clear" w:color="auto" w:fill="auto"/>
            <w:vAlign w:val="center"/>
          </w:tcPr>
          <w:p w14:paraId="0C052A5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8B4A4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操作台</w:t>
            </w:r>
          </w:p>
        </w:tc>
        <w:tc>
          <w:tcPr>
            <w:tcW w:w="221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22A51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8B1CD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r>
      <w:tr w14:paraId="4F73CE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nil"/>
              <w:left w:val="single" w:color="000000" w:sz="4" w:space="0"/>
              <w:bottom w:val="single" w:color="000000" w:sz="4" w:space="0"/>
              <w:right w:val="single" w:color="000000" w:sz="4" w:space="0"/>
            </w:tcBorders>
            <w:shd w:val="clear" w:color="auto" w:fill="auto"/>
            <w:vAlign w:val="center"/>
          </w:tcPr>
          <w:p w14:paraId="6498201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B1951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24口接入交换机</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0A248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5FCB4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r>
      <w:tr w14:paraId="0C9235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456" w:type="dxa"/>
            <w:tcBorders>
              <w:top w:val="nil"/>
              <w:left w:val="single" w:color="000000" w:sz="4" w:space="0"/>
              <w:bottom w:val="single" w:color="000000" w:sz="4" w:space="0"/>
              <w:right w:val="single" w:color="000000" w:sz="4" w:space="0"/>
            </w:tcBorders>
            <w:shd w:val="clear" w:color="auto" w:fill="auto"/>
            <w:vAlign w:val="center"/>
          </w:tcPr>
          <w:p w14:paraId="59EA936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8B99A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光模块</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FAAA5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57CD4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r>
      <w:tr w14:paraId="4C6602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nil"/>
              <w:left w:val="single" w:color="000000" w:sz="4" w:space="0"/>
              <w:bottom w:val="single" w:color="000000" w:sz="4" w:space="0"/>
              <w:right w:val="single" w:color="000000" w:sz="4" w:space="0"/>
            </w:tcBorders>
            <w:shd w:val="clear" w:color="auto" w:fill="auto"/>
            <w:vAlign w:val="center"/>
          </w:tcPr>
          <w:p w14:paraId="580465C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7F5A3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机柜</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658D2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C2C1C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r>
      <w:tr w14:paraId="27E2EF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nil"/>
              <w:left w:val="single" w:color="000000" w:sz="4" w:space="0"/>
              <w:bottom w:val="single" w:color="000000" w:sz="4" w:space="0"/>
              <w:right w:val="single" w:color="000000" w:sz="4" w:space="0"/>
            </w:tcBorders>
            <w:shd w:val="clear" w:color="auto" w:fill="auto"/>
            <w:vAlign w:val="center"/>
          </w:tcPr>
          <w:p w14:paraId="1C5D9C3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81AB5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防雷排插</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710D6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34EC5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r>
      <w:tr w14:paraId="14DBD0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nil"/>
              <w:left w:val="single" w:color="000000" w:sz="4" w:space="0"/>
              <w:bottom w:val="single" w:color="000000" w:sz="4" w:space="0"/>
              <w:right w:val="single" w:color="000000" w:sz="4" w:space="0"/>
            </w:tcBorders>
            <w:shd w:val="clear" w:color="auto" w:fill="auto"/>
            <w:vAlign w:val="center"/>
          </w:tcPr>
          <w:p w14:paraId="6477C5F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14E66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配电柜</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D3B47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CD3F3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r>
      <w:tr w14:paraId="701A32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nil"/>
              <w:left w:val="single" w:color="000000" w:sz="4" w:space="0"/>
              <w:bottom w:val="single" w:color="000000" w:sz="4" w:space="0"/>
              <w:right w:val="single" w:color="000000" w:sz="4" w:space="0"/>
            </w:tcBorders>
            <w:shd w:val="clear" w:color="auto" w:fill="auto"/>
            <w:vAlign w:val="center"/>
          </w:tcPr>
          <w:p w14:paraId="428A219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71240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防水盒</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C3112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9866E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r>
      <w:tr w14:paraId="1FA714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nil"/>
              <w:left w:val="single" w:color="000000" w:sz="4" w:space="0"/>
              <w:bottom w:val="single" w:color="000000" w:sz="4" w:space="0"/>
              <w:right w:val="single" w:color="000000" w:sz="4" w:space="0"/>
            </w:tcBorders>
            <w:shd w:val="clear" w:color="auto" w:fill="auto"/>
            <w:vAlign w:val="center"/>
          </w:tcPr>
          <w:p w14:paraId="57965A6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F88D3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墙柜</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4B00F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0301D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r>
      <w:tr w14:paraId="7D9CFA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nil"/>
              <w:left w:val="single" w:color="000000" w:sz="4" w:space="0"/>
              <w:bottom w:val="single" w:color="000000" w:sz="4" w:space="0"/>
              <w:right w:val="single" w:color="000000" w:sz="4" w:space="0"/>
            </w:tcBorders>
            <w:shd w:val="clear" w:color="auto" w:fill="auto"/>
            <w:vAlign w:val="center"/>
          </w:tcPr>
          <w:p w14:paraId="01D8258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EB825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辅助材料及调试</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40F3A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A802C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批</w:t>
            </w:r>
          </w:p>
        </w:tc>
      </w:tr>
      <w:tr w14:paraId="69B987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nil"/>
              <w:left w:val="single" w:color="000000" w:sz="4" w:space="0"/>
              <w:bottom w:val="single" w:color="000000" w:sz="4" w:space="0"/>
              <w:right w:val="single" w:color="000000" w:sz="4" w:space="0"/>
            </w:tcBorders>
            <w:shd w:val="clear" w:color="auto" w:fill="auto"/>
            <w:vAlign w:val="center"/>
          </w:tcPr>
          <w:p w14:paraId="34A8E43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C12FD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集成安装</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79F55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47B50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r>
      <w:tr w14:paraId="001170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8934" w:type="dxa"/>
            <w:gridSpan w:val="4"/>
            <w:tcBorders>
              <w:top w:val="single" w:color="000000" w:sz="4" w:space="0"/>
              <w:left w:val="nil"/>
              <w:bottom w:val="single" w:color="000000" w:sz="4" w:space="0"/>
              <w:right w:val="single" w:color="000000" w:sz="4" w:space="0"/>
            </w:tcBorders>
            <w:shd w:val="clear" w:color="auto" w:fill="FFFF00"/>
            <w:vAlign w:val="center"/>
          </w:tcPr>
          <w:p w14:paraId="2D6BEBC2">
            <w:pPr>
              <w:keepNext w:val="0"/>
              <w:keepLines w:val="0"/>
              <w:widowControl/>
              <w:suppressLineNumbers w:val="0"/>
              <w:jc w:val="center"/>
              <w:textAlignment w:val="center"/>
              <w:rPr>
                <w:rFonts w:hint="default" w:ascii="方正黑体_GBK" w:hAnsi="方正黑体_GBK" w:eastAsia="方正黑体_GBK" w:cs="方正黑体_GBK"/>
                <w:i w:val="0"/>
                <w:iCs w:val="0"/>
                <w:color w:val="000000"/>
                <w:sz w:val="18"/>
                <w:szCs w:val="18"/>
                <w:u w:val="none"/>
              </w:rPr>
            </w:pPr>
            <w:r>
              <w:rPr>
                <w:rFonts w:hint="default" w:ascii="方正黑体_GBK" w:hAnsi="方正黑体_GBK" w:eastAsia="方正黑体_GBK" w:cs="方正黑体_GBK"/>
                <w:i w:val="0"/>
                <w:iCs w:val="0"/>
                <w:color w:val="000000"/>
                <w:kern w:val="0"/>
                <w:sz w:val="18"/>
                <w:szCs w:val="18"/>
                <w:u w:val="none"/>
                <w:lang w:val="en-US" w:eastAsia="zh-CN" w:bidi="ar"/>
              </w:rPr>
              <w:t>校园广播</w:t>
            </w:r>
          </w:p>
        </w:tc>
      </w:tr>
      <w:tr w14:paraId="3F76D4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EA302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27D6A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广播一体机</w:t>
            </w:r>
          </w:p>
        </w:tc>
        <w:tc>
          <w:tcPr>
            <w:tcW w:w="221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EEFF1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1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B12B9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r>
      <w:tr w14:paraId="2DB62C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9095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60932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电脑</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23A04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42492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r>
      <w:tr w14:paraId="06F3AC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D7BFA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04A88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网络寻呼话筒</w:t>
            </w:r>
          </w:p>
        </w:tc>
        <w:tc>
          <w:tcPr>
            <w:tcW w:w="221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A47E2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1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77E05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r>
      <w:tr w14:paraId="3341D0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B33DC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66D79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数字调谐器</w:t>
            </w:r>
          </w:p>
        </w:tc>
        <w:tc>
          <w:tcPr>
            <w:tcW w:w="221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CCD13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1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E1C1DB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r>
      <w:tr w14:paraId="2E9153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3CF7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AFCEB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DVD播放器</w:t>
            </w:r>
          </w:p>
        </w:tc>
        <w:tc>
          <w:tcPr>
            <w:tcW w:w="221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A5D7B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1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A572D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r>
      <w:tr w14:paraId="00B79C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5F1E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BCBE4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广播话筒</w:t>
            </w:r>
          </w:p>
        </w:tc>
        <w:tc>
          <w:tcPr>
            <w:tcW w:w="221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40709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1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04547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只</w:t>
            </w:r>
          </w:p>
        </w:tc>
      </w:tr>
      <w:tr w14:paraId="480C37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473A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3E691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前置放大器</w:t>
            </w:r>
          </w:p>
        </w:tc>
        <w:tc>
          <w:tcPr>
            <w:tcW w:w="221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BC63C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41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D36140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r>
      <w:tr w14:paraId="16A95F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200D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136EB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网络音频采集器</w:t>
            </w:r>
          </w:p>
        </w:tc>
        <w:tc>
          <w:tcPr>
            <w:tcW w:w="221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1E673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1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1EA7B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r>
      <w:tr w14:paraId="081388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FC8C1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891C2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电源控制器</w:t>
            </w:r>
          </w:p>
        </w:tc>
        <w:tc>
          <w:tcPr>
            <w:tcW w:w="221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7E420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41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D0970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r>
      <w:tr w14:paraId="4C057B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2525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728BD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网络消防矩阵</w:t>
            </w:r>
          </w:p>
        </w:tc>
        <w:tc>
          <w:tcPr>
            <w:tcW w:w="221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D556E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1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AF943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r>
      <w:tr w14:paraId="4841BD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C6BC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34BFF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校时模块</w:t>
            </w:r>
          </w:p>
        </w:tc>
        <w:tc>
          <w:tcPr>
            <w:tcW w:w="221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2DB52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1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9C0EAE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r>
      <w:tr w14:paraId="594A05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9337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2A536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监听音箱</w:t>
            </w:r>
          </w:p>
        </w:tc>
        <w:tc>
          <w:tcPr>
            <w:tcW w:w="221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7EC366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1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49AA8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r>
      <w:tr w14:paraId="393B4B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884F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24EAE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24口接入交换机</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5F267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5E1D5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r>
      <w:tr w14:paraId="570FDE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ADAB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DA51C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机柜</w:t>
            </w:r>
          </w:p>
        </w:tc>
        <w:tc>
          <w:tcPr>
            <w:tcW w:w="221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DC454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41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5BFA1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r>
      <w:tr w14:paraId="366CCE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2A59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99A47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IP网络主音箱</w:t>
            </w:r>
          </w:p>
        </w:tc>
        <w:tc>
          <w:tcPr>
            <w:tcW w:w="221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555ED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44</w:t>
            </w:r>
          </w:p>
        </w:tc>
        <w:tc>
          <w:tcPr>
            <w:tcW w:w="141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5046E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r>
      <w:tr w14:paraId="4166EF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7EEE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36A1D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IP网络副音箱</w:t>
            </w:r>
          </w:p>
        </w:tc>
        <w:tc>
          <w:tcPr>
            <w:tcW w:w="221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17AC9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44</w:t>
            </w:r>
          </w:p>
        </w:tc>
        <w:tc>
          <w:tcPr>
            <w:tcW w:w="141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2E00F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r>
      <w:tr w14:paraId="4B4FF3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D1A4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17</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F3797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网络功放</w:t>
            </w:r>
          </w:p>
        </w:tc>
        <w:tc>
          <w:tcPr>
            <w:tcW w:w="221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C5768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141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F92B71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r>
      <w:tr w14:paraId="355396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F0A5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8988C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壁挂音箱</w:t>
            </w:r>
          </w:p>
        </w:tc>
        <w:tc>
          <w:tcPr>
            <w:tcW w:w="221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5D092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72</w:t>
            </w:r>
          </w:p>
        </w:tc>
        <w:tc>
          <w:tcPr>
            <w:tcW w:w="141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72B869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r>
      <w:tr w14:paraId="6A5211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3B2D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96364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网络音柱</w:t>
            </w:r>
          </w:p>
        </w:tc>
        <w:tc>
          <w:tcPr>
            <w:tcW w:w="221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13B96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w:t>
            </w:r>
          </w:p>
        </w:tc>
        <w:tc>
          <w:tcPr>
            <w:tcW w:w="141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7B9D8E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只</w:t>
            </w:r>
          </w:p>
        </w:tc>
      </w:tr>
      <w:tr w14:paraId="421AA8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96A0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57C6D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纯后级功放</w:t>
            </w:r>
          </w:p>
        </w:tc>
        <w:tc>
          <w:tcPr>
            <w:tcW w:w="221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C2383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41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43E26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r>
      <w:tr w14:paraId="078AFC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02E43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21</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86A46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前置放大器</w:t>
            </w:r>
          </w:p>
        </w:tc>
        <w:tc>
          <w:tcPr>
            <w:tcW w:w="221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8D6919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41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2F291D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r>
      <w:tr w14:paraId="451664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CE79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22</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C5E9A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网络解码终端</w:t>
            </w:r>
          </w:p>
        </w:tc>
        <w:tc>
          <w:tcPr>
            <w:tcW w:w="221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23173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41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A2FD8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r>
      <w:tr w14:paraId="1E01A3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E12BD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23</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4D7F6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室外防水音柱</w:t>
            </w:r>
          </w:p>
        </w:tc>
        <w:tc>
          <w:tcPr>
            <w:tcW w:w="221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2BC77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141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797602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r>
      <w:tr w14:paraId="27E16C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8B7D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12AAA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电源控制器</w:t>
            </w:r>
          </w:p>
        </w:tc>
        <w:tc>
          <w:tcPr>
            <w:tcW w:w="221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5F60F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1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19929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r>
      <w:tr w14:paraId="7224E3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5B1C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25</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CE842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机柜</w:t>
            </w:r>
          </w:p>
        </w:tc>
        <w:tc>
          <w:tcPr>
            <w:tcW w:w="221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AE49E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1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25299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r>
      <w:tr w14:paraId="1E641A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66DD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26</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ECD27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模拟音柱</w:t>
            </w:r>
          </w:p>
        </w:tc>
        <w:tc>
          <w:tcPr>
            <w:tcW w:w="221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D13D6F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w:t>
            </w:r>
          </w:p>
        </w:tc>
        <w:tc>
          <w:tcPr>
            <w:tcW w:w="141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39A99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r>
      <w:tr w14:paraId="28C321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1EEB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27</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20DED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纯后级功放</w:t>
            </w:r>
          </w:p>
        </w:tc>
        <w:tc>
          <w:tcPr>
            <w:tcW w:w="221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86473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41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B8255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r>
      <w:tr w14:paraId="1E0E4C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671B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28</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EA18A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前置放大器</w:t>
            </w:r>
          </w:p>
        </w:tc>
        <w:tc>
          <w:tcPr>
            <w:tcW w:w="221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DD8571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41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CE8BCF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r>
      <w:tr w14:paraId="41ECE3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6E641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29</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833ED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天线放大器</w:t>
            </w:r>
          </w:p>
        </w:tc>
        <w:tc>
          <w:tcPr>
            <w:tcW w:w="221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407A9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1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F8AE9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r>
      <w:tr w14:paraId="240687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5C0F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E7B3C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无线话筒</w:t>
            </w:r>
          </w:p>
        </w:tc>
        <w:tc>
          <w:tcPr>
            <w:tcW w:w="221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7152FF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1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818C0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r>
      <w:tr w14:paraId="1AADF2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1094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31</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3F772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调音台</w:t>
            </w:r>
          </w:p>
        </w:tc>
        <w:tc>
          <w:tcPr>
            <w:tcW w:w="221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88F4AC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1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7C0D5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r>
      <w:tr w14:paraId="37DE48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5F20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32</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5B620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电源控制器</w:t>
            </w:r>
          </w:p>
        </w:tc>
        <w:tc>
          <w:tcPr>
            <w:tcW w:w="221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AB7DD0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41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7C54F3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r>
      <w:tr w14:paraId="39834D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68896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33</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90137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网络解码终端</w:t>
            </w:r>
          </w:p>
        </w:tc>
        <w:tc>
          <w:tcPr>
            <w:tcW w:w="221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C43727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41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3C49F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r>
      <w:tr w14:paraId="1476C7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97CE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34</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D289E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机柜</w:t>
            </w:r>
          </w:p>
        </w:tc>
        <w:tc>
          <w:tcPr>
            <w:tcW w:w="221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B6483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1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4FFB5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r>
      <w:tr w14:paraId="51CA1B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7D90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35</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A19B6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模拟音柱</w:t>
            </w:r>
          </w:p>
        </w:tc>
        <w:tc>
          <w:tcPr>
            <w:tcW w:w="221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3BE78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141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553068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r>
      <w:tr w14:paraId="1F4EC8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08498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36</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AFEE7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纯后级功放</w:t>
            </w:r>
          </w:p>
        </w:tc>
        <w:tc>
          <w:tcPr>
            <w:tcW w:w="221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EF8E2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41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C745B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r>
      <w:tr w14:paraId="40E2B0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C009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37</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4D207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前置放大器</w:t>
            </w:r>
          </w:p>
        </w:tc>
        <w:tc>
          <w:tcPr>
            <w:tcW w:w="221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68BFD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41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C128B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r>
      <w:tr w14:paraId="43616F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31AF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38</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51DE5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天线放大器</w:t>
            </w:r>
          </w:p>
        </w:tc>
        <w:tc>
          <w:tcPr>
            <w:tcW w:w="221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900F4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1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DB0BC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r>
      <w:tr w14:paraId="68E12B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78757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39</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9B65F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无线话筒</w:t>
            </w:r>
          </w:p>
        </w:tc>
        <w:tc>
          <w:tcPr>
            <w:tcW w:w="221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963E55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1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CFE222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r>
      <w:tr w14:paraId="7BE89C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8A9C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40</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8F708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调音台</w:t>
            </w:r>
          </w:p>
        </w:tc>
        <w:tc>
          <w:tcPr>
            <w:tcW w:w="221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07A00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1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CD831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r>
      <w:tr w14:paraId="55F9F5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56BDE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41</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1BB8B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电源控制器</w:t>
            </w:r>
          </w:p>
        </w:tc>
        <w:tc>
          <w:tcPr>
            <w:tcW w:w="221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8BA4C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41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1308E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r>
      <w:tr w14:paraId="197AB0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FB454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42</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94F6D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网络解码终端</w:t>
            </w:r>
          </w:p>
        </w:tc>
        <w:tc>
          <w:tcPr>
            <w:tcW w:w="221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1CA70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41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CAE47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r>
      <w:tr w14:paraId="71E69A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EEC0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43</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16665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室外机柜</w:t>
            </w:r>
          </w:p>
        </w:tc>
        <w:tc>
          <w:tcPr>
            <w:tcW w:w="221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74B37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1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A6022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r>
      <w:tr w14:paraId="176377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F638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44</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8C3B6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安装费</w:t>
            </w:r>
          </w:p>
        </w:tc>
        <w:tc>
          <w:tcPr>
            <w:tcW w:w="221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BCBDB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1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BC641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r>
      <w:tr w14:paraId="4741AA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8934" w:type="dxa"/>
            <w:gridSpan w:val="4"/>
            <w:tcBorders>
              <w:top w:val="single" w:color="000000" w:sz="4" w:space="0"/>
              <w:left w:val="nil"/>
              <w:bottom w:val="single" w:color="000000" w:sz="4" w:space="0"/>
              <w:right w:val="single" w:color="000000" w:sz="4" w:space="0"/>
            </w:tcBorders>
            <w:shd w:val="clear" w:color="auto" w:fill="FFFF00"/>
            <w:vAlign w:val="center"/>
          </w:tcPr>
          <w:p w14:paraId="6A62F9F1">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户外操场音频及灯光</w:t>
            </w:r>
          </w:p>
        </w:tc>
      </w:tr>
      <w:tr w14:paraId="4CD874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B3415">
            <w:pPr>
              <w:jc w:val="center"/>
              <w:rPr>
                <w:rFonts w:hint="eastAsia"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1</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62B60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双8寸线阵全频音箱</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6DBCD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E0166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r>
      <w:tr w14:paraId="6BA9F6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C42D4">
            <w:pPr>
              <w:jc w:val="center"/>
              <w:rPr>
                <w:rFonts w:hint="eastAsia"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2</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AF332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单18寸线阵低音音箱</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40947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C1B0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r>
      <w:tr w14:paraId="6649E2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014DD6">
            <w:pPr>
              <w:jc w:val="center"/>
              <w:rPr>
                <w:rFonts w:hint="eastAsia"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3</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72E9C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双八线阵田字架</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C63DF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70B7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5B7C94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59404">
            <w:pPr>
              <w:jc w:val="center"/>
              <w:rPr>
                <w:rFonts w:hint="eastAsia"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4</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10467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返听音箱</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D83CF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93DC4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r>
      <w:tr w14:paraId="143D11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21F8A">
            <w:pPr>
              <w:jc w:val="center"/>
              <w:rPr>
                <w:rFonts w:hint="eastAsia"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5</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52618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主扩线阵全频功放</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1FF72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F1C05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14:paraId="2EB0FC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3CECD7">
            <w:pPr>
              <w:jc w:val="center"/>
              <w:rPr>
                <w:rFonts w:hint="eastAsia"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6</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B6D0D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主扩线阵次低频功放</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E91FE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971AF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14:paraId="7DD005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5D87F">
            <w:pPr>
              <w:jc w:val="center"/>
              <w:rPr>
                <w:rFonts w:hint="eastAsia"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7</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D2A62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返听音箱功放</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538FD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37CB5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14:paraId="36F7E1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60EF0">
            <w:pPr>
              <w:jc w:val="center"/>
              <w:rPr>
                <w:rFonts w:hint="eastAsia"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8</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79B78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数字调音台</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76A0F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34647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14:paraId="450B4C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865C72">
            <w:pPr>
              <w:jc w:val="center"/>
              <w:rPr>
                <w:rFonts w:hint="eastAsia"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9</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EFB84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音频处理器</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59C0C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F8F75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14:paraId="03D3C0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780C0">
            <w:pPr>
              <w:jc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10</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9AC3D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音频隔离器</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3A289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815CF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55AC39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764EC">
            <w:pPr>
              <w:jc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11</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67FA6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电源时序器</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359B1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0571D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r>
      <w:tr w14:paraId="209841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A71D0">
            <w:pPr>
              <w:jc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12</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CA86F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反馈抑制器</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3DBE8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99945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14:paraId="627F35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5CFF0">
            <w:pPr>
              <w:jc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13</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38151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有线IP数字会议系统主机</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4E9DD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AA99F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14:paraId="5FDE46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D4FFC8">
            <w:pPr>
              <w:jc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14</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4ED41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方杆IP网络数字会议主席机</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1E619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C8C2D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14:paraId="4B46CF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74CFB">
            <w:pPr>
              <w:jc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15</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4D2D6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方杆IP网络数字会议代表机</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0C12F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C9226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14:paraId="177D82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1BEC10">
            <w:pPr>
              <w:jc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16</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CE038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真分集无线话筒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U段手持</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6DECB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7B5D0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537E9A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DC4BE">
            <w:pPr>
              <w:jc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17</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F3414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真分集无线话筒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U段头戴</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E3FFA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7911D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311DC9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BF51F6">
            <w:pPr>
              <w:jc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18</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A182C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天线分配放大系统</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88A9E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A5113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34DE29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FE5A56">
            <w:pPr>
              <w:jc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19</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0D796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合唱话筒</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5BE64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EEB4A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r>
      <w:tr w14:paraId="2F567B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CE048">
            <w:pPr>
              <w:jc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20</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BDA2B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面光成像灯</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CDFF4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F47BA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14:paraId="0EA2F9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D2821">
            <w:pPr>
              <w:jc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21</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05DA9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染色灯</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6348C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29E04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14:paraId="750635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240C50">
            <w:pPr>
              <w:jc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22</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62ED8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电脑光束灯</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C57FD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3CF5A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14:paraId="5A1413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B1A28">
            <w:pPr>
              <w:jc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23</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E3DC7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LED会议平板灯</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01C73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F5533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14:paraId="660C44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655F7">
            <w:pPr>
              <w:jc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24</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5F7E8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染色灯</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BB19D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5D80F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14:paraId="09FA27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1AE212">
            <w:pPr>
              <w:jc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25</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1BBB6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电脑光束灯</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B21F8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8F436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14:paraId="178392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23589">
            <w:pPr>
              <w:jc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26</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BE0F0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LED会议平板灯</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34450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3A309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14:paraId="3503CC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239DD">
            <w:pPr>
              <w:jc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27</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C53AB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染色灯</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CD904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97EF8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14:paraId="40F3C2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A2FF11">
            <w:pPr>
              <w:jc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28</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77C98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电脑光束灯</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1274A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D47D2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14:paraId="0E3F18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69285A">
            <w:pPr>
              <w:jc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29</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90FAE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LED会议平板灯</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56520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DE6AD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14:paraId="64BF14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39A45F">
            <w:pPr>
              <w:jc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30</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B180F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2048控台</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9F682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6C549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14:paraId="354FF6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C25C58">
            <w:pPr>
              <w:jc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31</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2DD79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信号放大器</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BF972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5C386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14:paraId="203EF5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F0194">
            <w:pPr>
              <w:jc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32</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8D61A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12路直通箱</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DC193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C1E78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14:paraId="63E59C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1A4AB">
            <w:pPr>
              <w:jc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33</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C318E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固定灯杆</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F233F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593B3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道</w:t>
            </w:r>
          </w:p>
        </w:tc>
      </w:tr>
      <w:tr w14:paraId="33DBD0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CF841">
            <w:pPr>
              <w:jc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34</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4C869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机柜</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6DBC9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625C0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5761BA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FD240">
            <w:pPr>
              <w:jc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35</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290E1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操作台</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1951A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43DC1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555F64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B65F5">
            <w:pPr>
              <w:jc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36</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955EA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电动葫芦</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6ED7B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13046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76817D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1B069B">
            <w:pPr>
              <w:jc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37</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40608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落地话筒支架</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BB0B5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8DE60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399AC2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D990E">
            <w:pPr>
              <w:jc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38</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A0D8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音频线</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3DCE0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200</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7568D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米</w:t>
            </w:r>
          </w:p>
        </w:tc>
      </w:tr>
      <w:tr w14:paraId="712B9D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0C2DC">
            <w:pPr>
              <w:jc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39</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35C53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音箱线</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2E236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0231A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米</w:t>
            </w:r>
          </w:p>
        </w:tc>
      </w:tr>
      <w:tr w14:paraId="59093C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32945F">
            <w:pPr>
              <w:jc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40</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72E10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音箱线</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EBA7B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400</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56E1C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米</w:t>
            </w:r>
          </w:p>
        </w:tc>
      </w:tr>
      <w:tr w14:paraId="20766F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B2658">
            <w:pPr>
              <w:jc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41</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221C6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同轴电缆</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4EB05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FFEA8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米</w:t>
            </w:r>
          </w:p>
        </w:tc>
      </w:tr>
      <w:tr w14:paraId="256AEB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F96A46">
            <w:pPr>
              <w:jc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42</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2ED12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音频跳线</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50482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F0F5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条</w:t>
            </w:r>
          </w:p>
        </w:tc>
      </w:tr>
      <w:tr w14:paraId="5F9F08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B0681C">
            <w:pPr>
              <w:jc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43</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94668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音频跳线</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C2470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87C5F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条</w:t>
            </w:r>
          </w:p>
        </w:tc>
      </w:tr>
      <w:tr w14:paraId="14BBDF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CEF09">
            <w:pPr>
              <w:jc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44</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C8C59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音频跳线</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C0932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35219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条</w:t>
            </w:r>
          </w:p>
        </w:tc>
      </w:tr>
      <w:tr w14:paraId="57BC1C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924DCB">
            <w:pPr>
              <w:jc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45</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50E71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灯光电源线</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49367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300</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3BACA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米</w:t>
            </w:r>
          </w:p>
        </w:tc>
      </w:tr>
      <w:tr w14:paraId="547BE1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00E61">
            <w:pPr>
              <w:jc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46</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88571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灯光信号线</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83FDE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300</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0FC26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米</w:t>
            </w:r>
          </w:p>
        </w:tc>
      </w:tr>
      <w:tr w14:paraId="2FF675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02929">
            <w:pPr>
              <w:jc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47</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7AEA8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安装辅材、配件</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B6B26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FFF7A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r>
      <w:tr w14:paraId="3B301D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91F048">
            <w:pPr>
              <w:jc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48</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990C2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安装</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C8759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B8CFF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r>
      <w:tr w14:paraId="419D12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8934" w:type="dxa"/>
            <w:gridSpan w:val="4"/>
            <w:tcBorders>
              <w:top w:val="single" w:color="000000" w:sz="4" w:space="0"/>
              <w:left w:val="nil"/>
              <w:bottom w:val="single" w:color="000000" w:sz="4" w:space="0"/>
              <w:right w:val="nil"/>
            </w:tcBorders>
            <w:shd w:val="clear" w:color="auto" w:fill="FFFF00"/>
            <w:vAlign w:val="center"/>
          </w:tcPr>
          <w:p w14:paraId="4BB93B53">
            <w:pPr>
              <w:keepNext w:val="0"/>
              <w:keepLines w:val="0"/>
              <w:widowControl/>
              <w:suppressLineNumbers w:val="0"/>
              <w:jc w:val="center"/>
              <w:textAlignment w:val="center"/>
              <w:rPr>
                <w:rFonts w:hint="default" w:ascii="方正黑体_GBK" w:hAnsi="方正黑体_GBK" w:eastAsia="方正黑体_GBK" w:cs="方正黑体_GBK"/>
                <w:i w:val="0"/>
                <w:iCs w:val="0"/>
                <w:color w:val="000000"/>
                <w:sz w:val="18"/>
                <w:szCs w:val="18"/>
                <w:u w:val="none"/>
              </w:rPr>
            </w:pPr>
            <w:r>
              <w:rPr>
                <w:rFonts w:hint="default" w:ascii="方正黑体_GBK" w:hAnsi="方正黑体_GBK" w:eastAsia="方正黑体_GBK" w:cs="方正黑体_GBK"/>
                <w:i w:val="0"/>
                <w:iCs w:val="0"/>
                <w:color w:val="000000"/>
                <w:kern w:val="0"/>
                <w:sz w:val="18"/>
                <w:szCs w:val="18"/>
                <w:u w:val="none"/>
                <w:lang w:val="en-US" w:eastAsia="zh-CN" w:bidi="ar"/>
              </w:rPr>
              <w:t>中会议室音频</w:t>
            </w:r>
          </w:p>
        </w:tc>
      </w:tr>
      <w:tr w14:paraId="6ECD0B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79D446">
            <w:pPr>
              <w:keepNext w:val="0"/>
              <w:keepLines w:val="0"/>
              <w:widowControl/>
              <w:suppressLineNumbers w:val="0"/>
              <w:jc w:val="center"/>
              <w:textAlignment w:val="center"/>
              <w:rPr>
                <w:rFonts w:hint="eastAsia" w:ascii="宋体" w:hAnsi="宋体" w:eastAsia="宋体" w:cs="宋体"/>
                <w:i w:val="0"/>
                <w:iCs w:val="0"/>
                <w:color w:val="000000"/>
                <w:sz w:val="18"/>
                <w:szCs w:val="18"/>
                <w:u w:val="none"/>
                <w:lang w:val="en-US" w:eastAsia="zh-CN"/>
              </w:rPr>
            </w:pPr>
            <w:r>
              <w:rPr>
                <w:rFonts w:hint="eastAsia" w:ascii="宋体" w:hAnsi="宋体" w:cs="宋体"/>
                <w:i w:val="0"/>
                <w:iCs w:val="0"/>
                <w:color w:val="000000"/>
                <w:sz w:val="18"/>
                <w:szCs w:val="18"/>
                <w:u w:val="none"/>
                <w:lang w:val="en-US" w:eastAsia="zh-CN"/>
              </w:rPr>
              <w:t>1</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A9887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无线一拖二手持</w:t>
            </w:r>
          </w:p>
        </w:tc>
        <w:tc>
          <w:tcPr>
            <w:tcW w:w="2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E001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A236D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r>
      <w:tr w14:paraId="492EA3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5CAB6E">
            <w:pPr>
              <w:keepNext w:val="0"/>
              <w:keepLines w:val="0"/>
              <w:widowControl/>
              <w:suppressLineNumbers w:val="0"/>
              <w:jc w:val="center"/>
              <w:textAlignment w:val="center"/>
              <w:rPr>
                <w:rFonts w:hint="eastAsia" w:ascii="宋体" w:hAnsi="宋体" w:eastAsia="宋体" w:cs="宋体"/>
                <w:i w:val="0"/>
                <w:iCs w:val="0"/>
                <w:color w:val="000000"/>
                <w:sz w:val="18"/>
                <w:szCs w:val="18"/>
                <w:u w:val="none"/>
                <w:lang w:val="en-US" w:eastAsia="zh-CN"/>
              </w:rPr>
            </w:pPr>
            <w:r>
              <w:rPr>
                <w:rFonts w:hint="eastAsia" w:ascii="宋体" w:hAnsi="宋体" w:cs="宋体"/>
                <w:i w:val="0"/>
                <w:iCs w:val="0"/>
                <w:color w:val="000000"/>
                <w:sz w:val="18"/>
                <w:szCs w:val="18"/>
                <w:u w:val="none"/>
                <w:lang w:val="en-US" w:eastAsia="zh-CN"/>
              </w:rPr>
              <w:t>2</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31FDB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有线手拉手会议话筒主机</w:t>
            </w:r>
          </w:p>
        </w:tc>
        <w:tc>
          <w:tcPr>
            <w:tcW w:w="2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48BB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181A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r>
      <w:tr w14:paraId="692716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D58E89">
            <w:pPr>
              <w:keepNext w:val="0"/>
              <w:keepLines w:val="0"/>
              <w:widowControl/>
              <w:suppressLineNumbers w:val="0"/>
              <w:jc w:val="center"/>
              <w:textAlignment w:val="center"/>
              <w:rPr>
                <w:rFonts w:hint="eastAsia" w:ascii="宋体" w:hAnsi="宋体" w:eastAsia="宋体" w:cs="宋体"/>
                <w:i w:val="0"/>
                <w:iCs w:val="0"/>
                <w:color w:val="000000"/>
                <w:sz w:val="18"/>
                <w:szCs w:val="18"/>
                <w:u w:val="none"/>
                <w:lang w:val="en-US" w:eastAsia="zh-CN"/>
              </w:rPr>
            </w:pPr>
            <w:r>
              <w:rPr>
                <w:rFonts w:hint="eastAsia" w:ascii="宋体" w:hAnsi="宋体" w:cs="宋体"/>
                <w:i w:val="0"/>
                <w:iCs w:val="0"/>
                <w:color w:val="000000"/>
                <w:sz w:val="18"/>
                <w:szCs w:val="18"/>
                <w:u w:val="none"/>
                <w:lang w:val="en-US" w:eastAsia="zh-CN"/>
              </w:rPr>
              <w:t>3</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A8FFC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主/客席手拉手会议话筒</w:t>
            </w:r>
          </w:p>
        </w:tc>
        <w:tc>
          <w:tcPr>
            <w:tcW w:w="2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4060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1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9B03A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r>
      <w:tr w14:paraId="54895D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92F1A">
            <w:pPr>
              <w:keepNext w:val="0"/>
              <w:keepLines w:val="0"/>
              <w:widowControl/>
              <w:suppressLineNumbers w:val="0"/>
              <w:jc w:val="center"/>
              <w:textAlignment w:val="center"/>
              <w:rPr>
                <w:rFonts w:hint="eastAsia" w:ascii="宋体" w:hAnsi="宋体" w:eastAsia="宋体" w:cs="宋体"/>
                <w:i w:val="0"/>
                <w:iCs w:val="0"/>
                <w:color w:val="000000"/>
                <w:sz w:val="18"/>
                <w:szCs w:val="18"/>
                <w:u w:val="none"/>
                <w:lang w:val="en-US" w:eastAsia="zh-CN"/>
              </w:rPr>
            </w:pPr>
            <w:r>
              <w:rPr>
                <w:rFonts w:hint="eastAsia" w:ascii="宋体" w:hAnsi="宋体" w:cs="宋体"/>
                <w:i w:val="0"/>
                <w:iCs w:val="0"/>
                <w:color w:val="000000"/>
                <w:sz w:val="18"/>
                <w:szCs w:val="18"/>
                <w:u w:val="none"/>
                <w:lang w:val="en-US" w:eastAsia="zh-CN"/>
              </w:rPr>
              <w:t>4</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69890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20米手拉手主线缆</w:t>
            </w:r>
          </w:p>
        </w:tc>
        <w:tc>
          <w:tcPr>
            <w:tcW w:w="2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D64B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96F71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根</w:t>
            </w:r>
          </w:p>
        </w:tc>
      </w:tr>
      <w:tr w14:paraId="1FC7B3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0310E">
            <w:pPr>
              <w:keepNext w:val="0"/>
              <w:keepLines w:val="0"/>
              <w:widowControl/>
              <w:suppressLineNumbers w:val="0"/>
              <w:jc w:val="center"/>
              <w:textAlignment w:val="center"/>
              <w:rPr>
                <w:rFonts w:hint="eastAsia" w:ascii="宋体" w:hAnsi="宋体" w:eastAsia="宋体" w:cs="宋体"/>
                <w:i w:val="0"/>
                <w:iCs w:val="0"/>
                <w:color w:val="000000"/>
                <w:sz w:val="18"/>
                <w:szCs w:val="18"/>
                <w:u w:val="none"/>
                <w:lang w:val="en-US" w:eastAsia="zh-CN"/>
              </w:rPr>
            </w:pPr>
            <w:r>
              <w:rPr>
                <w:rFonts w:hint="eastAsia" w:ascii="宋体" w:hAnsi="宋体" w:cs="宋体"/>
                <w:i w:val="0"/>
                <w:iCs w:val="0"/>
                <w:color w:val="000000"/>
                <w:sz w:val="18"/>
                <w:szCs w:val="18"/>
                <w:u w:val="none"/>
                <w:lang w:val="en-US" w:eastAsia="zh-CN"/>
              </w:rPr>
              <w:t>5</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930A8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反馈抑制器</w:t>
            </w:r>
          </w:p>
        </w:tc>
        <w:tc>
          <w:tcPr>
            <w:tcW w:w="2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593E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 </w:t>
            </w:r>
          </w:p>
        </w:tc>
        <w:tc>
          <w:tcPr>
            <w:tcW w:w="1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CDC4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r>
      <w:tr w14:paraId="49F9AD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2453E">
            <w:pPr>
              <w:keepNext w:val="0"/>
              <w:keepLines w:val="0"/>
              <w:widowControl/>
              <w:suppressLineNumbers w:val="0"/>
              <w:jc w:val="center"/>
              <w:textAlignment w:val="center"/>
              <w:rPr>
                <w:rFonts w:hint="eastAsia" w:ascii="宋体" w:hAnsi="宋体" w:eastAsia="宋体" w:cs="宋体"/>
                <w:i w:val="0"/>
                <w:iCs w:val="0"/>
                <w:color w:val="000000"/>
                <w:sz w:val="18"/>
                <w:szCs w:val="18"/>
                <w:u w:val="none"/>
                <w:lang w:val="en-US" w:eastAsia="zh-CN"/>
              </w:rPr>
            </w:pPr>
            <w:r>
              <w:rPr>
                <w:rFonts w:hint="eastAsia" w:ascii="宋体" w:hAnsi="宋体" w:cs="宋体"/>
                <w:i w:val="0"/>
                <w:iCs w:val="0"/>
                <w:color w:val="000000"/>
                <w:sz w:val="18"/>
                <w:szCs w:val="18"/>
                <w:u w:val="none"/>
                <w:lang w:val="en-US" w:eastAsia="zh-CN"/>
              </w:rPr>
              <w:t>6</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C8F8F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8路电源时序器</w:t>
            </w:r>
          </w:p>
        </w:tc>
        <w:tc>
          <w:tcPr>
            <w:tcW w:w="2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5080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 </w:t>
            </w:r>
          </w:p>
        </w:tc>
        <w:tc>
          <w:tcPr>
            <w:tcW w:w="1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BED2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r>
      <w:tr w14:paraId="0468E1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C29D2">
            <w:pPr>
              <w:keepNext w:val="0"/>
              <w:keepLines w:val="0"/>
              <w:widowControl/>
              <w:suppressLineNumbers w:val="0"/>
              <w:jc w:val="center"/>
              <w:textAlignment w:val="center"/>
              <w:rPr>
                <w:rFonts w:hint="eastAsia" w:ascii="宋体" w:hAnsi="宋体" w:eastAsia="宋体" w:cs="宋体"/>
                <w:i w:val="0"/>
                <w:iCs w:val="0"/>
                <w:color w:val="000000"/>
                <w:sz w:val="18"/>
                <w:szCs w:val="18"/>
                <w:u w:val="none"/>
                <w:lang w:val="en-US" w:eastAsia="zh-CN"/>
              </w:rPr>
            </w:pPr>
            <w:r>
              <w:rPr>
                <w:rFonts w:hint="eastAsia" w:ascii="宋体" w:hAnsi="宋体" w:cs="宋体"/>
                <w:i w:val="0"/>
                <w:iCs w:val="0"/>
                <w:color w:val="000000"/>
                <w:sz w:val="18"/>
                <w:szCs w:val="18"/>
                <w:u w:val="none"/>
                <w:lang w:val="en-US" w:eastAsia="zh-CN"/>
              </w:rPr>
              <w:t>7</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F7008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2进4出音箱管理器</w:t>
            </w:r>
          </w:p>
        </w:tc>
        <w:tc>
          <w:tcPr>
            <w:tcW w:w="2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FB7EB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 </w:t>
            </w:r>
          </w:p>
        </w:tc>
        <w:tc>
          <w:tcPr>
            <w:tcW w:w="1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E01EB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r>
      <w:tr w14:paraId="7C63AE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DA934">
            <w:pPr>
              <w:keepNext w:val="0"/>
              <w:keepLines w:val="0"/>
              <w:widowControl/>
              <w:suppressLineNumbers w:val="0"/>
              <w:jc w:val="center"/>
              <w:textAlignment w:val="center"/>
              <w:rPr>
                <w:rFonts w:hint="eastAsia" w:ascii="宋体" w:hAnsi="宋体" w:eastAsia="宋体" w:cs="宋体"/>
                <w:i w:val="0"/>
                <w:iCs w:val="0"/>
                <w:color w:val="000000"/>
                <w:sz w:val="18"/>
                <w:szCs w:val="18"/>
                <w:u w:val="none"/>
                <w:lang w:val="en-US" w:eastAsia="zh-CN"/>
              </w:rPr>
            </w:pPr>
            <w:r>
              <w:rPr>
                <w:rFonts w:hint="eastAsia" w:ascii="宋体" w:hAnsi="宋体" w:cs="宋体"/>
                <w:i w:val="0"/>
                <w:iCs w:val="0"/>
                <w:color w:val="000000"/>
                <w:sz w:val="18"/>
                <w:szCs w:val="18"/>
                <w:u w:val="none"/>
                <w:lang w:val="en-US" w:eastAsia="zh-CN"/>
              </w:rPr>
              <w:t>8</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17839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12路模拟调音台</w:t>
            </w:r>
          </w:p>
        </w:tc>
        <w:tc>
          <w:tcPr>
            <w:tcW w:w="2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1C5D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 </w:t>
            </w:r>
          </w:p>
        </w:tc>
        <w:tc>
          <w:tcPr>
            <w:tcW w:w="1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C8A0B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r>
      <w:tr w14:paraId="736E85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7E120B">
            <w:pPr>
              <w:keepNext w:val="0"/>
              <w:keepLines w:val="0"/>
              <w:widowControl/>
              <w:suppressLineNumbers w:val="0"/>
              <w:jc w:val="center"/>
              <w:textAlignment w:val="center"/>
              <w:rPr>
                <w:rFonts w:hint="eastAsia" w:ascii="宋体" w:hAnsi="宋体" w:eastAsia="宋体" w:cs="宋体"/>
                <w:i w:val="0"/>
                <w:iCs w:val="0"/>
                <w:color w:val="000000"/>
                <w:sz w:val="18"/>
                <w:szCs w:val="18"/>
                <w:u w:val="none"/>
                <w:lang w:val="en-US" w:eastAsia="zh-CN"/>
              </w:rPr>
            </w:pPr>
            <w:r>
              <w:rPr>
                <w:rFonts w:hint="eastAsia" w:ascii="宋体" w:hAnsi="宋体" w:cs="宋体"/>
                <w:i w:val="0"/>
                <w:iCs w:val="0"/>
                <w:color w:val="000000"/>
                <w:sz w:val="18"/>
                <w:szCs w:val="18"/>
                <w:u w:val="none"/>
                <w:lang w:val="en-US" w:eastAsia="zh-CN"/>
              </w:rPr>
              <w:t>9</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B8E29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12寸专业音箱</w:t>
            </w:r>
          </w:p>
        </w:tc>
        <w:tc>
          <w:tcPr>
            <w:tcW w:w="2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7463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052F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只</w:t>
            </w:r>
          </w:p>
        </w:tc>
      </w:tr>
      <w:tr w14:paraId="40F013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08E3C0">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eastAsia="zh-CN"/>
              </w:rPr>
            </w:pPr>
            <w:r>
              <w:rPr>
                <w:rFonts w:hint="eastAsia" w:ascii="宋体" w:hAnsi="宋体" w:cs="宋体"/>
                <w:i w:val="0"/>
                <w:iCs w:val="0"/>
                <w:color w:val="000000"/>
                <w:sz w:val="18"/>
                <w:szCs w:val="18"/>
                <w:u w:val="none"/>
                <w:lang w:val="en-US" w:eastAsia="zh-CN"/>
              </w:rPr>
              <w:t>10</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6E368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2*700W功放</w:t>
            </w:r>
          </w:p>
        </w:tc>
        <w:tc>
          <w:tcPr>
            <w:tcW w:w="2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87622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8401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r>
      <w:tr w14:paraId="50C3DB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F7C2F3">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eastAsia="zh-CN"/>
              </w:rPr>
            </w:pPr>
            <w:r>
              <w:rPr>
                <w:rFonts w:hint="eastAsia" w:ascii="宋体" w:hAnsi="宋体" w:cs="宋体"/>
                <w:i w:val="0"/>
                <w:iCs w:val="0"/>
                <w:color w:val="000000"/>
                <w:sz w:val="18"/>
                <w:szCs w:val="18"/>
                <w:u w:val="none"/>
                <w:lang w:val="en-US" w:eastAsia="zh-CN"/>
              </w:rPr>
              <w:t>11</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C59EC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机柜</w:t>
            </w:r>
          </w:p>
        </w:tc>
        <w:tc>
          <w:tcPr>
            <w:tcW w:w="2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FF0BB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42655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r>
      <w:tr w14:paraId="08C7E9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93D1DF">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eastAsia="zh-CN"/>
              </w:rPr>
            </w:pPr>
            <w:r>
              <w:rPr>
                <w:rFonts w:hint="eastAsia" w:ascii="宋体" w:hAnsi="宋体" w:cs="宋体"/>
                <w:i w:val="0"/>
                <w:iCs w:val="0"/>
                <w:color w:val="000000"/>
                <w:sz w:val="18"/>
                <w:szCs w:val="18"/>
                <w:u w:val="none"/>
                <w:lang w:val="en-US" w:eastAsia="zh-CN"/>
              </w:rPr>
              <w:t>12</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F546B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音箱支架</w:t>
            </w:r>
          </w:p>
        </w:tc>
        <w:tc>
          <w:tcPr>
            <w:tcW w:w="2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FCBE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D59D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只</w:t>
            </w:r>
          </w:p>
        </w:tc>
      </w:tr>
      <w:tr w14:paraId="5267EA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F336BC">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eastAsia="zh-CN"/>
              </w:rPr>
            </w:pPr>
            <w:r>
              <w:rPr>
                <w:rFonts w:hint="eastAsia" w:ascii="宋体" w:hAnsi="宋体" w:cs="宋体"/>
                <w:i w:val="0"/>
                <w:iCs w:val="0"/>
                <w:color w:val="000000"/>
                <w:sz w:val="18"/>
                <w:szCs w:val="18"/>
                <w:u w:val="none"/>
                <w:lang w:val="en-US" w:eastAsia="zh-CN"/>
              </w:rPr>
              <w:t>13</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36724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话筒支架</w:t>
            </w:r>
          </w:p>
        </w:tc>
        <w:tc>
          <w:tcPr>
            <w:tcW w:w="2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133B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E2172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r>
      <w:tr w14:paraId="7DE91F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BF5FA">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eastAsia="zh-CN"/>
              </w:rPr>
            </w:pPr>
            <w:r>
              <w:rPr>
                <w:rFonts w:hint="eastAsia" w:ascii="宋体" w:hAnsi="宋体" w:cs="宋体"/>
                <w:i w:val="0"/>
                <w:iCs w:val="0"/>
                <w:color w:val="000000"/>
                <w:sz w:val="18"/>
                <w:szCs w:val="18"/>
                <w:u w:val="none"/>
                <w:lang w:val="en-US" w:eastAsia="zh-CN"/>
              </w:rPr>
              <w:t>14</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4B1D2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XLR(母)-XLR（公）</w:t>
            </w:r>
          </w:p>
        </w:tc>
        <w:tc>
          <w:tcPr>
            <w:tcW w:w="2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4E8D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F9F56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根</w:t>
            </w:r>
          </w:p>
        </w:tc>
      </w:tr>
      <w:tr w14:paraId="6E295E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A5077">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eastAsia="zh-CN"/>
              </w:rPr>
            </w:pPr>
            <w:r>
              <w:rPr>
                <w:rFonts w:hint="eastAsia" w:ascii="宋体" w:hAnsi="宋体" w:cs="宋体"/>
                <w:i w:val="0"/>
                <w:iCs w:val="0"/>
                <w:color w:val="000000"/>
                <w:sz w:val="18"/>
                <w:szCs w:val="18"/>
                <w:u w:val="none"/>
                <w:lang w:val="en-US" w:eastAsia="zh-CN"/>
              </w:rPr>
              <w:t>15</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7CE41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6.35-6.35</w:t>
            </w:r>
          </w:p>
        </w:tc>
        <w:tc>
          <w:tcPr>
            <w:tcW w:w="2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9D2B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94430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根</w:t>
            </w:r>
          </w:p>
        </w:tc>
      </w:tr>
      <w:tr w14:paraId="083676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AED457">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eastAsia="zh-CN"/>
              </w:rPr>
            </w:pPr>
            <w:r>
              <w:rPr>
                <w:rFonts w:hint="eastAsia" w:ascii="宋体" w:hAnsi="宋体" w:cs="宋体"/>
                <w:i w:val="0"/>
                <w:iCs w:val="0"/>
                <w:color w:val="000000"/>
                <w:sz w:val="18"/>
                <w:szCs w:val="18"/>
                <w:u w:val="none"/>
                <w:lang w:val="en-US" w:eastAsia="zh-CN"/>
              </w:rPr>
              <w:t>16</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D9B66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6.35-XLR（公）</w:t>
            </w:r>
          </w:p>
        </w:tc>
        <w:tc>
          <w:tcPr>
            <w:tcW w:w="2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6A620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4569E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根</w:t>
            </w:r>
          </w:p>
        </w:tc>
      </w:tr>
      <w:tr w14:paraId="29B8A7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DE2CD1">
            <w:pPr>
              <w:jc w:val="center"/>
              <w:rPr>
                <w:rFonts w:hint="default" w:ascii="宋体" w:hAnsi="宋体" w:eastAsia="宋体" w:cs="宋体"/>
                <w:i w:val="0"/>
                <w:iCs w:val="0"/>
                <w:color w:val="000000"/>
                <w:sz w:val="18"/>
                <w:szCs w:val="18"/>
                <w:u w:val="none"/>
                <w:lang w:val="en-US" w:eastAsia="zh-CN"/>
              </w:rPr>
            </w:pPr>
            <w:r>
              <w:rPr>
                <w:rFonts w:hint="eastAsia" w:ascii="宋体" w:hAnsi="宋体" w:cs="宋体"/>
                <w:i w:val="0"/>
                <w:iCs w:val="0"/>
                <w:color w:val="000000"/>
                <w:sz w:val="18"/>
                <w:szCs w:val="18"/>
                <w:u w:val="none"/>
                <w:lang w:val="en-US" w:eastAsia="zh-CN"/>
              </w:rPr>
              <w:t>17</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36F06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6.35-3.5</w:t>
            </w:r>
          </w:p>
        </w:tc>
        <w:tc>
          <w:tcPr>
            <w:tcW w:w="2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4C98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66CAD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根</w:t>
            </w:r>
          </w:p>
        </w:tc>
      </w:tr>
      <w:tr w14:paraId="3D2F10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0E79E">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eastAsia="zh-CN"/>
              </w:rPr>
            </w:pPr>
            <w:r>
              <w:rPr>
                <w:rFonts w:hint="eastAsia" w:ascii="宋体" w:hAnsi="宋体" w:cs="宋体"/>
                <w:i w:val="0"/>
                <w:iCs w:val="0"/>
                <w:color w:val="000000"/>
                <w:sz w:val="18"/>
                <w:szCs w:val="18"/>
                <w:u w:val="none"/>
                <w:lang w:val="en-US" w:eastAsia="zh-CN"/>
              </w:rPr>
              <w:t>18</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DED5A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音箱线</w:t>
            </w:r>
          </w:p>
        </w:tc>
        <w:tc>
          <w:tcPr>
            <w:tcW w:w="2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30D69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18E5F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卷</w:t>
            </w:r>
          </w:p>
        </w:tc>
      </w:tr>
      <w:tr w14:paraId="40E7E7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C69C9">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eastAsia="zh-CN"/>
              </w:rPr>
            </w:pPr>
            <w:r>
              <w:rPr>
                <w:rFonts w:hint="eastAsia" w:ascii="宋体" w:hAnsi="宋体" w:cs="宋体"/>
                <w:i w:val="0"/>
                <w:iCs w:val="0"/>
                <w:color w:val="000000"/>
                <w:sz w:val="18"/>
                <w:szCs w:val="18"/>
                <w:u w:val="none"/>
                <w:lang w:val="en-US" w:eastAsia="zh-CN"/>
              </w:rPr>
              <w:t>19</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6F179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音频线</w:t>
            </w:r>
          </w:p>
        </w:tc>
        <w:tc>
          <w:tcPr>
            <w:tcW w:w="2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BD53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87A5F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卷</w:t>
            </w:r>
          </w:p>
        </w:tc>
      </w:tr>
      <w:tr w14:paraId="06BC15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B42718">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eastAsia="zh-CN"/>
              </w:rPr>
            </w:pPr>
            <w:r>
              <w:rPr>
                <w:rFonts w:hint="eastAsia" w:ascii="宋体" w:hAnsi="宋体" w:cs="宋体"/>
                <w:i w:val="0"/>
                <w:iCs w:val="0"/>
                <w:color w:val="000000"/>
                <w:sz w:val="18"/>
                <w:szCs w:val="18"/>
                <w:u w:val="none"/>
                <w:lang w:val="en-US" w:eastAsia="zh-CN"/>
              </w:rPr>
              <w:t>20</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263C5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辅材</w:t>
            </w:r>
          </w:p>
        </w:tc>
        <w:tc>
          <w:tcPr>
            <w:tcW w:w="2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08FB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D8A02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批</w:t>
            </w:r>
          </w:p>
        </w:tc>
      </w:tr>
      <w:tr w14:paraId="743659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AE6BA">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eastAsia="zh-CN"/>
              </w:rPr>
            </w:pPr>
            <w:r>
              <w:rPr>
                <w:rFonts w:hint="eastAsia" w:ascii="宋体" w:hAnsi="宋体" w:cs="宋体"/>
                <w:i w:val="0"/>
                <w:iCs w:val="0"/>
                <w:color w:val="000000"/>
                <w:sz w:val="18"/>
                <w:szCs w:val="18"/>
                <w:u w:val="none"/>
                <w:lang w:val="en-US" w:eastAsia="zh-CN"/>
              </w:rPr>
              <w:t>21</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D6BB1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安装调试费</w:t>
            </w:r>
          </w:p>
        </w:tc>
        <w:tc>
          <w:tcPr>
            <w:tcW w:w="2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93C2E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1AAC8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r>
      <w:tr w14:paraId="59AB2F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8934" w:type="dxa"/>
            <w:gridSpan w:val="4"/>
            <w:tcBorders>
              <w:top w:val="single" w:color="000000" w:sz="4" w:space="0"/>
              <w:left w:val="nil"/>
              <w:bottom w:val="single" w:color="000000" w:sz="4" w:space="0"/>
              <w:right w:val="single" w:color="000000" w:sz="4" w:space="0"/>
            </w:tcBorders>
            <w:shd w:val="clear" w:color="auto" w:fill="FFFF00"/>
            <w:vAlign w:val="center"/>
          </w:tcPr>
          <w:p w14:paraId="239C28AC">
            <w:pPr>
              <w:keepNext w:val="0"/>
              <w:keepLines w:val="0"/>
              <w:widowControl/>
              <w:suppressLineNumbers w:val="0"/>
              <w:jc w:val="center"/>
              <w:textAlignment w:val="center"/>
              <w:rPr>
                <w:rFonts w:hint="default" w:ascii="方正黑体_GBK" w:hAnsi="方正黑体_GBK" w:eastAsia="方正黑体_GBK" w:cs="方正黑体_GBK"/>
                <w:i w:val="0"/>
                <w:iCs w:val="0"/>
                <w:color w:val="000000"/>
                <w:sz w:val="18"/>
                <w:szCs w:val="18"/>
                <w:u w:val="none"/>
              </w:rPr>
            </w:pPr>
            <w:r>
              <w:rPr>
                <w:rFonts w:hint="default" w:ascii="方正黑体_GBK" w:hAnsi="方正黑体_GBK" w:eastAsia="方正黑体_GBK" w:cs="方正黑体_GBK"/>
                <w:i w:val="0"/>
                <w:iCs w:val="0"/>
                <w:color w:val="000000"/>
                <w:kern w:val="0"/>
                <w:sz w:val="18"/>
                <w:szCs w:val="18"/>
                <w:u w:val="none"/>
                <w:lang w:val="en-US" w:eastAsia="zh-CN" w:bidi="ar"/>
              </w:rPr>
              <w:t>报告厅音频及灯光</w:t>
            </w:r>
          </w:p>
        </w:tc>
      </w:tr>
      <w:tr w14:paraId="454A98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3E086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0CA40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双10寸线阵全频音箱</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B285A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BFA9D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只</w:t>
            </w:r>
          </w:p>
        </w:tc>
      </w:tr>
      <w:tr w14:paraId="4017BC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844B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A3BE3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单18寸线阵低音音箱</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31739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102D5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只</w:t>
            </w:r>
          </w:p>
        </w:tc>
      </w:tr>
      <w:tr w14:paraId="537C85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1D9C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1BE9E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双十线阵田字架</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67C7F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E4DA3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r>
      <w:tr w14:paraId="1E329C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DC299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5EEE1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双18寸低音音箱</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73314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8DD02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只</w:t>
            </w:r>
          </w:p>
        </w:tc>
      </w:tr>
      <w:tr w14:paraId="2FFF41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7B4F7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8F15D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台唇音箱</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8B9D4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392DE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只</w:t>
            </w:r>
          </w:p>
        </w:tc>
      </w:tr>
      <w:tr w14:paraId="6CC141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0D9F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AFDEC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返听音箱</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E8D49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399FE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只</w:t>
            </w:r>
          </w:p>
        </w:tc>
      </w:tr>
      <w:tr w14:paraId="7E0838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4BD9C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E02A9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单12寸全频音箱</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0E095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9A318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只</w:t>
            </w:r>
          </w:p>
        </w:tc>
      </w:tr>
      <w:tr w14:paraId="6020A3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FD18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EB514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壁挂支架</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AE428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2C481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r>
      <w:tr w14:paraId="090F42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E235B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A6471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主扩线阵全频功放</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442E9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14BC8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r>
      <w:tr w14:paraId="7D08B6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F238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F4160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主扩线阵次低频功放</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CEBD5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52BB3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r>
      <w:tr w14:paraId="07FF96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B2838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5E7D7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超低频音箱功放</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23B4F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D1498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r>
      <w:tr w14:paraId="043916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E94C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8DFB8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台唇音箱功放</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15332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D2048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r>
      <w:tr w14:paraId="10B2FD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3F8D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0D130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返听音箱功放</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2BA11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5A6EA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r>
      <w:tr w14:paraId="59DFEC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0D64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51388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辅助音箱功放</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C7142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CDC06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r>
      <w:tr w14:paraId="710F22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CE222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26293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数字调音台</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FFAB8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0C433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r>
      <w:tr w14:paraId="748033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EAAA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C5CF4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音频处理器</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2E3C8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F5FC4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r>
      <w:tr w14:paraId="65C64B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51717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FB055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音频隔离器</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49F12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CDBE9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r>
      <w:tr w14:paraId="6576D4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0EB2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D0045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监听音箱</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FF891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20F86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只</w:t>
            </w:r>
          </w:p>
        </w:tc>
      </w:tr>
      <w:tr w14:paraId="70FDFF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DC76C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4390B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电源时序器</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73A5E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E7F44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r>
      <w:tr w14:paraId="3C3622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41AD5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2A25B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反馈抑制器</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7062F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5207F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r>
      <w:tr w14:paraId="67B3A8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AAC0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03A5A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有线IP数字会议系统主机</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3E34A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9EA0A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r>
      <w:tr w14:paraId="122B66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4BBC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13C73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方杆IP网络数字会议主席机</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9EE89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386E6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r>
      <w:tr w14:paraId="2B0E40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E34C6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B6C6E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方杆IP网络数字会议代表机</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59F22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64802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r>
      <w:tr w14:paraId="3CF9EB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66AB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7420D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真分集无线话筒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U段手持</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5A9E8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72F98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r>
      <w:tr w14:paraId="40BFEC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D4DF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F2565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真分集无线话筒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U段头戴</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2A54F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A128E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r>
      <w:tr w14:paraId="2DF3E5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14A3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26</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3E19B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天线分配放大系统</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D7F72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F235D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r>
      <w:tr w14:paraId="744767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A2CF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27</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7F398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合唱话筒</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401F6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5EB59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只</w:t>
            </w:r>
          </w:p>
        </w:tc>
      </w:tr>
      <w:tr w14:paraId="01293D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AC5B3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4B0EC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面光成像灯</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20BC6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4F888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r>
      <w:tr w14:paraId="552379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7042F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D5A18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染色灯</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305BA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8EF2F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r>
      <w:tr w14:paraId="0DFFE2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F8A0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21519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电脑光束灯</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C088A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8C2EF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r>
      <w:tr w14:paraId="3E6785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13472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01FC9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LED会议平板灯</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E65B6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598FB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r>
      <w:tr w14:paraId="4BCB51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9BCB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657B0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染色灯</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32B24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B5EA4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r>
      <w:tr w14:paraId="395340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26EE4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1D87A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电脑光束灯</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D966C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05CAF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r>
      <w:tr w14:paraId="6D91B8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2AB2D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B567F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LED会议平板灯</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EB471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43E33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r>
      <w:tr w14:paraId="0B26B4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EB8E9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B5CF4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1024控台</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8E484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EE88D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r>
      <w:tr w14:paraId="0690C6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7616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36</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722B2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信号放大器</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9DFF6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5C6E9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r>
      <w:tr w14:paraId="1293F1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A673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37</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48A18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12路直通箱</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DD70B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2D6B7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r>
      <w:tr w14:paraId="672E4B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5840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38</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350D5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固定灯杆</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BAD35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FE51D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道</w:t>
            </w:r>
          </w:p>
        </w:tc>
      </w:tr>
      <w:tr w14:paraId="4A99EA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4F63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39</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D547D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机柜</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A2B11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19505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r>
      <w:tr w14:paraId="7029E6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1DAD2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53A14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操作台</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A1A6C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54F69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r>
      <w:tr w14:paraId="0E8B07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7797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41</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F863F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电动葫芦</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7763B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2A997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r>
      <w:tr w14:paraId="106990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877A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42</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6A577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信息插盒</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3B5FE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43CA7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r>
      <w:tr w14:paraId="7338AD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A5CF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43</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BDBAC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话筒插盒</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EB627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7E0C4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r>
      <w:tr w14:paraId="318168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D08E1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44</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823E5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单口音箱插盒</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242AE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EB639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r>
      <w:tr w14:paraId="3A0972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2E41B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61653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双口音箱插盒</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A02D7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8C84E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r>
      <w:tr w14:paraId="60FB7A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7338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46</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D13F8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落地话筒支架</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8E2E5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89717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r>
      <w:tr w14:paraId="3504AF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33483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47</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DB82D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音频线</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63AB4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200</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B90F9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米</w:t>
            </w:r>
          </w:p>
        </w:tc>
      </w:tr>
      <w:tr w14:paraId="7B957E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31A7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48</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F319A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音箱线</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6B268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300</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E75B1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米</w:t>
            </w:r>
          </w:p>
        </w:tc>
      </w:tr>
      <w:tr w14:paraId="7C1366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51841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49</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D0425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音箱线</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1186B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300</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C6B4A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米</w:t>
            </w:r>
          </w:p>
        </w:tc>
      </w:tr>
      <w:tr w14:paraId="211256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9E83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A2833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同轴电缆</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C7C20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B4CF9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米</w:t>
            </w:r>
          </w:p>
        </w:tc>
      </w:tr>
      <w:tr w14:paraId="3A9C47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FCA64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51</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F164F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音频跳线</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55F6A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29F1B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条</w:t>
            </w:r>
          </w:p>
        </w:tc>
      </w:tr>
      <w:tr w14:paraId="200F9C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FB01D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52</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A7E4F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音频跳线</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D77B2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5FE65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条</w:t>
            </w:r>
          </w:p>
        </w:tc>
      </w:tr>
      <w:tr w14:paraId="7E9E6D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9834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53</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6FC39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音频跳线</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1897C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42D23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条</w:t>
            </w:r>
          </w:p>
        </w:tc>
      </w:tr>
      <w:tr w14:paraId="22C446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0BDFC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54</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F472A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灯光电源线</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29FF6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200</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769AA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米</w:t>
            </w:r>
          </w:p>
        </w:tc>
      </w:tr>
      <w:tr w14:paraId="6F0C60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C1CC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55</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EBD37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灯光信号线</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8FCB3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200</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AA34D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米</w:t>
            </w:r>
          </w:p>
        </w:tc>
      </w:tr>
      <w:tr w14:paraId="1C3076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40EE5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56</w:t>
            </w:r>
          </w:p>
        </w:tc>
        <w:tc>
          <w:tcPr>
            <w:tcW w:w="48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EC3E3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安装辅材、配件</w:t>
            </w: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7BFE0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8AEC4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r>
      <w:tr w14:paraId="66FC58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7465E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57</w:t>
            </w:r>
          </w:p>
        </w:tc>
        <w:tc>
          <w:tcPr>
            <w:tcW w:w="48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ACAA0">
            <w:pPr>
              <w:jc w:val="center"/>
              <w:rPr>
                <w:rFonts w:hint="eastAsia" w:ascii="宋体" w:hAnsi="宋体" w:eastAsia="宋体" w:cs="宋体"/>
                <w:i w:val="0"/>
                <w:iCs w:val="0"/>
                <w:color w:val="000000"/>
                <w:sz w:val="24"/>
                <w:szCs w:val="24"/>
                <w:u w:val="none"/>
              </w:rPr>
            </w:pPr>
          </w:p>
        </w:tc>
        <w:tc>
          <w:tcPr>
            <w:tcW w:w="22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813B3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53B53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r>
    </w:tbl>
    <w:p w14:paraId="31EDA0C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 w:val="24"/>
          <w:szCs w:val="24"/>
          <w:lang w:val="en-US" w:eastAsia="zh-CN"/>
        </w:rPr>
      </w:pPr>
    </w:p>
    <w:p w14:paraId="4BD99CA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cs="宋体"/>
          <w:color w:val="auto"/>
          <w:sz w:val="24"/>
          <w:szCs w:val="24"/>
          <w:lang w:val="en-US" w:eastAsia="zh-CN"/>
        </w:rPr>
        <w:t>注：本项目共设2个标段，一个投标人只能选择其中一个标段进行投标，否则，其投标文件将不予评审。投标人需对所投标段内所有采购内容进行整体投标，不得缺项漏项，否则其投标文件按无效投标处理。具体要求等详见本招标文件第五章采购清单。</w:t>
      </w:r>
    </w:p>
    <w:p w14:paraId="58E0475C">
      <w:pPr>
        <w:keepNext w:val="0"/>
        <w:keepLines w:val="0"/>
        <w:pageBreakBefore w:val="0"/>
        <w:widowControl w:val="0"/>
        <w:numPr>
          <w:ilvl w:val="0"/>
          <w:numId w:val="0"/>
        </w:numPr>
        <w:shd w:val="clear" w:color="auto" w:fill="auto"/>
        <w:kinsoku w:val="0"/>
        <w:wordWrap w:val="0"/>
        <w:overflowPunct/>
        <w:topLinePunct w:val="0"/>
        <w:autoSpaceDE/>
        <w:autoSpaceDN w:val="0"/>
        <w:bidi w:val="0"/>
        <w:adjustRightInd/>
        <w:snapToGrid/>
        <w:spacing w:line="500" w:lineRule="exact"/>
        <w:ind w:firstLine="480" w:firstLineChars="200"/>
        <w:textAlignment w:val="auto"/>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2.交货安装地点</w:t>
      </w:r>
    </w:p>
    <w:p w14:paraId="3D369FEB">
      <w:pPr>
        <w:keepNext w:val="0"/>
        <w:keepLines w:val="0"/>
        <w:pageBreakBefore w:val="0"/>
        <w:widowControl w:val="0"/>
        <w:numPr>
          <w:ilvl w:val="0"/>
          <w:numId w:val="0"/>
        </w:numPr>
        <w:shd w:val="clear" w:color="auto" w:fill="auto"/>
        <w:kinsoku w:val="0"/>
        <w:wordWrap w:val="0"/>
        <w:overflowPunct/>
        <w:topLinePunct w:val="0"/>
        <w:autoSpaceDE/>
        <w:autoSpaceDN w:val="0"/>
        <w:bidi w:val="0"/>
        <w:adjustRightInd/>
        <w:snapToGrid/>
        <w:spacing w:line="500" w:lineRule="exact"/>
        <w:ind w:firstLine="480" w:firstLineChars="200"/>
        <w:textAlignment w:val="auto"/>
        <w:rPr>
          <w:rFonts w:hint="eastAsia" w:ascii="宋体" w:hAnsi="宋体" w:eastAsia="宋体" w:cs="宋体"/>
          <w:b w:val="0"/>
          <w:bCs w:val="0"/>
          <w:color w:val="auto"/>
          <w:kern w:val="0"/>
          <w:sz w:val="24"/>
          <w:szCs w:val="24"/>
          <w:highlight w:val="cyan"/>
        </w:rPr>
      </w:pPr>
      <w:r>
        <w:rPr>
          <w:rFonts w:hint="eastAsia" w:ascii="宋体" w:hAnsi="宋体" w:cs="宋体"/>
          <w:b w:val="0"/>
          <w:bCs w:val="0"/>
          <w:color w:val="auto"/>
          <w:kern w:val="0"/>
          <w:sz w:val="24"/>
          <w:szCs w:val="24"/>
          <w:highlight w:val="none"/>
          <w:lang w:val="en-US" w:eastAsia="zh-CN" w:bidi="ar-SA"/>
        </w:rPr>
        <w:t>金钟街道文笔小学</w:t>
      </w:r>
      <w:r>
        <w:rPr>
          <w:rFonts w:hint="eastAsia" w:ascii="宋体" w:hAnsi="宋体" w:eastAsia="宋体" w:cs="宋体"/>
          <w:b w:val="0"/>
          <w:bCs w:val="0"/>
          <w:color w:val="auto"/>
          <w:kern w:val="0"/>
          <w:sz w:val="24"/>
          <w:szCs w:val="24"/>
          <w:highlight w:val="none"/>
        </w:rPr>
        <w:t>。</w:t>
      </w:r>
    </w:p>
    <w:p w14:paraId="5861AFD8">
      <w:pPr>
        <w:keepNext w:val="0"/>
        <w:keepLines w:val="0"/>
        <w:pageBreakBefore w:val="0"/>
        <w:widowControl w:val="0"/>
        <w:numPr>
          <w:ilvl w:val="0"/>
          <w:numId w:val="0"/>
        </w:numPr>
        <w:shd w:val="clear" w:color="auto" w:fill="auto"/>
        <w:kinsoku w:val="0"/>
        <w:wordWrap w:val="0"/>
        <w:overflowPunct/>
        <w:topLinePunct w:val="0"/>
        <w:autoSpaceDE/>
        <w:bidi w:val="0"/>
        <w:adjustRightInd/>
        <w:snapToGrid/>
        <w:spacing w:line="500" w:lineRule="exact"/>
        <w:ind w:firstLine="480" w:firstLineChars="200"/>
        <w:textAlignment w:val="auto"/>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3.交货安装要求</w:t>
      </w:r>
    </w:p>
    <w:p w14:paraId="55E883FC">
      <w:pPr>
        <w:keepNext w:val="0"/>
        <w:keepLines w:val="0"/>
        <w:pageBreakBefore w:val="0"/>
        <w:widowControl w:val="0"/>
        <w:numPr>
          <w:ilvl w:val="0"/>
          <w:numId w:val="0"/>
        </w:numPr>
        <w:shd w:val="clear" w:color="auto" w:fill="auto"/>
        <w:kinsoku w:val="0"/>
        <w:wordWrap w:val="0"/>
        <w:overflowPunct/>
        <w:topLinePunct w:val="0"/>
        <w:autoSpaceDE/>
        <w:bidi w:val="0"/>
        <w:adjustRightInd/>
        <w:snapToGrid/>
        <w:spacing w:line="500" w:lineRule="exact"/>
        <w:ind w:firstLine="480" w:firstLineChars="200"/>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lang w:val="en-US" w:eastAsia="zh-CN" w:bidi="ar-SA"/>
        </w:rPr>
        <w:t>供应商应按照本项目的采购内容及数量完成所有设备的生产（或采购）、运输、安装、调试、验收、培训及售后服务（质保期内）工作，确保所有设备功能均能满足采购人使用要求，并承担所供设备验收合格前的所有费用。</w:t>
      </w:r>
    </w:p>
    <w:p w14:paraId="11135D06">
      <w:pPr>
        <w:keepNext w:val="0"/>
        <w:keepLines w:val="0"/>
        <w:pageBreakBefore w:val="0"/>
        <w:widowControl w:val="0"/>
        <w:numPr>
          <w:ilvl w:val="0"/>
          <w:numId w:val="0"/>
        </w:numPr>
        <w:shd w:val="clear" w:color="auto" w:fill="auto"/>
        <w:kinsoku w:val="0"/>
        <w:wordWrap w:val="0"/>
        <w:overflowPunct/>
        <w:topLinePunct w:val="0"/>
        <w:autoSpaceDE/>
        <w:autoSpaceDN w:val="0"/>
        <w:bidi w:val="0"/>
        <w:adjustRightInd/>
        <w:snapToGrid/>
        <w:spacing w:line="500" w:lineRule="exact"/>
        <w:ind w:left="0" w:leftChars="0" w:firstLine="480" w:firstLineChars="200"/>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bidi="ar-SA"/>
        </w:rPr>
        <w:t>4.</w:t>
      </w:r>
      <w:r>
        <w:rPr>
          <w:rFonts w:hint="eastAsia" w:ascii="宋体" w:hAnsi="宋体" w:eastAsia="宋体" w:cs="宋体"/>
          <w:b w:val="0"/>
          <w:bCs w:val="0"/>
          <w:color w:val="auto"/>
          <w:kern w:val="0"/>
          <w:sz w:val="24"/>
          <w:szCs w:val="24"/>
          <w:highlight w:val="none"/>
          <w:lang w:eastAsia="zh-CN"/>
        </w:rPr>
        <w:t>质量要求</w:t>
      </w:r>
    </w:p>
    <w:p w14:paraId="5D7B32B6">
      <w:pPr>
        <w:keepNext w:val="0"/>
        <w:keepLines w:val="0"/>
        <w:pageBreakBefore w:val="0"/>
        <w:widowControl w:val="0"/>
        <w:numPr>
          <w:ilvl w:val="0"/>
          <w:numId w:val="0"/>
        </w:numPr>
        <w:shd w:val="clear" w:color="auto" w:fill="auto"/>
        <w:kinsoku w:val="0"/>
        <w:wordWrap w:val="0"/>
        <w:overflowPunct/>
        <w:topLinePunct w:val="0"/>
        <w:autoSpaceDE/>
        <w:autoSpaceDN w:val="0"/>
        <w:bidi w:val="0"/>
        <w:adjustRightInd/>
        <w:snapToGrid/>
        <w:spacing w:line="500" w:lineRule="exact"/>
        <w:ind w:left="0" w:leftChars="0" w:firstLine="480" w:firstLineChars="200"/>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lang w:val="en-US" w:eastAsia="zh-CN"/>
        </w:rPr>
        <w:t>本项目采购所有设备必须为原装、全新、成套、未被淘汰的设备，保证使用方在使用过程中不受第三方提出侵犯其专利权、商标权和工业设计权的起诉。所有设备质量均须符合国家、行业相关标准以及满足采购人使用需求，并保证一次性验收合格。</w:t>
      </w:r>
    </w:p>
    <w:p w14:paraId="42C023D6">
      <w:pPr>
        <w:keepNext w:val="0"/>
        <w:keepLines w:val="0"/>
        <w:pageBreakBefore w:val="0"/>
        <w:widowControl w:val="0"/>
        <w:numPr>
          <w:ilvl w:val="0"/>
          <w:numId w:val="0"/>
        </w:numPr>
        <w:shd w:val="clear" w:color="auto" w:fill="auto"/>
        <w:kinsoku w:val="0"/>
        <w:wordWrap w:val="0"/>
        <w:overflowPunct/>
        <w:topLinePunct w:val="0"/>
        <w:autoSpaceDE/>
        <w:autoSpaceDN w:val="0"/>
        <w:bidi w:val="0"/>
        <w:adjustRightInd/>
        <w:snapToGrid/>
        <w:spacing w:line="500" w:lineRule="exact"/>
        <w:ind w:left="0" w:leftChars="0" w:firstLine="480" w:firstLineChars="200"/>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bidi="ar-SA"/>
        </w:rPr>
        <w:t>5.</w:t>
      </w:r>
      <w:r>
        <w:rPr>
          <w:rFonts w:hint="eastAsia" w:ascii="宋体" w:hAnsi="宋体" w:eastAsia="宋体" w:cs="宋体"/>
          <w:b w:val="0"/>
          <w:bCs w:val="0"/>
          <w:color w:val="auto"/>
          <w:kern w:val="0"/>
          <w:sz w:val="24"/>
          <w:szCs w:val="24"/>
          <w:highlight w:val="none"/>
          <w:lang w:val="en-US" w:eastAsia="zh-CN"/>
        </w:rPr>
        <w:t>质保期</w:t>
      </w:r>
    </w:p>
    <w:p w14:paraId="4F8E0E9B">
      <w:pPr>
        <w:keepNext w:val="0"/>
        <w:keepLines w:val="0"/>
        <w:pageBreakBefore w:val="0"/>
        <w:widowControl w:val="0"/>
        <w:numPr>
          <w:ilvl w:val="0"/>
          <w:numId w:val="0"/>
        </w:numPr>
        <w:shd w:val="clear" w:color="auto" w:fill="auto"/>
        <w:kinsoku w:val="0"/>
        <w:wordWrap w:val="0"/>
        <w:overflowPunct/>
        <w:topLinePunct w:val="0"/>
        <w:autoSpaceDE/>
        <w:autoSpaceDN w:val="0"/>
        <w:bidi w:val="0"/>
        <w:adjustRightInd/>
        <w:snapToGrid/>
        <w:spacing w:line="500" w:lineRule="exact"/>
        <w:ind w:left="0" w:leftChars="0" w:firstLine="480" w:firstLineChars="200"/>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国家有质保期要求的设备，其质保期不得低于国家规定，没有质保期要求的不得少于一年（自验收合格次日起计）。</w:t>
      </w:r>
    </w:p>
    <w:p w14:paraId="6E12E4FA">
      <w:pPr>
        <w:keepNext w:val="0"/>
        <w:keepLines w:val="0"/>
        <w:pageBreakBefore w:val="0"/>
        <w:widowControl w:val="0"/>
        <w:numPr>
          <w:ilvl w:val="0"/>
          <w:numId w:val="0"/>
        </w:numPr>
        <w:shd w:val="clear" w:color="auto" w:fill="auto"/>
        <w:kinsoku w:val="0"/>
        <w:wordWrap w:val="0"/>
        <w:overflowPunct/>
        <w:topLinePunct w:val="0"/>
        <w:autoSpaceDE/>
        <w:autoSpaceDN w:val="0"/>
        <w:bidi w:val="0"/>
        <w:adjustRightInd/>
        <w:snapToGrid/>
        <w:spacing w:line="500" w:lineRule="exact"/>
        <w:ind w:left="0" w:leftChars="0" w:firstLine="480" w:firstLineChars="200"/>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bidi="ar-SA"/>
        </w:rPr>
        <w:t>6.</w:t>
      </w:r>
      <w:r>
        <w:rPr>
          <w:rFonts w:hint="eastAsia" w:ascii="宋体" w:hAnsi="宋体" w:eastAsia="宋体" w:cs="宋体"/>
          <w:b w:val="0"/>
          <w:bCs w:val="0"/>
          <w:color w:val="auto"/>
          <w:kern w:val="0"/>
          <w:sz w:val="24"/>
          <w:szCs w:val="24"/>
          <w:highlight w:val="none"/>
        </w:rPr>
        <w:t>售后服务</w:t>
      </w:r>
      <w:r>
        <w:rPr>
          <w:rFonts w:hint="eastAsia" w:ascii="宋体" w:hAnsi="宋体" w:eastAsia="宋体" w:cs="宋体"/>
          <w:b w:val="0"/>
          <w:bCs w:val="0"/>
          <w:color w:val="auto"/>
          <w:kern w:val="0"/>
          <w:sz w:val="24"/>
          <w:szCs w:val="24"/>
          <w:highlight w:val="none"/>
          <w:lang w:val="en-US" w:eastAsia="zh-CN"/>
        </w:rPr>
        <w:t>要求</w:t>
      </w:r>
    </w:p>
    <w:p w14:paraId="11523257">
      <w:pPr>
        <w:keepNext w:val="0"/>
        <w:keepLines w:val="0"/>
        <w:pageBreakBefore w:val="0"/>
        <w:widowControl w:val="0"/>
        <w:numPr>
          <w:ilvl w:val="0"/>
          <w:numId w:val="0"/>
        </w:numPr>
        <w:shd w:val="clear" w:color="auto" w:fill="auto"/>
        <w:kinsoku w:val="0"/>
        <w:wordWrap w:val="0"/>
        <w:overflowPunct/>
        <w:topLinePunct w:val="0"/>
        <w:autoSpaceDE/>
        <w:autoSpaceDN w:val="0"/>
        <w:bidi w:val="0"/>
        <w:adjustRightInd/>
        <w:snapToGrid/>
        <w:spacing w:line="500" w:lineRule="exact"/>
        <w:ind w:left="0" w:leftChars="0" w:firstLine="480" w:firstLineChars="200"/>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kern w:val="0"/>
          <w:sz w:val="24"/>
          <w:szCs w:val="24"/>
          <w:highlight w:val="none"/>
          <w:lang w:val="en-US" w:eastAsia="zh-CN"/>
        </w:rPr>
        <w:t>质保期内，供应商需对所供设备提供全免费上门维修保养或更换服务，同一设备、同一质量问题出现连续三次维修仍无法正常使用，供应商必须予以更换同品牌、同型号或不低于投标配置的其他全新设备；售后服务人员须在收到故障报告后2小时内响应，12小时到达现场为采购人提供售后服务。质保期结束后，仍须供应商提供售后服务的，仅收取维修成本费（自然灾害及人为损坏除外）</w:t>
      </w:r>
      <w:r>
        <w:rPr>
          <w:rFonts w:hint="eastAsia" w:ascii="宋体" w:hAnsi="宋体" w:eastAsia="宋体" w:cs="宋体"/>
          <w:b w:val="0"/>
          <w:bCs w:val="0"/>
          <w:color w:val="auto"/>
          <w:kern w:val="0"/>
          <w:sz w:val="24"/>
          <w:szCs w:val="24"/>
          <w:highlight w:val="none"/>
          <w:lang w:eastAsia="zh-CN"/>
        </w:rPr>
        <w:t>。</w:t>
      </w:r>
    </w:p>
    <w:p w14:paraId="60CAA70D">
      <w:pPr>
        <w:keepNext w:val="0"/>
        <w:keepLines w:val="0"/>
        <w:pageBreakBefore w:val="0"/>
        <w:widowControl w:val="0"/>
        <w:numPr>
          <w:ilvl w:val="0"/>
          <w:numId w:val="0"/>
        </w:numPr>
        <w:shd w:val="clear" w:color="auto" w:fill="auto"/>
        <w:kinsoku w:val="0"/>
        <w:wordWrap w:val="0"/>
        <w:overflowPunct/>
        <w:topLinePunct w:val="0"/>
        <w:autoSpaceDE/>
        <w:autoSpaceDN w:val="0"/>
        <w:bidi w:val="0"/>
        <w:adjustRightInd/>
        <w:snapToGrid/>
        <w:spacing w:line="500" w:lineRule="exact"/>
        <w:ind w:left="0" w:leftChars="0" w:firstLine="480" w:firstLineChars="200"/>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bidi="ar-SA"/>
        </w:rPr>
        <w:t>7.</w:t>
      </w:r>
      <w:r>
        <w:rPr>
          <w:rFonts w:hint="eastAsia" w:ascii="宋体" w:hAnsi="宋体" w:eastAsia="宋体" w:cs="宋体"/>
          <w:b w:val="0"/>
          <w:bCs w:val="0"/>
          <w:color w:val="auto"/>
          <w:kern w:val="0"/>
          <w:sz w:val="24"/>
          <w:szCs w:val="24"/>
          <w:highlight w:val="none"/>
          <w:lang w:eastAsia="zh-CN"/>
        </w:rPr>
        <w:t>技术培训</w:t>
      </w:r>
      <w:r>
        <w:rPr>
          <w:rFonts w:hint="eastAsia" w:ascii="宋体" w:hAnsi="宋体" w:eastAsia="宋体" w:cs="宋体"/>
          <w:b w:val="0"/>
          <w:bCs w:val="0"/>
          <w:color w:val="auto"/>
          <w:kern w:val="0"/>
          <w:sz w:val="24"/>
          <w:szCs w:val="24"/>
          <w:highlight w:val="none"/>
          <w:lang w:val="en-US" w:eastAsia="zh-CN"/>
        </w:rPr>
        <w:t>要求</w:t>
      </w:r>
    </w:p>
    <w:p w14:paraId="0F61AFE5">
      <w:pPr>
        <w:keepNext w:val="0"/>
        <w:keepLines w:val="0"/>
        <w:pageBreakBefore w:val="0"/>
        <w:widowControl w:val="0"/>
        <w:numPr>
          <w:ilvl w:val="0"/>
          <w:numId w:val="0"/>
        </w:numPr>
        <w:shd w:val="clear" w:color="auto" w:fill="auto"/>
        <w:kinsoku w:val="0"/>
        <w:wordWrap w:val="0"/>
        <w:overflowPunct/>
        <w:topLinePunct w:val="0"/>
        <w:autoSpaceDE/>
        <w:autoSpaceDN w:val="0"/>
        <w:bidi w:val="0"/>
        <w:adjustRightInd/>
        <w:snapToGrid/>
        <w:spacing w:line="500" w:lineRule="exact"/>
        <w:ind w:left="0" w:leftChars="0" w:firstLine="480" w:firstLineChars="200"/>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根据采购人需求，供应商应免费对项目所涉人员进行全面技术培训，培训内容包括设备的使用、常规故障解决、维修、维护及保养等，确保培训后的操作人员具备独立操作使用设备的能力</w:t>
      </w:r>
      <w:r>
        <w:rPr>
          <w:rFonts w:hint="eastAsia" w:ascii="宋体" w:hAnsi="宋体" w:eastAsia="宋体" w:cs="宋体"/>
          <w:b w:val="0"/>
          <w:bCs w:val="0"/>
          <w:color w:val="auto"/>
          <w:kern w:val="0"/>
          <w:sz w:val="24"/>
          <w:szCs w:val="24"/>
          <w:highlight w:val="none"/>
          <w:lang w:val="en-US" w:eastAsia="zh-CN"/>
        </w:rPr>
        <w:t>。</w:t>
      </w:r>
    </w:p>
    <w:p w14:paraId="2D435826">
      <w:pPr>
        <w:keepNext w:val="0"/>
        <w:keepLines w:val="0"/>
        <w:pageBreakBefore w:val="0"/>
        <w:widowControl w:val="0"/>
        <w:numPr>
          <w:ilvl w:val="0"/>
          <w:numId w:val="0"/>
        </w:numPr>
        <w:shd w:val="clear" w:color="auto" w:fill="auto"/>
        <w:kinsoku w:val="0"/>
        <w:wordWrap w:val="0"/>
        <w:overflowPunct/>
        <w:topLinePunct w:val="0"/>
        <w:autoSpaceDE/>
        <w:autoSpaceDN w:val="0"/>
        <w:bidi w:val="0"/>
        <w:adjustRightInd/>
        <w:snapToGrid/>
        <w:spacing w:line="500" w:lineRule="exact"/>
        <w:ind w:left="0" w:leftChars="0" w:firstLine="480" w:firstLineChars="200"/>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bidi="ar-SA"/>
        </w:rPr>
        <w:t>8.</w:t>
      </w:r>
      <w:r>
        <w:rPr>
          <w:rFonts w:hint="eastAsia" w:ascii="宋体" w:hAnsi="宋体" w:eastAsia="宋体" w:cs="宋体"/>
          <w:b w:val="0"/>
          <w:bCs w:val="0"/>
          <w:color w:val="auto"/>
          <w:kern w:val="0"/>
          <w:sz w:val="24"/>
          <w:szCs w:val="24"/>
          <w:highlight w:val="none"/>
          <w:lang w:eastAsia="zh-CN"/>
        </w:rPr>
        <w:t>验收标准</w:t>
      </w:r>
    </w:p>
    <w:p w14:paraId="099A04AA">
      <w:pPr>
        <w:keepNext w:val="0"/>
        <w:keepLines w:val="0"/>
        <w:pageBreakBefore w:val="0"/>
        <w:widowControl w:val="0"/>
        <w:numPr>
          <w:ilvl w:val="0"/>
          <w:numId w:val="0"/>
        </w:numPr>
        <w:shd w:val="clear" w:color="auto" w:fill="auto"/>
        <w:kinsoku w:val="0"/>
        <w:wordWrap w:val="0"/>
        <w:overflowPunct/>
        <w:topLinePunct w:val="0"/>
        <w:autoSpaceDE/>
        <w:autoSpaceDN w:val="0"/>
        <w:bidi w:val="0"/>
        <w:adjustRightInd/>
        <w:snapToGrid/>
        <w:spacing w:line="500" w:lineRule="exact"/>
        <w:ind w:left="0" w:leftChars="0" w:firstLine="480" w:firstLineChars="200"/>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（1）所有设备到达现场后，由供应商拟派项目负责人与采购人项目责任人进行初步验收。验收内容包括设备的数量、类别、包装、规格、型号及设备资料等，不符合验收标准的，供应商须免费更换或补增。</w:t>
      </w:r>
    </w:p>
    <w:p w14:paraId="3D7DA9C7">
      <w:pPr>
        <w:keepNext w:val="0"/>
        <w:keepLines w:val="0"/>
        <w:pageBreakBefore w:val="0"/>
        <w:widowControl w:val="0"/>
        <w:numPr>
          <w:ilvl w:val="0"/>
          <w:numId w:val="0"/>
        </w:numPr>
        <w:shd w:val="clear" w:color="auto" w:fill="auto"/>
        <w:kinsoku w:val="0"/>
        <w:wordWrap w:val="0"/>
        <w:overflowPunct/>
        <w:topLinePunct w:val="0"/>
        <w:autoSpaceDE/>
        <w:autoSpaceDN w:val="0"/>
        <w:bidi w:val="0"/>
        <w:adjustRightInd/>
        <w:snapToGrid/>
        <w:spacing w:line="500" w:lineRule="exact"/>
        <w:ind w:leftChars="0" w:firstLine="480" w:firstLineChars="200"/>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2）所有设备安装调试完成后，由供应商拟派项目负责人与采购人项目责任人进行项目交付验收。验收内容包括各项设施设备的运行状况，设备的使用功能是否均能满足采购人需求等。验收不通过的，供应商须严格按采购人要求及行业标准规范进行整改，直至验收合格。</w:t>
      </w:r>
    </w:p>
    <w:p w14:paraId="037E7B96">
      <w:pPr>
        <w:keepNext w:val="0"/>
        <w:keepLines w:val="0"/>
        <w:pageBreakBefore w:val="0"/>
        <w:widowControl w:val="0"/>
        <w:numPr>
          <w:ilvl w:val="0"/>
          <w:numId w:val="0"/>
        </w:numPr>
        <w:shd w:val="clear" w:color="auto" w:fill="auto"/>
        <w:kinsoku w:val="0"/>
        <w:wordWrap w:val="0"/>
        <w:overflowPunct/>
        <w:topLinePunct w:val="0"/>
        <w:autoSpaceDE/>
        <w:autoSpaceDN w:val="0"/>
        <w:bidi w:val="0"/>
        <w:adjustRightInd/>
        <w:snapToGrid/>
        <w:spacing w:line="500" w:lineRule="exact"/>
        <w:ind w:leftChars="0" w:firstLine="480" w:firstLineChars="200"/>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lang w:val="en-US" w:eastAsia="zh-CN"/>
        </w:rPr>
        <w:t>（3）所有设施设备经采购人验收通过，正常使用1周，确认各项设备使用功能均满足采购人要求后，供应商向采购人提交全套相关技术资料（使用手册或说明书、培训资料、程序安装维护手册等）后，由采购人签发验收合格通知书，并由供应商向采购人提供成套、完整的验收资料。</w:t>
      </w:r>
    </w:p>
    <w:p w14:paraId="53757E3D">
      <w:pPr>
        <w:keepNext w:val="0"/>
        <w:keepLines w:val="0"/>
        <w:pageBreakBefore w:val="0"/>
        <w:widowControl w:val="0"/>
        <w:numPr>
          <w:ilvl w:val="0"/>
          <w:numId w:val="0"/>
        </w:numPr>
        <w:shd w:val="clear" w:color="auto" w:fill="auto"/>
        <w:kinsoku w:val="0"/>
        <w:wordWrap w:val="0"/>
        <w:overflowPunct/>
        <w:topLinePunct w:val="0"/>
        <w:autoSpaceDE/>
        <w:autoSpaceDN w:val="0"/>
        <w:bidi w:val="0"/>
        <w:adjustRightInd/>
        <w:snapToGrid/>
        <w:spacing w:line="500" w:lineRule="exact"/>
        <w:ind w:leftChars="0" w:firstLine="480" w:firstLineChars="200"/>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合同履行期</w:t>
      </w:r>
      <w:r>
        <w:rPr>
          <w:rFonts w:hint="eastAsia" w:ascii="宋体" w:hAnsi="宋体" w:eastAsia="宋体" w:cs="宋体"/>
          <w:b w:val="0"/>
          <w:bCs w:val="0"/>
          <w:color w:val="auto"/>
          <w:kern w:val="0"/>
          <w:sz w:val="24"/>
          <w:szCs w:val="24"/>
          <w:highlight w:val="none"/>
          <w:lang w:val="en-US" w:eastAsia="zh-CN"/>
        </w:rPr>
        <w:t>限：合同签订后30日历天内完成所有设备的交货。满足开学所需基本条件设备（如：学生桌、椅，教师办公设备，教室大屏等）须在合同签订后30日历天内完成安装、调试、验收交付并投入使用，并确保所投入设备均能正常使用并通过验收，满足办学需求，保证学校能正常开学。其余设备的安装、调试、验收交付期限根据实际需要另行确定。</w:t>
      </w:r>
    </w:p>
    <w:p w14:paraId="6EC1E235">
      <w:pPr>
        <w:keepNext w:val="0"/>
        <w:keepLines w:val="0"/>
        <w:pageBreakBefore w:val="0"/>
        <w:widowControl w:val="0"/>
        <w:shd w:val="clear" w:color="auto" w:fill="auto"/>
        <w:kinsoku w:val="0"/>
        <w:wordWrap w:val="0"/>
        <w:overflowPunct/>
        <w:topLinePunct w:val="0"/>
        <w:autoSpaceDE/>
        <w:autoSpaceDN w:val="0"/>
        <w:bidi w:val="0"/>
        <w:adjustRightInd/>
        <w:snapToGrid/>
        <w:spacing w:line="500" w:lineRule="exact"/>
        <w:ind w:firstLine="480" w:firstLineChars="200"/>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本项目</w:t>
      </w:r>
      <w:r>
        <w:rPr>
          <w:rFonts w:hint="eastAsia" w:ascii="宋体" w:hAnsi="宋体" w:cs="宋体"/>
          <w:b w:val="0"/>
          <w:bCs w:val="0"/>
          <w:color w:val="auto"/>
          <w:kern w:val="0"/>
          <w:sz w:val="24"/>
          <w:szCs w:val="24"/>
          <w:highlight w:val="none"/>
          <w:lang w:val="en-US" w:eastAsia="zh-CN"/>
        </w:rPr>
        <w:t>不</w:t>
      </w:r>
      <w:r>
        <w:rPr>
          <w:rFonts w:hint="eastAsia" w:ascii="宋体" w:hAnsi="宋体" w:eastAsia="宋体" w:cs="宋体"/>
          <w:b w:val="0"/>
          <w:bCs w:val="0"/>
          <w:color w:val="auto"/>
          <w:kern w:val="0"/>
          <w:sz w:val="24"/>
          <w:szCs w:val="24"/>
          <w:highlight w:val="none"/>
        </w:rPr>
        <w:t>接受联合体投标。</w:t>
      </w:r>
    </w:p>
    <w:p w14:paraId="33088149">
      <w:pPr>
        <w:keepNext w:val="0"/>
        <w:keepLines w:val="0"/>
        <w:pageBreakBefore w:val="0"/>
        <w:widowControl w:val="0"/>
        <w:shd w:val="clear" w:color="auto" w:fill="auto"/>
        <w:kinsoku w:val="0"/>
        <w:wordWrap w:val="0"/>
        <w:overflowPunct/>
        <w:topLinePunct w:val="0"/>
        <w:autoSpaceDE/>
        <w:bidi w:val="0"/>
        <w:adjustRightInd/>
        <w:snapToGrid/>
        <w:spacing w:line="500" w:lineRule="exact"/>
        <w:jc w:val="left"/>
        <w:textAlignment w:val="auto"/>
        <w:rPr>
          <w:rFonts w:hint="eastAsia" w:ascii="宋体" w:hAnsi="宋体" w:eastAsia="宋体" w:cs="宋体"/>
          <w:b/>
          <w:bCs/>
          <w:color w:val="auto"/>
          <w:sz w:val="24"/>
          <w:szCs w:val="24"/>
          <w:highlight w:val="none"/>
        </w:rPr>
      </w:pPr>
      <w:bookmarkStart w:id="7" w:name="_Toc28359003"/>
      <w:bookmarkStart w:id="8" w:name="_Toc35393791"/>
      <w:bookmarkStart w:id="9" w:name="_Toc28359080"/>
      <w:bookmarkStart w:id="10" w:name="_Toc35393622"/>
      <w:r>
        <w:rPr>
          <w:rFonts w:hint="eastAsia" w:ascii="宋体" w:hAnsi="宋体" w:eastAsia="宋体" w:cs="宋体"/>
          <w:b/>
          <w:bCs/>
          <w:color w:val="auto"/>
          <w:sz w:val="24"/>
          <w:szCs w:val="24"/>
          <w:highlight w:val="none"/>
        </w:rPr>
        <w:t>二、</w:t>
      </w:r>
      <w:r>
        <w:rPr>
          <w:rFonts w:hint="eastAsia" w:ascii="宋体" w:hAnsi="宋体" w:eastAsia="宋体" w:cs="宋体"/>
          <w:b/>
          <w:bCs/>
          <w:color w:val="auto"/>
          <w:sz w:val="24"/>
          <w:szCs w:val="24"/>
          <w:highlight w:val="none"/>
          <w:lang w:val="en-US" w:eastAsia="zh-CN"/>
        </w:rPr>
        <w:t>供应商</w:t>
      </w:r>
      <w:r>
        <w:rPr>
          <w:rFonts w:hint="eastAsia" w:ascii="宋体" w:hAnsi="宋体" w:eastAsia="宋体" w:cs="宋体"/>
          <w:b/>
          <w:bCs/>
          <w:color w:val="auto"/>
          <w:sz w:val="24"/>
          <w:szCs w:val="24"/>
          <w:highlight w:val="none"/>
        </w:rPr>
        <w:t>的资格要求：</w:t>
      </w:r>
      <w:bookmarkEnd w:id="7"/>
      <w:bookmarkEnd w:id="8"/>
      <w:bookmarkEnd w:id="9"/>
      <w:bookmarkEnd w:id="10"/>
    </w:p>
    <w:p w14:paraId="09E9239F">
      <w:pPr>
        <w:keepNext w:val="0"/>
        <w:keepLines w:val="0"/>
        <w:pageBreakBefore w:val="0"/>
        <w:widowControl w:val="0"/>
        <w:shd w:val="clear" w:color="auto" w:fill="auto"/>
        <w:kinsoku w:val="0"/>
        <w:wordWrap w:val="0"/>
        <w:overflowPunct/>
        <w:topLinePunct w:val="0"/>
        <w:autoSpaceDE/>
        <w:autoSpaceDN/>
        <w:bidi w:val="0"/>
        <w:adjustRightInd/>
        <w:snapToGrid/>
        <w:spacing w:line="500" w:lineRule="exact"/>
        <w:ind w:firstLine="480" w:firstLineChars="200"/>
        <w:jc w:val="left"/>
        <w:textAlignment w:val="auto"/>
        <w:rPr>
          <w:rFonts w:hint="eastAsia" w:ascii="宋体" w:hAnsi="宋体" w:cs="宋体"/>
          <w:color w:val="auto"/>
          <w:sz w:val="24"/>
          <w:szCs w:val="24"/>
          <w:highlight w:val="none"/>
          <w:lang w:eastAsia="zh-CN"/>
        </w:rPr>
      </w:pPr>
      <w:bookmarkStart w:id="11" w:name="_Toc35393792"/>
      <w:bookmarkStart w:id="12" w:name="_Toc35393623"/>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一</w:t>
      </w:r>
      <w:r>
        <w:rPr>
          <w:rFonts w:hint="eastAsia" w:ascii="宋体" w:hAnsi="宋体" w:eastAsia="宋体" w:cs="宋体"/>
          <w:color w:val="auto"/>
          <w:sz w:val="24"/>
          <w:szCs w:val="24"/>
          <w:highlight w:val="none"/>
          <w:lang w:eastAsia="zh-CN"/>
        </w:rPr>
        <w:t>）满足《中华人民共和国政府采购法》第二十二条规定</w:t>
      </w:r>
      <w:r>
        <w:rPr>
          <w:rFonts w:hint="eastAsia" w:ascii="宋体" w:hAnsi="宋体" w:cs="宋体"/>
          <w:color w:val="auto"/>
          <w:sz w:val="24"/>
          <w:szCs w:val="24"/>
          <w:highlight w:val="none"/>
          <w:lang w:eastAsia="zh-CN"/>
        </w:rPr>
        <w:t>：</w:t>
      </w:r>
    </w:p>
    <w:p w14:paraId="69FF32C3">
      <w:pPr>
        <w:keepNext w:val="0"/>
        <w:keepLines w:val="0"/>
        <w:pageBreakBefore w:val="0"/>
        <w:widowControl w:val="0"/>
        <w:shd w:val="clear" w:color="auto" w:fill="auto"/>
        <w:kinsoku w:val="0"/>
        <w:wordWrap w:val="0"/>
        <w:overflowPunct/>
        <w:topLinePunct w:val="0"/>
        <w:autoSpaceDE/>
        <w:autoSpaceDN/>
        <w:bidi w:val="0"/>
        <w:adjustRightInd/>
        <w:snapToGrid/>
        <w:spacing w:line="500" w:lineRule="exact"/>
        <w:ind w:firstLine="480" w:firstLineChars="200"/>
        <w:jc w:val="left"/>
        <w:textAlignment w:val="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lang w:eastAsia="zh-CN"/>
        </w:rPr>
        <w:t xml:space="preserve">具有独立承担民事责任的能力； </w:t>
      </w:r>
    </w:p>
    <w:p w14:paraId="625D0E78">
      <w:pPr>
        <w:keepNext w:val="0"/>
        <w:keepLines w:val="0"/>
        <w:pageBreakBefore w:val="0"/>
        <w:widowControl w:val="0"/>
        <w:shd w:val="clear" w:color="auto" w:fill="auto"/>
        <w:kinsoku w:val="0"/>
        <w:wordWrap w:val="0"/>
        <w:overflowPunct/>
        <w:topLinePunct w:val="0"/>
        <w:autoSpaceDE/>
        <w:autoSpaceDN/>
        <w:bidi w:val="0"/>
        <w:adjustRightInd/>
        <w:snapToGrid/>
        <w:spacing w:line="500" w:lineRule="exact"/>
        <w:ind w:firstLine="480" w:firstLineChars="200"/>
        <w:jc w:val="left"/>
        <w:textAlignment w:val="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lang w:eastAsia="zh-CN"/>
        </w:rPr>
        <w:t>具有良好的商业信誉和健全的财务会计制度；</w:t>
      </w:r>
    </w:p>
    <w:p w14:paraId="16A796A0">
      <w:pPr>
        <w:keepNext w:val="0"/>
        <w:keepLines w:val="0"/>
        <w:pageBreakBefore w:val="0"/>
        <w:widowControl w:val="0"/>
        <w:shd w:val="clear" w:color="auto" w:fill="auto"/>
        <w:kinsoku w:val="0"/>
        <w:wordWrap w:val="0"/>
        <w:overflowPunct/>
        <w:topLinePunct w:val="0"/>
        <w:autoSpaceDE/>
        <w:autoSpaceDN/>
        <w:bidi w:val="0"/>
        <w:adjustRightInd/>
        <w:snapToGrid/>
        <w:spacing w:line="500" w:lineRule="exact"/>
        <w:ind w:firstLine="480" w:firstLineChars="200"/>
        <w:jc w:val="left"/>
        <w:textAlignment w:val="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lang w:eastAsia="zh-CN"/>
        </w:rPr>
        <w:t>具有履行合同所必需的设备和专业技术能力；</w:t>
      </w:r>
    </w:p>
    <w:p w14:paraId="646E2897">
      <w:pPr>
        <w:keepNext w:val="0"/>
        <w:keepLines w:val="0"/>
        <w:pageBreakBefore w:val="0"/>
        <w:widowControl w:val="0"/>
        <w:shd w:val="clear" w:color="auto" w:fill="auto"/>
        <w:kinsoku w:val="0"/>
        <w:wordWrap w:val="0"/>
        <w:overflowPunct/>
        <w:topLinePunct w:val="0"/>
        <w:autoSpaceDE/>
        <w:autoSpaceDN/>
        <w:bidi w:val="0"/>
        <w:adjustRightInd/>
        <w:snapToGrid/>
        <w:spacing w:line="500" w:lineRule="exact"/>
        <w:ind w:firstLine="480" w:firstLineChars="200"/>
        <w:jc w:val="left"/>
        <w:textAlignment w:val="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lang w:eastAsia="zh-CN"/>
        </w:rPr>
        <w:t>有依法缴纳税收和社会保障资金的良好记录；</w:t>
      </w:r>
    </w:p>
    <w:p w14:paraId="63DC9620">
      <w:pPr>
        <w:keepNext w:val="0"/>
        <w:keepLines w:val="0"/>
        <w:pageBreakBefore w:val="0"/>
        <w:widowControl w:val="0"/>
        <w:shd w:val="clear" w:color="auto" w:fill="auto"/>
        <w:kinsoku w:val="0"/>
        <w:wordWrap w:val="0"/>
        <w:overflowPunct/>
        <w:topLinePunct w:val="0"/>
        <w:autoSpaceDE/>
        <w:autoSpaceDN/>
        <w:bidi w:val="0"/>
        <w:adjustRightInd/>
        <w:snapToGrid/>
        <w:spacing w:line="500" w:lineRule="exact"/>
        <w:ind w:firstLine="480" w:firstLineChars="200"/>
        <w:jc w:val="left"/>
        <w:textAlignment w:val="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lang w:eastAsia="zh-CN"/>
        </w:rPr>
        <w:t>参加政府采购活动前三年内，在经营活动中没有重大违法记录；</w:t>
      </w:r>
    </w:p>
    <w:p w14:paraId="000E9FD1">
      <w:pPr>
        <w:keepNext w:val="0"/>
        <w:keepLines w:val="0"/>
        <w:pageBreakBefore w:val="0"/>
        <w:widowControl w:val="0"/>
        <w:shd w:val="clear" w:color="auto" w:fill="auto"/>
        <w:kinsoku w:val="0"/>
        <w:wordWrap w:val="0"/>
        <w:overflowPunct/>
        <w:topLinePunct w:val="0"/>
        <w:autoSpaceDE/>
        <w:autoSpaceDN/>
        <w:bidi w:val="0"/>
        <w:adjustRightInd/>
        <w:snapToGrid/>
        <w:spacing w:line="500" w:lineRule="exact"/>
        <w:ind w:firstLine="480" w:firstLineChars="200"/>
        <w:jc w:val="left"/>
        <w:textAlignment w:val="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lang w:eastAsia="zh-CN"/>
        </w:rPr>
        <w:t>法律、行政法规规定的其他条件。</w:t>
      </w:r>
    </w:p>
    <w:p w14:paraId="1844DC89">
      <w:pPr>
        <w:keepNext w:val="0"/>
        <w:keepLines w:val="0"/>
        <w:pageBreakBefore w:val="0"/>
        <w:widowControl w:val="0"/>
        <w:shd w:val="clear" w:color="auto" w:fill="auto"/>
        <w:kinsoku w:val="0"/>
        <w:wordWrap w:val="0"/>
        <w:overflowPunct/>
        <w:topLinePunct w:val="0"/>
        <w:autoSpaceDE/>
        <w:autoSpaceDN/>
        <w:bidi w:val="0"/>
        <w:adjustRightInd/>
        <w:snapToGrid/>
        <w:spacing w:line="500" w:lineRule="exact"/>
        <w:ind w:firstLine="480" w:firstLineChars="200"/>
        <w:jc w:val="left"/>
        <w:textAlignment w:val="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lang w:eastAsia="zh-CN"/>
        </w:rPr>
        <w:t>、截至投标（响应）文件递交时间，未被“信用中国”（www.creditchina.gov.cn）、中国政府采购网（www.ccgp.gov.cn）列入失信被执行人、重大税收违法案件当事人名单、政府采购严重违法失信行为记录名单。</w:t>
      </w:r>
    </w:p>
    <w:p w14:paraId="50BCFD7D">
      <w:pPr>
        <w:keepNext w:val="0"/>
        <w:keepLines w:val="0"/>
        <w:pageBreakBefore w:val="0"/>
        <w:widowControl w:val="0"/>
        <w:shd w:val="clear" w:color="auto" w:fill="auto"/>
        <w:kinsoku w:val="0"/>
        <w:wordWrap w:val="0"/>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落实政府采购政策需满足的资格要求：</w:t>
      </w:r>
    </w:p>
    <w:p w14:paraId="778068EF">
      <w:pPr>
        <w:keepNext w:val="0"/>
        <w:keepLines w:val="0"/>
        <w:pageBreakBefore w:val="0"/>
        <w:widowControl w:val="0"/>
        <w:shd w:val="clear" w:color="auto" w:fill="auto"/>
        <w:kinsoku w:val="0"/>
        <w:wordWrap w:val="0"/>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符合《中华人民共和国政府采购法》《中华人民共和国政府采购法实施条例》</w:t>
      </w:r>
      <w:r>
        <w:rPr>
          <w:rFonts w:hint="eastAsia" w:ascii="宋体" w:hAnsi="宋体" w:eastAsia="宋体" w:cs="宋体"/>
          <w:color w:val="auto"/>
          <w:sz w:val="24"/>
          <w:szCs w:val="24"/>
          <w:highlight w:val="none"/>
          <w:lang w:eastAsia="zh-CN"/>
        </w:rPr>
        <w:t>《政府采购货物和服务招标投标管理办法》</w:t>
      </w:r>
      <w:r>
        <w:rPr>
          <w:rFonts w:hint="eastAsia" w:ascii="宋体" w:hAnsi="宋体" w:eastAsia="宋体" w:cs="宋体"/>
          <w:color w:val="auto"/>
          <w:sz w:val="24"/>
          <w:szCs w:val="24"/>
          <w:highlight w:val="none"/>
        </w:rPr>
        <w:t>等有关法律、法规规定。</w:t>
      </w:r>
    </w:p>
    <w:p w14:paraId="52287490">
      <w:pPr>
        <w:keepNext w:val="0"/>
        <w:keepLines w:val="0"/>
        <w:pageBreakBefore w:val="0"/>
        <w:widowControl w:val="0"/>
        <w:shd w:val="clear" w:color="auto" w:fill="auto"/>
        <w:kinsoku w:val="0"/>
        <w:wordWrap w:val="0"/>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根据《财政部﹤关于调整优化节能产品、环境标志产品政府采购执行机制的通知﹥》（财库〔2019〕9号）要求，对政府采购节能产品、环境标志产品实施品目清单管理，产品属于品目清单范围的，依据品目清单和认证证书实施政府优先采购和强制采购。</w:t>
      </w:r>
    </w:p>
    <w:p w14:paraId="129781F1">
      <w:pPr>
        <w:keepNext w:val="0"/>
        <w:keepLines w:val="0"/>
        <w:pageBreakBefore w:val="0"/>
        <w:widowControl w:val="0"/>
        <w:shd w:val="clear" w:color="auto" w:fill="auto"/>
        <w:kinsoku w:val="0"/>
        <w:wordWrap w:val="0"/>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本项目不属于专门面向中小企业采购的项目。</w:t>
      </w:r>
    </w:p>
    <w:p w14:paraId="79862409">
      <w:pPr>
        <w:keepNext w:val="0"/>
        <w:keepLines w:val="0"/>
        <w:pageBreakBefore w:val="0"/>
        <w:widowControl w:val="0"/>
        <w:shd w:val="clear" w:color="auto" w:fill="auto"/>
        <w:kinsoku w:val="0"/>
        <w:wordWrap w:val="0"/>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w:t>
      </w:r>
      <w:r>
        <w:rPr>
          <w:rFonts w:hint="eastAsia" w:ascii="宋体" w:hAnsi="宋体" w:eastAsia="宋体" w:cs="宋体"/>
          <w:color w:val="auto"/>
          <w:sz w:val="24"/>
          <w:szCs w:val="24"/>
          <w:highlight w:val="none"/>
          <w:lang w:val="en-US" w:eastAsia="zh-CN"/>
        </w:rPr>
        <w:t>《关于进一步加大政府采购支持中小企业力度的通知》（财库〔2022〕19号）、《政府采购促进中小企业发展管理办法》（财库〔2020〕46号）、《关于政府采购支持监狱企业发展有关问题的通知》(财库〔2014〕68号）、《关于促进残疾人就业政府采购政策的通知》（财库〔2017〕141号）等规定，</w:t>
      </w:r>
      <w:r>
        <w:rPr>
          <w:rFonts w:hint="eastAsia" w:ascii="宋体" w:hAnsi="宋体" w:eastAsia="宋体" w:cs="宋体"/>
          <w:b w:val="0"/>
          <w:bCs w:val="0"/>
          <w:color w:val="auto"/>
          <w:sz w:val="24"/>
          <w:szCs w:val="24"/>
          <w:highlight w:val="none"/>
          <w:lang w:val="en-US" w:eastAsia="zh-CN"/>
        </w:rPr>
        <w:t>供应商提供的货物全部由符合政策要求的小型和微型企业制造的其价格给予10%价格扣除，用扣除后的价格参加评审；监狱企业、残疾人福利性单位视同小型、微型企业，其价格在评审时给予相同的价格扣除。监狱企业、残疾人福利性单位属于小微企业的，不重复享受价格扣除优惠政策；价格扣除比例对小型企业和微型企业同等对待，不作区分。</w:t>
      </w:r>
    </w:p>
    <w:p w14:paraId="00798C1B">
      <w:pPr>
        <w:keepNext w:val="0"/>
        <w:keepLines w:val="0"/>
        <w:pageBreakBefore w:val="0"/>
        <w:widowControl w:val="0"/>
        <w:shd w:val="clear" w:color="auto" w:fill="auto"/>
        <w:kinsoku w:val="0"/>
        <w:wordWrap w:val="0"/>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4.本项目采购标的对应的中小企业划分标准所属行业为：</w:t>
      </w:r>
      <w:r>
        <w:rPr>
          <w:rFonts w:hint="eastAsia" w:ascii="宋体" w:hAnsi="宋体" w:eastAsia="宋体" w:cs="宋体"/>
          <w:color w:val="auto"/>
          <w:sz w:val="24"/>
          <w:szCs w:val="24"/>
          <w:highlight w:val="none"/>
          <w:lang w:val="en-US" w:eastAsia="zh-CN"/>
        </w:rPr>
        <w:t>工业。</w:t>
      </w:r>
    </w:p>
    <w:p w14:paraId="78B799BB">
      <w:pPr>
        <w:keepNext w:val="0"/>
        <w:keepLines w:val="0"/>
        <w:pageBreakBefore w:val="0"/>
        <w:widowControl w:val="0"/>
        <w:shd w:val="clear" w:color="auto" w:fill="auto"/>
        <w:kinsoku w:val="0"/>
        <w:wordWrap w:val="0"/>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5.根据《中华人民共和国政府采购法实施条例》第十八条规定，单位负责人为同一人或者存在直接控股、管理关系的不同供应商，不得参加同一合同项下的政府采购活动。</w:t>
      </w:r>
    </w:p>
    <w:p w14:paraId="0D6905D4">
      <w:pPr>
        <w:keepNext w:val="0"/>
        <w:keepLines w:val="0"/>
        <w:pageBreakBefore w:val="0"/>
        <w:widowControl w:val="0"/>
        <w:shd w:val="clear" w:color="auto" w:fill="auto"/>
        <w:kinsoku w:val="0"/>
        <w:wordWrap w:val="0"/>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（三）本项目的特定资格要求</w:t>
      </w:r>
    </w:p>
    <w:p w14:paraId="5E6AEABA">
      <w:pPr>
        <w:keepNext w:val="0"/>
        <w:keepLines w:val="0"/>
        <w:pageBreakBefore w:val="0"/>
        <w:widowControl w:val="0"/>
        <w:shd w:val="clear" w:color="auto" w:fill="auto"/>
        <w:kinsoku w:val="0"/>
        <w:wordWrap w:val="0"/>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本项目无特定资格要求</w:t>
      </w:r>
    </w:p>
    <w:p w14:paraId="7AD226D2">
      <w:pPr>
        <w:keepNext w:val="0"/>
        <w:keepLines w:val="0"/>
        <w:pageBreakBefore w:val="0"/>
        <w:widowControl w:val="0"/>
        <w:shd w:val="clear" w:color="auto" w:fill="auto"/>
        <w:kinsoku w:val="0"/>
        <w:wordWrap w:val="0"/>
        <w:overflowPunct/>
        <w:topLinePunct w:val="0"/>
        <w:autoSpaceDE/>
        <w:bidi w:val="0"/>
        <w:adjustRightInd/>
        <w:snapToGrid/>
        <w:spacing w:line="50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rPr>
        <w:t>三、获取</w:t>
      </w:r>
      <w:bookmarkEnd w:id="11"/>
      <w:bookmarkEnd w:id="12"/>
      <w:r>
        <w:rPr>
          <w:rFonts w:hint="eastAsia" w:ascii="宋体" w:hAnsi="宋体" w:eastAsia="宋体" w:cs="宋体"/>
          <w:b/>
          <w:bCs/>
          <w:color w:val="auto"/>
          <w:sz w:val="24"/>
          <w:szCs w:val="24"/>
          <w:highlight w:val="none"/>
          <w:lang w:eastAsia="zh-CN"/>
        </w:rPr>
        <w:t>采购文件</w:t>
      </w:r>
      <w:r>
        <w:rPr>
          <w:rFonts w:hint="eastAsia" w:ascii="宋体" w:hAnsi="宋体" w:eastAsia="宋体" w:cs="宋体"/>
          <w:b/>
          <w:bCs/>
          <w:color w:val="auto"/>
          <w:sz w:val="24"/>
          <w:szCs w:val="24"/>
          <w:highlight w:val="none"/>
          <w:lang w:val="en-US" w:eastAsia="zh-CN"/>
        </w:rPr>
        <w:t xml:space="preserve">                                                        </w:t>
      </w:r>
    </w:p>
    <w:p w14:paraId="02D4921E">
      <w:pPr>
        <w:keepNext w:val="0"/>
        <w:keepLines w:val="0"/>
        <w:pageBreakBefore w:val="0"/>
        <w:widowControl w:val="0"/>
        <w:shd w:val="clear" w:color="auto" w:fill="auto"/>
        <w:kinsoku w:val="0"/>
        <w:wordWrap w:val="0"/>
        <w:overflowPunct/>
        <w:topLinePunct w:val="0"/>
        <w:autoSpaceDE/>
        <w:bidi w:val="0"/>
        <w:adjustRightInd/>
        <w:snapToGrid/>
        <w:spacing w:line="500" w:lineRule="exact"/>
        <w:ind w:firstLine="480" w:firstLineChars="200"/>
        <w:jc w:val="left"/>
        <w:textAlignment w:val="auto"/>
        <w:rPr>
          <w:rFonts w:hint="eastAsia" w:ascii="宋体" w:hAnsi="宋体" w:eastAsia="宋体" w:cs="宋体"/>
          <w:color w:val="auto"/>
          <w:sz w:val="24"/>
          <w:szCs w:val="24"/>
          <w:highlight w:val="none"/>
          <w:lang w:eastAsia="zh-CN"/>
        </w:rPr>
      </w:pPr>
      <w:bookmarkStart w:id="13" w:name="_Toc28359082"/>
      <w:bookmarkStart w:id="14" w:name="_Toc28359005"/>
      <w:bookmarkStart w:id="15" w:name="_Toc35393624"/>
      <w:bookmarkStart w:id="16" w:name="_Toc35393793"/>
      <w:r>
        <w:rPr>
          <w:rFonts w:hint="eastAsia" w:ascii="宋体" w:hAnsi="宋体" w:eastAsia="宋体" w:cs="宋体"/>
          <w:color w:val="auto"/>
          <w:sz w:val="24"/>
          <w:szCs w:val="24"/>
          <w:highlight w:val="none"/>
          <w:lang w:eastAsia="zh-CN"/>
        </w:rPr>
        <w:t>时间：</w:t>
      </w:r>
      <w:r>
        <w:rPr>
          <w:rFonts w:hint="eastAsia" w:ascii="宋体" w:hAnsi="宋体" w:eastAsia="宋体" w:cs="宋体"/>
          <w:color w:val="auto"/>
          <w:sz w:val="24"/>
          <w:szCs w:val="24"/>
          <w:highlight w:val="yellow"/>
          <w:u w:val="single"/>
          <w:lang w:eastAsia="zh-CN"/>
        </w:rPr>
        <w:t>202</w:t>
      </w:r>
      <w:r>
        <w:rPr>
          <w:rFonts w:hint="eastAsia" w:ascii="宋体" w:hAnsi="宋体" w:eastAsia="宋体" w:cs="宋体"/>
          <w:color w:val="auto"/>
          <w:sz w:val="24"/>
          <w:szCs w:val="24"/>
          <w:highlight w:val="yellow"/>
          <w:u w:val="single"/>
          <w:lang w:val="en-US" w:eastAsia="zh-CN"/>
        </w:rPr>
        <w:t>5</w:t>
      </w:r>
      <w:r>
        <w:rPr>
          <w:rFonts w:hint="eastAsia" w:ascii="宋体" w:hAnsi="宋体" w:eastAsia="宋体" w:cs="宋体"/>
          <w:color w:val="auto"/>
          <w:sz w:val="24"/>
          <w:szCs w:val="24"/>
          <w:highlight w:val="yellow"/>
          <w:u w:val="single"/>
          <w:lang w:eastAsia="zh-CN"/>
        </w:rPr>
        <w:t>年</w:t>
      </w:r>
      <w:r>
        <w:rPr>
          <w:rFonts w:hint="eastAsia" w:ascii="宋体" w:hAnsi="宋体" w:cs="宋体"/>
          <w:color w:val="auto"/>
          <w:sz w:val="24"/>
          <w:szCs w:val="24"/>
          <w:highlight w:val="yellow"/>
          <w:u w:val="single"/>
          <w:lang w:val="en-US" w:eastAsia="zh-CN"/>
        </w:rPr>
        <w:t>6</w:t>
      </w:r>
      <w:r>
        <w:rPr>
          <w:rFonts w:hint="eastAsia" w:ascii="宋体" w:hAnsi="宋体" w:eastAsia="宋体" w:cs="宋体"/>
          <w:color w:val="auto"/>
          <w:sz w:val="24"/>
          <w:szCs w:val="24"/>
          <w:highlight w:val="yellow"/>
          <w:u w:val="single"/>
          <w:lang w:eastAsia="zh-CN"/>
        </w:rPr>
        <w:t>月</w:t>
      </w:r>
      <w:r>
        <w:rPr>
          <w:rFonts w:hint="eastAsia" w:ascii="宋体" w:hAnsi="宋体" w:cs="宋体"/>
          <w:color w:val="auto"/>
          <w:sz w:val="24"/>
          <w:szCs w:val="24"/>
          <w:highlight w:val="yellow"/>
          <w:u w:val="single"/>
          <w:lang w:val="en-US" w:eastAsia="zh-CN"/>
        </w:rPr>
        <w:t>20</w:t>
      </w:r>
      <w:r>
        <w:rPr>
          <w:rFonts w:hint="eastAsia" w:ascii="宋体" w:hAnsi="宋体" w:eastAsia="宋体" w:cs="宋体"/>
          <w:color w:val="auto"/>
          <w:sz w:val="24"/>
          <w:szCs w:val="24"/>
          <w:highlight w:val="yellow"/>
          <w:u w:val="single"/>
          <w:lang w:eastAsia="zh-CN"/>
        </w:rPr>
        <w:t>日至2025年</w:t>
      </w:r>
      <w:r>
        <w:rPr>
          <w:rFonts w:hint="eastAsia" w:ascii="宋体" w:hAnsi="宋体" w:cs="宋体"/>
          <w:color w:val="auto"/>
          <w:sz w:val="24"/>
          <w:szCs w:val="24"/>
          <w:highlight w:val="yellow"/>
          <w:u w:val="single"/>
          <w:lang w:val="en-US" w:eastAsia="zh-CN"/>
        </w:rPr>
        <w:t>6</w:t>
      </w:r>
      <w:r>
        <w:rPr>
          <w:rFonts w:hint="eastAsia" w:ascii="宋体" w:hAnsi="宋体" w:eastAsia="宋体" w:cs="宋体"/>
          <w:color w:val="auto"/>
          <w:sz w:val="24"/>
          <w:szCs w:val="24"/>
          <w:highlight w:val="yellow"/>
          <w:u w:val="single"/>
          <w:lang w:eastAsia="zh-CN"/>
        </w:rPr>
        <w:t>月</w:t>
      </w:r>
      <w:r>
        <w:rPr>
          <w:rFonts w:hint="eastAsia" w:ascii="宋体" w:hAnsi="宋体" w:cs="宋体"/>
          <w:color w:val="auto"/>
          <w:sz w:val="24"/>
          <w:szCs w:val="24"/>
          <w:highlight w:val="yellow"/>
          <w:u w:val="single"/>
          <w:lang w:val="en-US" w:eastAsia="zh-CN"/>
        </w:rPr>
        <w:t>27</w:t>
      </w:r>
      <w:r>
        <w:rPr>
          <w:rFonts w:hint="eastAsia" w:ascii="宋体" w:hAnsi="宋体" w:eastAsia="宋体" w:cs="宋体"/>
          <w:color w:val="auto"/>
          <w:sz w:val="24"/>
          <w:szCs w:val="24"/>
          <w:highlight w:val="yellow"/>
          <w:u w:val="single"/>
          <w:lang w:eastAsia="zh-CN"/>
        </w:rPr>
        <w:t>日</w:t>
      </w:r>
      <w:r>
        <w:rPr>
          <w:rFonts w:hint="eastAsia" w:ascii="宋体" w:hAnsi="宋体" w:eastAsia="宋体" w:cs="宋体"/>
          <w:color w:val="auto"/>
          <w:sz w:val="24"/>
          <w:szCs w:val="24"/>
          <w:highlight w:val="none"/>
          <w:lang w:eastAsia="zh-CN"/>
        </w:rPr>
        <w:t>，每天上午6时00分至12时00分，下午12时00分至23时59分（北京时间，法定节假日除外）</w:t>
      </w:r>
    </w:p>
    <w:p w14:paraId="0CB34F2B">
      <w:pPr>
        <w:keepNext w:val="0"/>
        <w:keepLines w:val="0"/>
        <w:pageBreakBefore w:val="0"/>
        <w:widowControl w:val="0"/>
        <w:shd w:val="clear" w:color="auto" w:fill="auto"/>
        <w:kinsoku w:val="0"/>
        <w:wordWrap w:val="0"/>
        <w:overflowPunct/>
        <w:topLinePunct w:val="0"/>
        <w:autoSpaceDE/>
        <w:bidi w:val="0"/>
        <w:adjustRightInd/>
        <w:snapToGrid/>
        <w:spacing w:line="500" w:lineRule="exact"/>
        <w:ind w:firstLine="420" w:firstLineChars="20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地点：政采云平台（http://www.zcygov.cn）</w:t>
      </w:r>
    </w:p>
    <w:p w14:paraId="1B19A318">
      <w:pPr>
        <w:keepNext w:val="0"/>
        <w:keepLines w:val="0"/>
        <w:pageBreakBefore w:val="0"/>
        <w:widowControl w:val="0"/>
        <w:shd w:val="clear" w:color="auto" w:fill="auto"/>
        <w:kinsoku w:val="0"/>
        <w:wordWrap w:val="0"/>
        <w:overflowPunct/>
        <w:topLinePunct w:val="0"/>
        <w:autoSpaceDE/>
        <w:bidi w:val="0"/>
        <w:adjustRightInd/>
        <w:snapToGrid/>
        <w:spacing w:line="500" w:lineRule="exact"/>
        <w:ind w:firstLine="420" w:firstLineChars="20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方式：凡有意参加投标者，须在政采云平台办理数字证书（CA），CA申领链接：https://middle.zcygov.cn/ca/apply/list?_app_=zcy.sys，并在政采云绑定数字证书（CA）后在网上获取采购文件及其它采购资料，数字证书（CA）详见其办理流程。按上述要求获取文件的供应商视为合法获取了本项目采购文件，具备本项目的投标资格。</w:t>
      </w:r>
    </w:p>
    <w:p w14:paraId="176ADC07">
      <w:pPr>
        <w:keepNext w:val="0"/>
        <w:keepLines w:val="0"/>
        <w:pageBreakBefore w:val="0"/>
        <w:widowControl w:val="0"/>
        <w:shd w:val="clear" w:color="auto" w:fill="auto"/>
        <w:kinsoku w:val="0"/>
        <w:wordWrap w:val="0"/>
        <w:overflowPunct/>
        <w:topLinePunct w:val="0"/>
        <w:autoSpaceDE/>
        <w:bidi w:val="0"/>
        <w:adjustRightInd/>
        <w:snapToGrid/>
        <w:spacing w:line="500" w:lineRule="exact"/>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售价：0</w:t>
      </w:r>
    </w:p>
    <w:p w14:paraId="673E3174">
      <w:pPr>
        <w:keepNext w:val="0"/>
        <w:keepLines w:val="0"/>
        <w:pageBreakBefore w:val="0"/>
        <w:widowControl w:val="0"/>
        <w:shd w:val="clear" w:color="auto" w:fill="auto"/>
        <w:kinsoku w:val="0"/>
        <w:wordWrap w:val="0"/>
        <w:overflowPunct/>
        <w:topLinePunct w:val="0"/>
        <w:autoSpaceDE/>
        <w:bidi w:val="0"/>
        <w:adjustRightInd/>
        <w:snapToGrid/>
        <w:spacing w:line="500" w:lineRule="exact"/>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四、提交投标文件</w:t>
      </w:r>
      <w:bookmarkEnd w:id="13"/>
      <w:bookmarkEnd w:id="14"/>
      <w:r>
        <w:rPr>
          <w:rFonts w:hint="eastAsia" w:ascii="宋体" w:hAnsi="宋体" w:eastAsia="宋体" w:cs="宋体"/>
          <w:b/>
          <w:bCs/>
          <w:color w:val="auto"/>
          <w:sz w:val="24"/>
          <w:szCs w:val="24"/>
          <w:highlight w:val="none"/>
        </w:rPr>
        <w:t>截止时间、开标时间和地点</w:t>
      </w:r>
      <w:bookmarkEnd w:id="15"/>
      <w:bookmarkEnd w:id="16"/>
    </w:p>
    <w:p w14:paraId="05DC7915">
      <w:pPr>
        <w:keepNext w:val="0"/>
        <w:keepLines w:val="0"/>
        <w:pageBreakBefore w:val="0"/>
        <w:widowControl w:val="0"/>
        <w:shd w:val="clear" w:color="auto" w:fill="auto"/>
        <w:kinsoku w:val="0"/>
        <w:wordWrap w:val="0"/>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rPr>
      </w:pPr>
      <w:bookmarkStart w:id="17" w:name="_Toc28359007"/>
      <w:bookmarkStart w:id="18" w:name="_Toc35393625"/>
      <w:bookmarkStart w:id="19" w:name="_Toc35393794"/>
      <w:bookmarkStart w:id="20" w:name="_Toc28359084"/>
      <w:r>
        <w:rPr>
          <w:rFonts w:hint="eastAsia" w:ascii="宋体" w:hAnsi="宋体" w:eastAsia="宋体" w:cs="宋体"/>
          <w:color w:val="auto"/>
          <w:sz w:val="24"/>
          <w:szCs w:val="24"/>
          <w:highlight w:val="none"/>
          <w:lang w:eastAsia="zh-CN"/>
        </w:rPr>
        <w:t>截止时间：</w:t>
      </w:r>
      <w:r>
        <w:rPr>
          <w:rFonts w:hint="eastAsia" w:ascii="宋体" w:hAnsi="宋体" w:eastAsia="宋体" w:cs="宋体"/>
          <w:color w:val="auto"/>
          <w:sz w:val="24"/>
          <w:szCs w:val="24"/>
          <w:highlight w:val="yellow"/>
          <w:u w:val="single"/>
          <w:lang w:eastAsia="zh-CN"/>
        </w:rPr>
        <w:t>2025年</w:t>
      </w:r>
      <w:r>
        <w:rPr>
          <w:rFonts w:hint="eastAsia" w:ascii="宋体" w:hAnsi="宋体" w:cs="宋体"/>
          <w:color w:val="auto"/>
          <w:sz w:val="24"/>
          <w:szCs w:val="24"/>
          <w:highlight w:val="yellow"/>
          <w:u w:val="single"/>
          <w:lang w:val="en-US" w:eastAsia="zh-CN"/>
        </w:rPr>
        <w:t>7</w:t>
      </w:r>
      <w:r>
        <w:rPr>
          <w:rFonts w:hint="eastAsia" w:ascii="宋体" w:hAnsi="宋体" w:eastAsia="宋体" w:cs="宋体"/>
          <w:color w:val="auto"/>
          <w:sz w:val="24"/>
          <w:szCs w:val="24"/>
          <w:highlight w:val="yellow"/>
          <w:u w:val="single"/>
          <w:lang w:eastAsia="zh-CN"/>
        </w:rPr>
        <w:t>月</w:t>
      </w:r>
      <w:r>
        <w:rPr>
          <w:rFonts w:hint="eastAsia" w:ascii="宋体" w:hAnsi="宋体" w:cs="宋体"/>
          <w:color w:val="auto"/>
          <w:sz w:val="24"/>
          <w:szCs w:val="24"/>
          <w:highlight w:val="yellow"/>
          <w:u w:val="single"/>
          <w:lang w:val="en-US" w:eastAsia="zh-CN"/>
        </w:rPr>
        <w:t>11</w:t>
      </w:r>
      <w:r>
        <w:rPr>
          <w:rFonts w:hint="eastAsia" w:ascii="宋体" w:hAnsi="宋体" w:eastAsia="宋体" w:cs="宋体"/>
          <w:color w:val="auto"/>
          <w:sz w:val="24"/>
          <w:szCs w:val="24"/>
          <w:highlight w:val="yellow"/>
          <w:u w:val="single"/>
          <w:lang w:eastAsia="zh-CN"/>
        </w:rPr>
        <w:t>日</w:t>
      </w:r>
      <w:r>
        <w:rPr>
          <w:rFonts w:hint="eastAsia" w:ascii="宋体" w:hAnsi="宋体" w:eastAsia="宋体" w:cs="宋体"/>
          <w:color w:val="auto"/>
          <w:sz w:val="24"/>
          <w:szCs w:val="24"/>
          <w:highlight w:val="none"/>
          <w:u w:val="none"/>
          <w:lang w:val="en-US" w:eastAsia="zh-CN"/>
        </w:rPr>
        <w:t>9时00分</w:t>
      </w:r>
      <w:r>
        <w:rPr>
          <w:rFonts w:hint="eastAsia" w:ascii="宋体" w:hAnsi="宋体" w:eastAsia="宋体" w:cs="宋体"/>
          <w:color w:val="auto"/>
          <w:sz w:val="24"/>
          <w:szCs w:val="24"/>
          <w:highlight w:val="none"/>
        </w:rPr>
        <w:t>（北京时间）</w:t>
      </w:r>
    </w:p>
    <w:p w14:paraId="7BC3E3B2">
      <w:pPr>
        <w:keepNext w:val="0"/>
        <w:keepLines w:val="0"/>
        <w:pageBreakBefore w:val="0"/>
        <w:widowControl w:val="0"/>
        <w:shd w:val="clear" w:color="auto" w:fill="auto"/>
        <w:kinsoku w:val="0"/>
        <w:wordWrap w:val="0"/>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地点</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eastAsia="zh-CN"/>
        </w:rPr>
        <w:t>政采云开标大厅</w:t>
      </w:r>
    </w:p>
    <w:p w14:paraId="0425ED5A">
      <w:pPr>
        <w:keepNext w:val="0"/>
        <w:keepLines w:val="0"/>
        <w:pageBreakBefore w:val="0"/>
        <w:widowControl w:val="0"/>
        <w:shd w:val="clear" w:color="auto" w:fill="auto"/>
        <w:kinsoku w:val="0"/>
        <w:wordWrap w:val="0"/>
        <w:overflowPunct/>
        <w:topLinePunct w:val="0"/>
        <w:autoSpaceDE/>
        <w:bidi w:val="0"/>
        <w:adjustRightInd/>
        <w:snapToGrid/>
        <w:spacing w:line="500" w:lineRule="exact"/>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五、公告期限</w:t>
      </w:r>
      <w:bookmarkEnd w:id="17"/>
      <w:bookmarkEnd w:id="18"/>
      <w:bookmarkEnd w:id="19"/>
      <w:bookmarkEnd w:id="20"/>
    </w:p>
    <w:p w14:paraId="7D438EC8">
      <w:pPr>
        <w:keepNext w:val="0"/>
        <w:keepLines w:val="0"/>
        <w:pageBreakBefore w:val="0"/>
        <w:widowControl w:val="0"/>
        <w:shd w:val="clear" w:color="auto" w:fill="auto"/>
        <w:kinsoku w:val="0"/>
        <w:wordWrap w:val="0"/>
        <w:overflowPunct/>
        <w:topLinePunct w:val="0"/>
        <w:autoSpaceDE/>
        <w:bidi w:val="0"/>
        <w:adjustRightInd/>
        <w:snapToGrid/>
        <w:spacing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自本公告发布之日起</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个工作日。</w:t>
      </w:r>
    </w:p>
    <w:p w14:paraId="7EC790DB">
      <w:pPr>
        <w:keepNext w:val="0"/>
        <w:keepLines w:val="0"/>
        <w:pageBreakBefore w:val="0"/>
        <w:widowControl w:val="0"/>
        <w:shd w:val="clear" w:color="auto" w:fill="auto"/>
        <w:kinsoku w:val="0"/>
        <w:wordWrap w:val="0"/>
        <w:overflowPunct/>
        <w:topLinePunct w:val="0"/>
        <w:autoSpaceDE/>
        <w:bidi w:val="0"/>
        <w:adjustRightInd/>
        <w:snapToGrid/>
        <w:spacing w:line="500" w:lineRule="exact"/>
        <w:jc w:val="left"/>
        <w:textAlignment w:val="auto"/>
        <w:rPr>
          <w:rFonts w:hint="eastAsia" w:ascii="宋体" w:hAnsi="宋体" w:eastAsia="宋体" w:cs="宋体"/>
          <w:b/>
          <w:bCs/>
          <w:color w:val="auto"/>
          <w:sz w:val="24"/>
          <w:szCs w:val="24"/>
          <w:highlight w:val="none"/>
        </w:rPr>
      </w:pPr>
      <w:bookmarkStart w:id="21" w:name="_Toc35393795"/>
      <w:bookmarkStart w:id="22" w:name="_Toc35393626"/>
      <w:r>
        <w:rPr>
          <w:rFonts w:hint="eastAsia" w:ascii="宋体" w:hAnsi="宋体" w:eastAsia="宋体" w:cs="宋体"/>
          <w:b/>
          <w:bCs/>
          <w:color w:val="auto"/>
          <w:sz w:val="24"/>
          <w:szCs w:val="24"/>
          <w:highlight w:val="none"/>
        </w:rPr>
        <w:t>六、其他补充事宜</w:t>
      </w:r>
      <w:bookmarkEnd w:id="21"/>
      <w:bookmarkEnd w:id="22"/>
    </w:p>
    <w:p w14:paraId="68564A59">
      <w:pPr>
        <w:keepNext w:val="0"/>
        <w:keepLines w:val="0"/>
        <w:pageBreakBefore w:val="0"/>
        <w:widowControl w:val="0"/>
        <w:shd w:val="clear" w:color="auto" w:fill="auto"/>
        <w:kinsoku w:val="0"/>
        <w:wordWrap w:val="0"/>
        <w:overflowPunct/>
        <w:topLinePunct w:val="0"/>
        <w:autoSpaceDE/>
        <w:autoSpaceDN/>
        <w:bidi w:val="0"/>
        <w:adjustRightInd/>
        <w:snapToGrid/>
        <w:spacing w:line="500" w:lineRule="exact"/>
        <w:ind w:firstLine="480" w:firstLineChars="200"/>
        <w:textAlignment w:val="auto"/>
        <w:rPr>
          <w:rFonts w:hint="eastAsia" w:ascii="宋体" w:hAnsi="宋体" w:eastAsia="宋体" w:cs="宋体"/>
          <w:b w:val="0"/>
          <w:bCs w:val="0"/>
          <w:color w:val="auto"/>
          <w:sz w:val="24"/>
          <w:szCs w:val="24"/>
          <w:highlight w:val="none"/>
          <w:lang w:val="en-US" w:eastAsia="zh-CN"/>
        </w:rPr>
      </w:pPr>
      <w:bookmarkStart w:id="23" w:name="_Toc35393627"/>
      <w:bookmarkStart w:id="24" w:name="_Toc35393796"/>
      <w:bookmarkStart w:id="25" w:name="_Toc28359085"/>
      <w:bookmarkStart w:id="26" w:name="_Toc28359008"/>
      <w:r>
        <w:rPr>
          <w:rFonts w:hint="eastAsia" w:ascii="宋体" w:hAnsi="宋体" w:eastAsia="宋体" w:cs="宋体"/>
          <w:b w:val="0"/>
          <w:bCs w:val="0"/>
          <w:color w:val="auto"/>
          <w:sz w:val="24"/>
          <w:szCs w:val="24"/>
          <w:highlight w:val="none"/>
          <w:lang w:val="en-US" w:eastAsia="zh-CN"/>
        </w:rPr>
        <w:t>（一）提供相同品牌产品的不同供应商的推荐方式</w:t>
      </w:r>
    </w:p>
    <w:p w14:paraId="66402940">
      <w:pPr>
        <w:keepNext w:val="0"/>
        <w:keepLines w:val="0"/>
        <w:pageBreakBefore w:val="0"/>
        <w:widowControl w:val="0"/>
        <w:shd w:val="clear" w:color="auto" w:fill="auto"/>
        <w:kinsoku w:val="0"/>
        <w:wordWrap w:val="0"/>
        <w:overflowPunct/>
        <w:topLinePunct w:val="0"/>
        <w:autoSpaceDE/>
        <w:bidi w:val="0"/>
        <w:adjustRightInd/>
        <w:snapToGrid/>
        <w:spacing w:line="500" w:lineRule="exact"/>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本采购项目“教室设备”中</w:t>
      </w:r>
      <w:r>
        <w:rPr>
          <w:rFonts w:hint="eastAsia" w:ascii="宋体" w:hAnsi="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lang w:val="en-US" w:eastAsia="zh-CN"/>
        </w:rPr>
        <w:t>当供应商提供的课桌椅及书柜全部为同一品牌同一型号，即视为提供相同品牌产品的不同供应商参加同一合同项下投标，其推荐方式详见采购文件。</w:t>
      </w:r>
    </w:p>
    <w:p w14:paraId="163B67CA">
      <w:pPr>
        <w:keepNext w:val="0"/>
        <w:keepLines w:val="0"/>
        <w:pageBreakBefore w:val="0"/>
        <w:widowControl w:val="0"/>
        <w:shd w:val="clear" w:color="auto" w:fill="auto"/>
        <w:kinsoku w:val="0"/>
        <w:wordWrap w:val="0"/>
        <w:overflowPunct/>
        <w:topLinePunct w:val="0"/>
        <w:autoSpaceDE/>
        <w:bidi w:val="0"/>
        <w:adjustRightInd/>
        <w:snapToGrid/>
        <w:spacing w:line="500" w:lineRule="exact"/>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（二）获取采购文件</w:t>
      </w:r>
    </w:p>
    <w:p w14:paraId="14B80164">
      <w:pPr>
        <w:keepNext w:val="0"/>
        <w:keepLines w:val="0"/>
        <w:pageBreakBefore w:val="0"/>
        <w:widowControl w:val="0"/>
        <w:shd w:val="clear" w:color="auto" w:fill="auto"/>
        <w:kinsoku w:val="0"/>
        <w:wordWrap w:val="0"/>
        <w:overflowPunct/>
        <w:topLinePunct w:val="0"/>
        <w:autoSpaceDE/>
        <w:autoSpaceDN/>
        <w:bidi w:val="0"/>
        <w:adjustRightInd/>
        <w:snapToGrid/>
        <w:spacing w:line="500" w:lineRule="exact"/>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凡有意参加本项目投标的供应商，须在本项目规定的“获取采购文件”时限内在政采云平台完成“注册”、“登录”、“办理数字证书（CA）”、“绑定数字证书（CA）”等流程后，即可线上获取采购文件及相关资料。</w:t>
      </w:r>
    </w:p>
    <w:p w14:paraId="7C3BF1E7">
      <w:pPr>
        <w:keepNext w:val="0"/>
        <w:keepLines w:val="0"/>
        <w:pageBreakBefore w:val="0"/>
        <w:widowControl w:val="0"/>
        <w:shd w:val="clear" w:color="auto" w:fill="auto"/>
        <w:kinsoku w:val="0"/>
        <w:wordWrap w:val="0"/>
        <w:overflowPunct/>
        <w:topLinePunct w:val="0"/>
        <w:autoSpaceDE/>
        <w:autoSpaceDN/>
        <w:bidi w:val="0"/>
        <w:adjustRightInd/>
        <w:snapToGrid/>
        <w:spacing w:line="500" w:lineRule="exact"/>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供应商已在政采云平台办理过数字证书（CA）的，直接绑定即可，无需重复办理。云南省外供应商在政采云平台办理的其他CA可直接使用，无需重复办理。若供应商未办理数字证书（CA）的，政府采购云平台支持多家CA服务商，供应商可根据自己需求，在政采云平台自主选择CA办理方式，其中：</w:t>
      </w:r>
    </w:p>
    <w:p w14:paraId="652E4107">
      <w:pPr>
        <w:keepNext w:val="0"/>
        <w:keepLines w:val="0"/>
        <w:pageBreakBefore w:val="0"/>
        <w:widowControl w:val="0"/>
        <w:shd w:val="clear" w:color="auto" w:fill="auto"/>
        <w:kinsoku w:val="0"/>
        <w:wordWrap w:val="0"/>
        <w:overflowPunct/>
        <w:topLinePunct w:val="0"/>
        <w:autoSpaceDE/>
        <w:autoSpaceDN/>
        <w:bidi w:val="0"/>
        <w:adjustRightInd/>
        <w:snapToGrid/>
        <w:spacing w:line="500" w:lineRule="exact"/>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方式一（云南壹证通CA）：CA申领链接为http://yzt.ynsmartcert.cn/cms/yztlccb.html，支持线上、线下办理方式，并提供7*24小时全天候客户服务支持，客服热线400-004-0628（紧急CA办理电话：19988166369）；</w:t>
      </w:r>
    </w:p>
    <w:p w14:paraId="3163CD93">
      <w:pPr>
        <w:keepNext w:val="0"/>
        <w:keepLines w:val="0"/>
        <w:pageBreakBefore w:val="0"/>
        <w:widowControl w:val="0"/>
        <w:shd w:val="clear" w:color="auto" w:fill="auto"/>
        <w:kinsoku w:val="0"/>
        <w:wordWrap w:val="0"/>
        <w:overflowPunct/>
        <w:topLinePunct w:val="0"/>
        <w:autoSpaceDE/>
        <w:autoSpaceDN/>
        <w:bidi w:val="0"/>
        <w:adjustRightInd/>
        <w:snapToGrid/>
        <w:spacing w:line="500" w:lineRule="exact"/>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方式二（云南CA）：CA申领链接为https://cap.yunnanca.net/，支持线上、线下办理方式，并提供7*24小时全天候客户服务支持，客服热线400-672-7666（紧急办理CA电话：18725158190）。</w:t>
      </w:r>
    </w:p>
    <w:p w14:paraId="140FEDC6">
      <w:pPr>
        <w:keepNext w:val="0"/>
        <w:keepLines w:val="0"/>
        <w:pageBreakBefore w:val="0"/>
        <w:widowControl w:val="0"/>
        <w:shd w:val="clear" w:color="auto" w:fill="auto"/>
        <w:kinsoku w:val="0"/>
        <w:wordWrap w:val="0"/>
        <w:overflowPunct/>
        <w:topLinePunct w:val="0"/>
        <w:autoSpaceDE/>
        <w:autoSpaceDN/>
        <w:bidi w:val="0"/>
        <w:adjustRightInd/>
        <w:snapToGrid/>
        <w:spacing w:line="500" w:lineRule="exact"/>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3.数字证书（CA）申领完成之后进入政采云平台，将企业账号与CA进行绑定，凭CA进行项目报名并下载采购文件。</w:t>
      </w:r>
    </w:p>
    <w:p w14:paraId="36D35FEF">
      <w:pPr>
        <w:keepNext w:val="0"/>
        <w:keepLines w:val="0"/>
        <w:pageBreakBefore w:val="0"/>
        <w:widowControl w:val="0"/>
        <w:shd w:val="clear" w:color="auto" w:fill="auto"/>
        <w:kinsoku w:val="0"/>
        <w:wordWrap w:val="0"/>
        <w:overflowPunct/>
        <w:topLinePunct w:val="0"/>
        <w:autoSpaceDE/>
        <w:autoSpaceDN/>
        <w:bidi w:val="0"/>
        <w:adjustRightInd/>
        <w:snapToGrid/>
        <w:spacing w:line="500" w:lineRule="exact"/>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（三）提交投标文件方式</w:t>
      </w:r>
    </w:p>
    <w:p w14:paraId="6DE042A0">
      <w:pPr>
        <w:keepNext w:val="0"/>
        <w:keepLines w:val="0"/>
        <w:pageBreakBefore w:val="0"/>
        <w:widowControl w:val="0"/>
        <w:shd w:val="clear" w:color="auto" w:fill="auto"/>
        <w:kinsoku w:val="0"/>
        <w:wordWrap w:val="0"/>
        <w:overflowPunct/>
        <w:topLinePunct w:val="0"/>
        <w:autoSpaceDE/>
        <w:autoSpaceDN/>
        <w:bidi w:val="0"/>
        <w:adjustRightInd/>
        <w:snapToGrid/>
        <w:spacing w:line="500" w:lineRule="exact"/>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1.本项目为云南省全流程电子化项目，通过“政采云平台”（https://w ww.zcygov.cn/）实行在线电子投标，供应商应先安装“政采云电子交易客户端”（请自行前往政采云平台进行下载），并按照本项目采购文件和政采云平台的要求编制、加密、提交投标文件。</w:t>
      </w:r>
    </w:p>
    <w:p w14:paraId="5A4BAC24">
      <w:pPr>
        <w:keepNext w:val="0"/>
        <w:keepLines w:val="0"/>
        <w:pageBreakBefore w:val="0"/>
        <w:widowControl w:val="0"/>
        <w:shd w:val="clear" w:color="auto" w:fill="auto"/>
        <w:kinsoku w:val="0"/>
        <w:wordWrap w:val="0"/>
        <w:overflowPunct/>
        <w:topLinePunct w:val="0"/>
        <w:autoSpaceDE/>
        <w:autoSpaceDN/>
        <w:bidi w:val="0"/>
        <w:adjustRightInd/>
        <w:snapToGrid/>
        <w:spacing w:line="500" w:lineRule="exact"/>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2.供应商完成投标文件的编制、加密后，须在提交投标文件截止时间前上传至政采云平台，未按规定完成投标文件上传的，视为撤回投标文件。</w:t>
      </w:r>
    </w:p>
    <w:p w14:paraId="360BDB9D">
      <w:pPr>
        <w:keepNext w:val="0"/>
        <w:keepLines w:val="0"/>
        <w:pageBreakBefore w:val="0"/>
        <w:widowControl w:val="0"/>
        <w:shd w:val="clear" w:color="auto" w:fill="auto"/>
        <w:kinsoku w:val="0"/>
        <w:wordWrap w:val="0"/>
        <w:overflowPunct/>
        <w:topLinePunct w:val="0"/>
        <w:autoSpaceDE/>
        <w:autoSpaceDN/>
        <w:bidi w:val="0"/>
        <w:adjustRightInd/>
        <w:snapToGrid/>
        <w:spacing w:line="500" w:lineRule="exact"/>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供应商在政采云平台提交电子版投标文件时，请填写参加远程采购活动经办人联系方式。供应商应提前调试好网络、音视频设备并于提交投标文件截止时间（开标时间）前在系统上等待通知，并进行“投标文件远程解密及签字”等开标流程。</w:t>
      </w:r>
    </w:p>
    <w:p w14:paraId="3FF6CC23">
      <w:pPr>
        <w:keepNext w:val="0"/>
        <w:keepLines w:val="0"/>
        <w:pageBreakBefore w:val="0"/>
        <w:widowControl w:val="0"/>
        <w:shd w:val="clear" w:color="auto" w:fill="auto"/>
        <w:kinsoku w:val="0"/>
        <w:wordWrap w:val="0"/>
        <w:overflowPunct/>
        <w:topLinePunct w:val="0"/>
        <w:autoSpaceDE/>
        <w:autoSpaceDN/>
        <w:bidi w:val="0"/>
        <w:adjustRightInd/>
        <w:snapToGrid/>
        <w:spacing w:line="500" w:lineRule="exact"/>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（四）其他</w:t>
      </w:r>
    </w:p>
    <w:p w14:paraId="5E5EAFB2">
      <w:pPr>
        <w:keepNext w:val="0"/>
        <w:keepLines w:val="0"/>
        <w:pageBreakBefore w:val="0"/>
        <w:widowControl w:val="0"/>
        <w:shd w:val="clear" w:color="auto" w:fill="auto"/>
        <w:kinsoku w:val="0"/>
        <w:wordWrap w:val="0"/>
        <w:overflowPunct/>
        <w:topLinePunct w:val="0"/>
        <w:autoSpaceDE/>
        <w:autoSpaceDN/>
        <w:bidi w:val="0"/>
        <w:adjustRightInd/>
        <w:snapToGrid/>
        <w:spacing w:line="500" w:lineRule="exact"/>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1.本次招标公告在“</w:t>
      </w:r>
      <w:r>
        <w:rPr>
          <w:rFonts w:hint="eastAsia" w:ascii="宋体" w:hAnsi="宋体" w:eastAsia="宋体" w:cs="宋体"/>
          <w:color w:val="auto"/>
          <w:sz w:val="24"/>
          <w:szCs w:val="24"/>
          <w:highlight w:val="none"/>
          <w:lang w:val="en-US" w:eastAsia="zh-CN"/>
        </w:rPr>
        <w:t>政采云平台</w:t>
      </w:r>
      <w:r>
        <w:rPr>
          <w:rFonts w:hint="eastAsia" w:ascii="宋体" w:hAnsi="宋体" w:eastAsia="宋体" w:cs="宋体"/>
          <w:b w:val="0"/>
          <w:bCs w:val="0"/>
          <w:color w:val="auto"/>
          <w:sz w:val="24"/>
          <w:szCs w:val="24"/>
          <w:highlight w:val="none"/>
          <w:lang w:val="en-US" w:eastAsia="zh-CN"/>
        </w:rPr>
        <w:t>”（https://www.zcygov.cn/）和“云南省政府采购网”（http://www.yngp.com/）上发布，公告内容和时间以云南省政府采购网发布的信息为准。</w:t>
      </w:r>
    </w:p>
    <w:p w14:paraId="4A9CB8F9">
      <w:pPr>
        <w:keepNext w:val="0"/>
        <w:keepLines w:val="0"/>
        <w:pageBreakBefore w:val="0"/>
        <w:widowControl w:val="0"/>
        <w:shd w:val="clear" w:color="auto" w:fill="auto"/>
        <w:kinsoku w:val="0"/>
        <w:wordWrap w:val="0"/>
        <w:overflowPunct/>
        <w:topLinePunct w:val="0"/>
        <w:autoSpaceDE/>
        <w:autoSpaceDN/>
        <w:bidi w:val="0"/>
        <w:adjustRightInd/>
        <w:snapToGrid/>
        <w:spacing w:line="500" w:lineRule="exact"/>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2.本项目需要落实的政府采购政策：</w:t>
      </w:r>
    </w:p>
    <w:p w14:paraId="538FEC9B">
      <w:pPr>
        <w:keepNext w:val="0"/>
        <w:keepLines w:val="0"/>
        <w:pageBreakBefore w:val="0"/>
        <w:widowControl w:val="0"/>
        <w:shd w:val="clear" w:color="auto" w:fill="auto"/>
        <w:kinsoku w:val="0"/>
        <w:wordWrap w:val="0"/>
        <w:overflowPunct/>
        <w:topLinePunct w:val="0"/>
        <w:autoSpaceDE/>
        <w:autoSpaceDN/>
        <w:bidi w:val="0"/>
        <w:adjustRightInd/>
        <w:snapToGrid/>
        <w:spacing w:line="500" w:lineRule="exact"/>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（1）关于印发《政府采购促进中小企业发展管理办法》的通知(财库〔2020〕46号)。</w:t>
      </w:r>
    </w:p>
    <w:p w14:paraId="5EF763DE">
      <w:pPr>
        <w:keepNext w:val="0"/>
        <w:keepLines w:val="0"/>
        <w:pageBreakBefore w:val="0"/>
        <w:widowControl w:val="0"/>
        <w:shd w:val="clear" w:color="auto" w:fill="auto"/>
        <w:kinsoku w:val="0"/>
        <w:wordWrap w:val="0"/>
        <w:overflowPunct/>
        <w:topLinePunct w:val="0"/>
        <w:autoSpaceDE/>
        <w:autoSpaceDN/>
        <w:bidi w:val="0"/>
        <w:adjustRightInd/>
        <w:snapToGrid/>
        <w:spacing w:line="500" w:lineRule="exact"/>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（2）关于进一步加大政府采购支持中小企业力度的通知(财库〔2022〕19号)。</w:t>
      </w:r>
    </w:p>
    <w:p w14:paraId="1DF30320">
      <w:pPr>
        <w:keepNext w:val="0"/>
        <w:keepLines w:val="0"/>
        <w:pageBreakBefore w:val="0"/>
        <w:widowControl w:val="0"/>
        <w:shd w:val="clear" w:color="auto" w:fill="auto"/>
        <w:kinsoku w:val="0"/>
        <w:wordWrap w:val="0"/>
        <w:overflowPunct/>
        <w:topLinePunct w:val="0"/>
        <w:autoSpaceDE/>
        <w:autoSpaceDN/>
        <w:bidi w:val="0"/>
        <w:adjustRightInd/>
        <w:snapToGrid/>
        <w:spacing w:line="500" w:lineRule="exact"/>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（3）财政部、司法部关于政府采购支持监狱企业发展有关问题的通知(财库〔2014〕68号)。</w:t>
      </w:r>
    </w:p>
    <w:p w14:paraId="4B649420">
      <w:pPr>
        <w:keepNext w:val="0"/>
        <w:keepLines w:val="0"/>
        <w:pageBreakBefore w:val="0"/>
        <w:widowControl w:val="0"/>
        <w:shd w:val="clear" w:color="auto" w:fill="auto"/>
        <w:kinsoku w:val="0"/>
        <w:wordWrap w:val="0"/>
        <w:overflowPunct/>
        <w:topLinePunct w:val="0"/>
        <w:autoSpaceDE/>
        <w:autoSpaceDN/>
        <w:bidi w:val="0"/>
        <w:adjustRightInd/>
        <w:snapToGrid/>
        <w:spacing w:line="500" w:lineRule="exact"/>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（4）关于促进残疾人就业政府采购政策的通知（财库〔2017〕141号）。</w:t>
      </w:r>
    </w:p>
    <w:p w14:paraId="7122E7F3">
      <w:pPr>
        <w:keepNext w:val="0"/>
        <w:keepLines w:val="0"/>
        <w:pageBreakBefore w:val="0"/>
        <w:widowControl w:val="0"/>
        <w:shd w:val="clear" w:color="auto" w:fill="auto"/>
        <w:kinsoku w:val="0"/>
        <w:wordWrap w:val="0"/>
        <w:overflowPunct/>
        <w:topLinePunct w:val="0"/>
        <w:autoSpaceDE/>
        <w:autoSpaceDN/>
        <w:bidi w:val="0"/>
        <w:adjustRightInd/>
        <w:snapToGrid/>
        <w:spacing w:line="500" w:lineRule="exact"/>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（5）关于政府采购节能产品、环境标志产品的相关规定依据《关于调整优化节能产品、环境标志产品政府采购执行机制的通知》（财库〔2019〕9号）。</w:t>
      </w:r>
    </w:p>
    <w:p w14:paraId="799015CD">
      <w:pPr>
        <w:keepNext w:val="0"/>
        <w:keepLines w:val="0"/>
        <w:pageBreakBefore w:val="0"/>
        <w:widowControl w:val="0"/>
        <w:shd w:val="clear" w:color="auto" w:fill="auto"/>
        <w:kinsoku w:val="0"/>
        <w:wordWrap w:val="0"/>
        <w:overflowPunct/>
        <w:topLinePunct w:val="0"/>
        <w:autoSpaceDE/>
        <w:autoSpaceDN/>
        <w:bidi w:val="0"/>
        <w:adjustRightInd/>
        <w:snapToGrid/>
        <w:spacing w:line="500" w:lineRule="exact"/>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本项目采用全流程电子化采购方式，请供应商认真学习云南省省级政府采购电子交易平台发布的相关操作手册（供应商可在交易平台下载相关手册），办理CA数字证书、进行云南省省级政府采购电子交易平台注册绑定，并认真核实CA数字证书确认是否符合本项目电子化采购流程要求。 </w:t>
      </w:r>
    </w:p>
    <w:p w14:paraId="56133F15">
      <w:pPr>
        <w:keepNext w:val="0"/>
        <w:keepLines w:val="0"/>
        <w:pageBreakBefore w:val="0"/>
        <w:widowControl w:val="0"/>
        <w:shd w:val="clear" w:color="auto" w:fill="auto"/>
        <w:kinsoku w:val="0"/>
        <w:wordWrap w:val="0"/>
        <w:overflowPunct/>
        <w:topLinePunct w:val="0"/>
        <w:autoSpaceDE/>
        <w:autoSpaceDN/>
        <w:bidi w:val="0"/>
        <w:adjustRightInd/>
        <w:snapToGrid/>
        <w:spacing w:line="500" w:lineRule="exact"/>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CA数字证书服务热线 </w:t>
      </w:r>
    </w:p>
    <w:p w14:paraId="35A10FC1">
      <w:pPr>
        <w:keepNext w:val="0"/>
        <w:keepLines w:val="0"/>
        <w:pageBreakBefore w:val="0"/>
        <w:widowControl w:val="0"/>
        <w:shd w:val="clear" w:color="auto" w:fill="auto"/>
        <w:kinsoku w:val="0"/>
        <w:wordWrap w:val="0"/>
        <w:overflowPunct/>
        <w:topLinePunct w:val="0"/>
        <w:autoSpaceDE/>
        <w:autoSpaceDN/>
        <w:bidi w:val="0"/>
        <w:adjustRightInd/>
        <w:snapToGrid/>
        <w:spacing w:line="500" w:lineRule="exact"/>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汇信CA：0571-88350735</w:t>
      </w:r>
    </w:p>
    <w:p w14:paraId="0B7BE9D0">
      <w:pPr>
        <w:keepNext w:val="0"/>
        <w:keepLines w:val="0"/>
        <w:pageBreakBefore w:val="0"/>
        <w:widowControl w:val="0"/>
        <w:shd w:val="clear" w:color="auto" w:fill="auto"/>
        <w:kinsoku w:val="0"/>
        <w:wordWrap w:val="0"/>
        <w:overflowPunct/>
        <w:topLinePunct w:val="0"/>
        <w:autoSpaceDE/>
        <w:autoSpaceDN/>
        <w:bidi w:val="0"/>
        <w:adjustRightInd/>
        <w:snapToGrid/>
        <w:spacing w:line="500" w:lineRule="exact"/>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云南CA：4006727666</w:t>
      </w:r>
    </w:p>
    <w:p w14:paraId="0A70EC48">
      <w:pPr>
        <w:keepNext w:val="0"/>
        <w:keepLines w:val="0"/>
        <w:pageBreakBefore w:val="0"/>
        <w:widowControl w:val="0"/>
        <w:shd w:val="clear" w:color="auto" w:fill="auto"/>
        <w:kinsoku w:val="0"/>
        <w:wordWrap w:val="0"/>
        <w:overflowPunct/>
        <w:topLinePunct w:val="0"/>
        <w:autoSpaceDE/>
        <w:autoSpaceDN/>
        <w:bidi w:val="0"/>
        <w:adjustRightInd/>
        <w:snapToGrid/>
        <w:spacing w:line="500" w:lineRule="exact"/>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云南壹证通：4000040628</w:t>
      </w:r>
    </w:p>
    <w:p w14:paraId="7FCCB233">
      <w:pPr>
        <w:keepNext w:val="0"/>
        <w:keepLines w:val="0"/>
        <w:pageBreakBefore w:val="0"/>
        <w:widowControl w:val="0"/>
        <w:shd w:val="clear" w:color="auto" w:fill="auto"/>
        <w:kinsoku w:val="0"/>
        <w:wordWrap w:val="0"/>
        <w:overflowPunct/>
        <w:topLinePunct w:val="0"/>
        <w:autoSpaceDE/>
        <w:autoSpaceDN/>
        <w:bidi w:val="0"/>
        <w:adjustRightInd/>
        <w:snapToGrid/>
        <w:spacing w:line="500" w:lineRule="exact"/>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福建CA：0591-87760022</w:t>
      </w:r>
    </w:p>
    <w:p w14:paraId="60979067">
      <w:pPr>
        <w:keepNext w:val="0"/>
        <w:keepLines w:val="0"/>
        <w:pageBreakBefore w:val="0"/>
        <w:widowControl w:val="0"/>
        <w:shd w:val="clear" w:color="auto" w:fill="auto"/>
        <w:kinsoku w:val="0"/>
        <w:wordWrap w:val="0"/>
        <w:overflowPunct/>
        <w:topLinePunct w:val="0"/>
        <w:autoSpaceDE/>
        <w:autoSpaceDN/>
        <w:bidi w:val="0"/>
        <w:adjustRightInd/>
        <w:snapToGrid/>
        <w:spacing w:line="500" w:lineRule="exact"/>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（1）办理CA数字证书：供应商登录云南省省级政府采购电子交易平台查阅操作指南—入驻与配置—CA管理。使用操作指南，按照程序要求办理。 </w:t>
      </w:r>
    </w:p>
    <w:p w14:paraId="64CE4271">
      <w:pPr>
        <w:keepNext w:val="0"/>
        <w:keepLines w:val="0"/>
        <w:pageBreakBefore w:val="0"/>
        <w:widowControl w:val="0"/>
        <w:shd w:val="clear" w:color="auto" w:fill="auto"/>
        <w:kinsoku w:val="0"/>
        <w:wordWrap w:val="0"/>
        <w:overflowPunct/>
        <w:topLinePunct w:val="0"/>
        <w:autoSpaceDE/>
        <w:autoSpaceDN/>
        <w:bidi w:val="0"/>
        <w:adjustRightInd/>
        <w:snapToGrid/>
        <w:spacing w:line="500" w:lineRule="exact"/>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（2）注册：供应商登录云南省省级政府采购电子交易平台操作指南—入驻与配置—云南省供应商注册入驻与配置。注册入库操作流程指引进行自助注册绑定。 </w:t>
      </w:r>
    </w:p>
    <w:p w14:paraId="60ABE984">
      <w:pPr>
        <w:keepNext w:val="0"/>
        <w:keepLines w:val="0"/>
        <w:pageBreakBefore w:val="0"/>
        <w:widowControl w:val="0"/>
        <w:shd w:val="clear" w:color="auto" w:fill="auto"/>
        <w:kinsoku w:val="0"/>
        <w:wordWrap w:val="0"/>
        <w:overflowPunct/>
        <w:topLinePunct w:val="0"/>
        <w:autoSpaceDE/>
        <w:autoSpaceDN/>
        <w:bidi w:val="0"/>
        <w:adjustRightInd/>
        <w:snapToGrid/>
        <w:spacing w:line="500" w:lineRule="exact"/>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（3）驱动、客户端下载：供应商登录云南省省级政府采购电子交易平台—我的工作台-CA管理—给当前账号绑定CA—选择对应CA—下载驱动—客户端&amp;驱动下载。下载相关驱动及客户端。相关驱动及客户端网址 （https://customer.zcygov.cn/CA-driver-download?utm=web-ca-front.3ddc8fbb.0.0.6389de80d15111ee8160d911f316cf0d）</w:t>
      </w:r>
    </w:p>
    <w:p w14:paraId="3EDCA1D2">
      <w:pPr>
        <w:keepNext w:val="0"/>
        <w:keepLines w:val="0"/>
        <w:pageBreakBefore w:val="0"/>
        <w:widowControl w:val="0"/>
        <w:shd w:val="clear" w:color="auto" w:fill="auto"/>
        <w:kinsoku w:val="0"/>
        <w:wordWrap w:val="0"/>
        <w:overflowPunct/>
        <w:topLinePunct w:val="0"/>
        <w:autoSpaceDE/>
        <w:autoSpaceDN/>
        <w:bidi w:val="0"/>
        <w:adjustRightInd/>
        <w:snapToGrid/>
        <w:spacing w:line="500" w:lineRule="exact"/>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获取电子采购文件：供应商使用账号密码或CA数字证书登录相关驱动及客户端获取电子采购文件。供应商如计划参与多个采购包的投标，在获取采购文件详情页面，在意向标段（包）栏目依次选择对应采购包，提交申请即可。未在规定期限内按上述操作获取文件的采购包，供应商无法提交相应包的电子投标文件。 </w:t>
      </w:r>
    </w:p>
    <w:p w14:paraId="039F46DD">
      <w:pPr>
        <w:keepNext w:val="0"/>
        <w:keepLines w:val="0"/>
        <w:pageBreakBefore w:val="0"/>
        <w:widowControl w:val="0"/>
        <w:shd w:val="clear" w:color="auto" w:fill="auto"/>
        <w:kinsoku w:val="0"/>
        <w:wordWrap w:val="0"/>
        <w:overflowPunct/>
        <w:topLinePunct w:val="0"/>
        <w:autoSpaceDE/>
        <w:autoSpaceDN/>
        <w:bidi w:val="0"/>
        <w:adjustRightInd/>
        <w:snapToGrid/>
        <w:spacing w:line="500" w:lineRule="exact"/>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编制电子投标文件：供应商应使用电子投标客户端编制电子投标文件并进行线上投标，供应商电子投标文件需要加密并加盖电子签章，如无法按照要求在电子投标文件中加盖电子签章和加密，请及时通过技术支持服务热线联系技术人员。 </w:t>
      </w:r>
    </w:p>
    <w:p w14:paraId="0BCD0BC2">
      <w:pPr>
        <w:keepNext w:val="0"/>
        <w:keepLines w:val="0"/>
        <w:pageBreakBefore w:val="0"/>
        <w:widowControl w:val="0"/>
        <w:shd w:val="clear" w:color="auto" w:fill="auto"/>
        <w:kinsoku w:val="0"/>
        <w:wordWrap w:val="0"/>
        <w:overflowPunct/>
        <w:topLinePunct w:val="0"/>
        <w:autoSpaceDE/>
        <w:autoSpaceDN/>
        <w:bidi w:val="0"/>
        <w:adjustRightInd/>
        <w:snapToGrid/>
        <w:spacing w:line="500" w:lineRule="exact"/>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（6）提交电子投标文件：供应商应于投标截止时间前在政府采购电子交易平台提交电子投标文件，上传电子投标文件过程中请保持与互联网的连接畅通。 </w:t>
      </w:r>
    </w:p>
    <w:p w14:paraId="50483253">
      <w:pPr>
        <w:keepNext w:val="0"/>
        <w:keepLines w:val="0"/>
        <w:pageBreakBefore w:val="0"/>
        <w:widowControl w:val="0"/>
        <w:shd w:val="clear" w:color="auto" w:fill="auto"/>
        <w:kinsoku w:val="0"/>
        <w:wordWrap w:val="0"/>
        <w:overflowPunct/>
        <w:topLinePunct w:val="0"/>
        <w:autoSpaceDE/>
        <w:autoSpaceDN/>
        <w:bidi w:val="0"/>
        <w:adjustRightInd/>
        <w:snapToGrid/>
        <w:spacing w:line="500" w:lineRule="exact"/>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（7）电子开标：供应商使用账号密码或CA数字证书登录云南省省级政府采购电子交易平台进行电子开标。</w:t>
      </w:r>
    </w:p>
    <w:p w14:paraId="3C2E3C6F">
      <w:pPr>
        <w:keepNext w:val="0"/>
        <w:keepLines w:val="0"/>
        <w:pageBreakBefore w:val="0"/>
        <w:widowControl w:val="0"/>
        <w:shd w:val="clear" w:color="auto" w:fill="auto"/>
        <w:kinsoku w:val="0"/>
        <w:wordWrap w:val="0"/>
        <w:overflowPunct/>
        <w:topLinePunct w:val="0"/>
        <w:autoSpaceDE/>
        <w:autoSpaceDN/>
        <w:bidi w:val="0"/>
        <w:adjustRightInd/>
        <w:snapToGrid/>
        <w:spacing w:line="500" w:lineRule="exact"/>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4.本采购公告如与采购文件不一致之处，以采购文件为准。</w:t>
      </w:r>
    </w:p>
    <w:p w14:paraId="06B062E0">
      <w:pPr>
        <w:keepNext w:val="0"/>
        <w:keepLines w:val="0"/>
        <w:pageBreakBefore w:val="0"/>
        <w:widowControl w:val="0"/>
        <w:shd w:val="clear" w:color="auto" w:fill="auto"/>
        <w:kinsoku w:val="0"/>
        <w:wordWrap w:val="0"/>
        <w:overflowPunct/>
        <w:topLinePunct w:val="0"/>
        <w:autoSpaceDE/>
        <w:bidi w:val="0"/>
        <w:adjustRightInd/>
        <w:snapToGrid/>
        <w:spacing w:line="500" w:lineRule="exact"/>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七、对本次</w:t>
      </w:r>
      <w:r>
        <w:rPr>
          <w:rFonts w:hint="eastAsia" w:ascii="宋体" w:hAnsi="宋体" w:eastAsia="宋体" w:cs="宋体"/>
          <w:b/>
          <w:bCs/>
          <w:color w:val="auto"/>
          <w:sz w:val="24"/>
          <w:szCs w:val="24"/>
          <w:highlight w:val="none"/>
          <w:lang w:eastAsia="zh-CN"/>
        </w:rPr>
        <w:t>采购</w:t>
      </w:r>
      <w:r>
        <w:rPr>
          <w:rFonts w:hint="eastAsia" w:ascii="宋体" w:hAnsi="宋体" w:eastAsia="宋体" w:cs="宋体"/>
          <w:b/>
          <w:bCs/>
          <w:color w:val="auto"/>
          <w:sz w:val="24"/>
          <w:szCs w:val="24"/>
          <w:highlight w:val="none"/>
        </w:rPr>
        <w:t>提出询问，请按以下方式联系</w:t>
      </w:r>
      <w:bookmarkEnd w:id="23"/>
      <w:bookmarkEnd w:id="24"/>
      <w:bookmarkEnd w:id="25"/>
      <w:bookmarkEnd w:id="26"/>
    </w:p>
    <w:p w14:paraId="603DEEA0">
      <w:pPr>
        <w:keepNext w:val="0"/>
        <w:keepLines w:val="0"/>
        <w:pageBreakBefore w:val="0"/>
        <w:widowControl w:val="0"/>
        <w:shd w:val="clear" w:color="auto" w:fill="auto"/>
        <w:kinsoku w:val="0"/>
        <w:wordWrap w:val="0"/>
        <w:overflowPunct/>
        <w:topLinePunct w:val="0"/>
        <w:autoSpaceDE/>
        <w:autoSpaceDN/>
        <w:bidi w:val="0"/>
        <w:adjustRightInd/>
        <w:snapToGrid/>
        <w:spacing w:line="500" w:lineRule="exact"/>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w:t>
      </w:r>
      <w:r>
        <w:rPr>
          <w:rFonts w:hint="eastAsia" w:ascii="宋体" w:hAnsi="宋体" w:eastAsia="宋体" w:cs="宋体"/>
          <w:b w:val="0"/>
          <w:bCs w:val="0"/>
          <w:color w:val="auto"/>
          <w:sz w:val="24"/>
          <w:szCs w:val="24"/>
          <w:highlight w:val="none"/>
          <w:lang w:val="en-US" w:eastAsia="zh-CN"/>
        </w:rPr>
        <w:t>采购人</w:t>
      </w:r>
      <w:r>
        <w:rPr>
          <w:rFonts w:hint="eastAsia" w:ascii="宋体" w:hAnsi="宋体" w:eastAsia="宋体" w:cs="宋体"/>
          <w:b w:val="0"/>
          <w:bCs w:val="0"/>
          <w:color w:val="auto"/>
          <w:sz w:val="24"/>
          <w:szCs w:val="24"/>
          <w:highlight w:val="none"/>
        </w:rPr>
        <w:t>信息</w:t>
      </w:r>
    </w:p>
    <w:p w14:paraId="3FE899A3">
      <w:pPr>
        <w:keepNext w:val="0"/>
        <w:keepLines w:val="0"/>
        <w:pageBreakBefore w:val="0"/>
        <w:widowControl w:val="0"/>
        <w:shd w:val="clear" w:color="auto" w:fill="auto"/>
        <w:kinsoku w:val="0"/>
        <w:wordWrap w:val="0"/>
        <w:overflowPunct/>
        <w:topLinePunct w:val="0"/>
        <w:autoSpaceDE/>
        <w:autoSpaceDN/>
        <w:bidi w:val="0"/>
        <w:adjustRightInd/>
        <w:snapToGrid/>
        <w:spacing w:line="500" w:lineRule="exact"/>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名称：</w:t>
      </w:r>
      <w:r>
        <w:rPr>
          <w:rFonts w:hint="eastAsia" w:ascii="宋体" w:hAnsi="宋体" w:cs="宋体"/>
          <w:b w:val="0"/>
          <w:bCs w:val="0"/>
          <w:color w:val="auto"/>
          <w:sz w:val="24"/>
          <w:szCs w:val="24"/>
          <w:highlight w:val="none"/>
          <w:lang w:eastAsia="zh-CN"/>
        </w:rPr>
        <w:t>会泽县金钟街道文笔小学</w:t>
      </w:r>
      <w:r>
        <w:rPr>
          <w:rFonts w:hint="eastAsia" w:ascii="宋体" w:hAnsi="宋体" w:eastAsia="宋体" w:cs="宋体"/>
          <w:b w:val="0"/>
          <w:bCs w:val="0"/>
          <w:color w:val="auto"/>
          <w:sz w:val="24"/>
          <w:szCs w:val="24"/>
          <w:highlight w:val="none"/>
          <w:lang w:val="en-US" w:eastAsia="zh-CN"/>
        </w:rPr>
        <w:t xml:space="preserve"> </w:t>
      </w:r>
    </w:p>
    <w:p w14:paraId="61C2012F">
      <w:pPr>
        <w:keepNext w:val="0"/>
        <w:keepLines w:val="0"/>
        <w:pageBreakBefore w:val="0"/>
        <w:widowControl w:val="0"/>
        <w:shd w:val="clear" w:color="auto" w:fill="auto"/>
        <w:kinsoku w:val="0"/>
        <w:wordWrap w:val="0"/>
        <w:overflowPunct/>
        <w:topLinePunct w:val="0"/>
        <w:autoSpaceDE/>
        <w:autoSpaceDN/>
        <w:bidi w:val="0"/>
        <w:adjustRightInd/>
        <w:snapToGrid/>
        <w:spacing w:line="500" w:lineRule="exact"/>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地址：</w:t>
      </w:r>
      <w:r>
        <w:rPr>
          <w:rFonts w:hint="eastAsia" w:ascii="宋体" w:hAnsi="宋体" w:cs="宋体"/>
          <w:b w:val="0"/>
          <w:bCs w:val="0"/>
          <w:color w:val="auto"/>
          <w:sz w:val="24"/>
          <w:szCs w:val="24"/>
          <w:highlight w:val="none"/>
          <w:lang w:eastAsia="zh-CN"/>
        </w:rPr>
        <w:t>会泽县金钟街道文笔</w:t>
      </w:r>
      <w:r>
        <w:rPr>
          <w:rFonts w:hint="eastAsia" w:ascii="宋体" w:hAnsi="宋体" w:cs="宋体"/>
          <w:b w:val="0"/>
          <w:bCs w:val="0"/>
          <w:color w:val="auto"/>
          <w:sz w:val="24"/>
          <w:szCs w:val="24"/>
          <w:highlight w:val="none"/>
          <w:lang w:val="en-US" w:eastAsia="zh-CN"/>
        </w:rPr>
        <w:t>社区</w:t>
      </w:r>
    </w:p>
    <w:p w14:paraId="05A230AC">
      <w:pPr>
        <w:keepNext w:val="0"/>
        <w:keepLines w:val="0"/>
        <w:pageBreakBefore w:val="0"/>
        <w:widowControl w:val="0"/>
        <w:shd w:val="clear" w:color="auto" w:fill="auto"/>
        <w:kinsoku w:val="0"/>
        <w:wordWrap w:val="0"/>
        <w:overflowPunct/>
        <w:topLinePunct w:val="0"/>
        <w:autoSpaceDE/>
        <w:autoSpaceDN/>
        <w:bidi w:val="0"/>
        <w:adjustRightInd/>
        <w:snapToGrid/>
        <w:spacing w:line="500" w:lineRule="exact"/>
        <w:ind w:firstLine="480" w:firstLineChars="200"/>
        <w:textAlignment w:val="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联系方式：</w:t>
      </w:r>
      <w:r>
        <w:rPr>
          <w:rFonts w:hint="eastAsia" w:ascii="宋体" w:hAnsi="宋体" w:cs="宋体"/>
          <w:b w:val="0"/>
          <w:bCs w:val="0"/>
          <w:color w:val="auto"/>
          <w:sz w:val="24"/>
          <w:szCs w:val="24"/>
          <w:highlight w:val="none"/>
          <w:lang w:val="en-US" w:eastAsia="zh-CN"/>
        </w:rPr>
        <w:t>13887465785</w:t>
      </w:r>
      <w:bookmarkStart w:id="141" w:name="_GoBack"/>
      <w:bookmarkEnd w:id="141"/>
    </w:p>
    <w:p w14:paraId="49E25587">
      <w:pPr>
        <w:keepNext w:val="0"/>
        <w:keepLines w:val="0"/>
        <w:pageBreakBefore w:val="0"/>
        <w:widowControl w:val="0"/>
        <w:shd w:val="clear" w:color="auto" w:fill="auto"/>
        <w:kinsoku w:val="0"/>
        <w:wordWrap w:val="0"/>
        <w:overflowPunct/>
        <w:topLinePunct w:val="0"/>
        <w:autoSpaceDE/>
        <w:autoSpaceDN/>
        <w:bidi w:val="0"/>
        <w:adjustRightInd/>
        <w:snapToGrid/>
        <w:spacing w:line="500" w:lineRule="exact"/>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w:t>
      </w:r>
      <w:r>
        <w:rPr>
          <w:rFonts w:hint="eastAsia" w:ascii="宋体" w:hAnsi="宋体" w:eastAsia="宋体" w:cs="宋体"/>
          <w:b w:val="0"/>
          <w:bCs w:val="0"/>
          <w:color w:val="auto"/>
          <w:sz w:val="24"/>
          <w:szCs w:val="24"/>
          <w:highlight w:val="none"/>
          <w:lang w:eastAsia="zh-CN"/>
        </w:rPr>
        <w:t>采购代理机构</w:t>
      </w:r>
      <w:r>
        <w:rPr>
          <w:rFonts w:hint="eastAsia" w:ascii="宋体" w:hAnsi="宋体" w:eastAsia="宋体" w:cs="宋体"/>
          <w:b w:val="0"/>
          <w:bCs w:val="0"/>
          <w:color w:val="auto"/>
          <w:sz w:val="24"/>
          <w:szCs w:val="24"/>
          <w:highlight w:val="none"/>
        </w:rPr>
        <w:t>信息</w:t>
      </w:r>
    </w:p>
    <w:p w14:paraId="1C519547">
      <w:pPr>
        <w:keepNext w:val="0"/>
        <w:keepLines w:val="0"/>
        <w:pageBreakBefore w:val="0"/>
        <w:widowControl w:val="0"/>
        <w:shd w:val="clear" w:color="auto" w:fill="auto"/>
        <w:kinsoku w:val="0"/>
        <w:wordWrap w:val="0"/>
        <w:overflowPunct/>
        <w:topLinePunct w:val="0"/>
        <w:autoSpaceDE/>
        <w:autoSpaceDN/>
        <w:bidi w:val="0"/>
        <w:adjustRightInd/>
        <w:snapToGrid/>
        <w:spacing w:line="500" w:lineRule="exact"/>
        <w:ind w:firstLine="480" w:firstLineChars="200"/>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名称：</w:t>
      </w:r>
      <w:r>
        <w:rPr>
          <w:rFonts w:hint="eastAsia" w:ascii="宋体" w:hAnsi="宋体" w:cs="宋体"/>
          <w:b w:val="0"/>
          <w:bCs w:val="0"/>
          <w:color w:val="auto"/>
          <w:sz w:val="24"/>
          <w:szCs w:val="24"/>
          <w:highlight w:val="none"/>
          <w:lang w:eastAsia="zh-CN"/>
        </w:rPr>
        <w:t>云南规正招投标有限公司</w:t>
      </w:r>
    </w:p>
    <w:p w14:paraId="76D027F7">
      <w:pPr>
        <w:keepNext w:val="0"/>
        <w:keepLines w:val="0"/>
        <w:pageBreakBefore w:val="0"/>
        <w:widowControl w:val="0"/>
        <w:shd w:val="clear" w:color="auto" w:fill="auto"/>
        <w:kinsoku w:val="0"/>
        <w:wordWrap w:val="0"/>
        <w:overflowPunct/>
        <w:topLinePunct w:val="0"/>
        <w:autoSpaceDE/>
        <w:autoSpaceDN/>
        <w:bidi w:val="0"/>
        <w:adjustRightInd/>
        <w:snapToGrid/>
        <w:spacing w:line="500" w:lineRule="exact"/>
        <w:ind w:firstLine="480" w:firstLineChars="200"/>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地址：</w:t>
      </w:r>
      <w:r>
        <w:rPr>
          <w:rFonts w:hint="eastAsia" w:ascii="宋体" w:hAnsi="宋体" w:cs="宋体"/>
          <w:b w:val="0"/>
          <w:bCs w:val="0"/>
          <w:color w:val="auto"/>
          <w:sz w:val="24"/>
          <w:szCs w:val="24"/>
          <w:highlight w:val="none"/>
          <w:lang w:eastAsia="zh-CN"/>
        </w:rPr>
        <w:t>云南省曲靖市古城街道振兴西街66号</w:t>
      </w:r>
    </w:p>
    <w:p w14:paraId="672D5F53">
      <w:pPr>
        <w:keepNext w:val="0"/>
        <w:keepLines w:val="0"/>
        <w:pageBreakBefore w:val="0"/>
        <w:widowControl w:val="0"/>
        <w:shd w:val="clear" w:color="auto" w:fill="auto"/>
        <w:kinsoku w:val="0"/>
        <w:wordWrap w:val="0"/>
        <w:overflowPunct/>
        <w:topLinePunct w:val="0"/>
        <w:autoSpaceDE/>
        <w:autoSpaceDN/>
        <w:bidi w:val="0"/>
        <w:adjustRightInd/>
        <w:snapToGrid/>
        <w:spacing w:line="500" w:lineRule="exact"/>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联系方式：</w:t>
      </w:r>
      <w:r>
        <w:rPr>
          <w:rFonts w:hint="eastAsia" w:ascii="宋体" w:hAnsi="宋体" w:cs="宋体"/>
          <w:b w:val="0"/>
          <w:bCs w:val="0"/>
          <w:color w:val="auto"/>
          <w:sz w:val="24"/>
          <w:szCs w:val="24"/>
          <w:highlight w:val="none"/>
          <w:lang w:val="en-US" w:eastAsia="zh-CN"/>
        </w:rPr>
        <w:t>15388753262</w:t>
      </w:r>
      <w:r>
        <w:rPr>
          <w:rFonts w:hint="eastAsia" w:ascii="宋体" w:hAnsi="宋体" w:eastAsia="宋体" w:cs="宋体"/>
          <w:b w:val="0"/>
          <w:bCs w:val="0"/>
          <w:color w:val="auto"/>
          <w:sz w:val="24"/>
          <w:szCs w:val="24"/>
          <w:highlight w:val="none"/>
        </w:rPr>
        <w:t xml:space="preserve"> </w:t>
      </w:r>
    </w:p>
    <w:p w14:paraId="25A859A5">
      <w:pPr>
        <w:keepNext w:val="0"/>
        <w:keepLines w:val="0"/>
        <w:pageBreakBefore w:val="0"/>
        <w:widowControl w:val="0"/>
        <w:shd w:val="clear" w:color="auto" w:fill="auto"/>
        <w:kinsoku w:val="0"/>
        <w:wordWrap w:val="0"/>
        <w:overflowPunct/>
        <w:topLinePunct w:val="0"/>
        <w:autoSpaceDE/>
        <w:autoSpaceDN/>
        <w:bidi w:val="0"/>
        <w:adjustRightInd/>
        <w:snapToGrid/>
        <w:spacing w:line="500" w:lineRule="exact"/>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3.项目联系方式</w:t>
      </w:r>
    </w:p>
    <w:p w14:paraId="05A41AFB">
      <w:pPr>
        <w:keepNext w:val="0"/>
        <w:keepLines w:val="0"/>
        <w:pageBreakBefore w:val="0"/>
        <w:widowControl w:val="0"/>
        <w:shd w:val="clear" w:color="auto" w:fill="auto"/>
        <w:kinsoku w:val="0"/>
        <w:wordWrap w:val="0"/>
        <w:overflowPunct/>
        <w:topLinePunct w:val="0"/>
        <w:autoSpaceDE/>
        <w:autoSpaceDN/>
        <w:bidi w:val="0"/>
        <w:adjustRightInd/>
        <w:snapToGrid/>
        <w:spacing w:line="500" w:lineRule="exact"/>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项目联系人：</w:t>
      </w:r>
      <w:r>
        <w:rPr>
          <w:rFonts w:hint="eastAsia" w:ascii="宋体" w:hAnsi="宋体" w:cs="宋体"/>
          <w:b w:val="0"/>
          <w:bCs w:val="0"/>
          <w:color w:val="auto"/>
          <w:sz w:val="24"/>
          <w:szCs w:val="24"/>
          <w:highlight w:val="none"/>
          <w:lang w:val="en-US" w:eastAsia="zh-CN"/>
        </w:rPr>
        <w:t>刘</w:t>
      </w:r>
      <w:r>
        <w:rPr>
          <w:rFonts w:hint="eastAsia" w:ascii="宋体" w:hAnsi="宋体" w:eastAsia="宋体" w:cs="宋体"/>
          <w:b w:val="0"/>
          <w:bCs w:val="0"/>
          <w:color w:val="auto"/>
          <w:sz w:val="24"/>
          <w:szCs w:val="24"/>
          <w:highlight w:val="none"/>
          <w:lang w:val="en-US" w:eastAsia="zh-CN"/>
        </w:rPr>
        <w:t>老师</w:t>
      </w:r>
    </w:p>
    <w:p w14:paraId="4AF08507">
      <w:pPr>
        <w:keepNext w:val="0"/>
        <w:keepLines w:val="0"/>
        <w:pageBreakBefore w:val="0"/>
        <w:widowControl w:val="0"/>
        <w:shd w:val="clear" w:color="auto" w:fill="auto"/>
        <w:kinsoku w:val="0"/>
        <w:wordWrap w:val="0"/>
        <w:overflowPunct/>
        <w:topLinePunct w:val="0"/>
        <w:autoSpaceDE/>
        <w:autoSpaceDN/>
        <w:bidi w:val="0"/>
        <w:adjustRightInd/>
        <w:snapToGrid/>
        <w:spacing w:line="500" w:lineRule="exact"/>
        <w:ind w:firstLine="480" w:firstLineChars="200"/>
        <w:textAlignment w:val="auto"/>
        <w:rPr>
          <w:rFonts w:hint="eastAsia" w:ascii="宋体" w:hAnsi="宋体" w:eastAsia="宋体" w:cs="宋体"/>
          <w:b w:val="0"/>
          <w:bCs w:val="0"/>
          <w:color w:val="auto"/>
          <w:sz w:val="24"/>
          <w:szCs w:val="24"/>
          <w:highlight w:val="none"/>
          <w:lang w:val="en-US"/>
        </w:rPr>
      </w:pPr>
      <w:r>
        <w:rPr>
          <w:rFonts w:hint="eastAsia" w:ascii="宋体" w:hAnsi="宋体" w:eastAsia="宋体" w:cs="宋体"/>
          <w:b w:val="0"/>
          <w:bCs w:val="0"/>
          <w:color w:val="auto"/>
          <w:sz w:val="24"/>
          <w:szCs w:val="24"/>
          <w:highlight w:val="none"/>
        </w:rPr>
        <w:t>电话：</w:t>
      </w:r>
      <w:bookmarkStart w:id="27" w:name="_Toc2956"/>
      <w:r>
        <w:rPr>
          <w:rFonts w:hint="eastAsia" w:ascii="宋体" w:hAnsi="宋体" w:cs="宋体"/>
          <w:b w:val="0"/>
          <w:bCs w:val="0"/>
          <w:color w:val="auto"/>
          <w:sz w:val="24"/>
          <w:szCs w:val="24"/>
          <w:highlight w:val="none"/>
          <w:lang w:val="en-US" w:eastAsia="zh-CN"/>
        </w:rPr>
        <w:t>13887465785</w:t>
      </w:r>
    </w:p>
    <w:p w14:paraId="75548071">
      <w:pPr>
        <w:keepNext w:val="0"/>
        <w:keepLines w:val="0"/>
        <w:pageBreakBefore w:val="0"/>
        <w:widowControl w:val="0"/>
        <w:kinsoku w:val="0"/>
        <w:wordWrap w:val="0"/>
        <w:bidi w:val="0"/>
        <w:textAlignment w:val="auto"/>
        <w:rPr>
          <w:rFonts w:hint="eastAsia"/>
          <w:color w:val="auto"/>
          <w:highlight w:val="none"/>
        </w:rPr>
      </w:pPr>
    </w:p>
    <w:p w14:paraId="5514D197">
      <w:pPr>
        <w:keepNext w:val="0"/>
        <w:keepLines w:val="0"/>
        <w:pageBreakBefore w:val="0"/>
        <w:widowControl w:val="0"/>
        <w:kinsoku w:val="0"/>
        <w:wordWrap w:val="0"/>
        <w:bidi w:val="0"/>
        <w:textAlignment w:val="auto"/>
        <w:rPr>
          <w:rFonts w:hint="eastAsia"/>
          <w:color w:val="auto"/>
          <w:highlight w:val="none"/>
        </w:rPr>
      </w:pPr>
    </w:p>
    <w:p w14:paraId="1EB43FEA">
      <w:pPr>
        <w:keepNext w:val="0"/>
        <w:keepLines w:val="0"/>
        <w:pageBreakBefore w:val="0"/>
        <w:widowControl w:val="0"/>
        <w:kinsoku w:val="0"/>
        <w:wordWrap w:val="0"/>
        <w:bidi w:val="0"/>
        <w:textAlignment w:val="auto"/>
        <w:rPr>
          <w:rFonts w:hint="eastAsia"/>
          <w:color w:val="auto"/>
          <w:highlight w:val="none"/>
        </w:rPr>
      </w:pPr>
    </w:p>
    <w:p w14:paraId="611E78CD">
      <w:pPr>
        <w:keepNext w:val="0"/>
        <w:keepLines w:val="0"/>
        <w:pageBreakBefore w:val="0"/>
        <w:widowControl w:val="0"/>
        <w:kinsoku w:val="0"/>
        <w:wordWrap w:val="0"/>
        <w:bidi w:val="0"/>
        <w:textAlignment w:val="auto"/>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br w:type="page"/>
      </w:r>
    </w:p>
    <w:bookmarkEnd w:id="27"/>
    <w:p w14:paraId="16AF9FA4">
      <w:pPr>
        <w:pStyle w:val="2"/>
        <w:keepNext w:val="0"/>
        <w:keepLines w:val="0"/>
        <w:pageBreakBefore w:val="0"/>
        <w:widowControl w:val="0"/>
        <w:shd w:val="clear" w:color="auto" w:fill="auto"/>
        <w:tabs>
          <w:tab w:val="left" w:pos="360"/>
        </w:tabs>
        <w:kinsoku w:val="0"/>
        <w:wordWrap w:val="0"/>
        <w:bidi w:val="0"/>
        <w:spacing w:before="0" w:line="540" w:lineRule="exact"/>
        <w:ind w:left="0" w:firstLine="0"/>
        <w:jc w:val="center"/>
        <w:textAlignment w:val="auto"/>
        <w:rPr>
          <w:rFonts w:hint="eastAsia" w:asciiTheme="minorEastAsia" w:hAnsiTheme="minorEastAsia" w:eastAsiaTheme="minorEastAsia" w:cstheme="minorEastAsia"/>
          <w:color w:val="auto"/>
          <w:sz w:val="36"/>
          <w:szCs w:val="36"/>
          <w:highlight w:val="none"/>
        </w:rPr>
      </w:pPr>
      <w:bookmarkStart w:id="28" w:name="_Toc15040"/>
      <w:bookmarkStart w:id="29" w:name="_Toc213141090"/>
      <w:bookmarkStart w:id="30" w:name="_Toc30758"/>
      <w:r>
        <w:rPr>
          <w:rFonts w:hint="eastAsia" w:asciiTheme="minorEastAsia" w:hAnsiTheme="minorEastAsia" w:eastAsiaTheme="minorEastAsia" w:cstheme="minorEastAsia"/>
          <w:color w:val="auto"/>
          <w:sz w:val="32"/>
          <w:szCs w:val="32"/>
          <w:highlight w:val="none"/>
        </w:rPr>
        <w:t xml:space="preserve">第二章 </w:t>
      </w:r>
      <w:r>
        <w:rPr>
          <w:rFonts w:hint="eastAsia" w:asciiTheme="minorEastAsia" w:hAnsiTheme="minorEastAsia" w:eastAsiaTheme="minorEastAsia" w:cstheme="minorEastAsia"/>
          <w:color w:val="auto"/>
          <w:sz w:val="32"/>
          <w:szCs w:val="32"/>
          <w:highlight w:val="none"/>
          <w:lang w:val="en-US" w:eastAsia="zh-CN"/>
        </w:rPr>
        <w:t>供应商</w:t>
      </w:r>
      <w:r>
        <w:rPr>
          <w:rFonts w:hint="eastAsia" w:asciiTheme="minorEastAsia" w:hAnsiTheme="minorEastAsia" w:eastAsiaTheme="minorEastAsia" w:cstheme="minorEastAsia"/>
          <w:color w:val="auto"/>
          <w:sz w:val="32"/>
          <w:szCs w:val="32"/>
          <w:highlight w:val="none"/>
        </w:rPr>
        <w:t>须知</w:t>
      </w:r>
      <w:bookmarkEnd w:id="28"/>
    </w:p>
    <w:p w14:paraId="441F2909">
      <w:pPr>
        <w:keepNext w:val="0"/>
        <w:keepLines w:val="0"/>
        <w:pageBreakBefore w:val="0"/>
        <w:widowControl w:val="0"/>
        <w:shd w:val="clear" w:color="auto" w:fill="auto"/>
        <w:kinsoku w:val="0"/>
        <w:wordWrap w:val="0"/>
        <w:bidi w:val="0"/>
        <w:spacing w:line="413" w:lineRule="auto"/>
        <w:ind w:right="960"/>
        <w:jc w:val="left"/>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eastAsia="zh-CN"/>
        </w:rPr>
        <w:t>供应商</w:t>
      </w:r>
      <w:r>
        <w:rPr>
          <w:rFonts w:hint="eastAsia" w:asciiTheme="minorEastAsia" w:hAnsiTheme="minorEastAsia" w:eastAsiaTheme="minorEastAsia" w:cstheme="minorEastAsia"/>
          <w:b/>
          <w:bCs/>
          <w:color w:val="auto"/>
          <w:sz w:val="24"/>
          <w:szCs w:val="24"/>
          <w:highlight w:val="none"/>
        </w:rPr>
        <w:t>须知前附表</w:t>
      </w:r>
    </w:p>
    <w:tbl>
      <w:tblPr>
        <w:tblStyle w:val="21"/>
        <w:tblW w:w="94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5"/>
        <w:gridCol w:w="2340"/>
        <w:gridCol w:w="6054"/>
      </w:tblGrid>
      <w:tr w14:paraId="61EAC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1085" w:type="dxa"/>
            <w:noWrap w:val="0"/>
            <w:vAlign w:val="center"/>
          </w:tcPr>
          <w:p w14:paraId="71BFB62C">
            <w:pPr>
              <w:keepNext w:val="0"/>
              <w:keepLines w:val="0"/>
              <w:pageBreakBefore w:val="0"/>
              <w:widowControl w:val="0"/>
              <w:shd w:val="clear" w:color="auto" w:fill="auto"/>
              <w:kinsoku w:val="0"/>
              <w:wordWrap w:val="0"/>
              <w:bidi w:val="0"/>
              <w:spacing w:line="480" w:lineRule="exact"/>
              <w:jc w:val="center"/>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条款号</w:t>
            </w:r>
          </w:p>
        </w:tc>
        <w:tc>
          <w:tcPr>
            <w:tcW w:w="2340" w:type="dxa"/>
            <w:noWrap w:val="0"/>
            <w:vAlign w:val="center"/>
          </w:tcPr>
          <w:p w14:paraId="213AB9B9">
            <w:pPr>
              <w:keepNext w:val="0"/>
              <w:keepLines w:val="0"/>
              <w:pageBreakBefore w:val="0"/>
              <w:widowControl w:val="0"/>
              <w:shd w:val="clear" w:color="auto" w:fill="auto"/>
              <w:kinsoku w:val="0"/>
              <w:wordWrap w:val="0"/>
              <w:bidi w:val="0"/>
              <w:spacing w:line="480" w:lineRule="exact"/>
              <w:jc w:val="center"/>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条款名称</w:t>
            </w:r>
          </w:p>
        </w:tc>
        <w:tc>
          <w:tcPr>
            <w:tcW w:w="6054" w:type="dxa"/>
            <w:noWrap w:val="0"/>
            <w:vAlign w:val="center"/>
          </w:tcPr>
          <w:p w14:paraId="4530E994">
            <w:pPr>
              <w:keepNext w:val="0"/>
              <w:keepLines w:val="0"/>
              <w:pageBreakBefore w:val="0"/>
              <w:widowControl w:val="0"/>
              <w:shd w:val="clear" w:color="auto" w:fill="auto"/>
              <w:kinsoku w:val="0"/>
              <w:wordWrap w:val="0"/>
              <w:bidi w:val="0"/>
              <w:spacing w:line="480" w:lineRule="exact"/>
              <w:jc w:val="center"/>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编列内容</w:t>
            </w:r>
          </w:p>
        </w:tc>
      </w:tr>
      <w:tr w14:paraId="3910D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4" w:hRule="atLeast"/>
          <w:jc w:val="center"/>
        </w:trPr>
        <w:tc>
          <w:tcPr>
            <w:tcW w:w="1085" w:type="dxa"/>
            <w:vMerge w:val="restart"/>
            <w:noWrap w:val="0"/>
            <w:vAlign w:val="center"/>
          </w:tcPr>
          <w:p w14:paraId="70212D5E">
            <w:pPr>
              <w:keepNext w:val="0"/>
              <w:keepLines w:val="0"/>
              <w:pageBreakBefore w:val="0"/>
              <w:widowControl w:val="0"/>
              <w:shd w:val="clear" w:color="auto" w:fill="auto"/>
              <w:kinsoku w:val="0"/>
              <w:wordWrap w:val="0"/>
              <w:bidi w:val="0"/>
              <w:spacing w:line="480" w:lineRule="exact"/>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2340" w:type="dxa"/>
            <w:noWrap w:val="0"/>
            <w:vAlign w:val="center"/>
          </w:tcPr>
          <w:p w14:paraId="40C8B228">
            <w:pPr>
              <w:keepNext w:val="0"/>
              <w:keepLines w:val="0"/>
              <w:pageBreakBefore w:val="0"/>
              <w:widowControl w:val="0"/>
              <w:shd w:val="clear" w:color="auto" w:fill="auto"/>
              <w:kinsoku w:val="0"/>
              <w:wordWrap w:val="0"/>
              <w:bidi w:val="0"/>
              <w:spacing w:line="48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采购人 </w:t>
            </w:r>
          </w:p>
        </w:tc>
        <w:tc>
          <w:tcPr>
            <w:tcW w:w="6054" w:type="dxa"/>
            <w:noWrap w:val="0"/>
            <w:vAlign w:val="center"/>
          </w:tcPr>
          <w:p w14:paraId="05F04562">
            <w:pPr>
              <w:keepNext w:val="0"/>
              <w:keepLines w:val="0"/>
              <w:pageBreakBefore w:val="0"/>
              <w:widowControl w:val="0"/>
              <w:shd w:val="clear" w:color="auto" w:fill="auto"/>
              <w:kinsoku w:val="0"/>
              <w:wordWrap w:val="0"/>
              <w:bidi w:val="0"/>
              <w:spacing w:line="480" w:lineRule="exact"/>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会泽县金钟街道文笔小学</w:t>
            </w:r>
          </w:p>
        </w:tc>
      </w:tr>
      <w:tr w14:paraId="18991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2" w:hRule="atLeast"/>
          <w:jc w:val="center"/>
        </w:trPr>
        <w:tc>
          <w:tcPr>
            <w:tcW w:w="1085" w:type="dxa"/>
            <w:vMerge w:val="continue"/>
            <w:noWrap w:val="0"/>
            <w:vAlign w:val="center"/>
          </w:tcPr>
          <w:p w14:paraId="3B60A94D">
            <w:pPr>
              <w:keepNext w:val="0"/>
              <w:keepLines w:val="0"/>
              <w:pageBreakBefore w:val="0"/>
              <w:widowControl w:val="0"/>
              <w:shd w:val="clear" w:color="auto" w:fill="auto"/>
              <w:kinsoku w:val="0"/>
              <w:wordWrap w:val="0"/>
              <w:bidi w:val="0"/>
              <w:spacing w:line="480" w:lineRule="exact"/>
              <w:jc w:val="center"/>
              <w:textAlignment w:val="auto"/>
              <w:rPr>
                <w:rFonts w:hint="eastAsia" w:asciiTheme="minorEastAsia" w:hAnsiTheme="minorEastAsia" w:eastAsiaTheme="minorEastAsia" w:cstheme="minorEastAsia"/>
                <w:color w:val="auto"/>
                <w:sz w:val="24"/>
                <w:szCs w:val="24"/>
                <w:highlight w:val="none"/>
              </w:rPr>
            </w:pPr>
          </w:p>
        </w:tc>
        <w:tc>
          <w:tcPr>
            <w:tcW w:w="2340" w:type="dxa"/>
            <w:noWrap w:val="0"/>
            <w:vAlign w:val="center"/>
          </w:tcPr>
          <w:p w14:paraId="1C889320">
            <w:pPr>
              <w:keepNext w:val="0"/>
              <w:keepLines w:val="0"/>
              <w:pageBreakBefore w:val="0"/>
              <w:widowControl w:val="0"/>
              <w:shd w:val="clear" w:color="auto" w:fill="auto"/>
              <w:kinsoku w:val="0"/>
              <w:wordWrap w:val="0"/>
              <w:bidi w:val="0"/>
              <w:spacing w:line="48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采购代理机构</w:t>
            </w:r>
          </w:p>
        </w:tc>
        <w:tc>
          <w:tcPr>
            <w:tcW w:w="6054" w:type="dxa"/>
            <w:noWrap w:val="0"/>
            <w:vAlign w:val="center"/>
          </w:tcPr>
          <w:p w14:paraId="345C8A97">
            <w:pPr>
              <w:keepNext w:val="0"/>
              <w:keepLines w:val="0"/>
              <w:pageBreakBefore w:val="0"/>
              <w:widowControl w:val="0"/>
              <w:shd w:val="clear" w:color="auto" w:fill="auto"/>
              <w:kinsoku w:val="0"/>
              <w:wordWrap w:val="0"/>
              <w:bidi w:val="0"/>
              <w:spacing w:line="48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云南规正招投标有限公司</w:t>
            </w:r>
          </w:p>
        </w:tc>
      </w:tr>
      <w:tr w14:paraId="0E3A3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2" w:hRule="atLeast"/>
          <w:jc w:val="center"/>
        </w:trPr>
        <w:tc>
          <w:tcPr>
            <w:tcW w:w="1085" w:type="dxa"/>
            <w:vMerge w:val="continue"/>
            <w:noWrap w:val="0"/>
            <w:vAlign w:val="center"/>
          </w:tcPr>
          <w:p w14:paraId="4EF27DF8">
            <w:pPr>
              <w:keepNext w:val="0"/>
              <w:keepLines w:val="0"/>
              <w:pageBreakBefore w:val="0"/>
              <w:widowControl w:val="0"/>
              <w:shd w:val="clear" w:color="auto" w:fill="auto"/>
              <w:kinsoku w:val="0"/>
              <w:wordWrap w:val="0"/>
              <w:bidi w:val="0"/>
              <w:spacing w:line="480" w:lineRule="exact"/>
              <w:jc w:val="center"/>
              <w:textAlignment w:val="auto"/>
              <w:rPr>
                <w:rFonts w:hint="eastAsia" w:asciiTheme="minorEastAsia" w:hAnsiTheme="minorEastAsia" w:eastAsiaTheme="minorEastAsia" w:cstheme="minorEastAsia"/>
                <w:color w:val="auto"/>
                <w:sz w:val="24"/>
                <w:szCs w:val="24"/>
                <w:highlight w:val="none"/>
              </w:rPr>
            </w:pPr>
          </w:p>
        </w:tc>
        <w:tc>
          <w:tcPr>
            <w:tcW w:w="2340" w:type="dxa"/>
            <w:noWrap w:val="0"/>
            <w:vAlign w:val="center"/>
          </w:tcPr>
          <w:p w14:paraId="22C48BFB">
            <w:pPr>
              <w:keepNext w:val="0"/>
              <w:keepLines w:val="0"/>
              <w:pageBreakBefore w:val="0"/>
              <w:widowControl w:val="0"/>
              <w:shd w:val="clear" w:color="auto" w:fill="auto"/>
              <w:kinsoku w:val="0"/>
              <w:wordWrap w:val="0"/>
              <w:bidi w:val="0"/>
              <w:spacing w:line="48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项目名称</w:t>
            </w:r>
          </w:p>
        </w:tc>
        <w:tc>
          <w:tcPr>
            <w:tcW w:w="6054" w:type="dxa"/>
            <w:noWrap w:val="0"/>
            <w:vAlign w:val="center"/>
          </w:tcPr>
          <w:p w14:paraId="4EA29880">
            <w:pPr>
              <w:keepNext w:val="0"/>
              <w:keepLines w:val="0"/>
              <w:pageBreakBefore w:val="0"/>
              <w:widowControl w:val="0"/>
              <w:shd w:val="clear" w:color="auto" w:fill="auto"/>
              <w:kinsoku w:val="0"/>
              <w:wordWrap w:val="0"/>
              <w:bidi w:val="0"/>
              <w:spacing w:line="480" w:lineRule="exact"/>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文笔小学功能室、食堂及信息化设备采购</w:t>
            </w:r>
          </w:p>
        </w:tc>
      </w:tr>
      <w:tr w14:paraId="1D93D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1085" w:type="dxa"/>
            <w:noWrap w:val="0"/>
            <w:vAlign w:val="center"/>
          </w:tcPr>
          <w:p w14:paraId="30C8A87D">
            <w:pPr>
              <w:keepNext w:val="0"/>
              <w:keepLines w:val="0"/>
              <w:pageBreakBefore w:val="0"/>
              <w:widowControl w:val="0"/>
              <w:shd w:val="clear" w:color="auto" w:fill="auto"/>
              <w:kinsoku w:val="0"/>
              <w:wordWrap w:val="0"/>
              <w:bidi w:val="0"/>
              <w:spacing w:line="480" w:lineRule="exact"/>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p>
        </w:tc>
        <w:tc>
          <w:tcPr>
            <w:tcW w:w="2340" w:type="dxa"/>
            <w:noWrap w:val="0"/>
            <w:vAlign w:val="center"/>
          </w:tcPr>
          <w:p w14:paraId="7E304B7C">
            <w:pPr>
              <w:keepNext w:val="0"/>
              <w:keepLines w:val="0"/>
              <w:pageBreakBefore w:val="0"/>
              <w:widowControl w:val="0"/>
              <w:shd w:val="clear" w:color="auto" w:fill="auto"/>
              <w:kinsoku w:val="0"/>
              <w:wordWrap w:val="0"/>
              <w:bidi w:val="0"/>
              <w:spacing w:line="48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资金来源</w:t>
            </w:r>
          </w:p>
        </w:tc>
        <w:tc>
          <w:tcPr>
            <w:tcW w:w="6054" w:type="dxa"/>
            <w:noWrap w:val="0"/>
            <w:vAlign w:val="center"/>
          </w:tcPr>
          <w:p w14:paraId="12497CF3">
            <w:pPr>
              <w:keepNext w:val="0"/>
              <w:keepLines w:val="0"/>
              <w:pageBreakBefore w:val="0"/>
              <w:widowControl w:val="0"/>
              <w:shd w:val="clear" w:color="auto" w:fill="auto"/>
              <w:kinsoku w:val="0"/>
              <w:wordWrap w:val="0"/>
              <w:bidi w:val="0"/>
              <w:spacing w:line="480" w:lineRule="exact"/>
              <w:textAlignment w:val="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基础教育综合奖补资金</w:t>
            </w:r>
          </w:p>
        </w:tc>
      </w:tr>
      <w:tr w14:paraId="45A72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085" w:type="dxa"/>
            <w:noWrap w:val="0"/>
            <w:vAlign w:val="center"/>
          </w:tcPr>
          <w:p w14:paraId="004C81E0">
            <w:pPr>
              <w:keepNext w:val="0"/>
              <w:keepLines w:val="0"/>
              <w:pageBreakBefore w:val="0"/>
              <w:widowControl w:val="0"/>
              <w:shd w:val="clear" w:color="auto" w:fill="auto"/>
              <w:kinsoku w:val="0"/>
              <w:wordWrap w:val="0"/>
              <w:bidi w:val="0"/>
              <w:spacing w:line="480" w:lineRule="exact"/>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w:t>
            </w:r>
          </w:p>
        </w:tc>
        <w:tc>
          <w:tcPr>
            <w:tcW w:w="2340" w:type="dxa"/>
            <w:noWrap w:val="0"/>
            <w:vAlign w:val="center"/>
          </w:tcPr>
          <w:p w14:paraId="379B5930">
            <w:pPr>
              <w:keepNext w:val="0"/>
              <w:keepLines w:val="0"/>
              <w:pageBreakBefore w:val="0"/>
              <w:widowControl w:val="0"/>
              <w:shd w:val="clear" w:color="auto" w:fill="auto"/>
              <w:kinsoku w:val="0"/>
              <w:wordWrap w:val="0"/>
              <w:bidi w:val="0"/>
              <w:spacing w:line="240" w:lineRule="auto"/>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采购需求</w:t>
            </w:r>
          </w:p>
        </w:tc>
        <w:tc>
          <w:tcPr>
            <w:tcW w:w="6054" w:type="dxa"/>
            <w:noWrap w:val="0"/>
            <w:vAlign w:val="center"/>
          </w:tcPr>
          <w:p w14:paraId="438E83CF">
            <w:pPr>
              <w:keepNext w:val="0"/>
              <w:keepLines w:val="0"/>
              <w:pageBreakBefore w:val="0"/>
              <w:widowControl w:val="0"/>
              <w:shd w:val="clear" w:color="auto" w:fill="auto"/>
              <w:kinsoku w:val="0"/>
              <w:wordWrap w:val="0"/>
              <w:bidi w:val="0"/>
              <w:spacing w:line="480" w:lineRule="exac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详见</w:t>
            </w:r>
            <w:r>
              <w:rPr>
                <w:rFonts w:hint="eastAsia" w:asciiTheme="minorEastAsia" w:hAnsiTheme="minorEastAsia" w:eastAsiaTheme="minorEastAsia" w:cstheme="minorEastAsia"/>
                <w:color w:val="auto"/>
                <w:sz w:val="24"/>
                <w:szCs w:val="24"/>
                <w:highlight w:val="none"/>
                <w:lang w:val="en-US" w:eastAsia="zh-CN"/>
              </w:rPr>
              <w:t>本项目</w:t>
            </w:r>
            <w:r>
              <w:rPr>
                <w:rFonts w:hint="eastAsia" w:asciiTheme="minorEastAsia" w:hAnsiTheme="minorEastAsia" w:eastAsiaTheme="minorEastAsia" w:cstheme="minorEastAsia"/>
                <w:color w:val="auto"/>
                <w:sz w:val="24"/>
                <w:szCs w:val="24"/>
                <w:highlight w:val="none"/>
                <w:lang w:eastAsia="zh-CN"/>
              </w:rPr>
              <w:t>采购公告</w:t>
            </w:r>
            <w:r>
              <w:rPr>
                <w:rFonts w:hint="eastAsia" w:asciiTheme="minorEastAsia" w:hAnsiTheme="minorEastAsia" w:eastAsiaTheme="minorEastAsia" w:cstheme="minorEastAsia"/>
                <w:color w:val="auto"/>
                <w:sz w:val="24"/>
                <w:szCs w:val="24"/>
                <w:highlight w:val="none"/>
                <w:lang w:val="en-US" w:eastAsia="zh-CN"/>
              </w:rPr>
              <w:t>及采购文件要求</w:t>
            </w:r>
          </w:p>
        </w:tc>
      </w:tr>
      <w:tr w14:paraId="4E7CC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1085" w:type="dxa"/>
            <w:noWrap w:val="0"/>
            <w:vAlign w:val="center"/>
          </w:tcPr>
          <w:p w14:paraId="452B5FF4">
            <w:pPr>
              <w:keepNext w:val="0"/>
              <w:keepLines w:val="0"/>
              <w:pageBreakBefore w:val="0"/>
              <w:widowControl w:val="0"/>
              <w:shd w:val="clear" w:color="auto" w:fill="auto"/>
              <w:kinsoku w:val="0"/>
              <w:wordWrap w:val="0"/>
              <w:bidi w:val="0"/>
              <w:spacing w:line="480" w:lineRule="exact"/>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4.1</w:t>
            </w:r>
          </w:p>
        </w:tc>
        <w:tc>
          <w:tcPr>
            <w:tcW w:w="2340" w:type="dxa"/>
            <w:noWrap w:val="0"/>
            <w:vAlign w:val="center"/>
          </w:tcPr>
          <w:p w14:paraId="40DCD127">
            <w:pPr>
              <w:keepNext w:val="0"/>
              <w:keepLines w:val="0"/>
              <w:pageBreakBefore w:val="0"/>
              <w:widowControl w:val="0"/>
              <w:shd w:val="clear" w:color="auto" w:fill="auto"/>
              <w:kinsoku w:val="0"/>
              <w:wordWrap w:val="0"/>
              <w:bidi w:val="0"/>
              <w:spacing w:line="240" w:lineRule="auto"/>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资格要求</w:t>
            </w:r>
          </w:p>
        </w:tc>
        <w:tc>
          <w:tcPr>
            <w:tcW w:w="6054" w:type="dxa"/>
            <w:noWrap w:val="0"/>
            <w:vAlign w:val="center"/>
          </w:tcPr>
          <w:p w14:paraId="50376B6E">
            <w:pPr>
              <w:keepNext w:val="0"/>
              <w:keepLines w:val="0"/>
              <w:pageBreakBefore w:val="0"/>
              <w:widowControl w:val="0"/>
              <w:shd w:val="clear" w:color="auto" w:fill="auto"/>
              <w:kinsoku w:val="0"/>
              <w:wordWrap w:val="0"/>
              <w:bidi w:val="0"/>
              <w:spacing w:line="48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详见</w:t>
            </w:r>
            <w:r>
              <w:rPr>
                <w:rFonts w:hint="eastAsia" w:asciiTheme="minorEastAsia" w:hAnsiTheme="minorEastAsia" w:eastAsiaTheme="minorEastAsia" w:cstheme="minorEastAsia"/>
                <w:color w:val="auto"/>
                <w:sz w:val="24"/>
                <w:szCs w:val="24"/>
                <w:highlight w:val="none"/>
                <w:lang w:val="en-US" w:eastAsia="zh-CN"/>
              </w:rPr>
              <w:t>本项目</w:t>
            </w:r>
            <w:r>
              <w:rPr>
                <w:rFonts w:hint="eastAsia" w:asciiTheme="minorEastAsia" w:hAnsiTheme="minorEastAsia" w:eastAsiaTheme="minorEastAsia" w:cstheme="minorEastAsia"/>
                <w:color w:val="auto"/>
                <w:sz w:val="24"/>
                <w:szCs w:val="24"/>
                <w:highlight w:val="none"/>
                <w:lang w:eastAsia="zh-CN"/>
              </w:rPr>
              <w:t>采购公告</w:t>
            </w:r>
            <w:r>
              <w:rPr>
                <w:rFonts w:hint="eastAsia" w:asciiTheme="minorEastAsia" w:hAnsiTheme="minorEastAsia" w:eastAsiaTheme="minorEastAsia" w:cstheme="minorEastAsia"/>
                <w:color w:val="auto"/>
                <w:sz w:val="24"/>
                <w:szCs w:val="24"/>
                <w:highlight w:val="none"/>
                <w:lang w:val="en-US" w:eastAsia="zh-CN"/>
              </w:rPr>
              <w:t>要求</w:t>
            </w:r>
          </w:p>
        </w:tc>
      </w:tr>
      <w:tr w14:paraId="0EBAF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1085" w:type="dxa"/>
            <w:noWrap w:val="0"/>
            <w:vAlign w:val="center"/>
          </w:tcPr>
          <w:p w14:paraId="630B8623">
            <w:pPr>
              <w:keepNext w:val="0"/>
              <w:keepLines w:val="0"/>
              <w:pageBreakBefore w:val="0"/>
              <w:widowControl w:val="0"/>
              <w:shd w:val="clear" w:color="auto" w:fill="auto"/>
              <w:kinsoku w:val="0"/>
              <w:wordWrap w:val="0"/>
              <w:bidi w:val="0"/>
              <w:spacing w:line="480" w:lineRule="exact"/>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4.2</w:t>
            </w:r>
          </w:p>
        </w:tc>
        <w:tc>
          <w:tcPr>
            <w:tcW w:w="2340" w:type="dxa"/>
            <w:noWrap w:val="0"/>
            <w:vAlign w:val="center"/>
          </w:tcPr>
          <w:p w14:paraId="5BC0D6E7">
            <w:pPr>
              <w:keepNext w:val="0"/>
              <w:keepLines w:val="0"/>
              <w:pageBreakBefore w:val="0"/>
              <w:widowControl w:val="0"/>
              <w:shd w:val="clear" w:color="auto" w:fill="auto"/>
              <w:kinsoku w:val="0"/>
              <w:wordWrap w:val="0"/>
              <w:bidi w:val="0"/>
              <w:spacing w:line="240" w:lineRule="auto"/>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联合体投标</w:t>
            </w:r>
          </w:p>
        </w:tc>
        <w:tc>
          <w:tcPr>
            <w:tcW w:w="6054" w:type="dxa"/>
            <w:noWrap w:val="0"/>
            <w:vAlign w:val="center"/>
          </w:tcPr>
          <w:p w14:paraId="1C203FAE">
            <w:pPr>
              <w:keepNext w:val="0"/>
              <w:keepLines w:val="0"/>
              <w:pageBreakBefore w:val="0"/>
              <w:widowControl w:val="0"/>
              <w:shd w:val="clear" w:color="auto" w:fill="auto"/>
              <w:kinsoku w:val="0"/>
              <w:wordWrap w:val="0"/>
              <w:bidi w:val="0"/>
              <w:spacing w:line="48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本项目</w:t>
            </w:r>
            <w:r>
              <w:rPr>
                <w:rFonts w:hint="eastAsia" w:asciiTheme="minorEastAsia" w:hAnsiTheme="minorEastAsia" w:eastAsiaTheme="minorEastAsia" w:cstheme="minorEastAsia"/>
                <w:color w:val="auto"/>
                <w:sz w:val="24"/>
                <w:szCs w:val="24"/>
                <w:highlight w:val="none"/>
                <w:lang w:val="en-US" w:eastAsia="zh-CN"/>
              </w:rPr>
              <w:t>不</w:t>
            </w:r>
            <w:r>
              <w:rPr>
                <w:rFonts w:hint="eastAsia" w:asciiTheme="minorEastAsia" w:hAnsiTheme="minorEastAsia" w:eastAsiaTheme="minorEastAsia" w:cstheme="minorEastAsia"/>
                <w:color w:val="auto"/>
                <w:sz w:val="24"/>
                <w:szCs w:val="24"/>
                <w:highlight w:val="none"/>
              </w:rPr>
              <w:t>接受联合体投标</w:t>
            </w:r>
          </w:p>
        </w:tc>
      </w:tr>
      <w:tr w14:paraId="41030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1085" w:type="dxa"/>
            <w:noWrap w:val="0"/>
            <w:vAlign w:val="center"/>
          </w:tcPr>
          <w:p w14:paraId="56E98D6A">
            <w:pPr>
              <w:keepNext w:val="0"/>
              <w:keepLines w:val="0"/>
              <w:pageBreakBefore w:val="0"/>
              <w:widowControl w:val="0"/>
              <w:shd w:val="clear" w:color="auto" w:fill="auto"/>
              <w:kinsoku w:val="0"/>
              <w:wordWrap w:val="0"/>
              <w:bidi w:val="0"/>
              <w:spacing w:line="480" w:lineRule="exact"/>
              <w:jc w:val="center"/>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4.3</w:t>
            </w:r>
          </w:p>
        </w:tc>
        <w:tc>
          <w:tcPr>
            <w:tcW w:w="2340" w:type="dxa"/>
            <w:noWrap w:val="0"/>
            <w:vAlign w:val="center"/>
          </w:tcPr>
          <w:p w14:paraId="19561031">
            <w:pPr>
              <w:keepNext w:val="0"/>
              <w:keepLines w:val="0"/>
              <w:pageBreakBefore w:val="0"/>
              <w:widowControl w:val="0"/>
              <w:shd w:val="clear" w:color="auto" w:fill="auto"/>
              <w:kinsoku w:val="0"/>
              <w:wordWrap w:val="0"/>
              <w:bidi w:val="0"/>
              <w:spacing w:line="240" w:lineRule="auto"/>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分包</w:t>
            </w:r>
          </w:p>
        </w:tc>
        <w:tc>
          <w:tcPr>
            <w:tcW w:w="6054" w:type="dxa"/>
            <w:noWrap w:val="0"/>
            <w:vAlign w:val="center"/>
          </w:tcPr>
          <w:p w14:paraId="54EA29A0">
            <w:pPr>
              <w:keepNext w:val="0"/>
              <w:keepLines w:val="0"/>
              <w:pageBreakBefore w:val="0"/>
              <w:widowControl w:val="0"/>
              <w:shd w:val="clear" w:color="auto" w:fill="auto"/>
              <w:kinsoku w:val="0"/>
              <w:wordWrap w:val="0"/>
              <w:bidi w:val="0"/>
              <w:spacing w:line="480" w:lineRule="exact"/>
              <w:textAlignment w:val="auto"/>
              <w:rPr>
                <w:rFonts w:hint="default"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b w:val="0"/>
                <w:bCs/>
                <w:color w:val="auto"/>
                <w:sz w:val="24"/>
                <w:szCs w:val="24"/>
                <w:highlight w:val="none"/>
                <w:lang w:val="en-US" w:eastAsia="zh-CN"/>
              </w:rPr>
              <w:t>本项目不允许分包</w:t>
            </w:r>
          </w:p>
        </w:tc>
      </w:tr>
      <w:tr w14:paraId="3065E7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6" w:hRule="atLeast"/>
          <w:jc w:val="center"/>
        </w:trPr>
        <w:tc>
          <w:tcPr>
            <w:tcW w:w="1085" w:type="dxa"/>
            <w:noWrap w:val="0"/>
            <w:vAlign w:val="center"/>
          </w:tcPr>
          <w:p w14:paraId="356FF4F7">
            <w:pPr>
              <w:keepNext w:val="0"/>
              <w:keepLines w:val="0"/>
              <w:pageBreakBefore w:val="0"/>
              <w:widowControl w:val="0"/>
              <w:shd w:val="clear" w:color="auto" w:fill="auto"/>
              <w:kinsoku w:val="0"/>
              <w:wordWrap w:val="0"/>
              <w:bidi w:val="0"/>
              <w:spacing w:line="480" w:lineRule="exact"/>
              <w:jc w:val="center"/>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7.2</w:t>
            </w:r>
          </w:p>
        </w:tc>
        <w:tc>
          <w:tcPr>
            <w:tcW w:w="2340" w:type="dxa"/>
            <w:noWrap w:val="0"/>
            <w:vAlign w:val="center"/>
          </w:tcPr>
          <w:p w14:paraId="25AF708E">
            <w:pPr>
              <w:keepNext w:val="0"/>
              <w:keepLines w:val="0"/>
              <w:pageBreakBefore w:val="0"/>
              <w:widowControl w:val="0"/>
              <w:shd w:val="clear" w:color="auto" w:fill="auto"/>
              <w:kinsoku w:val="0"/>
              <w:wordWrap w:val="0"/>
              <w:bidi w:val="0"/>
              <w:spacing w:line="240" w:lineRule="auto"/>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采购文件</w:t>
            </w:r>
            <w:r>
              <w:rPr>
                <w:rFonts w:hint="eastAsia" w:asciiTheme="minorEastAsia" w:hAnsiTheme="minorEastAsia" w:eastAsiaTheme="minorEastAsia" w:cstheme="minorEastAsia"/>
                <w:color w:val="auto"/>
                <w:sz w:val="24"/>
                <w:szCs w:val="24"/>
                <w:highlight w:val="none"/>
              </w:rPr>
              <w:t>澄清截止时间</w:t>
            </w:r>
          </w:p>
        </w:tc>
        <w:tc>
          <w:tcPr>
            <w:tcW w:w="6054" w:type="dxa"/>
            <w:noWrap w:val="0"/>
            <w:vAlign w:val="center"/>
          </w:tcPr>
          <w:p w14:paraId="4C82A047">
            <w:pPr>
              <w:keepNext w:val="0"/>
              <w:keepLines w:val="0"/>
              <w:pageBreakBefore w:val="0"/>
              <w:widowControl w:val="0"/>
              <w:shd w:val="clear" w:color="auto" w:fill="auto"/>
              <w:kinsoku w:val="0"/>
              <w:wordWrap w:val="0"/>
              <w:bidi w:val="0"/>
              <w:spacing w:line="48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提交投标文件截止时间十五日前</w:t>
            </w:r>
          </w:p>
        </w:tc>
      </w:tr>
      <w:tr w14:paraId="010C2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6" w:hRule="atLeast"/>
          <w:jc w:val="center"/>
        </w:trPr>
        <w:tc>
          <w:tcPr>
            <w:tcW w:w="1085" w:type="dxa"/>
            <w:noWrap w:val="0"/>
            <w:vAlign w:val="center"/>
          </w:tcPr>
          <w:p w14:paraId="6A34D88D">
            <w:pPr>
              <w:keepNext w:val="0"/>
              <w:keepLines w:val="0"/>
              <w:pageBreakBefore w:val="0"/>
              <w:widowControl w:val="0"/>
              <w:shd w:val="clear" w:color="auto" w:fill="auto"/>
              <w:kinsoku w:val="0"/>
              <w:wordWrap w:val="0"/>
              <w:bidi w:val="0"/>
              <w:spacing w:line="480" w:lineRule="exact"/>
              <w:jc w:val="center"/>
              <w:textAlignment w:val="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10</w:t>
            </w:r>
          </w:p>
        </w:tc>
        <w:tc>
          <w:tcPr>
            <w:tcW w:w="2340" w:type="dxa"/>
            <w:noWrap w:val="0"/>
            <w:vAlign w:val="center"/>
          </w:tcPr>
          <w:p w14:paraId="4F9E1885">
            <w:pPr>
              <w:keepNext w:val="0"/>
              <w:keepLines w:val="0"/>
              <w:pageBreakBefore w:val="0"/>
              <w:widowControl w:val="0"/>
              <w:shd w:val="clear" w:color="auto" w:fill="auto"/>
              <w:kinsoku w:val="0"/>
              <w:wordWrap w:val="0"/>
              <w:bidi w:val="0"/>
              <w:spacing w:line="240" w:lineRule="auto"/>
              <w:textAlignment w:val="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投标报价</w:t>
            </w:r>
          </w:p>
        </w:tc>
        <w:tc>
          <w:tcPr>
            <w:tcW w:w="6054" w:type="dxa"/>
            <w:noWrap w:val="0"/>
            <w:vAlign w:val="center"/>
          </w:tcPr>
          <w:p w14:paraId="15FD93B0">
            <w:pPr>
              <w:keepNext w:val="0"/>
              <w:keepLines w:val="0"/>
              <w:pageBreakBefore w:val="0"/>
              <w:widowControl w:val="0"/>
              <w:shd w:val="clear" w:color="auto" w:fill="auto"/>
              <w:kinsoku w:val="0"/>
              <w:wordWrap w:val="0"/>
              <w:bidi w:val="0"/>
              <w:spacing w:line="480" w:lineRule="exac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投标报价为完成本次采购所需的全部费用，包含设备自生产（或采购）至安装调试验收合格、培训、售后服务等的全部费用，包括但不限于生产（或采购）、商检（如涉及）、包装、运输（含二次运输）、装卸、保管、安装调试、检验、验收、测试、保修、维护保养、备品备件、技术培训、售后服务、保险费、管理费、税费等全部费用；投标报价应充分考虑市场风险、价格风险、政策风险、汇率风险等所有因素。</w:t>
            </w:r>
          </w:p>
          <w:p w14:paraId="7E7328F2">
            <w:pPr>
              <w:keepNext w:val="0"/>
              <w:keepLines w:val="0"/>
              <w:pageBreakBefore w:val="0"/>
              <w:widowControl w:val="0"/>
              <w:shd w:val="clear" w:color="auto" w:fill="auto"/>
              <w:kinsoku w:val="0"/>
              <w:wordWrap w:val="0"/>
              <w:bidi w:val="0"/>
              <w:spacing w:line="480" w:lineRule="exact"/>
              <w:ind w:firstLine="241" w:firstLineChars="1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注：供应商应按照满足项目实际使用功能和投入的原则进行设备配置，供应商不得以采购文件未明确包含为由，故意漏报、少报、瞒报，不得出现任何组成部件、配件、备件的缺失，否则采购人除要求供应商配齐所有缺失的设备外，有权拒付相关合同价款。</w:t>
            </w:r>
          </w:p>
        </w:tc>
      </w:tr>
      <w:tr w14:paraId="5D852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2" w:hRule="atLeast"/>
          <w:jc w:val="center"/>
        </w:trPr>
        <w:tc>
          <w:tcPr>
            <w:tcW w:w="1085" w:type="dxa"/>
            <w:noWrap w:val="0"/>
            <w:vAlign w:val="center"/>
          </w:tcPr>
          <w:p w14:paraId="4D7BB36D">
            <w:pPr>
              <w:keepNext w:val="0"/>
              <w:keepLines w:val="0"/>
              <w:pageBreakBefore w:val="0"/>
              <w:widowControl w:val="0"/>
              <w:shd w:val="clear" w:color="auto" w:fill="auto"/>
              <w:kinsoku w:val="0"/>
              <w:wordWrap w:val="0"/>
              <w:bidi w:val="0"/>
              <w:spacing w:line="480" w:lineRule="exact"/>
              <w:jc w:val="center"/>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12.1</w:t>
            </w:r>
          </w:p>
        </w:tc>
        <w:tc>
          <w:tcPr>
            <w:tcW w:w="2340" w:type="dxa"/>
            <w:noWrap w:val="0"/>
            <w:vAlign w:val="center"/>
          </w:tcPr>
          <w:p w14:paraId="13ADF345">
            <w:pPr>
              <w:keepNext w:val="0"/>
              <w:keepLines w:val="0"/>
              <w:pageBreakBefore w:val="0"/>
              <w:widowControl w:val="0"/>
              <w:shd w:val="clear" w:color="auto" w:fill="auto"/>
              <w:kinsoku w:val="0"/>
              <w:wordWrap w:val="0"/>
              <w:bidi w:val="0"/>
              <w:spacing w:line="240" w:lineRule="auto"/>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电子</w:t>
            </w:r>
            <w:r>
              <w:rPr>
                <w:rFonts w:hint="eastAsia" w:asciiTheme="minorEastAsia" w:hAnsiTheme="minorEastAsia" w:eastAsiaTheme="minorEastAsia" w:cstheme="minorEastAsia"/>
                <w:color w:val="auto"/>
                <w:sz w:val="24"/>
                <w:szCs w:val="24"/>
                <w:highlight w:val="none"/>
              </w:rPr>
              <w:t>投标文件</w:t>
            </w:r>
            <w:r>
              <w:rPr>
                <w:rFonts w:hint="eastAsia" w:asciiTheme="minorEastAsia" w:hAnsiTheme="minorEastAsia" w:eastAsiaTheme="minorEastAsia" w:cstheme="minorEastAsia"/>
                <w:color w:val="auto"/>
                <w:sz w:val="24"/>
                <w:szCs w:val="24"/>
                <w:highlight w:val="none"/>
                <w:lang w:val="en-US" w:eastAsia="zh-CN"/>
              </w:rPr>
              <w:t>的</w:t>
            </w:r>
            <w:r>
              <w:rPr>
                <w:rFonts w:hint="eastAsia" w:asciiTheme="minorEastAsia" w:hAnsiTheme="minorEastAsia" w:eastAsiaTheme="minorEastAsia" w:cstheme="minorEastAsia"/>
                <w:color w:val="auto"/>
                <w:sz w:val="24"/>
                <w:szCs w:val="24"/>
                <w:highlight w:val="none"/>
              </w:rPr>
              <w:t>编制</w:t>
            </w:r>
          </w:p>
        </w:tc>
        <w:tc>
          <w:tcPr>
            <w:tcW w:w="6054" w:type="dxa"/>
            <w:noWrap w:val="0"/>
            <w:vAlign w:val="center"/>
          </w:tcPr>
          <w:p w14:paraId="57F87582">
            <w:pPr>
              <w:keepNext w:val="0"/>
              <w:keepLines w:val="0"/>
              <w:pageBreakBefore w:val="0"/>
              <w:widowControl w:val="0"/>
              <w:shd w:val="clear" w:color="auto" w:fill="auto"/>
              <w:kinsoku w:val="0"/>
              <w:wordWrap w:val="0"/>
              <w:bidi w:val="0"/>
              <w:spacing w:line="48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电子投标文件应使用政采云平台中下载的政采云电子投标客户端</w:t>
            </w:r>
            <w:r>
              <w:rPr>
                <w:rFonts w:hint="eastAsia" w:asciiTheme="minorEastAsia" w:hAnsiTheme="minorEastAsia" w:eastAsiaTheme="minorEastAsia" w:cstheme="minorEastAsia"/>
                <w:color w:val="auto"/>
                <w:sz w:val="24"/>
                <w:szCs w:val="24"/>
                <w:highlight w:val="none"/>
                <w:lang w:val="en-US" w:eastAsia="zh-CN"/>
              </w:rPr>
              <w:t>进行</w:t>
            </w:r>
            <w:r>
              <w:rPr>
                <w:rFonts w:hint="eastAsia" w:asciiTheme="minorEastAsia" w:hAnsiTheme="minorEastAsia" w:eastAsiaTheme="minorEastAsia" w:cstheme="minorEastAsia"/>
                <w:color w:val="auto"/>
                <w:sz w:val="24"/>
                <w:szCs w:val="24"/>
                <w:highlight w:val="none"/>
              </w:rPr>
              <w:t>制作，编制要求详见</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政采云平台</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b w:val="0"/>
                <w:bCs w:val="0"/>
                <w:color w:val="auto"/>
                <w:sz w:val="24"/>
                <w:szCs w:val="24"/>
                <w:highlight w:val="none"/>
                <w:lang w:eastAsia="zh-CN"/>
              </w:rPr>
              <w:t>供应商操作手册</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w:t>
            </w:r>
          </w:p>
        </w:tc>
      </w:tr>
      <w:tr w14:paraId="4591D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1085" w:type="dxa"/>
            <w:noWrap w:val="0"/>
            <w:vAlign w:val="center"/>
          </w:tcPr>
          <w:p w14:paraId="65691D3F">
            <w:pPr>
              <w:keepNext w:val="0"/>
              <w:keepLines w:val="0"/>
              <w:pageBreakBefore w:val="0"/>
              <w:widowControl w:val="0"/>
              <w:shd w:val="clear" w:color="auto" w:fill="auto"/>
              <w:kinsoku w:val="0"/>
              <w:wordWrap w:val="0"/>
              <w:bidi w:val="0"/>
              <w:spacing w:line="480" w:lineRule="exact"/>
              <w:jc w:val="center"/>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12.4</w:t>
            </w:r>
          </w:p>
        </w:tc>
        <w:tc>
          <w:tcPr>
            <w:tcW w:w="2340" w:type="dxa"/>
            <w:noWrap w:val="0"/>
            <w:vAlign w:val="center"/>
          </w:tcPr>
          <w:p w14:paraId="0A88982E">
            <w:pPr>
              <w:keepNext w:val="0"/>
              <w:keepLines w:val="0"/>
              <w:pageBreakBefore w:val="0"/>
              <w:widowControl w:val="0"/>
              <w:shd w:val="clear" w:color="auto" w:fill="auto"/>
              <w:kinsoku w:val="0"/>
              <w:wordWrap w:val="0"/>
              <w:bidi w:val="0"/>
              <w:spacing w:line="240" w:lineRule="auto"/>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签字或盖章要求</w:t>
            </w:r>
          </w:p>
        </w:tc>
        <w:tc>
          <w:tcPr>
            <w:tcW w:w="6054" w:type="dxa"/>
            <w:noWrap w:val="0"/>
            <w:vAlign w:val="center"/>
          </w:tcPr>
          <w:p w14:paraId="26981DA4">
            <w:pPr>
              <w:keepNext w:val="0"/>
              <w:keepLines w:val="0"/>
              <w:pageBreakBefore w:val="0"/>
              <w:widowControl w:val="0"/>
              <w:shd w:val="clear" w:color="auto" w:fill="auto"/>
              <w:kinsoku w:val="0"/>
              <w:wordWrap w:val="0"/>
              <w:bidi w:val="0"/>
              <w:spacing w:line="48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供应商应按照投标文件格式，在需要电子签章的地方采用单位数字证书（CA）、法定代表人（或委托代理人）的个人数字证书（CA）进行电子签章。</w:t>
            </w:r>
          </w:p>
        </w:tc>
      </w:tr>
      <w:tr w14:paraId="5B7408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 w:hRule="atLeast"/>
          <w:jc w:val="center"/>
        </w:trPr>
        <w:tc>
          <w:tcPr>
            <w:tcW w:w="1085" w:type="dxa"/>
            <w:noWrap w:val="0"/>
            <w:vAlign w:val="center"/>
          </w:tcPr>
          <w:p w14:paraId="754CD252">
            <w:pPr>
              <w:keepNext w:val="0"/>
              <w:keepLines w:val="0"/>
              <w:pageBreakBefore w:val="0"/>
              <w:widowControl w:val="0"/>
              <w:shd w:val="clear" w:color="auto" w:fill="auto"/>
              <w:kinsoku w:val="0"/>
              <w:wordWrap w:val="0"/>
              <w:bidi w:val="0"/>
              <w:spacing w:line="480" w:lineRule="exact"/>
              <w:jc w:val="center"/>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13</w:t>
            </w:r>
          </w:p>
        </w:tc>
        <w:tc>
          <w:tcPr>
            <w:tcW w:w="2340" w:type="dxa"/>
            <w:noWrap w:val="0"/>
            <w:vAlign w:val="center"/>
          </w:tcPr>
          <w:p w14:paraId="4E37CB0E">
            <w:pPr>
              <w:keepNext w:val="0"/>
              <w:keepLines w:val="0"/>
              <w:pageBreakBefore w:val="0"/>
              <w:widowControl w:val="0"/>
              <w:shd w:val="clear" w:color="auto" w:fill="auto"/>
              <w:kinsoku w:val="0"/>
              <w:wordWrap w:val="0"/>
              <w:bidi w:val="0"/>
              <w:spacing w:line="240" w:lineRule="auto"/>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提交电子投标文件截止时间</w:t>
            </w:r>
          </w:p>
        </w:tc>
        <w:tc>
          <w:tcPr>
            <w:tcW w:w="6054" w:type="dxa"/>
            <w:noWrap w:val="0"/>
            <w:vAlign w:val="center"/>
          </w:tcPr>
          <w:p w14:paraId="394DD33D">
            <w:pPr>
              <w:keepNext w:val="0"/>
              <w:keepLines w:val="0"/>
              <w:pageBreakBefore w:val="0"/>
              <w:widowControl w:val="0"/>
              <w:shd w:val="clear" w:color="auto" w:fill="auto"/>
              <w:kinsoku w:val="0"/>
              <w:wordWrap w:val="0"/>
              <w:bidi w:val="0"/>
              <w:spacing w:line="480" w:lineRule="exact"/>
              <w:jc w:val="left"/>
              <w:textAlignment w:val="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yellow"/>
                <w:lang w:val="en-US" w:eastAsia="zh-CN"/>
              </w:rPr>
              <w:t>2025年7月11日</w:t>
            </w:r>
            <w:r>
              <w:rPr>
                <w:rFonts w:hint="eastAsia" w:asciiTheme="minorEastAsia" w:hAnsiTheme="minorEastAsia" w:eastAsiaTheme="minorEastAsia" w:cstheme="minorEastAsia"/>
                <w:color w:val="auto"/>
                <w:sz w:val="24"/>
                <w:szCs w:val="24"/>
                <w:highlight w:val="none"/>
                <w:lang w:val="en-US" w:eastAsia="zh-CN"/>
              </w:rPr>
              <w:t>9时00分（北京时间）</w:t>
            </w:r>
          </w:p>
        </w:tc>
      </w:tr>
      <w:tr w14:paraId="18A2C1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atLeast"/>
          <w:jc w:val="center"/>
        </w:trPr>
        <w:tc>
          <w:tcPr>
            <w:tcW w:w="1085" w:type="dxa"/>
            <w:noWrap w:val="0"/>
            <w:vAlign w:val="center"/>
          </w:tcPr>
          <w:p w14:paraId="10C1D55D">
            <w:pPr>
              <w:keepNext w:val="0"/>
              <w:keepLines w:val="0"/>
              <w:pageBreakBefore w:val="0"/>
              <w:widowControl w:val="0"/>
              <w:shd w:val="clear" w:color="auto" w:fill="auto"/>
              <w:kinsoku w:val="0"/>
              <w:wordWrap w:val="0"/>
              <w:bidi w:val="0"/>
              <w:spacing w:line="480" w:lineRule="exact"/>
              <w:jc w:val="center"/>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14.2</w:t>
            </w:r>
          </w:p>
        </w:tc>
        <w:tc>
          <w:tcPr>
            <w:tcW w:w="2340" w:type="dxa"/>
            <w:noWrap w:val="0"/>
            <w:vAlign w:val="center"/>
          </w:tcPr>
          <w:p w14:paraId="6A27BD83">
            <w:pPr>
              <w:keepNext w:val="0"/>
              <w:keepLines w:val="0"/>
              <w:pageBreakBefore w:val="0"/>
              <w:widowControl w:val="0"/>
              <w:shd w:val="clear" w:color="auto" w:fill="auto"/>
              <w:kinsoku w:val="0"/>
              <w:wordWrap w:val="0"/>
              <w:bidi w:val="0"/>
              <w:spacing w:line="240" w:lineRule="auto"/>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提交电子投标文件的网址</w:t>
            </w:r>
          </w:p>
        </w:tc>
        <w:tc>
          <w:tcPr>
            <w:tcW w:w="6054" w:type="dxa"/>
            <w:noWrap w:val="0"/>
            <w:vAlign w:val="center"/>
          </w:tcPr>
          <w:p w14:paraId="67B87890">
            <w:pPr>
              <w:keepNext w:val="0"/>
              <w:keepLines w:val="0"/>
              <w:pageBreakBefore w:val="0"/>
              <w:widowControl w:val="0"/>
              <w:shd w:val="clear" w:color="auto" w:fill="auto"/>
              <w:kinsoku w:val="0"/>
              <w:wordWrap w:val="0"/>
              <w:bidi w:val="0"/>
              <w:spacing w:line="480" w:lineRule="exact"/>
              <w:jc w:val="left"/>
              <w:textAlignment w:val="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“政采云平台”（https://www.zcygov.cn/）</w:t>
            </w:r>
          </w:p>
        </w:tc>
      </w:tr>
      <w:tr w14:paraId="276D39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1085" w:type="dxa"/>
            <w:noWrap w:val="0"/>
            <w:vAlign w:val="center"/>
          </w:tcPr>
          <w:p w14:paraId="706A5C0C">
            <w:pPr>
              <w:keepNext w:val="0"/>
              <w:keepLines w:val="0"/>
              <w:pageBreakBefore w:val="0"/>
              <w:widowControl w:val="0"/>
              <w:shd w:val="clear" w:color="auto" w:fill="auto"/>
              <w:kinsoku w:val="0"/>
              <w:wordWrap w:val="0"/>
              <w:bidi w:val="0"/>
              <w:spacing w:line="480" w:lineRule="exact"/>
              <w:jc w:val="center"/>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1</w:t>
            </w:r>
            <w:r>
              <w:rPr>
                <w:rFonts w:hint="eastAsia" w:asciiTheme="minorEastAsia" w:hAnsiTheme="minorEastAsia" w:eastAsiaTheme="minorEastAsia" w:cstheme="minorEastAsia"/>
                <w:color w:val="auto"/>
                <w:sz w:val="24"/>
                <w:szCs w:val="24"/>
                <w:highlight w:val="none"/>
                <w:lang w:val="en-US" w:eastAsia="zh-CN"/>
              </w:rPr>
              <w:t>6</w:t>
            </w:r>
          </w:p>
        </w:tc>
        <w:tc>
          <w:tcPr>
            <w:tcW w:w="2340" w:type="dxa"/>
            <w:noWrap w:val="0"/>
            <w:vAlign w:val="center"/>
          </w:tcPr>
          <w:p w14:paraId="1700EAF0">
            <w:pPr>
              <w:keepNext w:val="0"/>
              <w:keepLines w:val="0"/>
              <w:pageBreakBefore w:val="0"/>
              <w:widowControl w:val="0"/>
              <w:shd w:val="clear" w:color="auto" w:fill="auto"/>
              <w:kinsoku w:val="0"/>
              <w:wordWrap w:val="0"/>
              <w:bidi w:val="0"/>
              <w:spacing w:line="240" w:lineRule="auto"/>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投标保证金</w:t>
            </w:r>
          </w:p>
        </w:tc>
        <w:tc>
          <w:tcPr>
            <w:tcW w:w="6054" w:type="dxa"/>
            <w:noWrap w:val="0"/>
            <w:vAlign w:val="center"/>
          </w:tcPr>
          <w:p w14:paraId="329C0369">
            <w:pPr>
              <w:keepNext w:val="0"/>
              <w:keepLines w:val="0"/>
              <w:pageBreakBefore w:val="0"/>
              <w:widowControl w:val="0"/>
              <w:shd w:val="clear" w:color="auto" w:fill="auto"/>
              <w:kinsoku w:val="0"/>
              <w:wordWrap w:val="0"/>
              <w:bidi w:val="0"/>
              <w:spacing w:line="480" w:lineRule="exac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本项目无需缴纳投标保证金</w:t>
            </w:r>
          </w:p>
        </w:tc>
      </w:tr>
      <w:tr w14:paraId="074B9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0" w:hRule="atLeast"/>
          <w:jc w:val="center"/>
        </w:trPr>
        <w:tc>
          <w:tcPr>
            <w:tcW w:w="1085" w:type="dxa"/>
            <w:noWrap w:val="0"/>
            <w:vAlign w:val="center"/>
          </w:tcPr>
          <w:p w14:paraId="5E36B8E4">
            <w:pPr>
              <w:keepNext w:val="0"/>
              <w:keepLines w:val="0"/>
              <w:pageBreakBefore w:val="0"/>
              <w:widowControl w:val="0"/>
              <w:shd w:val="clear" w:color="auto" w:fill="auto"/>
              <w:kinsoku w:val="0"/>
              <w:wordWrap w:val="0"/>
              <w:bidi w:val="0"/>
              <w:spacing w:line="480" w:lineRule="exact"/>
              <w:jc w:val="center"/>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17</w:t>
            </w:r>
          </w:p>
        </w:tc>
        <w:tc>
          <w:tcPr>
            <w:tcW w:w="2340" w:type="dxa"/>
            <w:noWrap w:val="0"/>
            <w:vAlign w:val="center"/>
          </w:tcPr>
          <w:p w14:paraId="2E5056AF">
            <w:pPr>
              <w:keepNext w:val="0"/>
              <w:keepLines w:val="0"/>
              <w:pageBreakBefore w:val="0"/>
              <w:widowControl w:val="0"/>
              <w:shd w:val="clear" w:color="auto" w:fill="auto"/>
              <w:kinsoku w:val="0"/>
              <w:wordWrap w:val="0"/>
              <w:bidi w:val="0"/>
              <w:spacing w:line="240" w:lineRule="auto"/>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纸质投标文件</w:t>
            </w:r>
          </w:p>
        </w:tc>
        <w:tc>
          <w:tcPr>
            <w:tcW w:w="6054" w:type="dxa"/>
            <w:noWrap w:val="0"/>
            <w:vAlign w:val="center"/>
          </w:tcPr>
          <w:p w14:paraId="536A8D78">
            <w:pPr>
              <w:keepNext w:val="0"/>
              <w:keepLines w:val="0"/>
              <w:pageBreakBefore w:val="0"/>
              <w:widowControl w:val="0"/>
              <w:shd w:val="clear" w:color="auto" w:fill="auto"/>
              <w:kinsoku w:val="0"/>
              <w:wordWrap w:val="0"/>
              <w:bidi w:val="0"/>
              <w:spacing w:line="480" w:lineRule="exac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1.参加本项目的供应商无需提交纸质投标文件，签订采购合同前，中标人须向采购人提交纸质投标文件正本1份，副本1份，所提交纸质投标文件应与供应商提交的电子投标文件一致。</w:t>
            </w:r>
          </w:p>
          <w:p w14:paraId="03B29FBC">
            <w:pPr>
              <w:keepNext w:val="0"/>
              <w:keepLines w:val="0"/>
              <w:pageBreakBefore w:val="0"/>
              <w:widowControl w:val="0"/>
              <w:shd w:val="clear" w:color="auto" w:fill="auto"/>
              <w:kinsoku w:val="0"/>
              <w:wordWrap w:val="0"/>
              <w:bidi w:val="0"/>
              <w:spacing w:line="480" w:lineRule="exac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2.供应商向采购人提供的纸质投标文件纸质文件正本与副本应分别装订成册，装订应牢固，不易拆散和换页，不得采用活页夹装订。</w:t>
            </w:r>
          </w:p>
        </w:tc>
      </w:tr>
      <w:tr w14:paraId="38BB0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1085" w:type="dxa"/>
            <w:noWrap w:val="0"/>
            <w:vAlign w:val="center"/>
          </w:tcPr>
          <w:p w14:paraId="4168622E">
            <w:pPr>
              <w:keepNext w:val="0"/>
              <w:keepLines w:val="0"/>
              <w:pageBreakBefore w:val="0"/>
              <w:widowControl w:val="0"/>
              <w:shd w:val="clear" w:color="auto" w:fill="auto"/>
              <w:kinsoku w:val="0"/>
              <w:wordWrap w:val="0"/>
              <w:bidi w:val="0"/>
              <w:spacing w:line="480" w:lineRule="exact"/>
              <w:jc w:val="center"/>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18.1</w:t>
            </w:r>
          </w:p>
        </w:tc>
        <w:tc>
          <w:tcPr>
            <w:tcW w:w="2340" w:type="dxa"/>
            <w:noWrap w:val="0"/>
            <w:vAlign w:val="center"/>
          </w:tcPr>
          <w:p w14:paraId="47E97F67">
            <w:pPr>
              <w:keepNext w:val="0"/>
              <w:keepLines w:val="0"/>
              <w:pageBreakBefore w:val="0"/>
              <w:widowControl w:val="0"/>
              <w:shd w:val="clear" w:color="auto" w:fill="auto"/>
              <w:kinsoku w:val="0"/>
              <w:wordWrap w:val="0"/>
              <w:bidi w:val="0"/>
              <w:spacing w:line="240" w:lineRule="auto"/>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投标有效期</w:t>
            </w:r>
          </w:p>
        </w:tc>
        <w:tc>
          <w:tcPr>
            <w:tcW w:w="6054" w:type="dxa"/>
            <w:noWrap w:val="0"/>
            <w:vAlign w:val="center"/>
          </w:tcPr>
          <w:p w14:paraId="62084F86">
            <w:pPr>
              <w:keepNext w:val="0"/>
              <w:keepLines w:val="0"/>
              <w:pageBreakBefore w:val="0"/>
              <w:widowControl w:val="0"/>
              <w:shd w:val="clear" w:color="auto" w:fill="auto"/>
              <w:kinsoku w:val="0"/>
              <w:wordWrap w:val="0"/>
              <w:bidi w:val="0"/>
              <w:spacing w:line="48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从提交投标文件截止之日起</w:t>
            </w:r>
            <w:r>
              <w:rPr>
                <w:rFonts w:hint="eastAsia" w:asciiTheme="minorEastAsia" w:hAnsiTheme="minorEastAsia" w:eastAsiaTheme="minorEastAsia" w:cstheme="minorEastAsia"/>
                <w:color w:val="auto"/>
                <w:sz w:val="24"/>
                <w:szCs w:val="24"/>
                <w:highlight w:val="none"/>
                <w:lang w:val="en-US" w:eastAsia="zh-CN"/>
              </w:rPr>
              <w:t>90日历天</w:t>
            </w:r>
          </w:p>
        </w:tc>
      </w:tr>
      <w:tr w14:paraId="6F40A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1085" w:type="dxa"/>
            <w:noWrap w:val="0"/>
            <w:vAlign w:val="center"/>
          </w:tcPr>
          <w:p w14:paraId="4330E7DA">
            <w:pPr>
              <w:keepNext w:val="0"/>
              <w:keepLines w:val="0"/>
              <w:pageBreakBefore w:val="0"/>
              <w:widowControl w:val="0"/>
              <w:shd w:val="clear" w:color="auto" w:fill="auto"/>
              <w:kinsoku w:val="0"/>
              <w:wordWrap w:val="0"/>
              <w:bidi w:val="0"/>
              <w:spacing w:line="480" w:lineRule="exact"/>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19</w:t>
            </w:r>
            <w:r>
              <w:rPr>
                <w:rFonts w:hint="eastAsia" w:asciiTheme="minorEastAsia" w:hAnsiTheme="minorEastAsia" w:eastAsiaTheme="minorEastAsia" w:cstheme="minorEastAsia"/>
                <w:color w:val="auto"/>
                <w:sz w:val="24"/>
                <w:szCs w:val="24"/>
                <w:highlight w:val="none"/>
              </w:rPr>
              <w:t>.1</w:t>
            </w:r>
          </w:p>
        </w:tc>
        <w:tc>
          <w:tcPr>
            <w:tcW w:w="2340" w:type="dxa"/>
            <w:noWrap w:val="0"/>
            <w:vAlign w:val="center"/>
          </w:tcPr>
          <w:p w14:paraId="22B13B1B">
            <w:pPr>
              <w:keepNext w:val="0"/>
              <w:keepLines w:val="0"/>
              <w:pageBreakBefore w:val="0"/>
              <w:widowControl w:val="0"/>
              <w:shd w:val="clear" w:color="auto" w:fill="auto"/>
              <w:kinsoku w:val="0"/>
              <w:wordWrap w:val="0"/>
              <w:bidi w:val="0"/>
              <w:spacing w:line="240" w:lineRule="auto"/>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开标时间和地点</w:t>
            </w:r>
          </w:p>
        </w:tc>
        <w:tc>
          <w:tcPr>
            <w:tcW w:w="6054" w:type="dxa"/>
            <w:noWrap w:val="0"/>
            <w:vAlign w:val="center"/>
          </w:tcPr>
          <w:p w14:paraId="5A558C33">
            <w:pPr>
              <w:keepNext w:val="0"/>
              <w:keepLines w:val="0"/>
              <w:pageBreakBefore w:val="0"/>
              <w:widowControl w:val="0"/>
              <w:shd w:val="clear" w:color="auto" w:fill="auto"/>
              <w:kinsoku w:val="0"/>
              <w:wordWrap w:val="0"/>
              <w:bidi w:val="0"/>
              <w:spacing w:line="48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开标时间：</w:t>
            </w:r>
            <w:r>
              <w:rPr>
                <w:rFonts w:hint="eastAsia" w:asciiTheme="minorEastAsia" w:hAnsiTheme="minorEastAsia" w:eastAsiaTheme="minorEastAsia" w:cstheme="minorEastAsia"/>
                <w:color w:val="auto"/>
                <w:sz w:val="24"/>
                <w:szCs w:val="24"/>
                <w:highlight w:val="yellow"/>
                <w:lang w:eastAsia="zh-CN"/>
              </w:rPr>
              <w:t>2025年</w:t>
            </w:r>
            <w:r>
              <w:rPr>
                <w:rFonts w:hint="eastAsia" w:asciiTheme="minorEastAsia" w:hAnsiTheme="minorEastAsia" w:eastAsiaTheme="minorEastAsia" w:cstheme="minorEastAsia"/>
                <w:color w:val="auto"/>
                <w:sz w:val="24"/>
                <w:szCs w:val="24"/>
                <w:highlight w:val="yellow"/>
                <w:lang w:val="en-US" w:eastAsia="zh-CN"/>
              </w:rPr>
              <w:t>7</w:t>
            </w:r>
            <w:r>
              <w:rPr>
                <w:rFonts w:hint="eastAsia" w:asciiTheme="minorEastAsia" w:hAnsiTheme="minorEastAsia" w:eastAsiaTheme="minorEastAsia" w:cstheme="minorEastAsia"/>
                <w:color w:val="auto"/>
                <w:sz w:val="24"/>
                <w:szCs w:val="24"/>
                <w:highlight w:val="yellow"/>
                <w:lang w:eastAsia="zh-CN"/>
              </w:rPr>
              <w:t>月</w:t>
            </w:r>
            <w:r>
              <w:rPr>
                <w:rFonts w:hint="eastAsia" w:asciiTheme="minorEastAsia" w:hAnsiTheme="minorEastAsia" w:eastAsiaTheme="minorEastAsia" w:cstheme="minorEastAsia"/>
                <w:color w:val="auto"/>
                <w:sz w:val="24"/>
                <w:szCs w:val="24"/>
                <w:highlight w:val="yellow"/>
                <w:lang w:val="en-US" w:eastAsia="zh-CN"/>
              </w:rPr>
              <w:t>11</w:t>
            </w:r>
            <w:r>
              <w:rPr>
                <w:rFonts w:hint="eastAsia" w:asciiTheme="minorEastAsia" w:hAnsiTheme="minorEastAsia" w:eastAsiaTheme="minorEastAsia" w:cstheme="minorEastAsia"/>
                <w:color w:val="auto"/>
                <w:sz w:val="24"/>
                <w:szCs w:val="24"/>
                <w:highlight w:val="yellow"/>
                <w:lang w:eastAsia="zh-CN"/>
              </w:rPr>
              <w:t>日</w:t>
            </w:r>
            <w:r>
              <w:rPr>
                <w:rFonts w:hint="eastAsia" w:asciiTheme="minorEastAsia" w:hAnsiTheme="minorEastAsia" w:eastAsiaTheme="minorEastAsia" w:cstheme="minorEastAsia"/>
                <w:color w:val="auto"/>
                <w:sz w:val="24"/>
                <w:szCs w:val="24"/>
                <w:highlight w:val="none"/>
                <w:lang w:val="en-US" w:eastAsia="zh-CN"/>
              </w:rPr>
              <w:t>9时00分</w:t>
            </w:r>
            <w:r>
              <w:rPr>
                <w:rFonts w:hint="eastAsia" w:asciiTheme="minorEastAsia" w:hAnsiTheme="minorEastAsia" w:eastAsiaTheme="minorEastAsia" w:cstheme="minorEastAsia"/>
                <w:color w:val="auto"/>
                <w:sz w:val="24"/>
                <w:szCs w:val="24"/>
                <w:highlight w:val="none"/>
              </w:rPr>
              <w:t>（北京时间）；</w:t>
            </w:r>
          </w:p>
          <w:p w14:paraId="0C8C0238">
            <w:pPr>
              <w:keepNext w:val="0"/>
              <w:keepLines w:val="0"/>
              <w:pageBreakBefore w:val="0"/>
              <w:widowControl w:val="0"/>
              <w:shd w:val="clear" w:color="auto" w:fill="auto"/>
              <w:kinsoku w:val="0"/>
              <w:wordWrap w:val="0"/>
              <w:overflowPunct/>
              <w:topLinePunct w:val="0"/>
              <w:autoSpaceDE/>
              <w:autoSpaceDN/>
              <w:bidi w:val="0"/>
              <w:adjustRightInd/>
              <w:snapToGrid/>
              <w:spacing w:line="480" w:lineRule="exact"/>
              <w:ind w:right="0" w:rightChars="0"/>
              <w:jc w:val="left"/>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开标地点</w:t>
            </w:r>
            <w:r>
              <w:rPr>
                <w:rFonts w:hint="eastAsia" w:asciiTheme="minorEastAsia" w:hAnsiTheme="minorEastAsia" w:eastAsiaTheme="minorEastAsia" w:cstheme="minorEastAsia"/>
                <w:color w:val="auto"/>
                <w:sz w:val="24"/>
                <w:szCs w:val="24"/>
                <w:highlight w:val="none"/>
                <w:lang w:eastAsia="zh-CN"/>
              </w:rPr>
              <w:t>：</w:t>
            </w:r>
            <w:r>
              <w:rPr>
                <w:rFonts w:hint="eastAsia" w:ascii="宋体" w:hAnsi="宋体" w:cs="宋体"/>
                <w:color w:val="auto"/>
                <w:sz w:val="24"/>
                <w:szCs w:val="24"/>
                <w:highlight w:val="none"/>
                <w:lang w:eastAsia="zh-CN"/>
              </w:rPr>
              <w:t>政采云开标大厅</w:t>
            </w:r>
            <w:r>
              <w:rPr>
                <w:rFonts w:hint="eastAsia" w:asciiTheme="minorEastAsia" w:hAnsiTheme="minorEastAsia" w:eastAsiaTheme="minorEastAsia" w:cstheme="minorEastAsia"/>
                <w:color w:val="auto"/>
                <w:sz w:val="24"/>
                <w:szCs w:val="24"/>
                <w:highlight w:val="none"/>
              </w:rPr>
              <w:t>。</w:t>
            </w:r>
          </w:p>
        </w:tc>
      </w:tr>
      <w:tr w14:paraId="5F54F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1085" w:type="dxa"/>
            <w:noWrap w:val="0"/>
            <w:vAlign w:val="center"/>
          </w:tcPr>
          <w:p w14:paraId="6A77AD81">
            <w:pPr>
              <w:keepNext w:val="0"/>
              <w:keepLines w:val="0"/>
              <w:pageBreakBefore w:val="0"/>
              <w:widowControl w:val="0"/>
              <w:shd w:val="clear" w:color="auto" w:fill="auto"/>
              <w:kinsoku w:val="0"/>
              <w:wordWrap w:val="0"/>
              <w:bidi w:val="0"/>
              <w:spacing w:line="480" w:lineRule="exact"/>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r>
              <w:rPr>
                <w:rFonts w:hint="eastAsia" w:asciiTheme="minorEastAsia" w:hAnsiTheme="minorEastAsia" w:eastAsiaTheme="minorEastAsia" w:cstheme="minorEastAsia"/>
                <w:color w:val="auto"/>
                <w:sz w:val="24"/>
                <w:szCs w:val="24"/>
                <w:highlight w:val="none"/>
                <w:lang w:val="en-US" w:eastAsia="zh-CN"/>
              </w:rPr>
              <w:t>0.</w:t>
            </w:r>
            <w:r>
              <w:rPr>
                <w:rFonts w:hint="eastAsia" w:asciiTheme="minorEastAsia" w:hAnsiTheme="minorEastAsia" w:eastAsiaTheme="minorEastAsia" w:cstheme="minorEastAsia"/>
                <w:color w:val="auto"/>
                <w:sz w:val="24"/>
                <w:szCs w:val="24"/>
                <w:highlight w:val="none"/>
              </w:rPr>
              <w:t>3</w:t>
            </w:r>
          </w:p>
        </w:tc>
        <w:tc>
          <w:tcPr>
            <w:tcW w:w="2340" w:type="dxa"/>
            <w:noWrap w:val="0"/>
            <w:vAlign w:val="center"/>
          </w:tcPr>
          <w:p w14:paraId="4F9C46B2">
            <w:pPr>
              <w:keepNext w:val="0"/>
              <w:keepLines w:val="0"/>
              <w:pageBreakBefore w:val="0"/>
              <w:widowControl w:val="0"/>
              <w:shd w:val="clear" w:color="auto" w:fill="auto"/>
              <w:kinsoku w:val="0"/>
              <w:wordWrap w:val="0"/>
              <w:bidi w:val="0"/>
              <w:spacing w:line="240" w:lineRule="auto"/>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评标办法</w:t>
            </w:r>
          </w:p>
        </w:tc>
        <w:tc>
          <w:tcPr>
            <w:tcW w:w="6054" w:type="dxa"/>
            <w:noWrap w:val="0"/>
            <w:vAlign w:val="center"/>
          </w:tcPr>
          <w:p w14:paraId="7950663E">
            <w:pPr>
              <w:keepNext w:val="0"/>
              <w:keepLines w:val="0"/>
              <w:pageBreakBefore w:val="0"/>
              <w:widowControl w:val="0"/>
              <w:shd w:val="clear" w:color="auto" w:fill="auto"/>
              <w:kinsoku w:val="0"/>
              <w:wordWrap w:val="0"/>
              <w:bidi w:val="0"/>
              <w:spacing w:line="48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综合评分法</w:t>
            </w:r>
          </w:p>
        </w:tc>
      </w:tr>
      <w:tr w14:paraId="02121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85" w:type="dxa"/>
            <w:noWrap w:val="0"/>
            <w:vAlign w:val="center"/>
          </w:tcPr>
          <w:p w14:paraId="6923ECBA">
            <w:pPr>
              <w:keepNext w:val="0"/>
              <w:keepLines w:val="0"/>
              <w:pageBreakBefore w:val="0"/>
              <w:widowControl w:val="0"/>
              <w:shd w:val="clear" w:color="auto" w:fill="auto"/>
              <w:kinsoku w:val="0"/>
              <w:wordWrap w:val="0"/>
              <w:bidi w:val="0"/>
              <w:spacing w:line="480" w:lineRule="exact"/>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28</w:t>
            </w:r>
            <w:r>
              <w:rPr>
                <w:rFonts w:hint="eastAsia" w:asciiTheme="minorEastAsia" w:hAnsiTheme="minorEastAsia" w:eastAsiaTheme="minorEastAsia" w:cstheme="minorEastAsia"/>
                <w:color w:val="auto"/>
                <w:sz w:val="24"/>
                <w:szCs w:val="24"/>
                <w:highlight w:val="none"/>
              </w:rPr>
              <w:t>.1</w:t>
            </w:r>
          </w:p>
        </w:tc>
        <w:tc>
          <w:tcPr>
            <w:tcW w:w="2340" w:type="dxa"/>
            <w:noWrap w:val="0"/>
            <w:vAlign w:val="center"/>
          </w:tcPr>
          <w:p w14:paraId="123F8156">
            <w:pPr>
              <w:keepNext w:val="0"/>
              <w:keepLines w:val="0"/>
              <w:pageBreakBefore w:val="0"/>
              <w:widowControl w:val="0"/>
              <w:shd w:val="clear" w:color="auto" w:fill="auto"/>
              <w:kinsoku w:val="0"/>
              <w:wordWrap w:val="0"/>
              <w:bidi w:val="0"/>
              <w:spacing w:line="240" w:lineRule="auto"/>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备选方案</w:t>
            </w:r>
          </w:p>
        </w:tc>
        <w:tc>
          <w:tcPr>
            <w:tcW w:w="6054" w:type="dxa"/>
            <w:noWrap w:val="0"/>
            <w:vAlign w:val="center"/>
          </w:tcPr>
          <w:p w14:paraId="4DA6004E">
            <w:pPr>
              <w:keepNext w:val="0"/>
              <w:keepLines w:val="0"/>
              <w:pageBreakBefore w:val="0"/>
              <w:widowControl w:val="0"/>
              <w:shd w:val="clear" w:color="auto" w:fill="auto"/>
              <w:kinsoku w:val="0"/>
              <w:wordWrap w:val="0"/>
              <w:bidi w:val="0"/>
              <w:spacing w:line="48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不接受</w:t>
            </w:r>
          </w:p>
        </w:tc>
      </w:tr>
      <w:tr w14:paraId="3FA17A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85" w:type="dxa"/>
            <w:noWrap w:val="0"/>
            <w:vAlign w:val="center"/>
          </w:tcPr>
          <w:p w14:paraId="7CB4BF03">
            <w:pPr>
              <w:keepNext w:val="0"/>
              <w:keepLines w:val="0"/>
              <w:pageBreakBefore w:val="0"/>
              <w:widowControl w:val="0"/>
              <w:shd w:val="clear" w:color="auto" w:fill="auto"/>
              <w:kinsoku w:val="0"/>
              <w:wordWrap w:val="0"/>
              <w:bidi w:val="0"/>
              <w:spacing w:line="480" w:lineRule="exact"/>
              <w:jc w:val="center"/>
              <w:textAlignment w:val="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28.2</w:t>
            </w:r>
          </w:p>
        </w:tc>
        <w:tc>
          <w:tcPr>
            <w:tcW w:w="2340" w:type="dxa"/>
            <w:noWrap w:val="0"/>
            <w:vAlign w:val="center"/>
          </w:tcPr>
          <w:p w14:paraId="3D67C580">
            <w:pPr>
              <w:keepNext w:val="0"/>
              <w:keepLines w:val="0"/>
              <w:pageBreakBefore w:val="0"/>
              <w:widowControl w:val="0"/>
              <w:shd w:val="clear" w:color="auto" w:fill="auto"/>
              <w:kinsoku w:val="0"/>
              <w:wordWrap w:val="0"/>
              <w:bidi w:val="0"/>
              <w:spacing w:line="240" w:lineRule="auto"/>
              <w:textAlignment w:val="auto"/>
              <w:rPr>
                <w:rFonts w:hint="eastAsia" w:asciiTheme="minorEastAsia" w:hAnsiTheme="minorEastAsia" w:eastAsiaTheme="minorEastAsia" w:cstheme="minorEastAsia"/>
                <w:color w:val="auto"/>
                <w:sz w:val="24"/>
                <w:szCs w:val="24"/>
                <w:highlight w:val="none"/>
              </w:rPr>
            </w:pPr>
            <w:r>
              <w:rPr>
                <w:rFonts w:hint="eastAsia" w:ascii="宋体" w:hAnsi="宋体" w:eastAsia="宋体" w:cs="宋体"/>
                <w:color w:val="auto"/>
                <w:sz w:val="24"/>
                <w:szCs w:val="24"/>
                <w:highlight w:val="none"/>
              </w:rPr>
              <w:t>履约</w:t>
            </w:r>
            <w:r>
              <w:rPr>
                <w:rFonts w:hint="eastAsia" w:ascii="宋体" w:hAnsi="宋体" w:cs="宋体"/>
                <w:color w:val="auto"/>
                <w:sz w:val="24"/>
                <w:szCs w:val="24"/>
                <w:highlight w:val="none"/>
                <w:lang w:val="en-US" w:eastAsia="zh-CN"/>
              </w:rPr>
              <w:t>担保</w:t>
            </w:r>
          </w:p>
        </w:tc>
        <w:tc>
          <w:tcPr>
            <w:tcW w:w="6054" w:type="dxa"/>
            <w:noWrap w:val="0"/>
            <w:vAlign w:val="center"/>
          </w:tcPr>
          <w:p w14:paraId="652032DD">
            <w:pPr>
              <w:keepNext w:val="0"/>
              <w:keepLines w:val="0"/>
              <w:pageBreakBefore w:val="0"/>
              <w:widowControl w:val="0"/>
              <w:shd w:val="clear" w:color="auto" w:fill="auto"/>
              <w:kinsoku w:val="0"/>
              <w:wordWrap w:val="0"/>
              <w:bidi w:val="0"/>
              <w:spacing w:line="480" w:lineRule="exact"/>
              <w:textAlignment w:val="auto"/>
              <w:rPr>
                <w:rFonts w:hint="eastAsia" w:asciiTheme="minorEastAsia" w:hAnsiTheme="minorEastAsia" w:eastAsiaTheme="minorEastAsia" w:cstheme="minorEastAsia"/>
                <w:color w:val="auto"/>
                <w:sz w:val="24"/>
                <w:szCs w:val="24"/>
                <w:highlight w:val="none"/>
                <w:lang w:eastAsia="zh-CN"/>
              </w:rPr>
            </w:pPr>
            <w:r>
              <w:rPr>
                <w:rFonts w:hint="eastAsia" w:ascii="宋体" w:hAnsi="宋体" w:cs="宋体"/>
                <w:color w:val="auto"/>
                <w:sz w:val="24"/>
                <w:szCs w:val="24"/>
                <w:highlight w:val="none"/>
                <w:lang w:val="en-US" w:eastAsia="zh-CN"/>
              </w:rPr>
              <w:t>无</w:t>
            </w:r>
          </w:p>
        </w:tc>
      </w:tr>
      <w:tr w14:paraId="082F9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85" w:type="dxa"/>
            <w:noWrap w:val="0"/>
            <w:vAlign w:val="center"/>
          </w:tcPr>
          <w:p w14:paraId="35F5E7CA">
            <w:pPr>
              <w:keepNext w:val="0"/>
              <w:keepLines w:val="0"/>
              <w:pageBreakBefore w:val="0"/>
              <w:widowControl w:val="0"/>
              <w:shd w:val="clear" w:color="auto" w:fill="auto"/>
              <w:kinsoku w:val="0"/>
              <w:wordWrap w:val="0"/>
              <w:bidi w:val="0"/>
              <w:spacing w:line="480" w:lineRule="exact"/>
              <w:jc w:val="center"/>
              <w:textAlignment w:val="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29.3</w:t>
            </w:r>
          </w:p>
        </w:tc>
        <w:tc>
          <w:tcPr>
            <w:tcW w:w="2340" w:type="dxa"/>
            <w:noWrap w:val="0"/>
            <w:vAlign w:val="center"/>
          </w:tcPr>
          <w:p w14:paraId="72E48FC8">
            <w:pPr>
              <w:keepNext w:val="0"/>
              <w:keepLines w:val="0"/>
              <w:pageBreakBefore w:val="0"/>
              <w:widowControl w:val="0"/>
              <w:shd w:val="clear" w:color="auto" w:fill="auto"/>
              <w:kinsoku w:val="0"/>
              <w:wordWrap w:val="0"/>
              <w:bidi w:val="0"/>
              <w:spacing w:line="240" w:lineRule="auto"/>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需要补充的其他内容</w:t>
            </w:r>
          </w:p>
        </w:tc>
        <w:tc>
          <w:tcPr>
            <w:tcW w:w="6054" w:type="dxa"/>
            <w:noWrap w:val="0"/>
            <w:vAlign w:val="center"/>
          </w:tcPr>
          <w:p w14:paraId="6B4247BE">
            <w:pPr>
              <w:keepNext w:val="0"/>
              <w:keepLines w:val="0"/>
              <w:pageBreakBefore w:val="0"/>
              <w:widowControl w:val="0"/>
              <w:shd w:val="clear" w:color="auto" w:fill="auto"/>
              <w:kinsoku w:val="0"/>
              <w:wordWrap w:val="0"/>
              <w:bidi w:val="0"/>
              <w:spacing w:line="48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根据《财政部﹤关于调整优化节能产品、环境标志产品政府采购执行机制的通知﹥》（财库〔2019〕9号）要求，对政府采购节能产品、环境标志产品实施品目清单管理，产品属于品目清单范围的，依据品目清单和认证证书实施政府优先采购和强制采购。本项目涉及的强制采购产品，供应商需提供国家确定的认证机构出具的、处于有效期之内的节能产品认证证书。</w:t>
            </w:r>
          </w:p>
          <w:p w14:paraId="4FBB0385">
            <w:pPr>
              <w:keepNext w:val="0"/>
              <w:keepLines w:val="0"/>
              <w:pageBreakBefore w:val="0"/>
              <w:widowControl w:val="0"/>
              <w:shd w:val="clear" w:color="auto" w:fill="auto"/>
              <w:kinsoku w:val="0"/>
              <w:wordWrap w:val="0"/>
              <w:bidi w:val="0"/>
              <w:spacing w:line="48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131454D9">
            <w:pPr>
              <w:keepNext w:val="0"/>
              <w:keepLines w:val="0"/>
              <w:pageBreakBefore w:val="0"/>
              <w:widowControl w:val="0"/>
              <w:shd w:val="clear" w:color="auto" w:fill="auto"/>
              <w:kinsoku w:val="0"/>
              <w:wordWrap w:val="0"/>
              <w:bidi w:val="0"/>
              <w:spacing w:line="48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1917A251">
            <w:pPr>
              <w:keepNext w:val="0"/>
              <w:keepLines w:val="0"/>
              <w:pageBreakBefore w:val="0"/>
              <w:widowControl w:val="0"/>
              <w:shd w:val="clear" w:color="auto" w:fill="auto"/>
              <w:kinsoku w:val="0"/>
              <w:wordWrap w:val="0"/>
              <w:bidi w:val="0"/>
              <w:spacing w:line="48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如本项目采购产品属于实施政府强制采购品目清单范围的节能产品，则</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所报产品必须获得国家确定的认证机构出具的、处于有效期之内的节能产品认证证书，若因特殊原因，投标时未能及时提供的，须承诺验收交付时同验收材料一同交于采购人查验，</w:t>
            </w:r>
            <w:r>
              <w:rPr>
                <w:rFonts w:hint="eastAsia" w:asciiTheme="minorEastAsia" w:hAnsiTheme="minorEastAsia" w:eastAsiaTheme="minorEastAsia" w:cstheme="minorEastAsia"/>
                <w:b/>
                <w:bCs/>
                <w:color w:val="auto"/>
                <w:sz w:val="24"/>
                <w:szCs w:val="24"/>
                <w:highlight w:val="none"/>
              </w:rPr>
              <w:t>否则投标无效</w:t>
            </w:r>
            <w:r>
              <w:rPr>
                <w:rFonts w:hint="eastAsia" w:asciiTheme="minorEastAsia" w:hAnsiTheme="minorEastAsia" w:eastAsiaTheme="minorEastAsia" w:cstheme="minorEastAsia"/>
                <w:color w:val="auto"/>
                <w:sz w:val="24"/>
                <w:szCs w:val="24"/>
                <w:highlight w:val="none"/>
              </w:rPr>
              <w:t>；</w:t>
            </w:r>
          </w:p>
          <w:p w14:paraId="3B44F382">
            <w:pPr>
              <w:keepNext w:val="0"/>
              <w:keepLines w:val="0"/>
              <w:pageBreakBefore w:val="0"/>
              <w:widowControl w:val="0"/>
              <w:shd w:val="clear" w:color="auto" w:fill="auto"/>
              <w:kinsoku w:val="0"/>
              <w:wordWrap w:val="0"/>
              <w:bidi w:val="0"/>
              <w:spacing w:line="48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非政府强制采购的节能产品或环境标志产品，依据品目清单和认证证书实施政府优先采购。优先采购的具体规定见第三章“评标办法”（如涉及）。</w:t>
            </w:r>
          </w:p>
          <w:p w14:paraId="503F0DA1">
            <w:pPr>
              <w:keepNext w:val="0"/>
              <w:keepLines w:val="0"/>
              <w:pageBreakBefore w:val="0"/>
              <w:widowControl w:val="0"/>
              <w:shd w:val="clear" w:color="auto" w:fill="auto"/>
              <w:kinsoku w:val="0"/>
              <w:wordWrap w:val="0"/>
              <w:bidi w:val="0"/>
              <w:spacing w:line="48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结合</w:t>
            </w:r>
            <w:r>
              <w:rPr>
                <w:rFonts w:hint="eastAsia" w:asciiTheme="minorEastAsia" w:hAnsiTheme="minorEastAsia" w:eastAsiaTheme="minorEastAsia" w:cstheme="minorEastAsia"/>
                <w:color w:val="auto"/>
                <w:sz w:val="24"/>
                <w:szCs w:val="24"/>
                <w:highlight w:val="none"/>
                <w:lang w:eastAsia="zh-CN"/>
              </w:rPr>
              <w:t>《关于调整优化节能产品、环境标志产品政府采购执行机制的通知》（财库〔2019〕9号）</w:t>
            </w:r>
            <w:r>
              <w:rPr>
                <w:rFonts w:hint="eastAsia" w:asciiTheme="minorEastAsia" w:hAnsiTheme="minorEastAsia" w:eastAsiaTheme="minorEastAsia" w:cstheme="minorEastAsia"/>
                <w:color w:val="auto"/>
                <w:sz w:val="24"/>
                <w:szCs w:val="24"/>
                <w:highlight w:val="none"/>
              </w:rPr>
              <w:t>本项目</w:t>
            </w:r>
            <w:r>
              <w:rPr>
                <w:rFonts w:hint="eastAsia" w:asciiTheme="minorEastAsia" w:hAnsiTheme="minorEastAsia" w:eastAsiaTheme="minorEastAsia" w:cstheme="minorEastAsia"/>
                <w:color w:val="auto"/>
                <w:sz w:val="24"/>
                <w:szCs w:val="24"/>
                <w:highlight w:val="none"/>
                <w:lang w:val="en-US" w:eastAsia="zh-CN"/>
              </w:rPr>
              <w:t>预计</w:t>
            </w:r>
            <w:r>
              <w:rPr>
                <w:rFonts w:hint="eastAsia" w:asciiTheme="minorEastAsia" w:hAnsiTheme="minorEastAsia" w:eastAsiaTheme="minorEastAsia" w:cstheme="minorEastAsia"/>
                <w:color w:val="auto"/>
                <w:sz w:val="24"/>
                <w:szCs w:val="24"/>
                <w:highlight w:val="none"/>
              </w:rPr>
              <w:t>涉及的节能产品</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台式计算机、液晶显示器、扫描仪、多功能一体机、喷墨打印机、激光打印机、针式打印机；</w:t>
            </w:r>
            <w:r>
              <w:rPr>
                <w:rFonts w:hint="eastAsia" w:asciiTheme="minorEastAsia" w:hAnsiTheme="minorEastAsia" w:eastAsiaTheme="minorEastAsia" w:cstheme="minorEastAsia"/>
                <w:color w:val="auto"/>
                <w:sz w:val="24"/>
                <w:szCs w:val="24"/>
                <w:highlight w:val="none"/>
                <w:lang w:val="en-US" w:eastAsia="zh-CN"/>
              </w:rPr>
              <w:t>预计</w:t>
            </w:r>
            <w:r>
              <w:rPr>
                <w:rFonts w:hint="eastAsia" w:asciiTheme="minorEastAsia" w:hAnsiTheme="minorEastAsia" w:eastAsiaTheme="minorEastAsia" w:cstheme="minorEastAsia"/>
                <w:color w:val="auto"/>
                <w:sz w:val="24"/>
                <w:szCs w:val="24"/>
                <w:highlight w:val="none"/>
              </w:rPr>
              <w:t>涉及的环境标志</w:t>
            </w:r>
            <w:r>
              <w:rPr>
                <w:rFonts w:hint="eastAsia" w:asciiTheme="minorEastAsia" w:hAnsiTheme="minorEastAsia" w:eastAsiaTheme="minorEastAsia" w:cstheme="minorEastAsia"/>
                <w:color w:val="auto"/>
                <w:sz w:val="24"/>
                <w:szCs w:val="24"/>
                <w:highlight w:val="none"/>
                <w:lang w:val="en-US" w:eastAsia="zh-CN"/>
              </w:rPr>
              <w:t>产品：</w:t>
            </w:r>
            <w:r>
              <w:rPr>
                <w:rFonts w:hint="eastAsia" w:asciiTheme="minorEastAsia" w:hAnsiTheme="minorEastAsia" w:eastAsiaTheme="minorEastAsia" w:cstheme="minorEastAsia"/>
                <w:color w:val="auto"/>
                <w:sz w:val="24"/>
                <w:szCs w:val="24"/>
                <w:highlight w:val="none"/>
              </w:rPr>
              <w:t>服务器、钢制床类、木质台、桌类、其他台、桌类、塑料制品、金属制柜类、木质柜类、木骨架为主椅凳类、金属架为主椅凳类。最终以供应商投标时提供的产品</w:t>
            </w:r>
            <w:r>
              <w:rPr>
                <w:rFonts w:hint="eastAsia" w:asciiTheme="minorEastAsia" w:hAnsiTheme="minorEastAsia" w:eastAsiaTheme="minorEastAsia" w:cstheme="minorEastAsia"/>
                <w:color w:val="auto"/>
                <w:sz w:val="24"/>
                <w:szCs w:val="24"/>
                <w:highlight w:val="none"/>
                <w:lang w:val="en-US" w:eastAsia="zh-CN"/>
              </w:rPr>
              <w:t>及相关认证证书</w:t>
            </w:r>
            <w:r>
              <w:rPr>
                <w:rFonts w:hint="eastAsia" w:asciiTheme="minorEastAsia" w:hAnsiTheme="minorEastAsia" w:eastAsiaTheme="minorEastAsia" w:cstheme="minorEastAsia"/>
                <w:color w:val="auto"/>
                <w:sz w:val="24"/>
                <w:szCs w:val="24"/>
                <w:highlight w:val="none"/>
              </w:rPr>
              <w:t>为准。</w:t>
            </w:r>
          </w:p>
        </w:tc>
      </w:tr>
    </w:tbl>
    <w:p w14:paraId="59E38399">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jc w:val="center"/>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一、总  则</w:t>
      </w:r>
    </w:p>
    <w:p w14:paraId="1EB145F0">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20"/>
        <w:jc w:val="left"/>
        <w:textAlignment w:val="auto"/>
        <w:rPr>
          <w:rFonts w:hint="eastAsia" w:asciiTheme="minorEastAsia" w:hAnsiTheme="minorEastAsia" w:eastAsiaTheme="minorEastAsia" w:cstheme="minorEastAsia"/>
          <w:b/>
          <w:bCs w:val="0"/>
          <w:color w:val="auto"/>
          <w:sz w:val="24"/>
          <w:szCs w:val="24"/>
          <w:highlight w:val="none"/>
        </w:rPr>
      </w:pPr>
      <w:r>
        <w:rPr>
          <w:rFonts w:hint="eastAsia" w:asciiTheme="minorEastAsia" w:hAnsiTheme="minorEastAsia" w:eastAsiaTheme="minorEastAsia" w:cstheme="minorEastAsia"/>
          <w:b/>
          <w:bCs w:val="0"/>
          <w:color w:val="auto"/>
          <w:sz w:val="24"/>
          <w:szCs w:val="24"/>
          <w:highlight w:val="none"/>
        </w:rPr>
        <w:t>1.采购人、采购代理机构、项目名称，详见</w:t>
      </w:r>
      <w:r>
        <w:rPr>
          <w:rFonts w:hint="eastAsia" w:asciiTheme="minorEastAsia" w:hAnsiTheme="minorEastAsia" w:eastAsiaTheme="minorEastAsia" w:cstheme="minorEastAsia"/>
          <w:b/>
          <w:bCs w:val="0"/>
          <w:color w:val="auto"/>
          <w:sz w:val="24"/>
          <w:szCs w:val="24"/>
          <w:highlight w:val="none"/>
          <w:lang w:eastAsia="zh-CN"/>
        </w:rPr>
        <w:t>采购文件</w:t>
      </w:r>
      <w:r>
        <w:rPr>
          <w:rFonts w:hint="eastAsia" w:asciiTheme="minorEastAsia" w:hAnsiTheme="minorEastAsia" w:eastAsiaTheme="minorEastAsia" w:cstheme="minorEastAsia"/>
          <w:b/>
          <w:bCs w:val="0"/>
          <w:color w:val="auto"/>
          <w:sz w:val="24"/>
          <w:szCs w:val="24"/>
          <w:highlight w:val="none"/>
        </w:rPr>
        <w:t>“</w:t>
      </w:r>
      <w:r>
        <w:rPr>
          <w:rFonts w:hint="eastAsia" w:asciiTheme="minorEastAsia" w:hAnsiTheme="minorEastAsia" w:eastAsiaTheme="minorEastAsia" w:cstheme="minorEastAsia"/>
          <w:b/>
          <w:bCs w:val="0"/>
          <w:color w:val="auto"/>
          <w:sz w:val="24"/>
          <w:szCs w:val="24"/>
          <w:highlight w:val="none"/>
          <w:lang w:eastAsia="zh-CN"/>
        </w:rPr>
        <w:t>供应商</w:t>
      </w:r>
      <w:r>
        <w:rPr>
          <w:rFonts w:hint="eastAsia" w:asciiTheme="minorEastAsia" w:hAnsiTheme="minorEastAsia" w:eastAsiaTheme="minorEastAsia" w:cstheme="minorEastAsia"/>
          <w:b/>
          <w:bCs w:val="0"/>
          <w:color w:val="auto"/>
          <w:sz w:val="24"/>
          <w:szCs w:val="24"/>
          <w:highlight w:val="none"/>
        </w:rPr>
        <w:t>须知前附表”。</w:t>
      </w:r>
    </w:p>
    <w:p w14:paraId="2B11306F">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20"/>
        <w:jc w:val="left"/>
        <w:textAlignment w:val="auto"/>
        <w:rPr>
          <w:rFonts w:hint="eastAsia" w:asciiTheme="minorEastAsia" w:hAnsiTheme="minorEastAsia" w:eastAsiaTheme="minorEastAsia" w:cstheme="minorEastAsia"/>
          <w:b/>
          <w:bCs w:val="0"/>
          <w:color w:val="auto"/>
          <w:sz w:val="24"/>
          <w:szCs w:val="24"/>
          <w:highlight w:val="none"/>
        </w:rPr>
      </w:pPr>
      <w:r>
        <w:rPr>
          <w:rFonts w:hint="eastAsia" w:asciiTheme="minorEastAsia" w:hAnsiTheme="minorEastAsia" w:eastAsiaTheme="minorEastAsia" w:cstheme="minorEastAsia"/>
          <w:b/>
          <w:bCs w:val="0"/>
          <w:color w:val="auto"/>
          <w:sz w:val="24"/>
          <w:szCs w:val="24"/>
          <w:highlight w:val="none"/>
        </w:rPr>
        <w:t>2.资金来源</w:t>
      </w:r>
      <w:r>
        <w:rPr>
          <w:rFonts w:hint="eastAsia" w:asciiTheme="minorEastAsia" w:hAnsiTheme="minorEastAsia" w:eastAsiaTheme="minorEastAsia" w:cstheme="minorEastAsia"/>
          <w:b/>
          <w:bCs w:val="0"/>
          <w:color w:val="auto"/>
          <w:sz w:val="24"/>
          <w:szCs w:val="24"/>
          <w:highlight w:val="none"/>
          <w:lang w:eastAsia="zh-CN"/>
        </w:rPr>
        <w:t>，</w:t>
      </w:r>
      <w:r>
        <w:rPr>
          <w:rFonts w:hint="eastAsia" w:asciiTheme="minorEastAsia" w:hAnsiTheme="minorEastAsia" w:eastAsiaTheme="minorEastAsia" w:cstheme="minorEastAsia"/>
          <w:b/>
          <w:bCs w:val="0"/>
          <w:color w:val="auto"/>
          <w:sz w:val="24"/>
          <w:szCs w:val="24"/>
          <w:highlight w:val="none"/>
        </w:rPr>
        <w:t>详见</w:t>
      </w:r>
      <w:r>
        <w:rPr>
          <w:rFonts w:hint="eastAsia" w:asciiTheme="minorEastAsia" w:hAnsiTheme="minorEastAsia" w:eastAsiaTheme="minorEastAsia" w:cstheme="minorEastAsia"/>
          <w:b/>
          <w:bCs w:val="0"/>
          <w:color w:val="auto"/>
          <w:sz w:val="24"/>
          <w:szCs w:val="24"/>
          <w:highlight w:val="none"/>
          <w:lang w:eastAsia="zh-CN"/>
        </w:rPr>
        <w:t>采购文件</w:t>
      </w:r>
      <w:r>
        <w:rPr>
          <w:rFonts w:hint="eastAsia" w:asciiTheme="minorEastAsia" w:hAnsiTheme="minorEastAsia" w:eastAsiaTheme="minorEastAsia" w:cstheme="minorEastAsia"/>
          <w:b/>
          <w:bCs w:val="0"/>
          <w:color w:val="auto"/>
          <w:sz w:val="24"/>
          <w:szCs w:val="24"/>
          <w:highlight w:val="none"/>
        </w:rPr>
        <w:t>“</w:t>
      </w:r>
      <w:r>
        <w:rPr>
          <w:rFonts w:hint="eastAsia" w:asciiTheme="minorEastAsia" w:hAnsiTheme="minorEastAsia" w:eastAsiaTheme="minorEastAsia" w:cstheme="minorEastAsia"/>
          <w:b/>
          <w:bCs w:val="0"/>
          <w:color w:val="auto"/>
          <w:sz w:val="24"/>
          <w:szCs w:val="24"/>
          <w:highlight w:val="none"/>
          <w:lang w:eastAsia="zh-CN"/>
        </w:rPr>
        <w:t>供应商</w:t>
      </w:r>
      <w:r>
        <w:rPr>
          <w:rFonts w:hint="eastAsia" w:asciiTheme="minorEastAsia" w:hAnsiTheme="minorEastAsia" w:eastAsiaTheme="minorEastAsia" w:cstheme="minorEastAsia"/>
          <w:b/>
          <w:bCs w:val="0"/>
          <w:color w:val="auto"/>
          <w:sz w:val="24"/>
          <w:szCs w:val="24"/>
          <w:highlight w:val="none"/>
        </w:rPr>
        <w:t>须知前附表”。</w:t>
      </w:r>
    </w:p>
    <w:p w14:paraId="387496CC">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20"/>
        <w:jc w:val="left"/>
        <w:textAlignment w:val="auto"/>
        <w:rPr>
          <w:rFonts w:hint="eastAsia" w:asciiTheme="minorEastAsia" w:hAnsiTheme="minorEastAsia" w:eastAsiaTheme="minorEastAsia" w:cstheme="minorEastAsia"/>
          <w:b/>
          <w:bCs w:val="0"/>
          <w:color w:val="auto"/>
          <w:sz w:val="24"/>
          <w:szCs w:val="24"/>
          <w:highlight w:val="none"/>
        </w:rPr>
      </w:pPr>
      <w:r>
        <w:rPr>
          <w:rFonts w:hint="eastAsia" w:asciiTheme="minorEastAsia" w:hAnsiTheme="minorEastAsia" w:eastAsiaTheme="minorEastAsia" w:cstheme="minorEastAsia"/>
          <w:b/>
          <w:bCs w:val="0"/>
          <w:color w:val="auto"/>
          <w:sz w:val="24"/>
          <w:szCs w:val="24"/>
          <w:highlight w:val="none"/>
        </w:rPr>
        <w:t>3.采购</w:t>
      </w:r>
      <w:r>
        <w:rPr>
          <w:rFonts w:hint="eastAsia" w:asciiTheme="minorEastAsia" w:hAnsiTheme="minorEastAsia" w:eastAsiaTheme="minorEastAsia" w:cstheme="minorEastAsia"/>
          <w:b/>
          <w:bCs w:val="0"/>
          <w:color w:val="auto"/>
          <w:sz w:val="24"/>
          <w:szCs w:val="24"/>
          <w:highlight w:val="none"/>
          <w:lang w:val="en-US" w:eastAsia="zh-CN"/>
        </w:rPr>
        <w:t>需求</w:t>
      </w:r>
      <w:r>
        <w:rPr>
          <w:rFonts w:hint="eastAsia" w:asciiTheme="minorEastAsia" w:hAnsiTheme="minorEastAsia" w:eastAsiaTheme="minorEastAsia" w:cstheme="minorEastAsia"/>
          <w:b/>
          <w:bCs w:val="0"/>
          <w:color w:val="auto"/>
          <w:sz w:val="24"/>
          <w:szCs w:val="24"/>
          <w:highlight w:val="none"/>
        </w:rPr>
        <w:t>详见</w:t>
      </w:r>
      <w:r>
        <w:rPr>
          <w:rFonts w:hint="eastAsia" w:asciiTheme="minorEastAsia" w:hAnsiTheme="minorEastAsia" w:eastAsiaTheme="minorEastAsia" w:cstheme="minorEastAsia"/>
          <w:b/>
          <w:bCs w:val="0"/>
          <w:color w:val="auto"/>
          <w:sz w:val="24"/>
          <w:szCs w:val="24"/>
          <w:highlight w:val="none"/>
          <w:lang w:eastAsia="zh-CN"/>
        </w:rPr>
        <w:t>采购文件</w:t>
      </w:r>
      <w:r>
        <w:rPr>
          <w:rFonts w:hint="eastAsia" w:asciiTheme="minorEastAsia" w:hAnsiTheme="minorEastAsia" w:eastAsiaTheme="minorEastAsia" w:cstheme="minorEastAsia"/>
          <w:b/>
          <w:bCs w:val="0"/>
          <w:color w:val="auto"/>
          <w:sz w:val="24"/>
          <w:szCs w:val="24"/>
          <w:highlight w:val="none"/>
        </w:rPr>
        <w:t>。</w:t>
      </w:r>
    </w:p>
    <w:p w14:paraId="082F0C9C">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20"/>
        <w:jc w:val="left"/>
        <w:textAlignment w:val="auto"/>
        <w:rPr>
          <w:rFonts w:hint="eastAsia" w:asciiTheme="minorEastAsia" w:hAnsiTheme="minorEastAsia" w:eastAsiaTheme="minorEastAsia" w:cstheme="minorEastAsia"/>
          <w:b/>
          <w:bCs w:val="0"/>
          <w:color w:val="auto"/>
          <w:sz w:val="24"/>
          <w:szCs w:val="24"/>
          <w:highlight w:val="none"/>
          <w:lang w:eastAsia="zh-CN"/>
        </w:rPr>
      </w:pPr>
      <w:r>
        <w:rPr>
          <w:rFonts w:hint="eastAsia" w:asciiTheme="minorEastAsia" w:hAnsiTheme="minorEastAsia" w:eastAsiaTheme="minorEastAsia" w:cstheme="minorEastAsia"/>
          <w:b/>
          <w:bCs w:val="0"/>
          <w:color w:val="auto"/>
          <w:sz w:val="24"/>
          <w:szCs w:val="24"/>
          <w:highlight w:val="none"/>
        </w:rPr>
        <w:t>4.合格的</w:t>
      </w:r>
      <w:r>
        <w:rPr>
          <w:rFonts w:hint="eastAsia" w:asciiTheme="minorEastAsia" w:hAnsiTheme="minorEastAsia" w:eastAsiaTheme="minorEastAsia" w:cstheme="minorEastAsia"/>
          <w:b/>
          <w:bCs w:val="0"/>
          <w:color w:val="auto"/>
          <w:sz w:val="24"/>
          <w:szCs w:val="24"/>
          <w:highlight w:val="none"/>
          <w:lang w:eastAsia="zh-CN"/>
        </w:rPr>
        <w:t>供应商</w:t>
      </w:r>
    </w:p>
    <w:p w14:paraId="3B131465">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20"/>
        <w:jc w:val="left"/>
        <w:textAlignment w:val="auto"/>
        <w:rPr>
          <w:rFonts w:hint="eastAsia" w:asciiTheme="minorEastAsia" w:hAnsiTheme="minorEastAsia" w:eastAsiaTheme="minorEastAsia" w:cstheme="minorEastAsia"/>
          <w:b w:val="0"/>
          <w:bCs/>
          <w:color w:val="auto"/>
          <w:sz w:val="24"/>
          <w:szCs w:val="24"/>
          <w:highlight w:val="none"/>
          <w:lang w:eastAsia="zh-CN"/>
        </w:rPr>
      </w:pPr>
      <w:r>
        <w:rPr>
          <w:rFonts w:hint="eastAsia" w:asciiTheme="minorEastAsia" w:hAnsiTheme="minorEastAsia" w:eastAsiaTheme="minorEastAsia" w:cstheme="minorEastAsia"/>
          <w:b w:val="0"/>
          <w:bCs/>
          <w:color w:val="auto"/>
          <w:sz w:val="24"/>
          <w:szCs w:val="24"/>
          <w:highlight w:val="none"/>
        </w:rPr>
        <w:t>4.1</w:t>
      </w:r>
      <w:r>
        <w:rPr>
          <w:rFonts w:hint="eastAsia" w:asciiTheme="minorEastAsia" w:hAnsiTheme="minorEastAsia" w:eastAsiaTheme="minorEastAsia" w:cstheme="minorEastAsia"/>
          <w:b w:val="0"/>
          <w:bCs/>
          <w:color w:val="auto"/>
          <w:sz w:val="24"/>
          <w:szCs w:val="24"/>
          <w:highlight w:val="none"/>
          <w:lang w:eastAsia="zh-CN"/>
        </w:rPr>
        <w:t>供应商</w:t>
      </w:r>
      <w:r>
        <w:rPr>
          <w:rFonts w:hint="eastAsia" w:asciiTheme="minorEastAsia" w:hAnsiTheme="minorEastAsia" w:eastAsiaTheme="minorEastAsia" w:cstheme="minorEastAsia"/>
          <w:b w:val="0"/>
          <w:bCs/>
          <w:color w:val="auto"/>
          <w:sz w:val="24"/>
          <w:szCs w:val="24"/>
          <w:highlight w:val="none"/>
          <w:lang w:val="en-US" w:eastAsia="zh-CN"/>
        </w:rPr>
        <w:t>资格要求详</w:t>
      </w:r>
      <w:r>
        <w:rPr>
          <w:rFonts w:hint="eastAsia" w:asciiTheme="minorEastAsia" w:hAnsiTheme="minorEastAsia" w:eastAsiaTheme="minorEastAsia" w:cstheme="minorEastAsia"/>
          <w:b w:val="0"/>
          <w:bCs/>
          <w:color w:val="auto"/>
          <w:sz w:val="24"/>
          <w:szCs w:val="24"/>
          <w:highlight w:val="none"/>
        </w:rPr>
        <w:t>见</w:t>
      </w:r>
      <w:r>
        <w:rPr>
          <w:rFonts w:hint="eastAsia" w:asciiTheme="minorEastAsia" w:hAnsiTheme="minorEastAsia" w:eastAsiaTheme="minorEastAsia" w:cstheme="minorEastAsia"/>
          <w:b w:val="0"/>
          <w:bCs/>
          <w:color w:val="auto"/>
          <w:sz w:val="24"/>
          <w:szCs w:val="24"/>
          <w:highlight w:val="none"/>
          <w:lang w:eastAsia="zh-CN"/>
        </w:rPr>
        <w:t>采购文件</w:t>
      </w:r>
      <w:r>
        <w:rPr>
          <w:rFonts w:hint="eastAsia" w:asciiTheme="minorEastAsia" w:hAnsiTheme="minorEastAsia" w:eastAsiaTheme="minorEastAsia" w:cstheme="minorEastAsia"/>
          <w:b w:val="0"/>
          <w:bCs/>
          <w:color w:val="auto"/>
          <w:sz w:val="24"/>
          <w:szCs w:val="24"/>
          <w:highlight w:val="none"/>
        </w:rPr>
        <w:t>“</w:t>
      </w:r>
      <w:r>
        <w:rPr>
          <w:rFonts w:hint="eastAsia" w:asciiTheme="minorEastAsia" w:hAnsiTheme="minorEastAsia" w:eastAsiaTheme="minorEastAsia" w:cstheme="minorEastAsia"/>
          <w:b w:val="0"/>
          <w:bCs/>
          <w:color w:val="auto"/>
          <w:sz w:val="24"/>
          <w:szCs w:val="24"/>
          <w:highlight w:val="none"/>
          <w:lang w:eastAsia="zh-CN"/>
        </w:rPr>
        <w:t>供应商</w:t>
      </w:r>
      <w:r>
        <w:rPr>
          <w:rFonts w:hint="eastAsia" w:asciiTheme="minorEastAsia" w:hAnsiTheme="minorEastAsia" w:eastAsiaTheme="minorEastAsia" w:cstheme="minorEastAsia"/>
          <w:b w:val="0"/>
          <w:bCs/>
          <w:color w:val="auto"/>
          <w:sz w:val="24"/>
          <w:szCs w:val="24"/>
          <w:highlight w:val="none"/>
        </w:rPr>
        <w:t>须知前附表”</w:t>
      </w:r>
      <w:r>
        <w:rPr>
          <w:rFonts w:hint="eastAsia" w:asciiTheme="minorEastAsia" w:hAnsiTheme="minorEastAsia" w:eastAsiaTheme="minorEastAsia" w:cstheme="minorEastAsia"/>
          <w:b w:val="0"/>
          <w:bCs/>
          <w:color w:val="auto"/>
          <w:sz w:val="24"/>
          <w:szCs w:val="24"/>
          <w:highlight w:val="none"/>
          <w:lang w:eastAsia="zh-CN"/>
        </w:rPr>
        <w:t>。</w:t>
      </w:r>
    </w:p>
    <w:p w14:paraId="5013F01F">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20"/>
        <w:jc w:val="left"/>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rPr>
        <w:t>4.2</w:t>
      </w:r>
      <w:r>
        <w:rPr>
          <w:rFonts w:hint="eastAsia" w:asciiTheme="minorEastAsia" w:hAnsiTheme="minorEastAsia" w:eastAsiaTheme="minorEastAsia" w:cstheme="minorEastAsia"/>
          <w:b w:val="0"/>
          <w:bCs/>
          <w:color w:val="auto"/>
          <w:sz w:val="24"/>
          <w:szCs w:val="24"/>
          <w:highlight w:val="none"/>
          <w:lang w:val="en-US" w:eastAsia="zh-CN"/>
        </w:rPr>
        <w:t>本项目不接受联合体投标。</w:t>
      </w:r>
    </w:p>
    <w:p w14:paraId="6AF0815F">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20"/>
        <w:jc w:val="left"/>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4.3本项目不允许分包。</w:t>
      </w:r>
    </w:p>
    <w:p w14:paraId="08EBDF38">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20"/>
        <w:jc w:val="left"/>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5.投标费用</w:t>
      </w:r>
    </w:p>
    <w:p w14:paraId="3E66F394">
      <w:pPr>
        <w:pStyle w:val="11"/>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2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5.1不论投标结果如何</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均应自行承担所有与准备和参加投标活动有关的全部费用。</w:t>
      </w:r>
    </w:p>
    <w:p w14:paraId="1D7A35AB">
      <w:pPr>
        <w:pStyle w:val="11"/>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20"/>
        <w:textAlignment w:val="auto"/>
        <w:rPr>
          <w:rFonts w:hint="eastAsia" w:asciiTheme="minorEastAsia" w:hAnsiTheme="minorEastAsia" w:eastAsiaTheme="minorEastAsia" w:cstheme="minorEastAsia"/>
          <w:color w:val="auto"/>
          <w:sz w:val="24"/>
          <w:szCs w:val="24"/>
          <w:highlight w:val="none"/>
          <w:lang w:eastAsia="zh-CN"/>
        </w:rPr>
      </w:pPr>
      <w:bookmarkStart w:id="31" w:name="_Toc321836357"/>
      <w:r>
        <w:rPr>
          <w:rFonts w:hint="eastAsia" w:asciiTheme="minorEastAsia" w:hAnsiTheme="minorEastAsia" w:eastAsiaTheme="minorEastAsia" w:cstheme="minorEastAsia"/>
          <w:color w:val="auto"/>
          <w:sz w:val="24"/>
          <w:szCs w:val="24"/>
          <w:highlight w:val="none"/>
          <w:lang w:val="en-US" w:eastAsia="zh-CN"/>
        </w:rPr>
        <w:t>5.2招标代理服务费</w:t>
      </w:r>
    </w:p>
    <w:p w14:paraId="1F982A2B">
      <w:pPr>
        <w:pStyle w:val="11"/>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20"/>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本项目</w:t>
      </w:r>
      <w:r>
        <w:rPr>
          <w:rFonts w:hint="eastAsia" w:asciiTheme="minorEastAsia" w:hAnsiTheme="minorEastAsia" w:eastAsiaTheme="minorEastAsia" w:cstheme="minorEastAsia"/>
          <w:color w:val="auto"/>
          <w:sz w:val="24"/>
          <w:szCs w:val="24"/>
          <w:highlight w:val="none"/>
          <w:lang w:val="en-US" w:eastAsia="zh-CN"/>
        </w:rPr>
        <w:t>的招标代理服务费由中标</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lang w:val="en-US" w:eastAsia="zh-CN"/>
        </w:rPr>
        <w:t>支付</w:t>
      </w:r>
      <w:r>
        <w:rPr>
          <w:rFonts w:hint="eastAsia" w:asciiTheme="minorEastAsia" w:hAnsiTheme="minorEastAsia" w:eastAsiaTheme="minorEastAsia" w:cstheme="minorEastAsia"/>
          <w:color w:val="auto"/>
          <w:sz w:val="24"/>
          <w:szCs w:val="24"/>
          <w:highlight w:val="none"/>
          <w:lang w:eastAsia="zh-CN"/>
        </w:rPr>
        <w:t>。</w:t>
      </w:r>
    </w:p>
    <w:p w14:paraId="1A2FB1B5">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jc w:val="center"/>
        <w:textAlignment w:val="auto"/>
        <w:rPr>
          <w:rFonts w:hint="eastAsia" w:asciiTheme="minorEastAsia" w:hAnsiTheme="minorEastAsia" w:eastAsiaTheme="minorEastAsia" w:cstheme="minorEastAsia"/>
          <w:b/>
          <w:color w:val="auto"/>
          <w:sz w:val="24"/>
          <w:szCs w:val="24"/>
          <w:highlight w:val="none"/>
          <w:lang w:eastAsia="zh-CN"/>
        </w:rPr>
      </w:pPr>
      <w:r>
        <w:rPr>
          <w:rFonts w:hint="eastAsia" w:asciiTheme="minorEastAsia" w:hAnsiTheme="minorEastAsia" w:eastAsiaTheme="minorEastAsia" w:cstheme="minorEastAsia"/>
          <w:b/>
          <w:color w:val="auto"/>
          <w:sz w:val="24"/>
          <w:szCs w:val="24"/>
          <w:highlight w:val="none"/>
        </w:rPr>
        <w:t xml:space="preserve"> </w:t>
      </w:r>
      <w:bookmarkEnd w:id="31"/>
      <w:r>
        <w:rPr>
          <w:rFonts w:hint="eastAsia" w:asciiTheme="minorEastAsia" w:hAnsiTheme="minorEastAsia" w:eastAsiaTheme="minorEastAsia" w:cstheme="minorEastAsia"/>
          <w:b/>
          <w:color w:val="auto"/>
          <w:sz w:val="24"/>
          <w:szCs w:val="24"/>
          <w:highlight w:val="none"/>
        </w:rPr>
        <w:t>二、</w:t>
      </w:r>
      <w:r>
        <w:rPr>
          <w:rFonts w:hint="eastAsia" w:asciiTheme="minorEastAsia" w:hAnsiTheme="minorEastAsia" w:eastAsiaTheme="minorEastAsia" w:cstheme="minorEastAsia"/>
          <w:b/>
          <w:color w:val="auto"/>
          <w:sz w:val="24"/>
          <w:szCs w:val="24"/>
          <w:highlight w:val="none"/>
          <w:lang w:eastAsia="zh-CN"/>
        </w:rPr>
        <w:t>采购文件</w:t>
      </w:r>
    </w:p>
    <w:p w14:paraId="545BCB2F">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82" w:firstLineChars="200"/>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6</w:t>
      </w:r>
      <w:r>
        <w:rPr>
          <w:rFonts w:hint="eastAsia" w:asciiTheme="minorEastAsia" w:hAnsiTheme="minorEastAsia" w:eastAsiaTheme="minorEastAsia" w:cstheme="minorEastAsia"/>
          <w:b/>
          <w:bCs/>
          <w:color w:val="auto"/>
          <w:sz w:val="24"/>
          <w:szCs w:val="24"/>
          <w:highlight w:val="none"/>
        </w:rPr>
        <w:t>.</w:t>
      </w:r>
      <w:r>
        <w:rPr>
          <w:rFonts w:hint="eastAsia" w:asciiTheme="minorEastAsia" w:hAnsiTheme="minorEastAsia" w:eastAsiaTheme="minorEastAsia" w:cstheme="minorEastAsia"/>
          <w:b/>
          <w:bCs/>
          <w:color w:val="auto"/>
          <w:sz w:val="24"/>
          <w:szCs w:val="24"/>
          <w:highlight w:val="none"/>
          <w:lang w:eastAsia="zh-CN"/>
        </w:rPr>
        <w:t>采购文件</w:t>
      </w:r>
      <w:r>
        <w:rPr>
          <w:rFonts w:hint="eastAsia" w:asciiTheme="minorEastAsia" w:hAnsiTheme="minorEastAsia" w:eastAsiaTheme="minorEastAsia" w:cstheme="minorEastAsia"/>
          <w:b/>
          <w:bCs/>
          <w:color w:val="auto"/>
          <w:sz w:val="24"/>
          <w:szCs w:val="24"/>
          <w:highlight w:val="none"/>
        </w:rPr>
        <w:t>构成</w:t>
      </w:r>
    </w:p>
    <w:p w14:paraId="5FBF09C5">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rPr>
        <w:t>.1</w:t>
      </w:r>
      <w:r>
        <w:rPr>
          <w:rFonts w:hint="eastAsia" w:asciiTheme="minorEastAsia" w:hAnsiTheme="minorEastAsia" w:eastAsiaTheme="minorEastAsia" w:cstheme="minorEastAsia"/>
          <w:color w:val="auto"/>
          <w:sz w:val="24"/>
          <w:szCs w:val="24"/>
          <w:highlight w:val="none"/>
          <w:lang w:eastAsia="zh-CN"/>
        </w:rPr>
        <w:t>采购文件</w:t>
      </w:r>
      <w:r>
        <w:rPr>
          <w:rFonts w:hint="eastAsia" w:asciiTheme="minorEastAsia" w:hAnsiTheme="minorEastAsia" w:eastAsiaTheme="minorEastAsia" w:cstheme="minorEastAsia"/>
          <w:color w:val="auto"/>
          <w:sz w:val="24"/>
          <w:szCs w:val="24"/>
          <w:highlight w:val="none"/>
          <w:lang w:val="en-US" w:eastAsia="zh-CN"/>
        </w:rPr>
        <w:t>包括下列</w:t>
      </w:r>
      <w:r>
        <w:rPr>
          <w:rFonts w:hint="eastAsia" w:asciiTheme="minorEastAsia" w:hAnsiTheme="minorEastAsia" w:eastAsiaTheme="minorEastAsia" w:cstheme="minorEastAsia"/>
          <w:color w:val="auto"/>
          <w:sz w:val="24"/>
          <w:szCs w:val="24"/>
          <w:highlight w:val="none"/>
        </w:rPr>
        <w:t>内容：</w:t>
      </w:r>
    </w:p>
    <w:p w14:paraId="1BD130E9">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第一章  </w:t>
      </w:r>
      <w:r>
        <w:rPr>
          <w:rFonts w:hint="eastAsia" w:asciiTheme="minorEastAsia" w:hAnsiTheme="minorEastAsia" w:eastAsiaTheme="minorEastAsia" w:cstheme="minorEastAsia"/>
          <w:color w:val="auto"/>
          <w:sz w:val="24"/>
          <w:szCs w:val="24"/>
          <w:highlight w:val="none"/>
          <w:lang w:eastAsia="zh-CN"/>
        </w:rPr>
        <w:t>采购公告</w:t>
      </w:r>
    </w:p>
    <w:p w14:paraId="7EBD2789">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第二章  </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须知</w:t>
      </w:r>
    </w:p>
    <w:p w14:paraId="53316D3A">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第三章  </w:t>
      </w:r>
      <w:r>
        <w:rPr>
          <w:rFonts w:hint="eastAsia" w:asciiTheme="minorEastAsia" w:hAnsiTheme="minorEastAsia" w:eastAsiaTheme="minorEastAsia" w:cstheme="minorEastAsia"/>
          <w:color w:val="auto"/>
          <w:sz w:val="24"/>
          <w:szCs w:val="24"/>
          <w:highlight w:val="none"/>
          <w:lang w:eastAsia="zh-CN"/>
        </w:rPr>
        <w:t>评标办法（综合评分法）</w:t>
      </w:r>
    </w:p>
    <w:p w14:paraId="18CDFE51">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第四章 </w:t>
      </w:r>
      <w:r>
        <w:rPr>
          <w:rFonts w:hint="eastAsia" w:asciiTheme="minorEastAsia" w:hAnsiTheme="minorEastAsia" w:eastAsiaTheme="minorEastAsia" w:cstheme="minorEastAsia"/>
          <w:color w:val="auto"/>
          <w:sz w:val="24"/>
          <w:szCs w:val="24"/>
          <w:highlight w:val="none"/>
          <w:lang w:val="en-US" w:eastAsia="zh-CN"/>
        </w:rPr>
        <w:t xml:space="preserve"> 采购需求</w:t>
      </w:r>
    </w:p>
    <w:p w14:paraId="76661D92">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80" w:firstLineChars="200"/>
        <w:jc w:val="left"/>
        <w:textAlignment w:val="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第</w:t>
      </w:r>
      <w:r>
        <w:rPr>
          <w:rFonts w:hint="eastAsia" w:asciiTheme="minorEastAsia" w:hAnsiTheme="minorEastAsia" w:eastAsiaTheme="minorEastAsia" w:cstheme="minorEastAsia"/>
          <w:color w:val="auto"/>
          <w:sz w:val="24"/>
          <w:szCs w:val="24"/>
          <w:highlight w:val="none"/>
          <w:lang w:val="en-US" w:eastAsia="zh-CN"/>
        </w:rPr>
        <w:t>五</w:t>
      </w:r>
      <w:r>
        <w:rPr>
          <w:rFonts w:hint="eastAsia" w:asciiTheme="minorEastAsia" w:hAnsiTheme="minorEastAsia" w:eastAsiaTheme="minorEastAsia" w:cstheme="minorEastAsia"/>
          <w:color w:val="auto"/>
          <w:sz w:val="24"/>
          <w:szCs w:val="24"/>
          <w:highlight w:val="none"/>
        </w:rPr>
        <w:t xml:space="preserve">章  </w:t>
      </w:r>
      <w:r>
        <w:rPr>
          <w:rFonts w:hint="eastAsia" w:asciiTheme="minorEastAsia" w:hAnsiTheme="minorEastAsia" w:eastAsiaTheme="minorEastAsia" w:cstheme="minorEastAsia"/>
          <w:color w:val="auto"/>
          <w:sz w:val="24"/>
          <w:szCs w:val="24"/>
          <w:highlight w:val="none"/>
          <w:lang w:val="en-US" w:eastAsia="zh-CN"/>
        </w:rPr>
        <w:t>采购清单</w:t>
      </w:r>
    </w:p>
    <w:p w14:paraId="4429B3ED">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第六章  </w:t>
      </w:r>
      <w:r>
        <w:rPr>
          <w:rFonts w:hint="eastAsia" w:asciiTheme="minorEastAsia" w:hAnsiTheme="minorEastAsia" w:eastAsiaTheme="minorEastAsia" w:cstheme="minorEastAsia"/>
          <w:color w:val="auto"/>
          <w:sz w:val="24"/>
          <w:szCs w:val="24"/>
          <w:highlight w:val="none"/>
        </w:rPr>
        <w:t>合同主要条款及</w:t>
      </w:r>
      <w:r>
        <w:rPr>
          <w:rFonts w:hint="eastAsia" w:asciiTheme="minorEastAsia" w:hAnsiTheme="minorEastAsia" w:eastAsiaTheme="minorEastAsia" w:cstheme="minorEastAsia"/>
          <w:color w:val="auto"/>
          <w:sz w:val="24"/>
          <w:szCs w:val="24"/>
          <w:highlight w:val="none"/>
          <w:lang w:val="en-US" w:eastAsia="zh-CN"/>
        </w:rPr>
        <w:t>格式</w:t>
      </w:r>
    </w:p>
    <w:p w14:paraId="279887B8">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w:t>
      </w:r>
      <w:r>
        <w:rPr>
          <w:rFonts w:hint="eastAsia" w:asciiTheme="minorEastAsia" w:hAnsiTheme="minorEastAsia" w:eastAsiaTheme="minorEastAsia" w:cstheme="minorEastAsia"/>
          <w:color w:val="auto"/>
          <w:sz w:val="24"/>
          <w:szCs w:val="24"/>
          <w:highlight w:val="none"/>
          <w:lang w:val="en-US" w:eastAsia="zh-CN"/>
        </w:rPr>
        <w:t>七</w:t>
      </w:r>
      <w:r>
        <w:rPr>
          <w:rFonts w:hint="eastAsia" w:asciiTheme="minorEastAsia" w:hAnsiTheme="minorEastAsia" w:eastAsiaTheme="minorEastAsia" w:cstheme="minorEastAsia"/>
          <w:color w:val="auto"/>
          <w:sz w:val="24"/>
          <w:szCs w:val="24"/>
          <w:highlight w:val="none"/>
        </w:rPr>
        <w:t>章  投标文件格式</w:t>
      </w:r>
    </w:p>
    <w:p w14:paraId="7F9E8059">
      <w:pPr>
        <w:pStyle w:val="11"/>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20"/>
        <w:textAlignment w:val="auto"/>
        <w:rPr>
          <w:rFonts w:hint="eastAsia" w:asciiTheme="minorEastAsia" w:hAnsiTheme="minorEastAsia" w:eastAsiaTheme="minorEastAsia" w:cstheme="minorEastAsia"/>
          <w:b/>
          <w:bCs/>
          <w:color w:val="auto"/>
          <w:sz w:val="24"/>
          <w:szCs w:val="24"/>
          <w:highlight w:val="none"/>
          <w:lang w:val="en-US" w:eastAsia="zh-CN"/>
        </w:rPr>
      </w:pPr>
      <w:bookmarkStart w:id="32" w:name="_Toc35700997"/>
      <w:bookmarkStart w:id="33" w:name="_Toc26868"/>
      <w:bookmarkStart w:id="34" w:name="_Toc22304"/>
      <w:bookmarkStart w:id="35" w:name="_Toc12240"/>
      <w:bookmarkStart w:id="36" w:name="_Toc30125"/>
      <w:bookmarkStart w:id="37" w:name="_Toc3194"/>
      <w:bookmarkStart w:id="38" w:name="_Toc35701783"/>
      <w:bookmarkStart w:id="39" w:name="_Toc7867"/>
      <w:bookmarkStart w:id="40" w:name="_Toc35700926"/>
      <w:bookmarkStart w:id="41" w:name="_Toc49935309"/>
      <w:bookmarkStart w:id="42" w:name="_Toc17071"/>
      <w:bookmarkStart w:id="43" w:name="_Toc31972"/>
      <w:bookmarkStart w:id="44" w:name="_Toc14269"/>
      <w:bookmarkStart w:id="45" w:name="_Toc32361"/>
      <w:bookmarkStart w:id="46" w:name="_Toc22930"/>
      <w:bookmarkStart w:id="47" w:name="_Toc36116052"/>
      <w:bookmarkStart w:id="48" w:name="_Hlk530349586"/>
      <w:bookmarkStart w:id="49" w:name="_Hlk530346927"/>
      <w:r>
        <w:rPr>
          <w:rFonts w:hint="eastAsia" w:asciiTheme="minorEastAsia" w:hAnsiTheme="minorEastAsia" w:eastAsiaTheme="minorEastAsia" w:cstheme="minorEastAsia"/>
          <w:b/>
          <w:bCs/>
          <w:color w:val="auto"/>
          <w:sz w:val="24"/>
          <w:szCs w:val="24"/>
          <w:highlight w:val="none"/>
          <w:lang w:val="en-US" w:eastAsia="zh-CN"/>
        </w:rPr>
        <w:t>7.采购文件的询问、澄清、修改</w:t>
      </w:r>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p>
    <w:p w14:paraId="2AB9BD67">
      <w:pPr>
        <w:pStyle w:val="11"/>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2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7.1供应商应仔细阅读和检查采购文件的全部内容，如有疑问，供应商应当在提交投标文件截止时间10日前凭企业数字证书（CA）登录“政采云平台”（https://www.zcygov.cn/）通过在线方式向采购人或采购代理机构提出询问，采购人或者采购代理机构自收到异议之日起3日内对供应商依法提出的询问通过在线形式作出答复，但答复的内容不涉及商业秘密。</w:t>
      </w:r>
    </w:p>
    <w:p w14:paraId="5399B362">
      <w:pPr>
        <w:pStyle w:val="11"/>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2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7.2采购人或者采购代理机构可以对已发出的采购文件进行必要的澄清或者修改，该澄清或者修改的内容为采购文件的组成部分。澄清或者修改的内容可能影响投标文件编制的，采购人或者采购代理机构应当在提交投标文件截止时间至少15日前澄清或者修改采购文件；不足15日的，采购人或者采购代理机构应当顺延提交投标文件的截止时间。</w:t>
      </w:r>
    </w:p>
    <w:p w14:paraId="16DB5317">
      <w:pPr>
        <w:pStyle w:val="11"/>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2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7.3采购人对采购文件中的涉及评标办法、评审项目等重要评审内容做出变更，将同时发布更正文件进行说明，以便各供应商都能下载采购文件并用于编制电子投标文件。</w:t>
      </w:r>
    </w:p>
    <w:p w14:paraId="3157A2DE">
      <w:pPr>
        <w:pStyle w:val="11"/>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2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7.4采购文件澄清、采购文件修改文件内容均以网上电子文件为准，当采购文件、采购文件澄清、采购文件修改文件内容前后不一致时，以后发出的内容为准。</w:t>
      </w:r>
    </w:p>
    <w:p w14:paraId="361146C6">
      <w:pPr>
        <w:pStyle w:val="11"/>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2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7.5本项目采购澄清和更正全部通过网络送达，供应商须在提交投标文件截止时间前自行登录“政采云平台”（https://www.zcygov.cn/）查看有关该项目采购文件的答疑、更正内容。否则，由此引起的投标损失自负。</w:t>
      </w:r>
      <w:bookmarkEnd w:id="48"/>
      <w:bookmarkEnd w:id="49"/>
    </w:p>
    <w:p w14:paraId="12C93E75">
      <w:pPr>
        <w:keepNext w:val="0"/>
        <w:keepLines w:val="0"/>
        <w:pageBreakBefore w:val="0"/>
        <w:widowControl w:val="0"/>
        <w:numPr>
          <w:ilvl w:val="0"/>
          <w:numId w:val="0"/>
        </w:numPr>
        <w:shd w:val="clear" w:color="auto" w:fill="auto"/>
        <w:kinsoku w:val="0"/>
        <w:wordWrap w:val="0"/>
        <w:overflowPunct/>
        <w:topLinePunct w:val="0"/>
        <w:autoSpaceDE/>
        <w:autoSpaceDN/>
        <w:bidi w:val="0"/>
        <w:adjustRightInd/>
        <w:snapToGrid/>
        <w:spacing w:line="520" w:lineRule="exact"/>
        <w:jc w:val="center"/>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lang w:val="en-US" w:eastAsia="zh-CN"/>
        </w:rPr>
        <w:t>三、</w:t>
      </w:r>
      <w:r>
        <w:rPr>
          <w:rFonts w:hint="eastAsia" w:asciiTheme="minorEastAsia" w:hAnsiTheme="minorEastAsia" w:eastAsiaTheme="minorEastAsia" w:cstheme="minorEastAsia"/>
          <w:b/>
          <w:color w:val="auto"/>
          <w:sz w:val="24"/>
          <w:szCs w:val="24"/>
          <w:highlight w:val="none"/>
        </w:rPr>
        <w:t>投标文件</w:t>
      </w:r>
    </w:p>
    <w:p w14:paraId="3BB72CDF">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82" w:firstLineChars="200"/>
        <w:textAlignment w:val="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8.投标文件编写注意事项</w:t>
      </w:r>
    </w:p>
    <w:p w14:paraId="2D3194E7">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82" w:firstLineChars="200"/>
        <w:textAlignment w:val="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8.1供应商应仔细阅读采购文件，在完全了解本采购项目的实质性要求（技术要求和商务要求）后编写投标文件。投标文件必须响应采购文件的实质性要求（技术要求和商务要求）。</w:t>
      </w:r>
    </w:p>
    <w:p w14:paraId="7D25BF23">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82" w:firstLineChars="200"/>
        <w:textAlignment w:val="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8.2技术要求包括采购标的的名称、规格、产品技术要求、功能、性能、数量、质量要求、技术培训要求等。</w:t>
      </w:r>
    </w:p>
    <w:p w14:paraId="6C4C0121">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left="0" w:leftChars="0" w:right="0" w:rightChars="0" w:firstLine="482" w:firstLineChars="200"/>
        <w:jc w:val="both"/>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8.3商务要求包括报价、交货安装地点、质保期、交货安装要求、售后服务要求、验收标准、合同履行期限等。</w:t>
      </w:r>
    </w:p>
    <w:p w14:paraId="7C617AD5">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82" w:firstLineChars="200"/>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9.投标的语言及计量单位</w:t>
      </w:r>
    </w:p>
    <w:p w14:paraId="7CD82970">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9.1供应商的投标文件、供应商与采购人、采购代理机构就有关投标的所有来往函电统一使用中文（特别规定除外）。</w:t>
      </w:r>
    </w:p>
    <w:p w14:paraId="26F61F8C">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    9.2除采购文件中有特殊规定外，本项目一律使用中国法定计量单位，投标货币为人民币。</w:t>
      </w:r>
    </w:p>
    <w:p w14:paraId="3E35D537">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lang w:val="en-US" w:eastAsia="zh-CN"/>
        </w:rPr>
        <w:t xml:space="preserve">    </w:t>
      </w:r>
      <w:r>
        <w:rPr>
          <w:rFonts w:hint="eastAsia" w:asciiTheme="minorEastAsia" w:hAnsiTheme="minorEastAsia" w:eastAsiaTheme="minorEastAsia" w:cstheme="minorEastAsia"/>
          <w:b/>
          <w:bCs/>
          <w:color w:val="auto"/>
          <w:sz w:val="24"/>
          <w:szCs w:val="24"/>
          <w:highlight w:val="none"/>
        </w:rPr>
        <w:t>1</w:t>
      </w:r>
      <w:r>
        <w:rPr>
          <w:rFonts w:hint="eastAsia" w:asciiTheme="minorEastAsia" w:hAnsiTheme="minorEastAsia" w:eastAsiaTheme="minorEastAsia" w:cstheme="minorEastAsia"/>
          <w:b/>
          <w:bCs/>
          <w:color w:val="auto"/>
          <w:sz w:val="24"/>
          <w:szCs w:val="24"/>
          <w:highlight w:val="none"/>
          <w:lang w:val="en-US" w:eastAsia="zh-CN"/>
        </w:rPr>
        <w:t>0</w:t>
      </w:r>
      <w:r>
        <w:rPr>
          <w:rFonts w:hint="eastAsia" w:asciiTheme="minorEastAsia" w:hAnsiTheme="minorEastAsia" w:eastAsiaTheme="minorEastAsia" w:cstheme="minorEastAsia"/>
          <w:b/>
          <w:bCs/>
          <w:color w:val="auto"/>
          <w:sz w:val="24"/>
          <w:szCs w:val="24"/>
          <w:highlight w:val="none"/>
        </w:rPr>
        <w:t>.投标报价</w:t>
      </w:r>
    </w:p>
    <w:p w14:paraId="1AA580F7">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相关内容详见采购文件第四章采购需求。</w:t>
      </w:r>
    </w:p>
    <w:p w14:paraId="554040CF">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82" w:firstLineChars="200"/>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11.投标文件构成</w:t>
      </w:r>
    </w:p>
    <w:p w14:paraId="5D9369E6">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   </w:t>
      </w:r>
      <w:r>
        <w:rPr>
          <w:rFonts w:hint="eastAsia" w:asciiTheme="minorEastAsia" w:hAnsiTheme="minorEastAsia" w:eastAsiaTheme="minorEastAsia" w:cstheme="minorEastAsia"/>
          <w:b/>
          <w:bCs/>
          <w:color w:val="auto"/>
          <w:sz w:val="24"/>
          <w:szCs w:val="24"/>
          <w:highlight w:val="none"/>
          <w:lang w:val="en-US" w:eastAsia="zh-CN"/>
        </w:rPr>
        <w:t xml:space="preserve"> 11.1供应商编写的投标文件应按采购文件中“投标文件格式”要求填写。</w:t>
      </w:r>
    </w:p>
    <w:p w14:paraId="03D65398">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82" w:firstLineChars="200"/>
        <w:textAlignment w:val="auto"/>
        <w:rPr>
          <w:rFonts w:hint="eastAsia" w:asciiTheme="minorEastAsia" w:hAnsiTheme="minorEastAsia" w:eastAsiaTheme="minorEastAsia" w:cstheme="minorEastAsia"/>
          <w:b/>
          <w:bCs/>
          <w:color w:val="auto"/>
          <w:sz w:val="24"/>
          <w:szCs w:val="24"/>
          <w:highlight w:val="none"/>
          <w:lang w:val="en-US" w:eastAsia="zh-CN"/>
        </w:rPr>
      </w:pPr>
      <w:bookmarkStart w:id="50" w:name="_Hlk530347046"/>
      <w:r>
        <w:rPr>
          <w:rFonts w:hint="eastAsia" w:asciiTheme="minorEastAsia" w:hAnsiTheme="minorEastAsia" w:eastAsiaTheme="minorEastAsia" w:cstheme="minorEastAsia"/>
          <w:b/>
          <w:bCs/>
          <w:color w:val="auto"/>
          <w:sz w:val="24"/>
          <w:szCs w:val="24"/>
          <w:highlight w:val="none"/>
          <w:lang w:val="en-US" w:eastAsia="zh-CN"/>
        </w:rPr>
        <w:t>11.2各供应商应登录“政采云平台”（https://www.zcygov.cn/），下载安装安装“政采云电子交易客户端”，并按照本项目采购文件和政采云平台的要求编制、加密、提交投标文件。</w:t>
      </w:r>
    </w:p>
    <w:p w14:paraId="106ECB55">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82" w:firstLineChars="200"/>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12.电子投标文件的编制</w:t>
      </w:r>
    </w:p>
    <w:p w14:paraId="2780893D">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82" w:firstLineChars="200"/>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eastAsia="zh-CN"/>
        </w:rPr>
        <w:t>12.</w:t>
      </w:r>
      <w:r>
        <w:rPr>
          <w:rFonts w:hint="eastAsia" w:asciiTheme="minorEastAsia" w:hAnsiTheme="minorEastAsia" w:eastAsiaTheme="minorEastAsia" w:cstheme="minorEastAsia"/>
          <w:b/>
          <w:bCs/>
          <w:color w:val="auto"/>
          <w:sz w:val="24"/>
          <w:szCs w:val="24"/>
          <w:highlight w:val="none"/>
          <w:lang w:val="en-US" w:eastAsia="zh-CN"/>
        </w:rPr>
        <w:t>1</w:t>
      </w:r>
      <w:r>
        <w:rPr>
          <w:rFonts w:hint="eastAsia" w:asciiTheme="minorEastAsia" w:hAnsiTheme="minorEastAsia" w:eastAsiaTheme="minorEastAsia" w:cstheme="minorEastAsia"/>
          <w:b/>
          <w:bCs/>
          <w:color w:val="auto"/>
          <w:sz w:val="24"/>
          <w:szCs w:val="24"/>
          <w:highlight w:val="none"/>
        </w:rPr>
        <w:t>电子投标文件应使用</w:t>
      </w:r>
      <w:r>
        <w:rPr>
          <w:rFonts w:hint="eastAsia" w:asciiTheme="minorEastAsia" w:hAnsiTheme="minorEastAsia" w:eastAsiaTheme="minorEastAsia" w:cstheme="minorEastAsia"/>
          <w:b/>
          <w:bCs/>
          <w:color w:val="auto"/>
          <w:sz w:val="24"/>
          <w:szCs w:val="24"/>
          <w:highlight w:val="none"/>
          <w:lang w:val="en-US" w:eastAsia="zh-CN"/>
        </w:rPr>
        <w:t>“政采云电子交易客户端”</w:t>
      </w:r>
      <w:r>
        <w:rPr>
          <w:rFonts w:hint="eastAsia" w:asciiTheme="minorEastAsia" w:hAnsiTheme="minorEastAsia" w:eastAsiaTheme="minorEastAsia" w:cstheme="minorEastAsia"/>
          <w:b/>
          <w:bCs/>
          <w:color w:val="auto"/>
          <w:sz w:val="24"/>
          <w:szCs w:val="24"/>
          <w:highlight w:val="none"/>
          <w:lang w:eastAsia="zh-CN"/>
        </w:rPr>
        <w:t>编制，编制要求详见</w:t>
      </w:r>
      <w:r>
        <w:rPr>
          <w:rFonts w:hint="eastAsia" w:asciiTheme="minorEastAsia" w:hAnsiTheme="minorEastAsia" w:eastAsiaTheme="minorEastAsia" w:cstheme="minorEastAsia"/>
          <w:color w:val="auto"/>
          <w:sz w:val="24"/>
          <w:szCs w:val="24"/>
          <w:highlight w:val="none"/>
          <w:lang w:val="en-US" w:eastAsia="zh-CN"/>
        </w:rPr>
        <w:t>“政采云平台”</w:t>
      </w:r>
      <w:r>
        <w:rPr>
          <w:rFonts w:hint="eastAsia" w:asciiTheme="minorEastAsia" w:hAnsiTheme="minorEastAsia" w:eastAsiaTheme="minorEastAsia" w:cstheme="minorEastAsia"/>
          <w:b/>
          <w:bCs/>
          <w:color w:val="auto"/>
          <w:sz w:val="24"/>
          <w:szCs w:val="24"/>
          <w:highlight w:val="none"/>
          <w:lang w:eastAsia="zh-CN"/>
        </w:rPr>
        <w:t>《</w:t>
      </w:r>
      <w:r>
        <w:rPr>
          <w:rFonts w:hint="eastAsia" w:asciiTheme="minorEastAsia" w:hAnsiTheme="minorEastAsia" w:eastAsiaTheme="minorEastAsia" w:cstheme="minorEastAsia"/>
          <w:b w:val="0"/>
          <w:bCs w:val="0"/>
          <w:color w:val="auto"/>
          <w:sz w:val="24"/>
          <w:szCs w:val="24"/>
          <w:highlight w:val="none"/>
          <w:lang w:eastAsia="zh-CN"/>
        </w:rPr>
        <w:t>供应商操作手册</w:t>
      </w:r>
      <w:r>
        <w:rPr>
          <w:rFonts w:hint="eastAsia" w:asciiTheme="minorEastAsia" w:hAnsiTheme="minorEastAsia" w:eastAsiaTheme="minorEastAsia" w:cstheme="minorEastAsia"/>
          <w:b/>
          <w:bCs/>
          <w:color w:val="auto"/>
          <w:sz w:val="24"/>
          <w:szCs w:val="24"/>
          <w:highlight w:val="none"/>
          <w:lang w:eastAsia="zh-CN"/>
        </w:rPr>
        <w:t>》</w:t>
      </w:r>
      <w:r>
        <w:rPr>
          <w:rFonts w:hint="eastAsia" w:asciiTheme="minorEastAsia" w:hAnsiTheme="minorEastAsia" w:eastAsiaTheme="minorEastAsia" w:cstheme="minorEastAsia"/>
          <w:b/>
          <w:bCs/>
          <w:color w:val="auto"/>
          <w:sz w:val="24"/>
          <w:szCs w:val="24"/>
          <w:highlight w:val="none"/>
        </w:rPr>
        <w:t>。</w:t>
      </w:r>
    </w:p>
    <w:p w14:paraId="4DDA1CDD">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82" w:firstLineChars="200"/>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12.2在编制电子投标文件时，上传的单个资料不能大于100MB或300MB（具体以政采云平台系统要求为准）。</w:t>
      </w:r>
      <w:bookmarkEnd w:id="50"/>
      <w:bookmarkStart w:id="51" w:name="_Hlk530347140"/>
    </w:p>
    <w:bookmarkEnd w:id="51"/>
    <w:p w14:paraId="1F35232A">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82" w:firstLineChars="200"/>
        <w:textAlignment w:val="auto"/>
        <w:rPr>
          <w:rFonts w:hint="eastAsia" w:asciiTheme="minorEastAsia" w:hAnsiTheme="minorEastAsia" w:eastAsiaTheme="minorEastAsia" w:cstheme="minorEastAsia"/>
          <w:b/>
          <w:bCs/>
          <w:color w:val="auto"/>
          <w:sz w:val="24"/>
          <w:szCs w:val="24"/>
          <w:highlight w:val="none"/>
        </w:rPr>
      </w:pPr>
      <w:bookmarkStart w:id="52" w:name="_Hlk530347202"/>
      <w:bookmarkStart w:id="53" w:name="_Hlk530349759"/>
      <w:r>
        <w:rPr>
          <w:rFonts w:hint="eastAsia" w:asciiTheme="minorEastAsia" w:hAnsiTheme="minorEastAsia" w:eastAsiaTheme="minorEastAsia" w:cstheme="minorEastAsia"/>
          <w:b/>
          <w:bCs/>
          <w:color w:val="auto"/>
          <w:sz w:val="24"/>
          <w:szCs w:val="24"/>
          <w:highlight w:val="none"/>
          <w:lang w:eastAsia="zh-CN"/>
        </w:rPr>
        <w:t>12.</w:t>
      </w:r>
      <w:r>
        <w:rPr>
          <w:rFonts w:hint="eastAsia" w:asciiTheme="minorEastAsia" w:hAnsiTheme="minorEastAsia" w:eastAsiaTheme="minorEastAsia" w:cstheme="minorEastAsia"/>
          <w:b/>
          <w:bCs/>
          <w:color w:val="auto"/>
          <w:sz w:val="24"/>
          <w:szCs w:val="24"/>
          <w:highlight w:val="none"/>
          <w:lang w:val="en-US" w:eastAsia="zh-CN"/>
        </w:rPr>
        <w:t>3</w:t>
      </w:r>
      <w:r>
        <w:rPr>
          <w:rFonts w:hint="eastAsia" w:asciiTheme="minorEastAsia" w:hAnsiTheme="minorEastAsia" w:eastAsiaTheme="minorEastAsia" w:cstheme="minorEastAsia"/>
          <w:b/>
          <w:bCs/>
          <w:color w:val="auto"/>
          <w:sz w:val="24"/>
          <w:szCs w:val="24"/>
          <w:highlight w:val="none"/>
        </w:rPr>
        <w:t>投标文件中提供的资料（包括</w:t>
      </w:r>
      <w:r>
        <w:rPr>
          <w:rFonts w:hint="eastAsia" w:asciiTheme="minorEastAsia" w:hAnsiTheme="minorEastAsia" w:eastAsiaTheme="minorEastAsia" w:cstheme="minorEastAsia"/>
          <w:b/>
          <w:bCs/>
          <w:color w:val="auto"/>
          <w:sz w:val="24"/>
          <w:szCs w:val="24"/>
          <w:highlight w:val="none"/>
          <w:lang w:val="en-US" w:eastAsia="zh-CN"/>
        </w:rPr>
        <w:t>原件扫描件</w:t>
      </w:r>
      <w:r>
        <w:rPr>
          <w:rFonts w:hint="eastAsia" w:asciiTheme="minorEastAsia" w:hAnsiTheme="minorEastAsia" w:eastAsiaTheme="minorEastAsia" w:cstheme="minorEastAsia"/>
          <w:b/>
          <w:bCs/>
          <w:color w:val="auto"/>
          <w:sz w:val="24"/>
          <w:szCs w:val="24"/>
          <w:highlight w:val="none"/>
        </w:rPr>
        <w:t>），内容必须清晰可辨，若内容模糊</w:t>
      </w:r>
      <w:r>
        <w:rPr>
          <w:rFonts w:hint="eastAsia" w:asciiTheme="minorEastAsia" w:hAnsiTheme="minorEastAsia" w:eastAsiaTheme="minorEastAsia" w:cstheme="minorEastAsia"/>
          <w:b/>
          <w:bCs/>
          <w:color w:val="auto"/>
          <w:sz w:val="24"/>
          <w:szCs w:val="24"/>
          <w:highlight w:val="none"/>
          <w:lang w:val="en-US" w:eastAsia="zh-CN"/>
        </w:rPr>
        <w:t>不完整</w:t>
      </w:r>
      <w:r>
        <w:rPr>
          <w:rFonts w:hint="eastAsia" w:asciiTheme="minorEastAsia" w:hAnsiTheme="minorEastAsia" w:eastAsiaTheme="minorEastAsia" w:cstheme="minorEastAsia"/>
          <w:b/>
          <w:bCs/>
          <w:color w:val="auto"/>
          <w:sz w:val="24"/>
          <w:szCs w:val="24"/>
          <w:highlight w:val="none"/>
        </w:rPr>
        <w:t>，无法辨识</w:t>
      </w:r>
      <w:r>
        <w:rPr>
          <w:rFonts w:hint="eastAsia" w:asciiTheme="minorEastAsia" w:hAnsiTheme="minorEastAsia" w:eastAsiaTheme="minorEastAsia" w:cstheme="minorEastAsia"/>
          <w:b/>
          <w:bCs/>
          <w:color w:val="auto"/>
          <w:sz w:val="24"/>
          <w:szCs w:val="24"/>
          <w:highlight w:val="none"/>
          <w:lang w:eastAsia="zh-CN"/>
        </w:rPr>
        <w:t>的，</w:t>
      </w:r>
      <w:r>
        <w:rPr>
          <w:rFonts w:hint="eastAsia" w:asciiTheme="minorEastAsia" w:hAnsiTheme="minorEastAsia" w:eastAsiaTheme="minorEastAsia" w:cstheme="minorEastAsia"/>
          <w:b/>
          <w:bCs/>
          <w:color w:val="auto"/>
          <w:sz w:val="24"/>
          <w:szCs w:val="24"/>
          <w:highlight w:val="none"/>
          <w:lang w:val="en-US" w:eastAsia="zh-CN"/>
        </w:rPr>
        <w:t>评标委员会有权作出对供应商不利的处理决定。</w:t>
      </w:r>
    </w:p>
    <w:p w14:paraId="1BDDEC18">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82" w:firstLineChars="200"/>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eastAsia="zh-CN"/>
        </w:rPr>
        <w:t>12.</w:t>
      </w:r>
      <w:r>
        <w:rPr>
          <w:rFonts w:hint="eastAsia" w:asciiTheme="minorEastAsia" w:hAnsiTheme="minorEastAsia" w:eastAsiaTheme="minorEastAsia" w:cstheme="minorEastAsia"/>
          <w:b/>
          <w:bCs/>
          <w:color w:val="auto"/>
          <w:sz w:val="24"/>
          <w:szCs w:val="24"/>
          <w:highlight w:val="none"/>
          <w:lang w:val="en-US" w:eastAsia="zh-CN"/>
        </w:rPr>
        <w:t>4</w:t>
      </w:r>
      <w:r>
        <w:rPr>
          <w:rFonts w:hint="eastAsia" w:asciiTheme="minorEastAsia" w:hAnsiTheme="minorEastAsia" w:eastAsiaTheme="minorEastAsia" w:cstheme="minorEastAsia"/>
          <w:b/>
          <w:bCs/>
          <w:color w:val="auto"/>
          <w:sz w:val="24"/>
          <w:szCs w:val="24"/>
          <w:highlight w:val="none"/>
        </w:rPr>
        <w:t>投标文件应由法定代表人或其委托代理人在规定签字处签字，要求盖章处应盖单位章，签字及盖章要求详见</w:t>
      </w:r>
      <w:r>
        <w:rPr>
          <w:rFonts w:hint="eastAsia" w:asciiTheme="minorEastAsia" w:hAnsiTheme="minorEastAsia" w:eastAsiaTheme="minorEastAsia" w:cstheme="minorEastAsia"/>
          <w:b/>
          <w:bCs/>
          <w:color w:val="auto"/>
          <w:sz w:val="24"/>
          <w:szCs w:val="24"/>
          <w:highlight w:val="none"/>
          <w:lang w:eastAsia="zh-CN"/>
        </w:rPr>
        <w:t>供应商</w:t>
      </w:r>
      <w:r>
        <w:rPr>
          <w:rFonts w:hint="eastAsia" w:asciiTheme="minorEastAsia" w:hAnsiTheme="minorEastAsia" w:eastAsiaTheme="minorEastAsia" w:cstheme="minorEastAsia"/>
          <w:b/>
          <w:bCs/>
          <w:color w:val="auto"/>
          <w:sz w:val="24"/>
          <w:szCs w:val="24"/>
          <w:highlight w:val="none"/>
        </w:rPr>
        <w:t>须知前附表。</w:t>
      </w:r>
    </w:p>
    <w:bookmarkEnd w:id="52"/>
    <w:p w14:paraId="456657FC">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82" w:firstLineChars="200"/>
        <w:textAlignment w:val="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13.提交电子投标文件截止时间</w:t>
      </w:r>
    </w:p>
    <w:p w14:paraId="512DDBC1">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详见</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须知前附表”</w:t>
      </w:r>
      <w:r>
        <w:rPr>
          <w:rFonts w:hint="eastAsia" w:asciiTheme="minorEastAsia" w:hAnsiTheme="minorEastAsia" w:eastAsiaTheme="minorEastAsia" w:cstheme="minorEastAsia"/>
          <w:color w:val="auto"/>
          <w:sz w:val="24"/>
          <w:szCs w:val="24"/>
          <w:highlight w:val="none"/>
          <w:lang w:eastAsia="zh-CN"/>
        </w:rPr>
        <w:t>。</w:t>
      </w:r>
    </w:p>
    <w:p w14:paraId="78C3610B">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82" w:firstLineChars="200"/>
        <w:textAlignment w:val="auto"/>
        <w:rPr>
          <w:rFonts w:hint="eastAsia" w:asciiTheme="minorEastAsia" w:hAnsiTheme="minorEastAsia" w:eastAsiaTheme="minorEastAsia" w:cstheme="minorEastAsia"/>
          <w:b/>
          <w:bCs/>
          <w:color w:val="auto"/>
          <w:sz w:val="24"/>
          <w:szCs w:val="24"/>
          <w:highlight w:val="none"/>
          <w:lang w:eastAsia="zh-CN"/>
        </w:rPr>
      </w:pPr>
      <w:bookmarkStart w:id="54" w:name="_Hlk530347395"/>
      <w:r>
        <w:rPr>
          <w:rFonts w:hint="eastAsia" w:asciiTheme="minorEastAsia" w:hAnsiTheme="minorEastAsia" w:eastAsiaTheme="minorEastAsia" w:cstheme="minorEastAsia"/>
          <w:b/>
          <w:bCs/>
          <w:color w:val="auto"/>
          <w:sz w:val="24"/>
          <w:szCs w:val="24"/>
          <w:highlight w:val="none"/>
          <w:lang w:val="en-US" w:eastAsia="zh-CN"/>
        </w:rPr>
        <w:t>14.电子</w:t>
      </w:r>
      <w:r>
        <w:rPr>
          <w:rFonts w:hint="eastAsia" w:asciiTheme="minorEastAsia" w:hAnsiTheme="minorEastAsia" w:eastAsiaTheme="minorEastAsia" w:cstheme="minorEastAsia"/>
          <w:b/>
          <w:bCs/>
          <w:color w:val="auto"/>
          <w:sz w:val="24"/>
          <w:szCs w:val="24"/>
          <w:highlight w:val="none"/>
        </w:rPr>
        <w:t>投标文件的</w:t>
      </w:r>
      <w:r>
        <w:rPr>
          <w:rFonts w:hint="eastAsia" w:asciiTheme="minorEastAsia" w:hAnsiTheme="minorEastAsia" w:eastAsiaTheme="minorEastAsia" w:cstheme="minorEastAsia"/>
          <w:b/>
          <w:bCs/>
          <w:color w:val="auto"/>
          <w:sz w:val="24"/>
          <w:szCs w:val="24"/>
          <w:highlight w:val="none"/>
          <w:lang w:eastAsia="zh-CN"/>
        </w:rPr>
        <w:t>提交</w:t>
      </w:r>
    </w:p>
    <w:p w14:paraId="21000C3C">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82" w:firstLineChars="200"/>
        <w:textAlignment w:val="auto"/>
        <w:rPr>
          <w:rFonts w:hint="eastAsia" w:asciiTheme="minorEastAsia" w:hAnsiTheme="minorEastAsia" w:eastAsiaTheme="minorEastAsia" w:cstheme="minorEastAsia"/>
          <w:b/>
          <w:bCs/>
          <w:color w:val="auto"/>
          <w:sz w:val="24"/>
          <w:szCs w:val="24"/>
          <w:highlight w:val="none"/>
          <w:lang w:val="en-US" w:eastAsia="zh-CN"/>
        </w:rPr>
      </w:pPr>
      <w:bookmarkStart w:id="55" w:name="_Hlk530347341"/>
      <w:bookmarkStart w:id="56" w:name="_Toc152045558"/>
      <w:bookmarkStart w:id="57" w:name="_Toc247513982"/>
      <w:bookmarkStart w:id="58" w:name="_Toc144974526"/>
      <w:bookmarkStart w:id="59" w:name="_Toc152042334"/>
      <w:bookmarkStart w:id="60" w:name="_Toc247527583"/>
      <w:r>
        <w:rPr>
          <w:rFonts w:hint="eastAsia" w:asciiTheme="minorEastAsia" w:hAnsiTheme="minorEastAsia" w:eastAsiaTheme="minorEastAsia" w:cstheme="minorEastAsia"/>
          <w:b/>
          <w:bCs/>
          <w:color w:val="auto"/>
          <w:sz w:val="24"/>
          <w:szCs w:val="24"/>
          <w:highlight w:val="none"/>
          <w:lang w:val="en-US" w:eastAsia="zh-CN"/>
        </w:rPr>
        <w:t>14.1</w:t>
      </w:r>
      <w:r>
        <w:rPr>
          <w:rFonts w:hint="eastAsia" w:asciiTheme="minorEastAsia" w:hAnsiTheme="minorEastAsia" w:eastAsiaTheme="minorEastAsia" w:cstheme="minorEastAsia"/>
          <w:b/>
          <w:bCs/>
          <w:color w:val="auto"/>
          <w:sz w:val="24"/>
          <w:szCs w:val="24"/>
          <w:highlight w:val="none"/>
          <w:lang w:eastAsia="zh-CN"/>
        </w:rPr>
        <w:t>供应商</w:t>
      </w:r>
      <w:r>
        <w:rPr>
          <w:rFonts w:hint="eastAsia" w:asciiTheme="minorEastAsia" w:hAnsiTheme="minorEastAsia" w:eastAsiaTheme="minorEastAsia" w:cstheme="minorEastAsia"/>
          <w:b/>
          <w:bCs/>
          <w:color w:val="auto"/>
          <w:sz w:val="24"/>
          <w:szCs w:val="24"/>
          <w:highlight w:val="none"/>
          <w:lang w:val="en-US" w:eastAsia="zh-CN"/>
        </w:rPr>
        <w:t>须</w:t>
      </w:r>
      <w:r>
        <w:rPr>
          <w:rFonts w:hint="eastAsia" w:asciiTheme="minorEastAsia" w:hAnsiTheme="minorEastAsia" w:eastAsiaTheme="minorEastAsia" w:cstheme="minorEastAsia"/>
          <w:b/>
          <w:bCs/>
          <w:color w:val="auto"/>
          <w:sz w:val="24"/>
          <w:szCs w:val="24"/>
          <w:highlight w:val="none"/>
        </w:rPr>
        <w:t>对</w:t>
      </w:r>
      <w:r>
        <w:rPr>
          <w:rFonts w:hint="eastAsia" w:asciiTheme="minorEastAsia" w:hAnsiTheme="minorEastAsia" w:eastAsiaTheme="minorEastAsia" w:cstheme="minorEastAsia"/>
          <w:b/>
          <w:bCs/>
          <w:color w:val="auto"/>
          <w:sz w:val="24"/>
          <w:szCs w:val="24"/>
          <w:highlight w:val="none"/>
          <w:lang w:val="en-US" w:eastAsia="zh-CN"/>
        </w:rPr>
        <w:t>电子</w:t>
      </w:r>
      <w:r>
        <w:rPr>
          <w:rFonts w:hint="eastAsia" w:asciiTheme="minorEastAsia" w:hAnsiTheme="minorEastAsia" w:eastAsiaTheme="minorEastAsia" w:cstheme="minorEastAsia"/>
          <w:b/>
          <w:bCs/>
          <w:color w:val="auto"/>
          <w:sz w:val="24"/>
          <w:szCs w:val="24"/>
          <w:highlight w:val="none"/>
        </w:rPr>
        <w:t>投标文件进行加密</w:t>
      </w:r>
      <w:bookmarkEnd w:id="55"/>
      <w:r>
        <w:rPr>
          <w:rFonts w:hint="eastAsia" w:asciiTheme="minorEastAsia" w:hAnsiTheme="minorEastAsia" w:eastAsiaTheme="minorEastAsia" w:cstheme="minorEastAsia"/>
          <w:b/>
          <w:bCs/>
          <w:color w:val="auto"/>
          <w:sz w:val="24"/>
          <w:szCs w:val="24"/>
          <w:highlight w:val="none"/>
          <w:lang w:eastAsia="zh-CN"/>
        </w:rPr>
        <w:t>。</w:t>
      </w:r>
      <w:r>
        <w:rPr>
          <w:rFonts w:hint="eastAsia" w:asciiTheme="minorEastAsia" w:hAnsiTheme="minorEastAsia" w:eastAsiaTheme="minorEastAsia" w:cstheme="minorEastAsia"/>
          <w:b/>
          <w:bCs/>
          <w:color w:val="auto"/>
          <w:sz w:val="24"/>
          <w:szCs w:val="24"/>
          <w:highlight w:val="none"/>
        </w:rPr>
        <w:t>未按要求加密的，采购人不予受理</w:t>
      </w:r>
      <w:r>
        <w:rPr>
          <w:rFonts w:hint="eastAsia" w:asciiTheme="minorEastAsia" w:hAnsiTheme="minorEastAsia" w:eastAsiaTheme="minorEastAsia" w:cstheme="minorEastAsia"/>
          <w:b/>
          <w:bCs/>
          <w:color w:val="auto"/>
          <w:sz w:val="24"/>
          <w:szCs w:val="24"/>
          <w:highlight w:val="none"/>
          <w:lang w:eastAsia="zh-CN"/>
        </w:rPr>
        <w:t>。</w:t>
      </w:r>
    </w:p>
    <w:p w14:paraId="0BB103B9">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82" w:firstLineChars="200"/>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14.2</w:t>
      </w:r>
      <w:r>
        <w:rPr>
          <w:rFonts w:hint="eastAsia" w:asciiTheme="minorEastAsia" w:hAnsiTheme="minorEastAsia" w:eastAsiaTheme="minorEastAsia" w:cstheme="minorEastAsia"/>
          <w:b/>
          <w:bCs/>
          <w:color w:val="auto"/>
          <w:sz w:val="24"/>
          <w:szCs w:val="24"/>
          <w:highlight w:val="none"/>
          <w:lang w:eastAsia="zh-CN"/>
        </w:rPr>
        <w:t>供应商</w:t>
      </w:r>
      <w:r>
        <w:rPr>
          <w:rFonts w:hint="eastAsia" w:asciiTheme="minorEastAsia" w:hAnsiTheme="minorEastAsia" w:eastAsiaTheme="minorEastAsia" w:cstheme="minorEastAsia"/>
          <w:b/>
          <w:bCs/>
          <w:color w:val="auto"/>
          <w:sz w:val="24"/>
          <w:szCs w:val="24"/>
          <w:highlight w:val="none"/>
        </w:rPr>
        <w:t>须在</w:t>
      </w:r>
      <w:r>
        <w:rPr>
          <w:rFonts w:hint="eastAsia" w:asciiTheme="minorEastAsia" w:hAnsiTheme="minorEastAsia" w:eastAsiaTheme="minorEastAsia" w:cstheme="minorEastAsia"/>
          <w:b/>
          <w:bCs/>
          <w:color w:val="auto"/>
          <w:sz w:val="24"/>
          <w:szCs w:val="24"/>
          <w:highlight w:val="none"/>
          <w:lang w:val="en-US" w:eastAsia="zh-CN"/>
        </w:rPr>
        <w:t>提交投标文件截止时间</w:t>
      </w:r>
      <w:r>
        <w:rPr>
          <w:rFonts w:hint="eastAsia" w:asciiTheme="minorEastAsia" w:hAnsiTheme="minorEastAsia" w:eastAsiaTheme="minorEastAsia" w:cstheme="minorEastAsia"/>
          <w:b/>
          <w:bCs/>
          <w:color w:val="auto"/>
          <w:sz w:val="24"/>
          <w:szCs w:val="24"/>
          <w:highlight w:val="none"/>
        </w:rPr>
        <w:t>前</w:t>
      </w:r>
      <w:r>
        <w:rPr>
          <w:rFonts w:hint="eastAsia" w:asciiTheme="minorEastAsia" w:hAnsiTheme="minorEastAsia" w:eastAsiaTheme="minorEastAsia" w:cstheme="minorEastAsia"/>
          <w:b/>
          <w:bCs/>
          <w:color w:val="auto"/>
          <w:sz w:val="24"/>
          <w:szCs w:val="24"/>
          <w:highlight w:val="none"/>
          <w:lang w:val="en-US" w:eastAsia="zh-CN"/>
        </w:rPr>
        <w:t>登录政采云平台</w:t>
      </w:r>
      <w:r>
        <w:rPr>
          <w:rFonts w:hint="eastAsia" w:asciiTheme="minorEastAsia" w:hAnsiTheme="minorEastAsia" w:eastAsiaTheme="minorEastAsia" w:cstheme="minorEastAsia"/>
          <w:b/>
          <w:bCs/>
          <w:color w:val="auto"/>
          <w:sz w:val="24"/>
          <w:szCs w:val="24"/>
          <w:highlight w:val="none"/>
        </w:rPr>
        <w:t>完成所有投标文件的上传</w:t>
      </w:r>
      <w:r>
        <w:rPr>
          <w:rFonts w:hint="eastAsia" w:asciiTheme="minorEastAsia" w:hAnsiTheme="minorEastAsia" w:eastAsiaTheme="minorEastAsia" w:cstheme="minorEastAsia"/>
          <w:b/>
          <w:bCs/>
          <w:color w:val="auto"/>
          <w:sz w:val="24"/>
          <w:szCs w:val="24"/>
          <w:highlight w:val="none"/>
          <w:lang w:eastAsia="zh-CN"/>
        </w:rPr>
        <w:t>。</w:t>
      </w:r>
      <w:r>
        <w:rPr>
          <w:rFonts w:hint="eastAsia" w:asciiTheme="minorEastAsia" w:hAnsiTheme="minorEastAsia" w:eastAsiaTheme="minorEastAsia" w:cstheme="minorEastAsia"/>
          <w:b/>
          <w:bCs/>
          <w:color w:val="auto"/>
          <w:sz w:val="24"/>
          <w:szCs w:val="24"/>
          <w:highlight w:val="none"/>
          <w:lang w:val="en-US" w:eastAsia="zh-CN"/>
        </w:rPr>
        <w:t>提交投标文件截止时间</w:t>
      </w:r>
      <w:r>
        <w:rPr>
          <w:rFonts w:hint="eastAsia" w:asciiTheme="minorEastAsia" w:hAnsiTheme="minorEastAsia" w:eastAsiaTheme="minorEastAsia" w:cstheme="minorEastAsia"/>
          <w:b/>
          <w:bCs/>
          <w:color w:val="auto"/>
          <w:sz w:val="24"/>
          <w:szCs w:val="24"/>
          <w:highlight w:val="none"/>
        </w:rPr>
        <w:t>前未完成投标文件传输的，</w:t>
      </w:r>
      <w:r>
        <w:rPr>
          <w:rFonts w:hint="eastAsia" w:asciiTheme="minorEastAsia" w:hAnsiTheme="minorEastAsia" w:eastAsiaTheme="minorEastAsia" w:cstheme="minorEastAsia"/>
          <w:b/>
          <w:bCs/>
          <w:color w:val="auto"/>
          <w:sz w:val="24"/>
          <w:szCs w:val="24"/>
          <w:highlight w:val="none"/>
          <w:lang w:eastAsia="zh-CN"/>
        </w:rPr>
        <w:t>视为未提交投标文件</w:t>
      </w:r>
      <w:r>
        <w:rPr>
          <w:rFonts w:hint="eastAsia" w:asciiTheme="minorEastAsia" w:hAnsiTheme="minorEastAsia" w:eastAsiaTheme="minorEastAsia" w:cstheme="minorEastAsia"/>
          <w:b/>
          <w:bCs/>
          <w:color w:val="auto"/>
          <w:sz w:val="24"/>
          <w:szCs w:val="24"/>
          <w:highlight w:val="none"/>
        </w:rPr>
        <w:t>。</w:t>
      </w:r>
    </w:p>
    <w:p w14:paraId="73D34701">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82" w:firstLineChars="200"/>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15.电子</w:t>
      </w:r>
      <w:r>
        <w:rPr>
          <w:rFonts w:hint="eastAsia" w:asciiTheme="minorEastAsia" w:hAnsiTheme="minorEastAsia" w:eastAsiaTheme="minorEastAsia" w:cstheme="minorEastAsia"/>
          <w:b/>
          <w:bCs/>
          <w:color w:val="auto"/>
          <w:sz w:val="24"/>
          <w:szCs w:val="24"/>
          <w:highlight w:val="none"/>
        </w:rPr>
        <w:t>投标文件的修改与撤回</w:t>
      </w:r>
      <w:bookmarkEnd w:id="56"/>
      <w:bookmarkEnd w:id="57"/>
      <w:bookmarkEnd w:id="58"/>
      <w:bookmarkEnd w:id="59"/>
      <w:bookmarkEnd w:id="60"/>
    </w:p>
    <w:p w14:paraId="75D5EC0D">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15</w:t>
      </w:r>
      <w:r>
        <w:rPr>
          <w:rFonts w:hint="eastAsia" w:asciiTheme="minorEastAsia" w:hAnsiTheme="minorEastAsia" w:eastAsiaTheme="minorEastAsia" w:cstheme="minorEastAsia"/>
          <w:color w:val="auto"/>
          <w:sz w:val="24"/>
          <w:szCs w:val="24"/>
          <w:highlight w:val="none"/>
        </w:rPr>
        <w:t>.1在</w:t>
      </w:r>
      <w:r>
        <w:rPr>
          <w:rFonts w:hint="eastAsia" w:asciiTheme="minorEastAsia" w:hAnsiTheme="minorEastAsia" w:eastAsiaTheme="minorEastAsia" w:cstheme="minorEastAsia"/>
          <w:color w:val="auto"/>
          <w:sz w:val="24"/>
          <w:szCs w:val="24"/>
          <w:highlight w:val="none"/>
          <w:lang w:eastAsia="zh-CN"/>
        </w:rPr>
        <w:t>提交投标文件截止时间</w:t>
      </w:r>
      <w:r>
        <w:rPr>
          <w:rFonts w:hint="eastAsia" w:asciiTheme="minorEastAsia" w:hAnsiTheme="minorEastAsia" w:eastAsiaTheme="minorEastAsia" w:cstheme="minorEastAsia"/>
          <w:color w:val="auto"/>
          <w:sz w:val="24"/>
          <w:szCs w:val="24"/>
          <w:highlight w:val="none"/>
        </w:rPr>
        <w:t>前，</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可以补充、修改或撤回已在网上</w:t>
      </w:r>
      <w:r>
        <w:rPr>
          <w:rFonts w:hint="eastAsia" w:asciiTheme="minorEastAsia" w:hAnsiTheme="minorEastAsia" w:eastAsiaTheme="minorEastAsia" w:cstheme="minorEastAsia"/>
          <w:color w:val="auto"/>
          <w:sz w:val="24"/>
          <w:szCs w:val="24"/>
          <w:highlight w:val="none"/>
          <w:lang w:eastAsia="zh-CN"/>
        </w:rPr>
        <w:t>提交</w:t>
      </w:r>
      <w:r>
        <w:rPr>
          <w:rFonts w:hint="eastAsia" w:asciiTheme="minorEastAsia" w:hAnsiTheme="minorEastAsia" w:eastAsiaTheme="minorEastAsia" w:cstheme="minorEastAsia"/>
          <w:color w:val="auto"/>
          <w:sz w:val="24"/>
          <w:szCs w:val="24"/>
          <w:highlight w:val="none"/>
        </w:rPr>
        <w:t>的投标文件。</w:t>
      </w:r>
    </w:p>
    <w:p w14:paraId="593E5FB4">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15</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补充、修改的内容应当按</w:t>
      </w:r>
      <w:r>
        <w:rPr>
          <w:rFonts w:hint="eastAsia" w:asciiTheme="minorEastAsia" w:hAnsiTheme="minorEastAsia" w:eastAsiaTheme="minorEastAsia" w:cstheme="minorEastAsia"/>
          <w:color w:val="auto"/>
          <w:sz w:val="24"/>
          <w:szCs w:val="24"/>
          <w:highlight w:val="none"/>
          <w:lang w:eastAsia="zh-CN"/>
        </w:rPr>
        <w:t>采购文件</w:t>
      </w:r>
      <w:r>
        <w:rPr>
          <w:rFonts w:hint="eastAsia" w:asciiTheme="minorEastAsia" w:hAnsiTheme="minorEastAsia" w:eastAsiaTheme="minorEastAsia" w:cstheme="minorEastAsia"/>
          <w:color w:val="auto"/>
          <w:sz w:val="24"/>
          <w:szCs w:val="24"/>
          <w:highlight w:val="none"/>
        </w:rPr>
        <w:t>要求</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本须知附件1</w:t>
      </w:r>
      <w:r>
        <w:rPr>
          <w:rFonts w:hint="eastAsia" w:asciiTheme="minorEastAsia" w:hAnsiTheme="minorEastAsia" w:eastAsiaTheme="minorEastAsia" w:cstheme="minorEastAsia"/>
          <w:color w:val="auto"/>
          <w:sz w:val="24"/>
          <w:szCs w:val="24"/>
          <w:highlight w:val="none"/>
        </w:rPr>
        <w:t>《政府采购项目电子化交易操作须知》进行编制和</w:t>
      </w:r>
      <w:r>
        <w:rPr>
          <w:rFonts w:hint="eastAsia" w:asciiTheme="minorEastAsia" w:hAnsiTheme="minorEastAsia" w:eastAsiaTheme="minorEastAsia" w:cstheme="minorEastAsia"/>
          <w:color w:val="auto"/>
          <w:sz w:val="24"/>
          <w:szCs w:val="24"/>
          <w:highlight w:val="none"/>
          <w:lang w:eastAsia="zh-CN"/>
        </w:rPr>
        <w:t>提交</w:t>
      </w:r>
      <w:r>
        <w:rPr>
          <w:rFonts w:hint="eastAsia" w:asciiTheme="minorEastAsia" w:hAnsiTheme="minorEastAsia" w:eastAsiaTheme="minorEastAsia" w:cstheme="minorEastAsia"/>
          <w:color w:val="auto"/>
          <w:sz w:val="24"/>
          <w:szCs w:val="24"/>
          <w:highlight w:val="none"/>
        </w:rPr>
        <w:t>。</w:t>
      </w:r>
      <w:bookmarkEnd w:id="54"/>
    </w:p>
    <w:p w14:paraId="49E7218D">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82" w:firstLineChars="200"/>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16</w:t>
      </w:r>
      <w:r>
        <w:rPr>
          <w:rFonts w:hint="eastAsia" w:asciiTheme="minorEastAsia" w:hAnsiTheme="minorEastAsia" w:eastAsiaTheme="minorEastAsia" w:cstheme="minorEastAsia"/>
          <w:b/>
          <w:bCs/>
          <w:color w:val="auto"/>
          <w:sz w:val="24"/>
          <w:szCs w:val="24"/>
          <w:highlight w:val="none"/>
        </w:rPr>
        <w:t>.投标保证金</w:t>
      </w:r>
    </w:p>
    <w:p w14:paraId="0AE819CE">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16</w:t>
      </w:r>
      <w:r>
        <w:rPr>
          <w:rFonts w:hint="eastAsia" w:asciiTheme="minorEastAsia" w:hAnsiTheme="minorEastAsia" w:eastAsiaTheme="minorEastAsia" w:cstheme="minorEastAsia"/>
          <w:color w:val="auto"/>
          <w:sz w:val="24"/>
          <w:szCs w:val="24"/>
          <w:highlight w:val="none"/>
        </w:rPr>
        <w:t>.1</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应在提交投标文件截止时间前按“</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须知前附表”</w:t>
      </w:r>
      <w:r>
        <w:rPr>
          <w:rFonts w:hint="eastAsia" w:asciiTheme="minorEastAsia" w:hAnsiTheme="minorEastAsia" w:eastAsiaTheme="minorEastAsia" w:cstheme="minorEastAsia"/>
          <w:color w:val="auto"/>
          <w:sz w:val="24"/>
          <w:szCs w:val="24"/>
          <w:highlight w:val="none"/>
          <w:lang w:val="en-US" w:eastAsia="zh-CN"/>
        </w:rPr>
        <w:t>的</w:t>
      </w:r>
      <w:r>
        <w:rPr>
          <w:rFonts w:hint="eastAsia" w:asciiTheme="minorEastAsia" w:hAnsiTheme="minorEastAsia" w:eastAsiaTheme="minorEastAsia" w:cstheme="minorEastAsia"/>
          <w:color w:val="auto"/>
          <w:sz w:val="24"/>
          <w:szCs w:val="24"/>
          <w:highlight w:val="none"/>
        </w:rPr>
        <w:t>规定提交投标保证金。</w:t>
      </w:r>
    </w:p>
    <w:p w14:paraId="518AEA8D">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16</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采购人或者采购代理机构应当自</w:t>
      </w:r>
      <w:r>
        <w:rPr>
          <w:rFonts w:hint="eastAsia" w:asciiTheme="minorEastAsia" w:hAnsiTheme="minorEastAsia" w:eastAsiaTheme="minorEastAsia" w:cstheme="minorEastAsia"/>
          <w:color w:val="auto"/>
          <w:sz w:val="24"/>
          <w:szCs w:val="24"/>
          <w:highlight w:val="none"/>
          <w:lang w:eastAsia="zh-CN"/>
        </w:rPr>
        <w:t>中标通知书</w:t>
      </w:r>
      <w:r>
        <w:rPr>
          <w:rFonts w:hint="eastAsia" w:asciiTheme="minorEastAsia" w:hAnsiTheme="minorEastAsia" w:eastAsiaTheme="minorEastAsia" w:cstheme="minorEastAsia"/>
          <w:color w:val="auto"/>
          <w:sz w:val="24"/>
          <w:szCs w:val="24"/>
          <w:highlight w:val="none"/>
        </w:rPr>
        <w:t>发出之日起5个工作日内退还未</w:t>
      </w:r>
      <w:r>
        <w:rPr>
          <w:rFonts w:hint="eastAsia" w:asciiTheme="minorEastAsia" w:hAnsiTheme="minorEastAsia" w:eastAsiaTheme="minorEastAsia" w:cstheme="minorEastAsia"/>
          <w:color w:val="auto"/>
          <w:sz w:val="24"/>
          <w:szCs w:val="24"/>
          <w:highlight w:val="none"/>
          <w:lang w:eastAsia="zh-CN"/>
        </w:rPr>
        <w:t>中标人</w:t>
      </w:r>
      <w:r>
        <w:rPr>
          <w:rFonts w:hint="eastAsia" w:asciiTheme="minorEastAsia" w:hAnsiTheme="minorEastAsia" w:eastAsiaTheme="minorEastAsia" w:cstheme="minorEastAsia"/>
          <w:color w:val="auto"/>
          <w:sz w:val="24"/>
          <w:szCs w:val="24"/>
          <w:highlight w:val="none"/>
        </w:rPr>
        <w:t>的投标保证金，自政府采购合同签订之日起5个工作日内退还</w:t>
      </w:r>
      <w:r>
        <w:rPr>
          <w:rFonts w:hint="eastAsia" w:asciiTheme="minorEastAsia" w:hAnsiTheme="minorEastAsia" w:eastAsiaTheme="minorEastAsia" w:cstheme="minorEastAsia"/>
          <w:color w:val="auto"/>
          <w:sz w:val="24"/>
          <w:szCs w:val="24"/>
          <w:highlight w:val="none"/>
          <w:lang w:eastAsia="zh-CN"/>
        </w:rPr>
        <w:t>中标人</w:t>
      </w:r>
      <w:r>
        <w:rPr>
          <w:rFonts w:hint="eastAsia" w:asciiTheme="minorEastAsia" w:hAnsiTheme="minorEastAsia" w:eastAsiaTheme="minorEastAsia" w:cstheme="minorEastAsia"/>
          <w:color w:val="auto"/>
          <w:sz w:val="24"/>
          <w:szCs w:val="24"/>
          <w:highlight w:val="none"/>
        </w:rPr>
        <w:t>的投标保证金。</w:t>
      </w:r>
    </w:p>
    <w:p w14:paraId="7E2EF927">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lang w:val="en-US" w:eastAsia="zh-CN"/>
        </w:rPr>
        <w:t>16</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rPr>
        <w:t>下列情况发生时，投标保证金将不予退还</w:t>
      </w:r>
    </w:p>
    <w:p w14:paraId="41F636CA">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在投标有效期内撤销投标文件的；</w:t>
      </w:r>
    </w:p>
    <w:p w14:paraId="396E20BE">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（2）中标人无正当理由不与</w:t>
      </w:r>
      <w:r>
        <w:rPr>
          <w:rFonts w:hint="eastAsia" w:asciiTheme="minorEastAsia" w:hAnsiTheme="minorEastAsia" w:eastAsiaTheme="minorEastAsia" w:cstheme="minorEastAsia"/>
          <w:color w:val="auto"/>
          <w:sz w:val="24"/>
          <w:szCs w:val="24"/>
          <w:highlight w:val="none"/>
          <w:lang w:eastAsia="zh-CN"/>
        </w:rPr>
        <w:t>采购人</w:t>
      </w:r>
      <w:r>
        <w:rPr>
          <w:rFonts w:hint="eastAsia" w:asciiTheme="minorEastAsia" w:hAnsiTheme="minorEastAsia" w:eastAsiaTheme="minorEastAsia" w:cstheme="minorEastAsia"/>
          <w:color w:val="auto"/>
          <w:sz w:val="24"/>
          <w:szCs w:val="24"/>
          <w:highlight w:val="none"/>
        </w:rPr>
        <w:t>订立合同</w:t>
      </w:r>
      <w:r>
        <w:rPr>
          <w:rFonts w:hint="eastAsia" w:asciiTheme="minorEastAsia" w:hAnsiTheme="minorEastAsia" w:eastAsiaTheme="minorEastAsia" w:cstheme="minorEastAsia"/>
          <w:color w:val="auto"/>
          <w:sz w:val="24"/>
          <w:szCs w:val="24"/>
          <w:highlight w:val="none"/>
          <w:lang w:eastAsia="zh-CN"/>
        </w:rPr>
        <w:t>。</w:t>
      </w:r>
      <w:bookmarkEnd w:id="53"/>
    </w:p>
    <w:p w14:paraId="500BEC1B">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82" w:firstLineChars="200"/>
        <w:textAlignment w:val="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17.纸质投标文件</w:t>
      </w:r>
    </w:p>
    <w:p w14:paraId="76F6EB5A">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lang w:val="en-US" w:eastAsia="zh-CN"/>
        </w:rPr>
        <w:t>中标人提供的</w:t>
      </w:r>
      <w:r>
        <w:rPr>
          <w:rFonts w:hint="eastAsia" w:asciiTheme="minorEastAsia" w:hAnsiTheme="minorEastAsia" w:eastAsiaTheme="minorEastAsia" w:cstheme="minorEastAsia"/>
          <w:b w:val="0"/>
          <w:bCs w:val="0"/>
          <w:color w:val="auto"/>
          <w:sz w:val="24"/>
          <w:szCs w:val="24"/>
          <w:highlight w:val="none"/>
        </w:rPr>
        <w:t>纸质投标文件份数见“</w:t>
      </w:r>
      <w:r>
        <w:rPr>
          <w:rFonts w:hint="eastAsia" w:asciiTheme="minorEastAsia" w:hAnsiTheme="minorEastAsia" w:eastAsiaTheme="minorEastAsia" w:cstheme="minorEastAsia"/>
          <w:b w:val="0"/>
          <w:bCs w:val="0"/>
          <w:color w:val="auto"/>
          <w:sz w:val="24"/>
          <w:szCs w:val="24"/>
          <w:highlight w:val="none"/>
          <w:lang w:eastAsia="zh-CN"/>
        </w:rPr>
        <w:t>供应商</w:t>
      </w:r>
      <w:r>
        <w:rPr>
          <w:rFonts w:hint="eastAsia" w:asciiTheme="minorEastAsia" w:hAnsiTheme="minorEastAsia" w:eastAsiaTheme="minorEastAsia" w:cstheme="minorEastAsia"/>
          <w:b w:val="0"/>
          <w:bCs w:val="0"/>
          <w:color w:val="auto"/>
          <w:sz w:val="24"/>
          <w:szCs w:val="24"/>
          <w:highlight w:val="none"/>
        </w:rPr>
        <w:t>须知前附表”要求。投标文件封面上应标明项目名称、</w:t>
      </w:r>
      <w:r>
        <w:rPr>
          <w:rFonts w:hint="eastAsia" w:asciiTheme="minorEastAsia" w:hAnsiTheme="minorEastAsia" w:eastAsiaTheme="minorEastAsia" w:cstheme="minorEastAsia"/>
          <w:b w:val="0"/>
          <w:bCs w:val="0"/>
          <w:color w:val="auto"/>
          <w:sz w:val="24"/>
          <w:szCs w:val="24"/>
          <w:highlight w:val="none"/>
          <w:lang w:eastAsia="zh-CN"/>
        </w:rPr>
        <w:t>供应商</w:t>
      </w:r>
      <w:r>
        <w:rPr>
          <w:rFonts w:hint="eastAsia" w:asciiTheme="minorEastAsia" w:hAnsiTheme="minorEastAsia" w:eastAsiaTheme="minorEastAsia" w:cstheme="minorEastAsia"/>
          <w:b w:val="0"/>
          <w:bCs w:val="0"/>
          <w:color w:val="auto"/>
          <w:sz w:val="24"/>
          <w:szCs w:val="24"/>
          <w:highlight w:val="none"/>
        </w:rPr>
        <w:t>名称等内容。投标文件内容须清晰可辨</w:t>
      </w:r>
      <w:r>
        <w:rPr>
          <w:rFonts w:hint="eastAsia" w:asciiTheme="minorEastAsia" w:hAnsiTheme="minorEastAsia" w:eastAsiaTheme="minorEastAsia" w:cstheme="minorEastAsia"/>
          <w:b w:val="0"/>
          <w:bCs w:val="0"/>
          <w:color w:val="auto"/>
          <w:sz w:val="24"/>
          <w:szCs w:val="24"/>
          <w:highlight w:val="none"/>
          <w:lang w:eastAsia="zh-CN"/>
        </w:rPr>
        <w:t>，</w:t>
      </w:r>
      <w:r>
        <w:rPr>
          <w:rFonts w:hint="eastAsia" w:asciiTheme="minorEastAsia" w:hAnsiTheme="minorEastAsia" w:eastAsiaTheme="minorEastAsia" w:cstheme="minorEastAsia"/>
          <w:b w:val="0"/>
          <w:bCs w:val="0"/>
          <w:color w:val="auto"/>
          <w:sz w:val="24"/>
          <w:szCs w:val="24"/>
          <w:highlight w:val="none"/>
        </w:rPr>
        <w:t>编制目录装订成册</w:t>
      </w:r>
      <w:r>
        <w:rPr>
          <w:rFonts w:hint="eastAsia" w:asciiTheme="minorEastAsia" w:hAnsiTheme="minorEastAsia" w:eastAsiaTheme="minorEastAsia" w:cstheme="minorEastAsia"/>
          <w:b w:val="0"/>
          <w:bCs w:val="0"/>
          <w:color w:val="auto"/>
          <w:sz w:val="24"/>
          <w:szCs w:val="24"/>
          <w:highlight w:val="none"/>
          <w:lang w:eastAsia="zh-CN"/>
        </w:rPr>
        <w:t>，</w:t>
      </w:r>
      <w:r>
        <w:rPr>
          <w:rFonts w:hint="eastAsia" w:asciiTheme="minorEastAsia" w:hAnsiTheme="minorEastAsia" w:eastAsiaTheme="minorEastAsia" w:cstheme="minorEastAsia"/>
          <w:b w:val="0"/>
          <w:bCs w:val="0"/>
          <w:color w:val="auto"/>
          <w:sz w:val="24"/>
          <w:szCs w:val="24"/>
          <w:highlight w:val="none"/>
        </w:rPr>
        <w:t>装订应牢固，不得采用活页夹。</w:t>
      </w:r>
    </w:p>
    <w:p w14:paraId="33357FAA">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82" w:firstLineChars="200"/>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1</w:t>
      </w:r>
      <w:r>
        <w:rPr>
          <w:rFonts w:hint="eastAsia" w:asciiTheme="minorEastAsia" w:hAnsiTheme="minorEastAsia" w:eastAsiaTheme="minorEastAsia" w:cstheme="minorEastAsia"/>
          <w:b/>
          <w:bCs/>
          <w:color w:val="auto"/>
          <w:sz w:val="24"/>
          <w:szCs w:val="24"/>
          <w:highlight w:val="none"/>
          <w:lang w:val="en-US" w:eastAsia="zh-CN"/>
        </w:rPr>
        <w:t>8</w:t>
      </w:r>
      <w:r>
        <w:rPr>
          <w:rFonts w:hint="eastAsia" w:asciiTheme="minorEastAsia" w:hAnsiTheme="minorEastAsia" w:eastAsiaTheme="minorEastAsia" w:cstheme="minorEastAsia"/>
          <w:b/>
          <w:bCs/>
          <w:color w:val="auto"/>
          <w:sz w:val="24"/>
          <w:szCs w:val="24"/>
          <w:highlight w:val="none"/>
        </w:rPr>
        <w:t>.投标文件有效期</w:t>
      </w:r>
    </w:p>
    <w:p w14:paraId="1FC75014">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1</w:t>
      </w:r>
      <w:r>
        <w:rPr>
          <w:rFonts w:hint="eastAsia" w:asciiTheme="minorEastAsia" w:hAnsiTheme="minorEastAsia" w:eastAsiaTheme="minorEastAsia" w:cstheme="minorEastAsia"/>
          <w:color w:val="auto"/>
          <w:sz w:val="24"/>
          <w:szCs w:val="24"/>
          <w:highlight w:val="none"/>
          <w:lang w:val="en-US" w:eastAsia="zh-CN"/>
        </w:rPr>
        <w:t>8</w:t>
      </w:r>
      <w:r>
        <w:rPr>
          <w:rFonts w:hint="eastAsia" w:asciiTheme="minorEastAsia" w:hAnsiTheme="minorEastAsia" w:eastAsiaTheme="minorEastAsia" w:cstheme="minorEastAsia"/>
          <w:color w:val="auto"/>
          <w:sz w:val="24"/>
          <w:szCs w:val="24"/>
          <w:highlight w:val="none"/>
        </w:rPr>
        <w:t>.1在“</w:t>
      </w:r>
      <w:r>
        <w:rPr>
          <w:rFonts w:hint="eastAsia" w:asciiTheme="minorEastAsia" w:hAnsiTheme="minorEastAsia" w:eastAsiaTheme="minorEastAsia" w:cstheme="minorEastAsia"/>
          <w:b w:val="0"/>
          <w:bCs/>
          <w:color w:val="auto"/>
          <w:sz w:val="24"/>
          <w:szCs w:val="24"/>
          <w:highlight w:val="none"/>
          <w:lang w:eastAsia="zh-CN"/>
        </w:rPr>
        <w:t>供应商</w:t>
      </w:r>
      <w:r>
        <w:rPr>
          <w:rFonts w:hint="eastAsia" w:asciiTheme="minorEastAsia" w:hAnsiTheme="minorEastAsia" w:eastAsiaTheme="minorEastAsia" w:cstheme="minorEastAsia"/>
          <w:b w:val="0"/>
          <w:bCs/>
          <w:color w:val="auto"/>
          <w:sz w:val="24"/>
          <w:szCs w:val="24"/>
          <w:highlight w:val="none"/>
        </w:rPr>
        <w:t>须知前附表”规</w:t>
      </w:r>
      <w:r>
        <w:rPr>
          <w:rFonts w:hint="eastAsia" w:asciiTheme="minorEastAsia" w:hAnsiTheme="minorEastAsia" w:eastAsiaTheme="minorEastAsia" w:cstheme="minorEastAsia"/>
          <w:color w:val="auto"/>
          <w:sz w:val="24"/>
          <w:szCs w:val="24"/>
          <w:highlight w:val="none"/>
        </w:rPr>
        <w:t>定的投标有效期内，</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不得要求撤销或修改其投标文件。</w:t>
      </w:r>
    </w:p>
    <w:p w14:paraId="79C28282">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1</w:t>
      </w:r>
      <w:r>
        <w:rPr>
          <w:rFonts w:hint="eastAsia" w:asciiTheme="minorEastAsia" w:hAnsiTheme="minorEastAsia" w:eastAsiaTheme="minorEastAsia" w:cstheme="minorEastAsia"/>
          <w:color w:val="auto"/>
          <w:sz w:val="24"/>
          <w:szCs w:val="24"/>
          <w:highlight w:val="none"/>
          <w:lang w:val="en-US" w:eastAsia="zh-CN"/>
        </w:rPr>
        <w:t>8</w:t>
      </w:r>
      <w:r>
        <w:rPr>
          <w:rFonts w:hint="eastAsia" w:asciiTheme="minorEastAsia" w:hAnsiTheme="minorEastAsia" w:eastAsiaTheme="minorEastAsia" w:cstheme="minorEastAsia"/>
          <w:color w:val="auto"/>
          <w:sz w:val="24"/>
          <w:szCs w:val="24"/>
          <w:highlight w:val="none"/>
        </w:rPr>
        <w:t>.2</w:t>
      </w:r>
      <w:bookmarkStart w:id="61" w:name="_Hlk530349676"/>
      <w:r>
        <w:rPr>
          <w:rFonts w:hint="eastAsia" w:asciiTheme="minorEastAsia" w:hAnsiTheme="minorEastAsia" w:eastAsiaTheme="minorEastAsia" w:cstheme="minorEastAsia"/>
          <w:color w:val="auto"/>
          <w:sz w:val="24"/>
          <w:szCs w:val="24"/>
          <w:highlight w:val="none"/>
        </w:rPr>
        <w:t>在特殊情况需要延长投标有效期的，采购人在</w:t>
      </w:r>
      <w:r>
        <w:rPr>
          <w:rFonts w:hint="eastAsia" w:asciiTheme="minorEastAsia" w:hAnsiTheme="minorEastAsia" w:eastAsiaTheme="minorEastAsia" w:cstheme="minorEastAsia"/>
          <w:color w:val="auto"/>
          <w:sz w:val="24"/>
          <w:szCs w:val="24"/>
          <w:highlight w:val="none"/>
          <w:lang w:val="en-US" w:eastAsia="zh-CN"/>
        </w:rPr>
        <w:t>“政采云平台”</w:t>
      </w:r>
      <w:r>
        <w:rPr>
          <w:rFonts w:hint="eastAsia" w:asciiTheme="minorEastAsia" w:hAnsiTheme="minorEastAsia" w:eastAsiaTheme="minorEastAsia" w:cstheme="minorEastAsia"/>
          <w:color w:val="auto"/>
          <w:sz w:val="24"/>
          <w:szCs w:val="24"/>
          <w:highlight w:val="none"/>
        </w:rPr>
        <w:t>上通知所有</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延长投标有效期。</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同意延长的，应相应延长其投标保证金的有效期，但不得要求或被允许修改或撤销其投标文件；</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拒绝延长的，其投标文件失效，但</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有权</w:t>
      </w:r>
      <w:r>
        <w:rPr>
          <w:rFonts w:hint="eastAsia" w:asciiTheme="minorEastAsia" w:hAnsiTheme="minorEastAsia" w:eastAsiaTheme="minorEastAsia" w:cstheme="minorEastAsia"/>
          <w:color w:val="auto"/>
          <w:sz w:val="24"/>
          <w:szCs w:val="24"/>
          <w:highlight w:val="none"/>
          <w:lang w:val="en-US" w:eastAsia="zh-CN"/>
        </w:rPr>
        <w:t>予以退还</w:t>
      </w:r>
      <w:r>
        <w:rPr>
          <w:rFonts w:hint="eastAsia" w:asciiTheme="minorEastAsia" w:hAnsiTheme="minorEastAsia" w:eastAsiaTheme="minorEastAsia" w:cstheme="minorEastAsia"/>
          <w:color w:val="auto"/>
          <w:sz w:val="24"/>
          <w:szCs w:val="24"/>
          <w:highlight w:val="none"/>
        </w:rPr>
        <w:t>其投标保证金。</w:t>
      </w:r>
      <w:bookmarkEnd w:id="61"/>
    </w:p>
    <w:p w14:paraId="37323641">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jc w:val="center"/>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bCs/>
          <w:color w:val="auto"/>
          <w:sz w:val="24"/>
          <w:szCs w:val="24"/>
          <w:highlight w:val="none"/>
        </w:rPr>
        <w:t>五、</w:t>
      </w:r>
      <w:r>
        <w:rPr>
          <w:rFonts w:hint="eastAsia" w:asciiTheme="minorEastAsia" w:hAnsiTheme="minorEastAsia" w:eastAsiaTheme="minorEastAsia" w:cstheme="minorEastAsia"/>
          <w:b/>
          <w:color w:val="auto"/>
          <w:sz w:val="24"/>
          <w:szCs w:val="24"/>
          <w:highlight w:val="none"/>
        </w:rPr>
        <w:t>开标与评标</w:t>
      </w:r>
    </w:p>
    <w:p w14:paraId="7ED7832C">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b/>
          <w:bCs/>
          <w:color w:val="auto"/>
          <w:sz w:val="24"/>
          <w:szCs w:val="24"/>
          <w:highlight w:val="none"/>
        </w:rPr>
        <w:t xml:space="preserve"> </w:t>
      </w:r>
      <w:r>
        <w:rPr>
          <w:rFonts w:hint="eastAsia" w:asciiTheme="minorEastAsia" w:hAnsiTheme="minorEastAsia" w:eastAsiaTheme="minorEastAsia" w:cstheme="minorEastAsia"/>
          <w:b/>
          <w:bCs/>
          <w:color w:val="auto"/>
          <w:sz w:val="24"/>
          <w:szCs w:val="24"/>
          <w:highlight w:val="none"/>
          <w:lang w:val="en-US" w:eastAsia="zh-CN"/>
        </w:rPr>
        <w:t>19</w:t>
      </w:r>
      <w:r>
        <w:rPr>
          <w:rFonts w:hint="eastAsia" w:asciiTheme="minorEastAsia" w:hAnsiTheme="minorEastAsia" w:eastAsiaTheme="minorEastAsia" w:cstheme="minorEastAsia"/>
          <w:b/>
          <w:bCs/>
          <w:color w:val="auto"/>
          <w:sz w:val="24"/>
          <w:szCs w:val="24"/>
          <w:highlight w:val="none"/>
        </w:rPr>
        <w:t>.开标</w:t>
      </w:r>
    </w:p>
    <w:p w14:paraId="5543C732">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lang w:val="en-US" w:eastAsia="zh-CN"/>
        </w:rPr>
        <w:t>19</w:t>
      </w:r>
      <w:r>
        <w:rPr>
          <w:rFonts w:hint="eastAsia" w:asciiTheme="minorEastAsia" w:hAnsiTheme="minorEastAsia" w:eastAsiaTheme="minorEastAsia" w:cstheme="minorEastAsia"/>
          <w:color w:val="auto"/>
          <w:sz w:val="24"/>
          <w:szCs w:val="24"/>
          <w:highlight w:val="none"/>
        </w:rPr>
        <w:t>.1采购代理机构将在“</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须知前附表”规定的时间和地点进行</w:t>
      </w:r>
      <w:r>
        <w:rPr>
          <w:rFonts w:hint="eastAsia" w:asciiTheme="minorEastAsia" w:hAnsiTheme="minorEastAsia" w:eastAsiaTheme="minorEastAsia" w:cstheme="minorEastAsia"/>
          <w:color w:val="auto"/>
          <w:sz w:val="24"/>
          <w:szCs w:val="24"/>
          <w:highlight w:val="none"/>
          <w:lang w:val="en-US" w:eastAsia="zh-CN"/>
        </w:rPr>
        <w:t>网上公开</w:t>
      </w:r>
      <w:r>
        <w:rPr>
          <w:rFonts w:hint="eastAsia" w:asciiTheme="minorEastAsia" w:hAnsiTheme="minorEastAsia" w:eastAsiaTheme="minorEastAsia" w:cstheme="minorEastAsia"/>
          <w:color w:val="auto"/>
          <w:sz w:val="24"/>
          <w:szCs w:val="24"/>
          <w:highlight w:val="none"/>
        </w:rPr>
        <w:t>开标，</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的法定代表人或委托代理人应</w:t>
      </w:r>
      <w:r>
        <w:rPr>
          <w:rFonts w:hint="eastAsia" w:asciiTheme="minorEastAsia" w:hAnsiTheme="minorEastAsia" w:eastAsiaTheme="minorEastAsia" w:cstheme="minorEastAsia"/>
          <w:color w:val="auto"/>
          <w:sz w:val="24"/>
          <w:szCs w:val="24"/>
          <w:highlight w:val="none"/>
          <w:lang w:val="en-US" w:eastAsia="zh-CN"/>
        </w:rPr>
        <w:t>按时按规定</w:t>
      </w:r>
      <w:r>
        <w:rPr>
          <w:rFonts w:hint="eastAsia" w:asciiTheme="minorEastAsia" w:hAnsiTheme="minorEastAsia" w:eastAsiaTheme="minorEastAsia" w:cstheme="minorEastAsia"/>
          <w:color w:val="auto"/>
          <w:sz w:val="24"/>
          <w:szCs w:val="24"/>
          <w:highlight w:val="none"/>
        </w:rPr>
        <w:t>参加</w:t>
      </w:r>
      <w:r>
        <w:rPr>
          <w:rFonts w:hint="eastAsia" w:asciiTheme="minorEastAsia" w:hAnsiTheme="minorEastAsia" w:eastAsiaTheme="minorEastAsia" w:cstheme="minorEastAsia"/>
          <w:color w:val="auto"/>
          <w:sz w:val="24"/>
          <w:szCs w:val="24"/>
          <w:highlight w:val="none"/>
          <w:lang w:val="en-US" w:eastAsia="zh-CN"/>
        </w:rPr>
        <w:t>网上</w:t>
      </w:r>
      <w:r>
        <w:rPr>
          <w:rFonts w:hint="eastAsia" w:asciiTheme="minorEastAsia" w:hAnsiTheme="minorEastAsia" w:eastAsiaTheme="minorEastAsia" w:cstheme="minorEastAsia"/>
          <w:color w:val="auto"/>
          <w:sz w:val="24"/>
          <w:szCs w:val="24"/>
          <w:highlight w:val="none"/>
        </w:rPr>
        <w:t>开标会，如</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未出席</w:t>
      </w:r>
      <w:r>
        <w:rPr>
          <w:rFonts w:hint="eastAsia" w:asciiTheme="minorEastAsia" w:hAnsiTheme="minorEastAsia" w:eastAsiaTheme="minorEastAsia" w:cstheme="minorEastAsia"/>
          <w:color w:val="auto"/>
          <w:sz w:val="24"/>
          <w:szCs w:val="24"/>
          <w:highlight w:val="none"/>
          <w:lang w:val="en-US" w:eastAsia="zh-CN"/>
        </w:rPr>
        <w:t>网上</w:t>
      </w:r>
      <w:r>
        <w:rPr>
          <w:rFonts w:hint="eastAsia" w:asciiTheme="minorEastAsia" w:hAnsiTheme="minorEastAsia" w:eastAsiaTheme="minorEastAsia" w:cstheme="minorEastAsia"/>
          <w:color w:val="auto"/>
          <w:sz w:val="24"/>
          <w:szCs w:val="24"/>
          <w:highlight w:val="none"/>
        </w:rPr>
        <w:t>开标会，由此产生的后果由</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自行负责。</w:t>
      </w:r>
    </w:p>
    <w:p w14:paraId="1E7ABDF9">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lang w:val="en-US" w:eastAsia="zh-CN"/>
        </w:rPr>
        <w:t>19</w:t>
      </w:r>
      <w:r>
        <w:rPr>
          <w:rFonts w:hint="eastAsia" w:asciiTheme="minorEastAsia" w:hAnsiTheme="minorEastAsia" w:eastAsiaTheme="minorEastAsia" w:cstheme="minorEastAsia"/>
          <w:color w:val="auto"/>
          <w:sz w:val="24"/>
          <w:szCs w:val="24"/>
          <w:highlight w:val="none"/>
        </w:rPr>
        <w:t>.2</w:t>
      </w:r>
      <w:r>
        <w:rPr>
          <w:rFonts w:hint="eastAsia" w:asciiTheme="minorEastAsia" w:hAnsiTheme="minorEastAsia" w:eastAsiaTheme="minorEastAsia" w:cstheme="minorEastAsia"/>
          <w:color w:val="auto"/>
          <w:sz w:val="24"/>
          <w:szCs w:val="24"/>
          <w:highlight w:val="none"/>
          <w:lang w:eastAsia="zh-CN"/>
        </w:rPr>
        <w:t>提交投标文件截止时间</w:t>
      </w:r>
      <w:r>
        <w:rPr>
          <w:rFonts w:hint="eastAsia" w:asciiTheme="minorEastAsia" w:hAnsiTheme="minorEastAsia" w:eastAsiaTheme="minorEastAsia" w:cstheme="minorEastAsia"/>
          <w:color w:val="auto"/>
          <w:sz w:val="24"/>
          <w:szCs w:val="24"/>
          <w:highlight w:val="none"/>
        </w:rPr>
        <w:t>参加投标的</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不足三家的，停止开标。</w:t>
      </w:r>
    </w:p>
    <w:p w14:paraId="1154D14E">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bookmarkStart w:id="62" w:name="_Hlk530349793"/>
      <w:r>
        <w:rPr>
          <w:rFonts w:hint="eastAsia" w:asciiTheme="minorEastAsia" w:hAnsiTheme="minorEastAsia" w:eastAsiaTheme="minorEastAsia" w:cstheme="minorEastAsia"/>
          <w:color w:val="auto"/>
          <w:sz w:val="24"/>
          <w:szCs w:val="24"/>
          <w:highlight w:val="none"/>
          <w:lang w:val="en-US" w:eastAsia="zh-CN"/>
        </w:rPr>
        <w:t>19</w:t>
      </w:r>
      <w:r>
        <w:rPr>
          <w:rFonts w:hint="eastAsia" w:asciiTheme="minorEastAsia" w:hAnsiTheme="minorEastAsia" w:eastAsiaTheme="minorEastAsia" w:cstheme="minorEastAsia"/>
          <w:color w:val="auto"/>
          <w:sz w:val="24"/>
          <w:szCs w:val="24"/>
          <w:highlight w:val="none"/>
        </w:rPr>
        <w:t>.3开标程序：</w:t>
      </w:r>
    </w:p>
    <w:p w14:paraId="370E624A">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主持人按下列程序进行开标：</w:t>
      </w:r>
    </w:p>
    <w:p w14:paraId="71F268C0">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（1）开标由本项目</w:t>
      </w:r>
      <w:r>
        <w:rPr>
          <w:rFonts w:hint="eastAsia" w:asciiTheme="minorEastAsia" w:hAnsiTheme="minorEastAsia" w:eastAsiaTheme="minorEastAsia" w:cstheme="minorEastAsia"/>
          <w:color w:val="auto"/>
          <w:sz w:val="24"/>
          <w:szCs w:val="24"/>
          <w:highlight w:val="none"/>
          <w:lang w:eastAsia="zh-CN"/>
        </w:rPr>
        <w:t>采购代理机构</w:t>
      </w:r>
      <w:r>
        <w:rPr>
          <w:rFonts w:hint="eastAsia" w:asciiTheme="minorEastAsia" w:hAnsiTheme="minorEastAsia" w:eastAsiaTheme="minorEastAsia" w:cstheme="minorEastAsia"/>
          <w:color w:val="auto"/>
          <w:sz w:val="24"/>
          <w:szCs w:val="24"/>
          <w:highlight w:val="none"/>
        </w:rPr>
        <w:t>主持；</w:t>
      </w:r>
    </w:p>
    <w:p w14:paraId="6BD685B7">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（2）本</w:t>
      </w:r>
      <w:r>
        <w:rPr>
          <w:rFonts w:hint="eastAsia" w:asciiTheme="minorEastAsia" w:hAnsiTheme="minorEastAsia" w:eastAsiaTheme="minorEastAsia" w:cstheme="minorEastAsia"/>
          <w:color w:val="auto"/>
          <w:sz w:val="24"/>
          <w:szCs w:val="24"/>
          <w:highlight w:val="none"/>
          <w:lang w:val="en-US" w:eastAsia="zh-CN"/>
        </w:rPr>
        <w:t>采购</w:t>
      </w:r>
      <w:r>
        <w:rPr>
          <w:rFonts w:hint="eastAsia" w:asciiTheme="minorEastAsia" w:hAnsiTheme="minorEastAsia" w:eastAsiaTheme="minorEastAsia" w:cstheme="minorEastAsia"/>
          <w:color w:val="auto"/>
          <w:sz w:val="24"/>
          <w:szCs w:val="24"/>
          <w:highlight w:val="none"/>
        </w:rPr>
        <w:t>项目的开标会议将于上述投标截止的同一时间在线远程网络公开进行（无需</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到开标现场），</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应在</w:t>
      </w:r>
      <w:r>
        <w:rPr>
          <w:rFonts w:hint="eastAsia" w:asciiTheme="minorEastAsia" w:hAnsiTheme="minorEastAsia" w:eastAsiaTheme="minorEastAsia" w:cstheme="minorEastAsia"/>
          <w:color w:val="auto"/>
          <w:sz w:val="24"/>
          <w:szCs w:val="24"/>
          <w:highlight w:val="none"/>
          <w:lang w:eastAsia="zh-CN"/>
        </w:rPr>
        <w:t>提交投标文件截止时间</w:t>
      </w:r>
      <w:r>
        <w:rPr>
          <w:rFonts w:hint="eastAsia" w:asciiTheme="minorEastAsia" w:hAnsiTheme="minorEastAsia" w:eastAsiaTheme="minorEastAsia" w:cstheme="minorEastAsia"/>
          <w:color w:val="auto"/>
          <w:sz w:val="24"/>
          <w:szCs w:val="24"/>
          <w:highlight w:val="none"/>
        </w:rPr>
        <w:t>前进入</w:t>
      </w:r>
      <w:r>
        <w:rPr>
          <w:rFonts w:hint="eastAsia" w:asciiTheme="minorEastAsia" w:hAnsiTheme="minorEastAsia" w:eastAsiaTheme="minorEastAsia" w:cstheme="minorEastAsia"/>
          <w:color w:val="auto"/>
          <w:sz w:val="24"/>
          <w:szCs w:val="24"/>
          <w:highlight w:val="none"/>
          <w:lang w:val="en-US" w:eastAsia="zh-CN"/>
        </w:rPr>
        <w:t>本</w:t>
      </w:r>
      <w:r>
        <w:rPr>
          <w:rFonts w:hint="eastAsia" w:asciiTheme="minorEastAsia" w:hAnsiTheme="minorEastAsia" w:eastAsiaTheme="minorEastAsia" w:cstheme="minorEastAsia"/>
          <w:color w:val="auto"/>
          <w:sz w:val="24"/>
          <w:szCs w:val="24"/>
          <w:highlight w:val="none"/>
        </w:rPr>
        <w:t>投标项目</w:t>
      </w:r>
      <w:r>
        <w:rPr>
          <w:rFonts w:hint="eastAsia" w:asciiTheme="minorEastAsia" w:hAnsiTheme="minorEastAsia" w:eastAsiaTheme="minorEastAsia" w:cstheme="minorEastAsia"/>
          <w:color w:val="auto"/>
          <w:sz w:val="24"/>
          <w:szCs w:val="24"/>
          <w:highlight w:val="none"/>
          <w:lang w:val="en-US" w:eastAsia="zh-CN"/>
        </w:rPr>
        <w:t>网上</w:t>
      </w:r>
      <w:r>
        <w:rPr>
          <w:rFonts w:hint="eastAsia" w:asciiTheme="minorEastAsia" w:hAnsiTheme="minorEastAsia" w:eastAsiaTheme="minorEastAsia" w:cstheme="minorEastAsia"/>
          <w:color w:val="auto"/>
          <w:sz w:val="24"/>
          <w:szCs w:val="24"/>
          <w:highlight w:val="none"/>
        </w:rPr>
        <w:t>开标会</w:t>
      </w:r>
      <w:r>
        <w:rPr>
          <w:rFonts w:hint="eastAsia" w:asciiTheme="minorEastAsia" w:hAnsiTheme="minorEastAsia" w:eastAsiaTheme="minorEastAsia" w:cstheme="minorEastAsia"/>
          <w:color w:val="auto"/>
          <w:sz w:val="24"/>
          <w:szCs w:val="24"/>
          <w:highlight w:val="none"/>
          <w:lang w:eastAsia="zh-CN"/>
        </w:rPr>
        <w:t>；</w:t>
      </w:r>
    </w:p>
    <w:p w14:paraId="240451FC">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rPr>
        <w:t>）采购人或</w:t>
      </w:r>
      <w:r>
        <w:rPr>
          <w:rFonts w:hint="eastAsia" w:asciiTheme="minorEastAsia" w:hAnsiTheme="minorEastAsia" w:eastAsiaTheme="minorEastAsia" w:cstheme="minorEastAsia"/>
          <w:color w:val="auto"/>
          <w:sz w:val="24"/>
          <w:szCs w:val="24"/>
          <w:highlight w:val="none"/>
          <w:lang w:eastAsia="zh-CN"/>
        </w:rPr>
        <w:t>采购代理机构</w:t>
      </w:r>
      <w:r>
        <w:rPr>
          <w:rFonts w:hint="eastAsia" w:asciiTheme="minorEastAsia" w:hAnsiTheme="minorEastAsia" w:eastAsiaTheme="minorEastAsia" w:cstheme="minorEastAsia"/>
          <w:color w:val="auto"/>
          <w:sz w:val="24"/>
          <w:szCs w:val="24"/>
          <w:highlight w:val="none"/>
        </w:rPr>
        <w:t>通过远程在线开标系统下达“网上解密”指令后，</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应在采购人规定的投标文件解密时间内</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以</w:t>
      </w:r>
      <w:r>
        <w:rPr>
          <w:rFonts w:hint="eastAsia" w:asciiTheme="minorEastAsia" w:hAnsiTheme="minorEastAsia" w:eastAsiaTheme="minorEastAsia" w:cstheme="minorEastAsia"/>
          <w:color w:val="auto"/>
          <w:sz w:val="24"/>
          <w:szCs w:val="24"/>
          <w:highlight w:val="none"/>
          <w:lang w:eastAsia="zh-CN"/>
        </w:rPr>
        <w:t>政采云平台</w:t>
      </w:r>
      <w:r>
        <w:rPr>
          <w:rFonts w:hint="eastAsia" w:asciiTheme="minorEastAsia" w:hAnsiTheme="minorEastAsia" w:eastAsiaTheme="minorEastAsia" w:cstheme="minorEastAsia"/>
          <w:color w:val="auto"/>
          <w:sz w:val="24"/>
          <w:szCs w:val="24"/>
          <w:highlight w:val="none"/>
          <w:lang w:val="en-US" w:eastAsia="zh-CN"/>
        </w:rPr>
        <w:t>——网上开标室显示时间为准</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，使用编制投标文件时加密的数字证书进行解密。如若未在规定的解密时间内完成解密操作或因</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自身原因致使其投标文件未成功解密的投标视为</w:t>
      </w:r>
      <w:r>
        <w:rPr>
          <w:rFonts w:hint="eastAsia" w:asciiTheme="minorEastAsia" w:hAnsiTheme="minorEastAsia" w:eastAsiaTheme="minorEastAsia" w:cstheme="minorEastAsia"/>
          <w:color w:val="auto"/>
          <w:sz w:val="24"/>
          <w:szCs w:val="24"/>
          <w:highlight w:val="none"/>
          <w:lang w:val="en-US" w:eastAsia="zh-CN"/>
        </w:rPr>
        <w:t>未提交</w:t>
      </w:r>
      <w:r>
        <w:rPr>
          <w:rFonts w:hint="eastAsia" w:asciiTheme="minorEastAsia" w:hAnsiTheme="minorEastAsia" w:eastAsiaTheme="minorEastAsia" w:cstheme="minorEastAsia"/>
          <w:color w:val="auto"/>
          <w:sz w:val="24"/>
          <w:szCs w:val="24"/>
          <w:highlight w:val="none"/>
        </w:rPr>
        <w:t xml:space="preserve">投标。 </w:t>
      </w:r>
    </w:p>
    <w:p w14:paraId="4BA9B513">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eastAsia="zh-CN"/>
        </w:rPr>
        <w:t>采购人</w:t>
      </w:r>
      <w:r>
        <w:rPr>
          <w:rFonts w:hint="eastAsia" w:asciiTheme="minorEastAsia" w:hAnsiTheme="minorEastAsia" w:eastAsiaTheme="minorEastAsia" w:cstheme="minorEastAsia"/>
          <w:color w:val="auto"/>
          <w:sz w:val="24"/>
          <w:szCs w:val="24"/>
          <w:highlight w:val="none"/>
        </w:rPr>
        <w:t>代表、记录人等有关人员在开标记录上签字确认；</w:t>
      </w:r>
    </w:p>
    <w:p w14:paraId="121F3192">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rPr>
        <w:t>）开标结束。</w:t>
      </w:r>
    </w:p>
    <w:p w14:paraId="06EE8466">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19</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rPr>
        <w:t>开标异议</w:t>
      </w:r>
    </w:p>
    <w:p w14:paraId="4C327049">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供应商若对本项目在线开标过程有任何异议，应在开标结束指令下达前提出</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eastAsia="zh-CN"/>
        </w:rPr>
        <w:t>否则，视为供应商对本项目开标过程无任何异议。</w:t>
      </w:r>
      <w:r>
        <w:rPr>
          <w:rFonts w:hint="eastAsia" w:asciiTheme="minorEastAsia" w:hAnsiTheme="minorEastAsia" w:eastAsiaTheme="minorEastAsia" w:cstheme="minorEastAsia"/>
          <w:color w:val="auto"/>
          <w:sz w:val="24"/>
          <w:szCs w:val="24"/>
          <w:highlight w:val="none"/>
          <w:lang w:val="en-US" w:eastAsia="zh-CN"/>
        </w:rPr>
        <w:t>采购人或采购代理机构将在线</w:t>
      </w:r>
      <w:r>
        <w:rPr>
          <w:rFonts w:hint="eastAsia" w:asciiTheme="minorEastAsia" w:hAnsiTheme="minorEastAsia" w:eastAsiaTheme="minorEastAsia" w:cstheme="minorEastAsia"/>
          <w:color w:val="auto"/>
          <w:sz w:val="24"/>
          <w:szCs w:val="24"/>
          <w:highlight w:val="none"/>
        </w:rPr>
        <w:t>进行查看并回复</w:t>
      </w:r>
      <w:r>
        <w:rPr>
          <w:rFonts w:hint="eastAsia" w:asciiTheme="minorEastAsia" w:hAnsiTheme="minorEastAsia" w:eastAsiaTheme="minorEastAsia" w:cstheme="minorEastAsia"/>
          <w:color w:val="auto"/>
          <w:sz w:val="24"/>
          <w:szCs w:val="24"/>
          <w:highlight w:val="none"/>
          <w:lang w:eastAsia="zh-CN"/>
        </w:rPr>
        <w:t>。</w:t>
      </w:r>
    </w:p>
    <w:bookmarkEnd w:id="62"/>
    <w:p w14:paraId="4E079B89">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    2</w:t>
      </w:r>
      <w:r>
        <w:rPr>
          <w:rFonts w:hint="eastAsia" w:asciiTheme="minorEastAsia" w:hAnsiTheme="minorEastAsia" w:eastAsiaTheme="minorEastAsia" w:cstheme="minorEastAsia"/>
          <w:b/>
          <w:color w:val="auto"/>
          <w:sz w:val="24"/>
          <w:szCs w:val="24"/>
          <w:highlight w:val="none"/>
          <w:lang w:val="en-US" w:eastAsia="zh-CN"/>
        </w:rPr>
        <w:t>0</w:t>
      </w:r>
      <w:r>
        <w:rPr>
          <w:rFonts w:hint="eastAsia" w:asciiTheme="minorEastAsia" w:hAnsiTheme="minorEastAsia" w:eastAsiaTheme="minorEastAsia" w:cstheme="minorEastAsia"/>
          <w:b/>
          <w:color w:val="auto"/>
          <w:sz w:val="24"/>
          <w:szCs w:val="24"/>
          <w:highlight w:val="none"/>
        </w:rPr>
        <w:t>.评标</w:t>
      </w:r>
    </w:p>
    <w:p w14:paraId="1A11AF63">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r>
        <w:rPr>
          <w:rFonts w:hint="eastAsia" w:asciiTheme="minorEastAsia" w:hAnsiTheme="minorEastAsia" w:eastAsiaTheme="minorEastAsia" w:cstheme="minorEastAsia"/>
          <w:color w:val="auto"/>
          <w:sz w:val="24"/>
          <w:szCs w:val="24"/>
          <w:highlight w:val="none"/>
          <w:lang w:val="en-US" w:eastAsia="zh-CN"/>
        </w:rPr>
        <w:t>0</w:t>
      </w:r>
      <w:r>
        <w:rPr>
          <w:rFonts w:hint="eastAsia" w:asciiTheme="minorEastAsia" w:hAnsiTheme="minorEastAsia" w:eastAsiaTheme="minorEastAsia" w:cstheme="minorEastAsia"/>
          <w:color w:val="auto"/>
          <w:sz w:val="24"/>
          <w:szCs w:val="24"/>
          <w:highlight w:val="none"/>
        </w:rPr>
        <w:t>.1评标由采购人依法组建的评标委员会负责。评标委员会由采购人代表和有关技术、经济等方面的专家组成，成员人数应当为</w:t>
      </w: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rPr>
        <w:t>人以上单数。其中，技术、经济等方面的专家不得少于成员总数的三分之二。评标委员会应当推选组长，采购人代表不得担任组长。</w:t>
      </w:r>
    </w:p>
    <w:p w14:paraId="30F29D57">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textAlignment w:val="auto"/>
        <w:rPr>
          <w:rFonts w:hint="eastAsia" w:asciiTheme="minorEastAsia" w:hAnsiTheme="minorEastAsia" w:eastAsiaTheme="minorEastAsia" w:cstheme="minorEastAsia"/>
          <w:color w:val="auto"/>
          <w:sz w:val="24"/>
          <w:szCs w:val="24"/>
          <w:highlight w:val="none"/>
        </w:rPr>
      </w:pPr>
      <w:bookmarkStart w:id="63" w:name="_Toc191374422"/>
      <w:r>
        <w:rPr>
          <w:rFonts w:hint="eastAsia" w:asciiTheme="minorEastAsia" w:hAnsiTheme="minorEastAsia" w:eastAsiaTheme="minorEastAsia" w:cstheme="minorEastAsia"/>
          <w:color w:val="auto"/>
          <w:sz w:val="24"/>
          <w:szCs w:val="24"/>
          <w:highlight w:val="none"/>
        </w:rPr>
        <w:t xml:space="preserve">    2</w:t>
      </w:r>
      <w:r>
        <w:rPr>
          <w:rFonts w:hint="eastAsia" w:asciiTheme="minorEastAsia" w:hAnsiTheme="minorEastAsia" w:eastAsiaTheme="minorEastAsia" w:cstheme="minorEastAsia"/>
          <w:color w:val="auto"/>
          <w:sz w:val="24"/>
          <w:szCs w:val="24"/>
          <w:highlight w:val="none"/>
          <w:lang w:val="en-US" w:eastAsia="zh-CN"/>
        </w:rPr>
        <w:t>0</w:t>
      </w:r>
      <w:r>
        <w:rPr>
          <w:rFonts w:hint="eastAsia" w:asciiTheme="minorEastAsia" w:hAnsiTheme="minorEastAsia" w:eastAsiaTheme="minorEastAsia" w:cstheme="minorEastAsia"/>
          <w:color w:val="auto"/>
          <w:sz w:val="24"/>
          <w:szCs w:val="24"/>
          <w:highlight w:val="none"/>
        </w:rPr>
        <w:t>.2评标原则</w:t>
      </w:r>
      <w:bookmarkEnd w:id="63"/>
      <w:r>
        <w:rPr>
          <w:rFonts w:hint="eastAsia" w:asciiTheme="minorEastAsia" w:hAnsiTheme="minorEastAsia" w:eastAsiaTheme="minorEastAsia" w:cstheme="minorEastAsia"/>
          <w:color w:val="auto"/>
          <w:sz w:val="24"/>
          <w:szCs w:val="24"/>
          <w:highlight w:val="none"/>
        </w:rPr>
        <w:t>及方法</w:t>
      </w:r>
    </w:p>
    <w:p w14:paraId="7E72E022">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评标活动遵循公平、公正、科学和择优的原则。</w:t>
      </w:r>
    </w:p>
    <w:p w14:paraId="283C8D6A">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    2</w:t>
      </w:r>
      <w:r>
        <w:rPr>
          <w:rFonts w:hint="eastAsia" w:asciiTheme="minorEastAsia" w:hAnsiTheme="minorEastAsia" w:eastAsiaTheme="minorEastAsia" w:cstheme="minorEastAsia"/>
          <w:color w:val="auto"/>
          <w:sz w:val="24"/>
          <w:szCs w:val="24"/>
          <w:highlight w:val="none"/>
          <w:lang w:val="en-US" w:eastAsia="zh-CN"/>
        </w:rPr>
        <w:t>0</w:t>
      </w:r>
      <w:r>
        <w:rPr>
          <w:rFonts w:hint="eastAsia" w:asciiTheme="minorEastAsia" w:hAnsiTheme="minorEastAsia" w:eastAsiaTheme="minorEastAsia" w:cstheme="minorEastAsia"/>
          <w:color w:val="auto"/>
          <w:sz w:val="24"/>
          <w:szCs w:val="24"/>
          <w:highlight w:val="none"/>
        </w:rPr>
        <w:t>.3</w:t>
      </w:r>
      <w:r>
        <w:rPr>
          <w:rFonts w:hint="eastAsia" w:asciiTheme="minorEastAsia" w:hAnsiTheme="minorEastAsia" w:eastAsiaTheme="minorEastAsia" w:cstheme="minorEastAsia"/>
          <w:color w:val="auto"/>
          <w:sz w:val="24"/>
          <w:szCs w:val="24"/>
          <w:highlight w:val="none"/>
          <w:lang w:eastAsia="zh-CN"/>
        </w:rPr>
        <w:t>评标办法</w:t>
      </w:r>
    </w:p>
    <w:p w14:paraId="5EC44B44">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本项目按“</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须知前附表”规定的</w:t>
      </w:r>
      <w:r>
        <w:rPr>
          <w:rFonts w:hint="eastAsia" w:asciiTheme="minorEastAsia" w:hAnsiTheme="minorEastAsia" w:eastAsiaTheme="minorEastAsia" w:cstheme="minorEastAsia"/>
          <w:color w:val="auto"/>
          <w:sz w:val="24"/>
          <w:szCs w:val="24"/>
          <w:highlight w:val="none"/>
          <w:lang w:eastAsia="zh-CN"/>
        </w:rPr>
        <w:t>评标办法</w:t>
      </w:r>
      <w:r>
        <w:rPr>
          <w:rFonts w:hint="eastAsia" w:asciiTheme="minorEastAsia" w:hAnsiTheme="minorEastAsia" w:eastAsiaTheme="minorEastAsia" w:cstheme="minorEastAsia"/>
          <w:color w:val="auto"/>
          <w:sz w:val="24"/>
          <w:szCs w:val="24"/>
          <w:highlight w:val="none"/>
        </w:rPr>
        <w:t>评标。在评标中，不得改变</w:t>
      </w:r>
      <w:r>
        <w:rPr>
          <w:rFonts w:hint="eastAsia" w:asciiTheme="minorEastAsia" w:hAnsiTheme="minorEastAsia" w:eastAsiaTheme="minorEastAsia" w:cstheme="minorEastAsia"/>
          <w:color w:val="auto"/>
          <w:sz w:val="24"/>
          <w:szCs w:val="24"/>
          <w:highlight w:val="none"/>
          <w:lang w:eastAsia="zh-CN"/>
        </w:rPr>
        <w:t>采购文件</w:t>
      </w:r>
      <w:r>
        <w:rPr>
          <w:rFonts w:hint="eastAsia" w:asciiTheme="minorEastAsia" w:hAnsiTheme="minorEastAsia" w:eastAsiaTheme="minorEastAsia" w:cstheme="minorEastAsia"/>
          <w:color w:val="auto"/>
          <w:sz w:val="24"/>
          <w:szCs w:val="24"/>
          <w:highlight w:val="none"/>
        </w:rPr>
        <w:t>中规定的评标标准、方法。“</w:t>
      </w:r>
      <w:r>
        <w:rPr>
          <w:rFonts w:hint="eastAsia" w:asciiTheme="minorEastAsia" w:hAnsiTheme="minorEastAsia" w:eastAsiaTheme="minorEastAsia" w:cstheme="minorEastAsia"/>
          <w:color w:val="auto"/>
          <w:sz w:val="24"/>
          <w:szCs w:val="24"/>
          <w:highlight w:val="none"/>
          <w:lang w:eastAsia="zh-CN"/>
        </w:rPr>
        <w:t>评标办法</w:t>
      </w:r>
      <w:r>
        <w:rPr>
          <w:rFonts w:hint="eastAsia" w:asciiTheme="minorEastAsia" w:hAnsiTheme="minorEastAsia" w:eastAsiaTheme="minorEastAsia" w:cstheme="minorEastAsia"/>
          <w:color w:val="auto"/>
          <w:sz w:val="24"/>
          <w:szCs w:val="24"/>
          <w:highlight w:val="none"/>
        </w:rPr>
        <w:t>”没有规定的评审因素和标准，不作为评标依据。</w:t>
      </w:r>
    </w:p>
    <w:p w14:paraId="3D50A25D">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2</w:t>
      </w:r>
      <w:r>
        <w:rPr>
          <w:rFonts w:hint="eastAsia" w:asciiTheme="minorEastAsia" w:hAnsiTheme="minorEastAsia" w:eastAsiaTheme="minorEastAsia" w:cstheme="minorEastAsia"/>
          <w:color w:val="auto"/>
          <w:sz w:val="24"/>
          <w:szCs w:val="24"/>
          <w:highlight w:val="none"/>
          <w:lang w:val="en-US" w:eastAsia="zh-CN"/>
        </w:rPr>
        <w:t>0</w:t>
      </w:r>
      <w:r>
        <w:rPr>
          <w:rFonts w:hint="eastAsia" w:asciiTheme="minorEastAsia" w:hAnsiTheme="minorEastAsia" w:eastAsiaTheme="minorEastAsia" w:cstheme="minorEastAsia"/>
          <w:color w:val="auto"/>
          <w:sz w:val="24"/>
          <w:szCs w:val="24"/>
          <w:highlight w:val="none"/>
        </w:rPr>
        <w:t>.4评标应当在严格保密的情况下进行。任何单位和个人不得非法干预、影响评标办法的确定，以及评标过程和结果。评标委员会成员和与评标活动有关的人员在政府采购活动中应严格遵守政府采购评审工作纪律，不得向外界泄露评审情况。</w:t>
      </w:r>
    </w:p>
    <w:p w14:paraId="21338942">
      <w:pPr>
        <w:pStyle w:val="9"/>
        <w:keepNext w:val="0"/>
        <w:keepLines w:val="0"/>
        <w:pageBreakBefore w:val="0"/>
        <w:widowControl w:val="0"/>
        <w:kinsoku w:val="0"/>
        <w:wordWrap w:val="0"/>
        <w:bidi w:val="0"/>
        <w:spacing w:line="360" w:lineRule="auto"/>
        <w:ind w:firstLine="482" w:firstLineChars="200"/>
        <w:textAlignment w:val="auto"/>
        <w:outlineLvl w:val="9"/>
        <w:rPr>
          <w:rFonts w:hint="eastAsia" w:asciiTheme="minorEastAsia" w:hAnsiTheme="minorEastAsia" w:eastAsiaTheme="minorEastAsia" w:cstheme="minorEastAsia"/>
          <w:b/>
          <w:color w:val="auto"/>
          <w:sz w:val="24"/>
          <w:szCs w:val="24"/>
          <w:highlight w:val="none"/>
          <w:lang w:eastAsia="zh-CN"/>
        </w:rPr>
      </w:pPr>
      <w:r>
        <w:rPr>
          <w:rFonts w:hint="eastAsia" w:asciiTheme="minorEastAsia" w:hAnsiTheme="minorEastAsia" w:eastAsiaTheme="minorEastAsia" w:cstheme="minorEastAsia"/>
          <w:b/>
          <w:color w:val="auto"/>
          <w:sz w:val="24"/>
          <w:szCs w:val="24"/>
          <w:highlight w:val="none"/>
          <w:lang w:val="en-US" w:eastAsia="zh-CN"/>
        </w:rPr>
        <w:t>21.</w:t>
      </w:r>
      <w:r>
        <w:rPr>
          <w:rFonts w:hint="eastAsia" w:asciiTheme="minorEastAsia" w:hAnsiTheme="minorEastAsia" w:eastAsiaTheme="minorEastAsia" w:cstheme="minorEastAsia"/>
          <w:b/>
          <w:color w:val="auto"/>
          <w:sz w:val="24"/>
          <w:szCs w:val="24"/>
          <w:highlight w:val="none"/>
          <w:lang w:eastAsia="zh-CN"/>
        </w:rPr>
        <w:t>确定中标人</w:t>
      </w:r>
    </w:p>
    <w:p w14:paraId="3797BC15">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8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21</w:t>
      </w:r>
      <w:r>
        <w:rPr>
          <w:rFonts w:hint="eastAsia" w:asciiTheme="minorEastAsia" w:hAnsiTheme="minorEastAsia" w:eastAsiaTheme="minorEastAsia" w:cstheme="minorEastAsia"/>
          <w:color w:val="auto"/>
          <w:sz w:val="24"/>
          <w:szCs w:val="24"/>
          <w:highlight w:val="none"/>
          <w:lang w:eastAsia="zh-CN"/>
        </w:rPr>
        <w:t>.1 采购人将在评审报告提出的中标候选人中，根据质量和服务均能满足采购文件实质性响应要求且报价最低的原则确定中标人。</w:t>
      </w:r>
    </w:p>
    <w:p w14:paraId="004E4322">
      <w:pPr>
        <w:pStyle w:val="9"/>
        <w:keepNext w:val="0"/>
        <w:keepLines w:val="0"/>
        <w:pageBreakBefore w:val="0"/>
        <w:widowControl w:val="0"/>
        <w:kinsoku w:val="0"/>
        <w:wordWrap w:val="0"/>
        <w:bidi w:val="0"/>
        <w:spacing w:line="360" w:lineRule="auto"/>
        <w:ind w:firstLine="482" w:firstLineChars="200"/>
        <w:textAlignment w:val="auto"/>
        <w:outlineLvl w:val="9"/>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lang w:val="en-US" w:eastAsia="zh-CN"/>
        </w:rPr>
        <w:t>22.中标公告与中标通知书</w:t>
      </w:r>
    </w:p>
    <w:p w14:paraId="32DB850D">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22</w:t>
      </w:r>
      <w:r>
        <w:rPr>
          <w:rFonts w:hint="eastAsia" w:asciiTheme="minorEastAsia" w:hAnsiTheme="minorEastAsia" w:eastAsiaTheme="minorEastAsia" w:cstheme="minorEastAsia"/>
          <w:color w:val="auto"/>
          <w:sz w:val="24"/>
          <w:szCs w:val="24"/>
          <w:highlight w:val="none"/>
        </w:rPr>
        <w:t>.1 采购人或采购代理机构将在</w:t>
      </w:r>
      <w:r>
        <w:rPr>
          <w:rFonts w:hint="eastAsia" w:asciiTheme="minorEastAsia" w:hAnsiTheme="minorEastAsia" w:eastAsiaTheme="minorEastAsia" w:cstheme="minorEastAsia"/>
          <w:color w:val="auto"/>
          <w:sz w:val="24"/>
          <w:szCs w:val="24"/>
          <w:highlight w:val="none"/>
          <w:lang w:eastAsia="zh-CN"/>
        </w:rPr>
        <w:t>中标人</w:t>
      </w:r>
      <w:r>
        <w:rPr>
          <w:rFonts w:hint="eastAsia" w:asciiTheme="minorEastAsia" w:hAnsiTheme="minorEastAsia" w:eastAsiaTheme="minorEastAsia" w:cstheme="minorEastAsia"/>
          <w:color w:val="auto"/>
          <w:sz w:val="24"/>
          <w:szCs w:val="24"/>
          <w:highlight w:val="none"/>
        </w:rPr>
        <w:t>确定后2个工作日内，在云南省省级政府采购电子交易平台及云南省政府采购网公告</w:t>
      </w:r>
      <w:r>
        <w:rPr>
          <w:rFonts w:hint="eastAsia" w:asciiTheme="minorEastAsia" w:hAnsiTheme="minorEastAsia" w:eastAsiaTheme="minorEastAsia" w:cstheme="minorEastAsia"/>
          <w:color w:val="auto"/>
          <w:sz w:val="24"/>
          <w:szCs w:val="24"/>
          <w:highlight w:val="none"/>
          <w:lang w:eastAsia="zh-CN"/>
        </w:rPr>
        <w:t>中标</w:t>
      </w:r>
      <w:r>
        <w:rPr>
          <w:rFonts w:hint="eastAsia" w:asciiTheme="minorEastAsia" w:hAnsiTheme="minorEastAsia" w:eastAsiaTheme="minorEastAsia" w:cstheme="minorEastAsia"/>
          <w:color w:val="auto"/>
          <w:sz w:val="24"/>
          <w:szCs w:val="24"/>
          <w:highlight w:val="none"/>
        </w:rPr>
        <w:t>结果，同时向</w:t>
      </w:r>
      <w:r>
        <w:rPr>
          <w:rFonts w:hint="eastAsia" w:asciiTheme="minorEastAsia" w:hAnsiTheme="minorEastAsia" w:eastAsiaTheme="minorEastAsia" w:cstheme="minorEastAsia"/>
          <w:color w:val="auto"/>
          <w:sz w:val="24"/>
          <w:szCs w:val="24"/>
          <w:highlight w:val="none"/>
          <w:lang w:eastAsia="zh-CN"/>
        </w:rPr>
        <w:t>中标人</w:t>
      </w:r>
      <w:r>
        <w:rPr>
          <w:rFonts w:hint="eastAsia" w:asciiTheme="minorEastAsia" w:hAnsiTheme="minorEastAsia" w:eastAsiaTheme="minorEastAsia" w:cstheme="minorEastAsia"/>
          <w:color w:val="auto"/>
          <w:sz w:val="24"/>
          <w:szCs w:val="24"/>
          <w:highlight w:val="none"/>
        </w:rPr>
        <w:t>发出</w:t>
      </w:r>
      <w:r>
        <w:rPr>
          <w:rFonts w:hint="eastAsia" w:asciiTheme="minorEastAsia" w:hAnsiTheme="minorEastAsia" w:eastAsiaTheme="minorEastAsia" w:cstheme="minorEastAsia"/>
          <w:color w:val="auto"/>
          <w:sz w:val="24"/>
          <w:szCs w:val="24"/>
          <w:highlight w:val="none"/>
          <w:lang w:eastAsia="zh-CN"/>
        </w:rPr>
        <w:t>中标</w:t>
      </w:r>
      <w:r>
        <w:rPr>
          <w:rFonts w:hint="eastAsia" w:asciiTheme="minorEastAsia" w:hAnsiTheme="minorEastAsia" w:eastAsiaTheme="minorEastAsia" w:cstheme="minorEastAsia"/>
          <w:color w:val="auto"/>
          <w:sz w:val="24"/>
          <w:szCs w:val="24"/>
          <w:highlight w:val="none"/>
        </w:rPr>
        <w:t>通知书，</w:t>
      </w:r>
      <w:r>
        <w:rPr>
          <w:rFonts w:hint="eastAsia" w:asciiTheme="minorEastAsia" w:hAnsiTheme="minorEastAsia" w:eastAsiaTheme="minorEastAsia" w:cstheme="minorEastAsia"/>
          <w:color w:val="auto"/>
          <w:sz w:val="24"/>
          <w:szCs w:val="24"/>
          <w:highlight w:val="none"/>
          <w:lang w:eastAsia="zh-CN"/>
        </w:rPr>
        <w:t>中标</w:t>
      </w:r>
      <w:r>
        <w:rPr>
          <w:rFonts w:hint="eastAsia" w:asciiTheme="minorEastAsia" w:hAnsiTheme="minorEastAsia" w:eastAsiaTheme="minorEastAsia" w:cstheme="minorEastAsia"/>
          <w:color w:val="auto"/>
          <w:sz w:val="24"/>
          <w:szCs w:val="24"/>
          <w:highlight w:val="none"/>
        </w:rPr>
        <w:t>公告期限为1个工作日。</w:t>
      </w:r>
    </w:p>
    <w:p w14:paraId="5419BF0A">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.2</w:t>
      </w:r>
      <w:r>
        <w:rPr>
          <w:rFonts w:hint="eastAsia" w:asciiTheme="minorEastAsia" w:hAnsiTheme="minorEastAsia" w:eastAsiaTheme="minorEastAsia" w:cstheme="minorEastAsia"/>
          <w:color w:val="auto"/>
          <w:sz w:val="24"/>
          <w:szCs w:val="24"/>
          <w:highlight w:val="none"/>
          <w:lang w:eastAsia="zh-CN"/>
        </w:rPr>
        <w:t>中标</w:t>
      </w:r>
      <w:r>
        <w:rPr>
          <w:rFonts w:hint="eastAsia" w:asciiTheme="minorEastAsia" w:hAnsiTheme="minorEastAsia" w:eastAsiaTheme="minorEastAsia" w:cstheme="minorEastAsia"/>
          <w:color w:val="auto"/>
          <w:sz w:val="24"/>
          <w:szCs w:val="24"/>
          <w:highlight w:val="none"/>
        </w:rPr>
        <w:t>通知书对采购人和</w:t>
      </w:r>
      <w:r>
        <w:rPr>
          <w:rFonts w:hint="eastAsia" w:asciiTheme="minorEastAsia" w:hAnsiTheme="minorEastAsia" w:eastAsiaTheme="minorEastAsia" w:cstheme="minorEastAsia"/>
          <w:color w:val="auto"/>
          <w:sz w:val="24"/>
          <w:szCs w:val="24"/>
          <w:highlight w:val="none"/>
          <w:lang w:eastAsia="zh-CN"/>
        </w:rPr>
        <w:t>中标人</w:t>
      </w:r>
      <w:r>
        <w:rPr>
          <w:rFonts w:hint="eastAsia" w:asciiTheme="minorEastAsia" w:hAnsiTheme="minorEastAsia" w:eastAsiaTheme="minorEastAsia" w:cstheme="minorEastAsia"/>
          <w:color w:val="auto"/>
          <w:sz w:val="24"/>
          <w:szCs w:val="24"/>
          <w:highlight w:val="none"/>
        </w:rPr>
        <w:t>均具有法律效力。</w:t>
      </w:r>
      <w:r>
        <w:rPr>
          <w:rFonts w:hint="eastAsia" w:asciiTheme="minorEastAsia" w:hAnsiTheme="minorEastAsia" w:eastAsiaTheme="minorEastAsia" w:cstheme="minorEastAsia"/>
          <w:color w:val="auto"/>
          <w:sz w:val="24"/>
          <w:szCs w:val="24"/>
          <w:highlight w:val="none"/>
          <w:lang w:eastAsia="zh-CN"/>
        </w:rPr>
        <w:t>中标</w:t>
      </w:r>
      <w:r>
        <w:rPr>
          <w:rFonts w:hint="eastAsia" w:asciiTheme="minorEastAsia" w:hAnsiTheme="minorEastAsia" w:eastAsiaTheme="minorEastAsia" w:cstheme="minorEastAsia"/>
          <w:color w:val="auto"/>
          <w:sz w:val="24"/>
          <w:szCs w:val="24"/>
          <w:highlight w:val="none"/>
        </w:rPr>
        <w:t>通知书发出后，采购人改变</w:t>
      </w:r>
      <w:r>
        <w:rPr>
          <w:rFonts w:hint="eastAsia" w:asciiTheme="minorEastAsia" w:hAnsiTheme="minorEastAsia" w:eastAsiaTheme="minorEastAsia" w:cstheme="minorEastAsia"/>
          <w:color w:val="auto"/>
          <w:sz w:val="24"/>
          <w:szCs w:val="24"/>
          <w:highlight w:val="none"/>
          <w:lang w:eastAsia="zh-CN"/>
        </w:rPr>
        <w:t>中标</w:t>
      </w:r>
      <w:r>
        <w:rPr>
          <w:rFonts w:hint="eastAsia" w:asciiTheme="minorEastAsia" w:hAnsiTheme="minorEastAsia" w:eastAsiaTheme="minorEastAsia" w:cstheme="minorEastAsia"/>
          <w:color w:val="auto"/>
          <w:sz w:val="24"/>
          <w:szCs w:val="24"/>
          <w:highlight w:val="none"/>
        </w:rPr>
        <w:t>结果的，或者</w:t>
      </w:r>
      <w:r>
        <w:rPr>
          <w:rFonts w:hint="eastAsia" w:asciiTheme="minorEastAsia" w:hAnsiTheme="minorEastAsia" w:eastAsiaTheme="minorEastAsia" w:cstheme="minorEastAsia"/>
          <w:color w:val="auto"/>
          <w:sz w:val="24"/>
          <w:szCs w:val="24"/>
          <w:highlight w:val="none"/>
          <w:lang w:eastAsia="zh-CN"/>
        </w:rPr>
        <w:t>中标人</w:t>
      </w:r>
      <w:r>
        <w:rPr>
          <w:rFonts w:hint="eastAsia" w:asciiTheme="minorEastAsia" w:hAnsiTheme="minorEastAsia" w:eastAsiaTheme="minorEastAsia" w:cstheme="minorEastAsia"/>
          <w:color w:val="auto"/>
          <w:sz w:val="24"/>
          <w:szCs w:val="24"/>
          <w:highlight w:val="none"/>
        </w:rPr>
        <w:t>放弃</w:t>
      </w:r>
      <w:r>
        <w:rPr>
          <w:rFonts w:hint="eastAsia" w:asciiTheme="minorEastAsia" w:hAnsiTheme="minorEastAsia" w:eastAsiaTheme="minorEastAsia" w:cstheme="minorEastAsia"/>
          <w:color w:val="auto"/>
          <w:sz w:val="24"/>
          <w:szCs w:val="24"/>
          <w:highlight w:val="none"/>
          <w:lang w:eastAsia="zh-CN"/>
        </w:rPr>
        <w:t>中标</w:t>
      </w:r>
      <w:r>
        <w:rPr>
          <w:rFonts w:hint="eastAsia" w:asciiTheme="minorEastAsia" w:hAnsiTheme="minorEastAsia" w:eastAsiaTheme="minorEastAsia" w:cstheme="minorEastAsia"/>
          <w:color w:val="auto"/>
          <w:sz w:val="24"/>
          <w:szCs w:val="24"/>
          <w:highlight w:val="none"/>
        </w:rPr>
        <w:t>项目的，应当依法承担法律责任。</w:t>
      </w:r>
    </w:p>
    <w:p w14:paraId="12C0BC7D">
      <w:pPr>
        <w:pStyle w:val="9"/>
        <w:keepNext w:val="0"/>
        <w:keepLines w:val="0"/>
        <w:pageBreakBefore w:val="0"/>
        <w:widowControl w:val="0"/>
        <w:kinsoku w:val="0"/>
        <w:wordWrap w:val="0"/>
        <w:bidi w:val="0"/>
        <w:spacing w:line="360" w:lineRule="auto"/>
        <w:ind w:firstLine="482" w:firstLineChars="200"/>
        <w:textAlignment w:val="auto"/>
        <w:outlineLvl w:val="9"/>
        <w:rPr>
          <w:rFonts w:ascii="宋体" w:hAnsi="宋体" w:eastAsia="宋体" w:cs="宋体"/>
          <w:b/>
          <w:bCs/>
          <w:sz w:val="24"/>
          <w:szCs w:val="24"/>
          <w:lang w:eastAsia="zh-CN"/>
        </w:rPr>
      </w:pPr>
      <w:r>
        <w:rPr>
          <w:rFonts w:hint="eastAsia" w:asciiTheme="minorEastAsia" w:hAnsiTheme="minorEastAsia" w:eastAsiaTheme="minorEastAsia" w:cstheme="minorEastAsia"/>
          <w:b/>
          <w:color w:val="auto"/>
          <w:sz w:val="24"/>
          <w:szCs w:val="24"/>
          <w:highlight w:val="none"/>
        </w:rPr>
        <w:t>2</w:t>
      </w:r>
      <w:r>
        <w:rPr>
          <w:rFonts w:hint="eastAsia" w:asciiTheme="minorEastAsia" w:hAnsiTheme="minorEastAsia" w:eastAsiaTheme="minorEastAsia" w:cstheme="minorEastAsia"/>
          <w:b/>
          <w:color w:val="auto"/>
          <w:sz w:val="24"/>
          <w:szCs w:val="24"/>
          <w:highlight w:val="none"/>
          <w:lang w:val="en-US" w:eastAsia="zh-CN"/>
        </w:rPr>
        <w:t>3</w:t>
      </w:r>
      <w:r>
        <w:rPr>
          <w:rFonts w:hint="eastAsia" w:asciiTheme="minorEastAsia" w:hAnsiTheme="minorEastAsia" w:eastAsiaTheme="minorEastAsia" w:cstheme="minorEastAsia"/>
          <w:b/>
          <w:color w:val="auto"/>
          <w:sz w:val="24"/>
          <w:szCs w:val="24"/>
          <w:highlight w:val="none"/>
        </w:rPr>
        <w:t>.</w:t>
      </w:r>
      <w:r>
        <w:rPr>
          <w:rFonts w:hint="eastAsia" w:ascii="宋体" w:hAnsi="宋体" w:eastAsia="宋体" w:cs="宋体"/>
          <w:b/>
          <w:bCs/>
          <w:sz w:val="24"/>
          <w:szCs w:val="24"/>
          <w:lang w:eastAsia="zh-CN"/>
        </w:rPr>
        <w:t>终止</w:t>
      </w:r>
    </w:p>
    <w:p w14:paraId="18DA732F">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8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2</w:t>
      </w: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lang w:eastAsia="zh-CN"/>
        </w:rPr>
        <w:t>.1 出现下列情形之一的，采购人或采购代理机构将终止采购活动，发布项目终止公告并说明原因，重新开展采购活动：</w:t>
      </w:r>
    </w:p>
    <w:p w14:paraId="57116A4D">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8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2</w:t>
      </w: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lang w:eastAsia="zh-CN"/>
        </w:rPr>
        <w:t>.1.1 因情况变化，不再符合规定的采购方式适用情形的；</w:t>
      </w:r>
    </w:p>
    <w:p w14:paraId="0040C7EE">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8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2</w:t>
      </w: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lang w:eastAsia="zh-CN"/>
        </w:rPr>
        <w:t>.1.2 出现影响采购公正的违法、违规行为的；</w:t>
      </w:r>
    </w:p>
    <w:p w14:paraId="7D776986">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8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2</w:t>
      </w: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lang w:eastAsia="zh-CN"/>
        </w:rPr>
        <w:t>.1.3 在采购过程中符合竞争要求的供应商或者报价未超过采购预算的供应商不足3家的。</w:t>
      </w:r>
    </w:p>
    <w:p w14:paraId="636AD8FD">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81"/>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lang w:val="en-US" w:eastAsia="zh-CN"/>
        </w:rPr>
        <w:t>24.</w:t>
      </w:r>
      <w:r>
        <w:rPr>
          <w:rFonts w:hint="eastAsia" w:asciiTheme="minorEastAsia" w:hAnsiTheme="minorEastAsia" w:eastAsiaTheme="minorEastAsia" w:cstheme="minorEastAsia"/>
          <w:b/>
          <w:color w:val="auto"/>
          <w:sz w:val="24"/>
          <w:szCs w:val="24"/>
          <w:highlight w:val="none"/>
        </w:rPr>
        <w:t>签订合同</w:t>
      </w:r>
    </w:p>
    <w:p w14:paraId="31DF8060">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8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rPr>
        <w:t>.1 采购人与</w:t>
      </w:r>
      <w:r>
        <w:rPr>
          <w:rFonts w:hint="eastAsia" w:asciiTheme="minorEastAsia" w:hAnsiTheme="minorEastAsia" w:eastAsiaTheme="minorEastAsia" w:cstheme="minorEastAsia"/>
          <w:color w:val="auto"/>
          <w:sz w:val="24"/>
          <w:szCs w:val="24"/>
          <w:highlight w:val="none"/>
          <w:lang w:eastAsia="zh-CN"/>
        </w:rPr>
        <w:t>中标人</w:t>
      </w:r>
      <w:r>
        <w:rPr>
          <w:rFonts w:hint="eastAsia" w:asciiTheme="minorEastAsia" w:hAnsiTheme="minorEastAsia" w:eastAsiaTheme="minorEastAsia" w:cstheme="minorEastAsia"/>
          <w:color w:val="auto"/>
          <w:sz w:val="24"/>
          <w:szCs w:val="24"/>
          <w:highlight w:val="none"/>
        </w:rPr>
        <w:t>应当在</w:t>
      </w:r>
      <w:r>
        <w:rPr>
          <w:rFonts w:hint="eastAsia" w:asciiTheme="minorEastAsia" w:hAnsiTheme="minorEastAsia" w:eastAsiaTheme="minorEastAsia" w:cstheme="minorEastAsia"/>
          <w:color w:val="auto"/>
          <w:sz w:val="24"/>
          <w:szCs w:val="24"/>
          <w:highlight w:val="none"/>
          <w:lang w:eastAsia="zh-CN"/>
        </w:rPr>
        <w:t>中标</w:t>
      </w:r>
      <w:r>
        <w:rPr>
          <w:rFonts w:hint="eastAsia" w:asciiTheme="minorEastAsia" w:hAnsiTheme="minorEastAsia" w:eastAsiaTheme="minorEastAsia" w:cstheme="minorEastAsia"/>
          <w:color w:val="auto"/>
          <w:sz w:val="24"/>
          <w:szCs w:val="24"/>
          <w:highlight w:val="none"/>
        </w:rPr>
        <w:t>通知书发出之日起30日内，按照</w:t>
      </w:r>
      <w:r>
        <w:rPr>
          <w:rFonts w:hint="eastAsia" w:asciiTheme="minorEastAsia" w:hAnsiTheme="minorEastAsia" w:eastAsiaTheme="minorEastAsia" w:cstheme="minorEastAsia"/>
          <w:color w:val="auto"/>
          <w:sz w:val="24"/>
          <w:szCs w:val="24"/>
          <w:highlight w:val="none"/>
          <w:lang w:val="en-US" w:eastAsia="zh-CN"/>
        </w:rPr>
        <w:t>中标</w:t>
      </w:r>
      <w:r>
        <w:rPr>
          <w:rFonts w:hint="eastAsia" w:asciiTheme="minorEastAsia" w:hAnsiTheme="minorEastAsia" w:eastAsiaTheme="minorEastAsia" w:cstheme="minorEastAsia"/>
          <w:color w:val="auto"/>
          <w:sz w:val="24"/>
          <w:szCs w:val="24"/>
          <w:highlight w:val="none"/>
        </w:rPr>
        <w:t>通知书确定的合同文本以及采购标的、规格型号、采购金额、采购数量、技术和服务要求等事项签订政府采购合同。</w:t>
      </w:r>
    </w:p>
    <w:p w14:paraId="6F067F71">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8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rPr>
        <w:t xml:space="preserve">.2 </w:t>
      </w:r>
      <w:r>
        <w:rPr>
          <w:rFonts w:hint="eastAsia" w:asciiTheme="minorEastAsia" w:hAnsiTheme="minorEastAsia" w:eastAsiaTheme="minorEastAsia" w:cstheme="minorEastAsia"/>
          <w:color w:val="auto"/>
          <w:sz w:val="24"/>
          <w:szCs w:val="24"/>
          <w:highlight w:val="none"/>
          <w:lang w:eastAsia="zh-CN"/>
        </w:rPr>
        <w:t>中标人</w:t>
      </w:r>
      <w:r>
        <w:rPr>
          <w:rFonts w:hint="eastAsia" w:asciiTheme="minorEastAsia" w:hAnsiTheme="minorEastAsia" w:eastAsiaTheme="minorEastAsia" w:cstheme="minorEastAsia"/>
          <w:color w:val="auto"/>
          <w:sz w:val="24"/>
          <w:szCs w:val="24"/>
          <w:highlight w:val="none"/>
        </w:rPr>
        <w:t>拒绝签订政府采购合同的，采购人可以按照评审报告推荐的</w:t>
      </w:r>
      <w:r>
        <w:rPr>
          <w:rFonts w:hint="eastAsia" w:asciiTheme="minorEastAsia" w:hAnsiTheme="minorEastAsia" w:eastAsiaTheme="minorEastAsia" w:cstheme="minorEastAsia"/>
          <w:color w:val="auto"/>
          <w:sz w:val="24"/>
          <w:szCs w:val="24"/>
          <w:highlight w:val="none"/>
          <w:lang w:eastAsia="zh-CN"/>
        </w:rPr>
        <w:t>中标</w:t>
      </w:r>
      <w:r>
        <w:rPr>
          <w:rFonts w:hint="eastAsia" w:asciiTheme="minorEastAsia" w:hAnsiTheme="minorEastAsia" w:eastAsiaTheme="minorEastAsia" w:cstheme="minorEastAsia"/>
          <w:color w:val="auto"/>
          <w:sz w:val="24"/>
          <w:szCs w:val="24"/>
          <w:highlight w:val="none"/>
        </w:rPr>
        <w:t>候选人名单排序，确定下一候选人为</w:t>
      </w:r>
      <w:r>
        <w:rPr>
          <w:rFonts w:hint="eastAsia" w:asciiTheme="minorEastAsia" w:hAnsiTheme="minorEastAsia" w:eastAsiaTheme="minorEastAsia" w:cstheme="minorEastAsia"/>
          <w:color w:val="auto"/>
          <w:sz w:val="24"/>
          <w:szCs w:val="24"/>
          <w:highlight w:val="none"/>
          <w:lang w:eastAsia="zh-CN"/>
        </w:rPr>
        <w:t>中标人</w:t>
      </w:r>
      <w:r>
        <w:rPr>
          <w:rFonts w:hint="eastAsia" w:asciiTheme="minorEastAsia" w:hAnsiTheme="minorEastAsia" w:eastAsiaTheme="minorEastAsia" w:cstheme="minorEastAsia"/>
          <w:color w:val="auto"/>
          <w:sz w:val="24"/>
          <w:szCs w:val="24"/>
          <w:highlight w:val="none"/>
        </w:rPr>
        <w:t>，也可以重新开展采购活动。拒绝签订政府采购合同的</w:t>
      </w:r>
      <w:r>
        <w:rPr>
          <w:rFonts w:hint="eastAsia" w:asciiTheme="minorEastAsia" w:hAnsiTheme="minorEastAsia" w:eastAsiaTheme="minorEastAsia" w:cstheme="minorEastAsia"/>
          <w:color w:val="auto"/>
          <w:sz w:val="24"/>
          <w:szCs w:val="24"/>
          <w:highlight w:val="none"/>
          <w:lang w:eastAsia="zh-CN"/>
        </w:rPr>
        <w:t>中标人</w:t>
      </w:r>
      <w:r>
        <w:rPr>
          <w:rFonts w:hint="eastAsia" w:asciiTheme="minorEastAsia" w:hAnsiTheme="minorEastAsia" w:eastAsiaTheme="minorEastAsia" w:cstheme="minorEastAsia"/>
          <w:color w:val="auto"/>
          <w:sz w:val="24"/>
          <w:szCs w:val="24"/>
          <w:highlight w:val="none"/>
        </w:rPr>
        <w:t>不得参加对该项目重新开展的采购活动。</w:t>
      </w:r>
    </w:p>
    <w:p w14:paraId="34F270C5">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8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rPr>
        <w:t>.3政府采购合同不能转包。</w:t>
      </w:r>
    </w:p>
    <w:p w14:paraId="6AFCD827">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8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rPr>
        <w:t>采购人允许采用分包方式履行合同的，</w:t>
      </w:r>
      <w:r>
        <w:rPr>
          <w:rFonts w:hint="eastAsia" w:asciiTheme="minorEastAsia" w:hAnsiTheme="minorEastAsia" w:eastAsiaTheme="minorEastAsia" w:cstheme="minorEastAsia"/>
          <w:color w:val="auto"/>
          <w:sz w:val="24"/>
          <w:szCs w:val="24"/>
          <w:highlight w:val="none"/>
          <w:lang w:eastAsia="zh-CN"/>
        </w:rPr>
        <w:t>中标人</w:t>
      </w:r>
      <w:r>
        <w:rPr>
          <w:rFonts w:hint="eastAsia" w:asciiTheme="minorEastAsia" w:hAnsiTheme="minorEastAsia" w:eastAsiaTheme="minorEastAsia" w:cstheme="minorEastAsia"/>
          <w:color w:val="auto"/>
          <w:sz w:val="24"/>
          <w:szCs w:val="24"/>
          <w:highlight w:val="none"/>
        </w:rPr>
        <w:t>可以依法采取分包方式履行合同。本项目是否允许分包，见《供应商须知资料表》。政府采购合同分包履行的，应当在响应文件中载明分包承担主体，分包承担主体应当具备相应资质条件且不得再次分包，否则响应无效。</w:t>
      </w:r>
      <w:r>
        <w:rPr>
          <w:rFonts w:hint="eastAsia" w:asciiTheme="minorEastAsia" w:hAnsiTheme="minorEastAsia" w:eastAsiaTheme="minorEastAsia" w:cstheme="minorEastAsia"/>
          <w:color w:val="auto"/>
          <w:sz w:val="24"/>
          <w:szCs w:val="24"/>
          <w:highlight w:val="none"/>
          <w:lang w:eastAsia="zh-CN"/>
        </w:rPr>
        <w:t>中标人</w:t>
      </w:r>
      <w:r>
        <w:rPr>
          <w:rFonts w:hint="eastAsia" w:asciiTheme="minorEastAsia" w:hAnsiTheme="minorEastAsia" w:eastAsiaTheme="minorEastAsia" w:cstheme="minorEastAsia"/>
          <w:color w:val="auto"/>
          <w:sz w:val="24"/>
          <w:szCs w:val="24"/>
          <w:highlight w:val="none"/>
        </w:rPr>
        <w:t>就采购项目和分包项目向采购人负责，分包供应商就分包项目承担责任。</w:t>
      </w:r>
    </w:p>
    <w:p w14:paraId="5563ED3B">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jc w:val="center"/>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七、其他事项</w:t>
      </w:r>
    </w:p>
    <w:p w14:paraId="104CE6B1">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82" w:firstLineChars="200"/>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2</w:t>
      </w:r>
      <w:r>
        <w:rPr>
          <w:rFonts w:hint="eastAsia" w:asciiTheme="minorEastAsia" w:hAnsiTheme="minorEastAsia" w:eastAsiaTheme="minorEastAsia" w:cstheme="minorEastAsia"/>
          <w:b/>
          <w:color w:val="auto"/>
          <w:sz w:val="24"/>
          <w:szCs w:val="24"/>
          <w:highlight w:val="none"/>
          <w:lang w:val="en-US" w:eastAsia="zh-CN"/>
        </w:rPr>
        <w:t>5</w:t>
      </w:r>
      <w:r>
        <w:rPr>
          <w:rFonts w:hint="eastAsia" w:asciiTheme="minorEastAsia" w:hAnsiTheme="minorEastAsia" w:eastAsiaTheme="minorEastAsia" w:cstheme="minorEastAsia"/>
          <w:b/>
          <w:color w:val="auto"/>
          <w:sz w:val="24"/>
          <w:szCs w:val="24"/>
          <w:highlight w:val="none"/>
        </w:rPr>
        <w:t>.在</w:t>
      </w:r>
      <w:r>
        <w:rPr>
          <w:rFonts w:hint="eastAsia" w:asciiTheme="minorEastAsia" w:hAnsiTheme="minorEastAsia" w:eastAsiaTheme="minorEastAsia" w:cstheme="minorEastAsia"/>
          <w:b/>
          <w:color w:val="auto"/>
          <w:sz w:val="24"/>
          <w:szCs w:val="24"/>
          <w:highlight w:val="none"/>
          <w:lang w:eastAsia="zh-CN"/>
        </w:rPr>
        <w:t>采购</w:t>
      </w:r>
      <w:r>
        <w:rPr>
          <w:rFonts w:hint="eastAsia" w:asciiTheme="minorEastAsia" w:hAnsiTheme="minorEastAsia" w:eastAsiaTheme="minorEastAsia" w:cstheme="minorEastAsia"/>
          <w:b/>
          <w:color w:val="auto"/>
          <w:sz w:val="24"/>
          <w:szCs w:val="24"/>
          <w:highlight w:val="none"/>
        </w:rPr>
        <w:t>采购中，出现下列情形之一的，应予废标：</w:t>
      </w:r>
    </w:p>
    <w:p w14:paraId="59EEA440">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25.1</w:t>
      </w:r>
      <w:r>
        <w:rPr>
          <w:rFonts w:hint="eastAsia" w:asciiTheme="minorEastAsia" w:hAnsiTheme="minorEastAsia" w:eastAsiaTheme="minorEastAsia" w:cstheme="minorEastAsia"/>
          <w:color w:val="auto"/>
          <w:sz w:val="24"/>
          <w:szCs w:val="24"/>
          <w:highlight w:val="none"/>
        </w:rPr>
        <w:t>符合专业条件的</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或者对</w:t>
      </w:r>
      <w:r>
        <w:rPr>
          <w:rFonts w:hint="eastAsia" w:asciiTheme="minorEastAsia" w:hAnsiTheme="minorEastAsia" w:eastAsiaTheme="minorEastAsia" w:cstheme="minorEastAsia"/>
          <w:color w:val="auto"/>
          <w:sz w:val="24"/>
          <w:szCs w:val="24"/>
          <w:highlight w:val="none"/>
          <w:lang w:eastAsia="zh-CN"/>
        </w:rPr>
        <w:t>采购文件</w:t>
      </w:r>
      <w:r>
        <w:rPr>
          <w:rFonts w:hint="eastAsia" w:asciiTheme="minorEastAsia" w:hAnsiTheme="minorEastAsia" w:eastAsiaTheme="minorEastAsia" w:cstheme="minorEastAsia"/>
          <w:color w:val="auto"/>
          <w:sz w:val="24"/>
          <w:szCs w:val="24"/>
          <w:highlight w:val="none"/>
        </w:rPr>
        <w:t>作实质</w:t>
      </w:r>
      <w:r>
        <w:rPr>
          <w:rFonts w:hint="eastAsia" w:asciiTheme="minorEastAsia" w:hAnsiTheme="minorEastAsia" w:eastAsiaTheme="minorEastAsia" w:cstheme="minorEastAsia"/>
          <w:color w:val="auto"/>
          <w:sz w:val="24"/>
          <w:szCs w:val="24"/>
          <w:highlight w:val="none"/>
          <w:lang w:val="en-US" w:eastAsia="zh-CN"/>
        </w:rPr>
        <w:t>性</w:t>
      </w:r>
      <w:r>
        <w:rPr>
          <w:rFonts w:hint="eastAsia" w:asciiTheme="minorEastAsia" w:hAnsiTheme="minorEastAsia" w:eastAsiaTheme="minorEastAsia" w:cstheme="minorEastAsia"/>
          <w:color w:val="auto"/>
          <w:sz w:val="24"/>
          <w:szCs w:val="24"/>
          <w:highlight w:val="none"/>
        </w:rPr>
        <w:t>响应的</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不足</w:t>
      </w:r>
      <w:r>
        <w:rPr>
          <w:rFonts w:hint="eastAsia" w:asciiTheme="minorEastAsia" w:hAnsiTheme="minorEastAsia" w:eastAsiaTheme="minorEastAsia" w:cstheme="minorEastAsia"/>
          <w:color w:val="auto"/>
          <w:sz w:val="24"/>
          <w:szCs w:val="24"/>
          <w:highlight w:val="none"/>
          <w:lang w:val="en-US" w:eastAsia="zh-CN"/>
        </w:rPr>
        <w:t>三</w:t>
      </w:r>
      <w:r>
        <w:rPr>
          <w:rFonts w:hint="eastAsia" w:asciiTheme="minorEastAsia" w:hAnsiTheme="minorEastAsia" w:eastAsiaTheme="minorEastAsia" w:cstheme="minorEastAsia"/>
          <w:color w:val="auto"/>
          <w:sz w:val="24"/>
          <w:szCs w:val="24"/>
          <w:highlight w:val="none"/>
        </w:rPr>
        <w:t>家的；</w:t>
      </w:r>
    </w:p>
    <w:p w14:paraId="0133407E">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25.2</w:t>
      </w:r>
      <w:r>
        <w:rPr>
          <w:rFonts w:hint="eastAsia" w:asciiTheme="minorEastAsia" w:hAnsiTheme="minorEastAsia" w:eastAsiaTheme="minorEastAsia" w:cstheme="minorEastAsia"/>
          <w:color w:val="auto"/>
          <w:sz w:val="24"/>
          <w:szCs w:val="24"/>
          <w:highlight w:val="none"/>
        </w:rPr>
        <w:t>出现影响采购公正的违法、违规行为的；</w:t>
      </w:r>
    </w:p>
    <w:p w14:paraId="47B335AD">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25.3供应商</w:t>
      </w:r>
      <w:r>
        <w:rPr>
          <w:rFonts w:hint="eastAsia" w:asciiTheme="minorEastAsia" w:hAnsiTheme="minorEastAsia" w:eastAsiaTheme="minorEastAsia" w:cstheme="minorEastAsia"/>
          <w:color w:val="auto"/>
          <w:sz w:val="24"/>
          <w:szCs w:val="24"/>
          <w:highlight w:val="none"/>
        </w:rPr>
        <w:t>的报价均超过了采购预算，采购人不能支付的；</w:t>
      </w:r>
    </w:p>
    <w:p w14:paraId="4A043217">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25.4</w:t>
      </w:r>
      <w:r>
        <w:rPr>
          <w:rFonts w:hint="eastAsia" w:asciiTheme="minorEastAsia" w:hAnsiTheme="minorEastAsia" w:eastAsiaTheme="minorEastAsia" w:cstheme="minorEastAsia"/>
          <w:color w:val="auto"/>
          <w:sz w:val="24"/>
          <w:szCs w:val="24"/>
          <w:highlight w:val="none"/>
        </w:rPr>
        <w:t>因重大变故，采购任务取消的。</w:t>
      </w:r>
    </w:p>
    <w:p w14:paraId="569D96FA">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82" w:firstLineChars="200"/>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2</w:t>
      </w:r>
      <w:r>
        <w:rPr>
          <w:rFonts w:hint="eastAsia" w:asciiTheme="minorEastAsia" w:hAnsiTheme="minorEastAsia" w:eastAsiaTheme="minorEastAsia" w:cstheme="minorEastAsia"/>
          <w:b/>
          <w:color w:val="auto"/>
          <w:sz w:val="24"/>
          <w:szCs w:val="24"/>
          <w:highlight w:val="none"/>
          <w:lang w:val="en-US" w:eastAsia="zh-CN"/>
        </w:rPr>
        <w:t>6</w:t>
      </w:r>
      <w:r>
        <w:rPr>
          <w:rFonts w:hint="eastAsia" w:asciiTheme="minorEastAsia" w:hAnsiTheme="minorEastAsia" w:eastAsiaTheme="minorEastAsia" w:cstheme="minorEastAsia"/>
          <w:b/>
          <w:color w:val="auto"/>
          <w:sz w:val="24"/>
          <w:szCs w:val="24"/>
          <w:highlight w:val="none"/>
        </w:rPr>
        <w:t>.</w:t>
      </w:r>
      <w:r>
        <w:rPr>
          <w:rFonts w:hint="eastAsia" w:asciiTheme="minorEastAsia" w:hAnsiTheme="minorEastAsia" w:eastAsiaTheme="minorEastAsia" w:cstheme="minorEastAsia"/>
          <w:b/>
          <w:color w:val="auto"/>
          <w:sz w:val="24"/>
          <w:szCs w:val="24"/>
          <w:highlight w:val="none"/>
          <w:lang w:eastAsia="zh-CN"/>
        </w:rPr>
        <w:t>采购文件</w:t>
      </w:r>
      <w:r>
        <w:rPr>
          <w:rFonts w:hint="eastAsia" w:asciiTheme="minorEastAsia" w:hAnsiTheme="minorEastAsia" w:eastAsiaTheme="minorEastAsia" w:cstheme="minorEastAsia"/>
          <w:b/>
          <w:color w:val="auto"/>
          <w:sz w:val="24"/>
          <w:szCs w:val="24"/>
          <w:highlight w:val="none"/>
        </w:rPr>
        <w:t>编制依据</w:t>
      </w:r>
    </w:p>
    <w:p w14:paraId="2F21E254">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w:t>
      </w:r>
      <w:r>
        <w:rPr>
          <w:rFonts w:hint="eastAsia" w:asciiTheme="minorEastAsia" w:hAnsiTheme="minorEastAsia" w:eastAsiaTheme="minorEastAsia" w:cstheme="minorEastAsia"/>
          <w:color w:val="auto"/>
          <w:sz w:val="24"/>
          <w:szCs w:val="24"/>
          <w:highlight w:val="none"/>
          <w:lang w:eastAsia="zh-CN"/>
        </w:rPr>
        <w:t>采购文件</w:t>
      </w:r>
      <w:r>
        <w:rPr>
          <w:rFonts w:hint="eastAsia" w:asciiTheme="minorEastAsia" w:hAnsiTheme="minorEastAsia" w:eastAsiaTheme="minorEastAsia" w:cstheme="minorEastAsia"/>
          <w:color w:val="auto"/>
          <w:sz w:val="24"/>
          <w:szCs w:val="24"/>
          <w:highlight w:val="none"/>
        </w:rPr>
        <w:t>根据</w:t>
      </w:r>
      <w:r>
        <w:rPr>
          <w:rFonts w:hint="eastAsia" w:asciiTheme="minorEastAsia" w:hAnsiTheme="minorEastAsia" w:eastAsiaTheme="minorEastAsia" w:cstheme="minorEastAsia"/>
          <w:color w:val="auto"/>
          <w:sz w:val="24"/>
          <w:szCs w:val="24"/>
          <w:highlight w:val="none"/>
          <w:lang w:eastAsia="zh-CN"/>
        </w:rPr>
        <w:t>《中华人民共和国政府采购法》《中华人民共和国政府采购法实施条例》</w:t>
      </w:r>
      <w:r>
        <w:rPr>
          <w:rFonts w:hint="eastAsia" w:asciiTheme="minorEastAsia" w:hAnsiTheme="minorEastAsia" w:eastAsiaTheme="minorEastAsia" w:cstheme="minorEastAsia"/>
          <w:color w:val="auto"/>
          <w:sz w:val="24"/>
          <w:szCs w:val="24"/>
          <w:highlight w:val="none"/>
        </w:rPr>
        <w:t>及相关法律法规编制。</w:t>
      </w:r>
    </w:p>
    <w:p w14:paraId="79FE5806">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82" w:firstLineChars="200"/>
        <w:textAlignment w:val="auto"/>
        <w:rPr>
          <w:rFonts w:hint="eastAsia" w:asciiTheme="minorEastAsia" w:hAnsiTheme="minorEastAsia" w:eastAsiaTheme="minorEastAsia" w:cstheme="minorEastAsia"/>
          <w:b/>
          <w:bCs/>
          <w:color w:val="auto"/>
          <w:sz w:val="24"/>
          <w:szCs w:val="24"/>
          <w:highlight w:val="none"/>
        </w:rPr>
      </w:pPr>
      <w:bookmarkStart w:id="64" w:name="_Toc321836356"/>
      <w:r>
        <w:rPr>
          <w:rFonts w:hint="eastAsia" w:asciiTheme="minorEastAsia" w:hAnsiTheme="minorEastAsia" w:eastAsiaTheme="minorEastAsia" w:cstheme="minorEastAsia"/>
          <w:b/>
          <w:bCs/>
          <w:color w:val="auto"/>
          <w:sz w:val="24"/>
          <w:szCs w:val="24"/>
          <w:highlight w:val="none"/>
          <w:lang w:val="en-US" w:eastAsia="zh-CN"/>
        </w:rPr>
        <w:t>27.</w:t>
      </w:r>
      <w:r>
        <w:rPr>
          <w:rFonts w:hint="eastAsia" w:asciiTheme="minorEastAsia" w:hAnsiTheme="minorEastAsia" w:eastAsiaTheme="minorEastAsia" w:cstheme="minorEastAsia"/>
          <w:b/>
          <w:bCs/>
          <w:color w:val="auto"/>
          <w:sz w:val="24"/>
          <w:szCs w:val="24"/>
          <w:highlight w:val="none"/>
        </w:rPr>
        <w:t>质疑</w:t>
      </w:r>
      <w:bookmarkEnd w:id="64"/>
    </w:p>
    <w:p w14:paraId="58AE2B12">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lang w:val="en-US" w:eastAsia="zh-CN"/>
        </w:rPr>
        <w:t>27.1供应商</w:t>
      </w:r>
      <w:r>
        <w:rPr>
          <w:rFonts w:hint="eastAsia" w:asciiTheme="minorEastAsia" w:hAnsiTheme="minorEastAsia" w:eastAsiaTheme="minorEastAsia" w:cstheme="minorEastAsia"/>
          <w:b w:val="0"/>
          <w:bCs w:val="0"/>
          <w:color w:val="auto"/>
          <w:sz w:val="24"/>
          <w:szCs w:val="24"/>
          <w:highlight w:val="none"/>
        </w:rPr>
        <w:t>认为</w:t>
      </w:r>
      <w:r>
        <w:rPr>
          <w:rFonts w:hint="eastAsia" w:asciiTheme="minorEastAsia" w:hAnsiTheme="minorEastAsia" w:eastAsiaTheme="minorEastAsia" w:cstheme="minorEastAsia"/>
          <w:b w:val="0"/>
          <w:bCs w:val="0"/>
          <w:color w:val="auto"/>
          <w:sz w:val="24"/>
          <w:szCs w:val="24"/>
          <w:highlight w:val="none"/>
          <w:lang w:eastAsia="zh-CN"/>
        </w:rPr>
        <w:t>采购文件</w:t>
      </w:r>
      <w:r>
        <w:rPr>
          <w:rFonts w:hint="eastAsia" w:asciiTheme="minorEastAsia" w:hAnsiTheme="minorEastAsia" w:eastAsiaTheme="minorEastAsia" w:cstheme="minorEastAsia"/>
          <w:b w:val="0"/>
          <w:bCs w:val="0"/>
          <w:color w:val="auto"/>
          <w:sz w:val="24"/>
          <w:szCs w:val="24"/>
          <w:highlight w:val="none"/>
        </w:rPr>
        <w:t>、</w:t>
      </w:r>
      <w:r>
        <w:rPr>
          <w:rFonts w:hint="eastAsia" w:asciiTheme="minorEastAsia" w:hAnsiTheme="minorEastAsia" w:eastAsiaTheme="minorEastAsia" w:cstheme="minorEastAsia"/>
          <w:b w:val="0"/>
          <w:bCs w:val="0"/>
          <w:color w:val="auto"/>
          <w:sz w:val="24"/>
          <w:szCs w:val="24"/>
          <w:highlight w:val="none"/>
          <w:lang w:eastAsia="zh-CN"/>
        </w:rPr>
        <w:t>采购</w:t>
      </w:r>
      <w:r>
        <w:rPr>
          <w:rFonts w:hint="eastAsia" w:asciiTheme="minorEastAsia" w:hAnsiTheme="minorEastAsia" w:eastAsiaTheme="minorEastAsia" w:cstheme="minorEastAsia"/>
          <w:b w:val="0"/>
          <w:bCs w:val="0"/>
          <w:color w:val="auto"/>
          <w:sz w:val="24"/>
          <w:szCs w:val="24"/>
          <w:highlight w:val="none"/>
        </w:rPr>
        <w:t>过程和中标结果使自己的权益受到损害的，应当在知道或者应知其权益受到损害之日起</w:t>
      </w:r>
      <w:r>
        <w:rPr>
          <w:rFonts w:hint="eastAsia" w:asciiTheme="minorEastAsia" w:hAnsiTheme="minorEastAsia" w:eastAsiaTheme="minorEastAsia" w:cstheme="minorEastAsia"/>
          <w:b w:val="0"/>
          <w:bCs w:val="0"/>
          <w:color w:val="auto"/>
          <w:sz w:val="24"/>
          <w:szCs w:val="24"/>
          <w:highlight w:val="none"/>
          <w:lang w:val="en-US" w:eastAsia="zh-CN"/>
        </w:rPr>
        <w:t>7</w:t>
      </w:r>
      <w:r>
        <w:rPr>
          <w:rFonts w:hint="eastAsia" w:asciiTheme="minorEastAsia" w:hAnsiTheme="minorEastAsia" w:eastAsiaTheme="minorEastAsia" w:cstheme="minorEastAsia"/>
          <w:b w:val="0"/>
          <w:bCs w:val="0"/>
          <w:color w:val="auto"/>
          <w:sz w:val="24"/>
          <w:szCs w:val="24"/>
          <w:highlight w:val="none"/>
        </w:rPr>
        <w:t>个工作日内，以书面形式向采购人</w:t>
      </w:r>
      <w:r>
        <w:rPr>
          <w:rFonts w:hint="eastAsia" w:asciiTheme="minorEastAsia" w:hAnsiTheme="minorEastAsia" w:eastAsiaTheme="minorEastAsia" w:cstheme="minorEastAsia"/>
          <w:b w:val="0"/>
          <w:bCs w:val="0"/>
          <w:color w:val="auto"/>
          <w:sz w:val="24"/>
          <w:szCs w:val="24"/>
          <w:highlight w:val="none"/>
          <w:lang w:eastAsia="zh-CN"/>
        </w:rPr>
        <w:t>、</w:t>
      </w:r>
      <w:r>
        <w:rPr>
          <w:rFonts w:hint="eastAsia" w:asciiTheme="minorEastAsia" w:hAnsiTheme="minorEastAsia" w:eastAsiaTheme="minorEastAsia" w:cstheme="minorEastAsia"/>
          <w:b w:val="0"/>
          <w:bCs w:val="0"/>
          <w:color w:val="auto"/>
          <w:sz w:val="24"/>
          <w:szCs w:val="24"/>
          <w:highlight w:val="none"/>
        </w:rPr>
        <w:t>采购代理机构提出质疑。</w:t>
      </w:r>
    </w:p>
    <w:p w14:paraId="6B800BD5">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lang w:val="en-US" w:eastAsia="zh-CN"/>
        </w:rPr>
        <w:t>27</w:t>
      </w:r>
      <w:r>
        <w:rPr>
          <w:rFonts w:hint="eastAsia" w:asciiTheme="minorEastAsia" w:hAnsiTheme="minorEastAsia" w:eastAsiaTheme="minorEastAsia" w:cstheme="minorEastAsia"/>
          <w:b w:val="0"/>
          <w:bCs w:val="0"/>
          <w:color w:val="auto"/>
          <w:sz w:val="24"/>
          <w:szCs w:val="24"/>
          <w:highlight w:val="none"/>
        </w:rPr>
        <w:t>.2</w:t>
      </w:r>
      <w:r>
        <w:rPr>
          <w:rFonts w:hint="eastAsia" w:asciiTheme="minorEastAsia" w:hAnsiTheme="minorEastAsia" w:eastAsiaTheme="minorEastAsia" w:cstheme="minorEastAsia"/>
          <w:b w:val="0"/>
          <w:bCs w:val="0"/>
          <w:color w:val="auto"/>
          <w:sz w:val="24"/>
          <w:szCs w:val="24"/>
          <w:highlight w:val="none"/>
          <w:lang w:eastAsia="zh-CN"/>
        </w:rPr>
        <w:t>供应商</w:t>
      </w:r>
      <w:r>
        <w:rPr>
          <w:rFonts w:hint="eastAsia" w:asciiTheme="minorEastAsia" w:hAnsiTheme="minorEastAsia" w:eastAsiaTheme="minorEastAsia" w:cstheme="minorEastAsia"/>
          <w:b w:val="0"/>
          <w:bCs w:val="0"/>
          <w:color w:val="auto"/>
          <w:sz w:val="24"/>
          <w:szCs w:val="24"/>
          <w:highlight w:val="none"/>
        </w:rPr>
        <w:t>提供的质疑书应符合中华人民共和国财政部第94号令《政府采购质疑和投诉办法》的规定</w:t>
      </w:r>
      <w:bookmarkStart w:id="65" w:name="_Hlk530346763"/>
      <w:r>
        <w:rPr>
          <w:rFonts w:hint="eastAsia" w:asciiTheme="minorEastAsia" w:hAnsiTheme="minorEastAsia" w:eastAsiaTheme="minorEastAsia" w:cstheme="minorEastAsia"/>
          <w:b w:val="0"/>
          <w:bCs w:val="0"/>
          <w:color w:val="auto"/>
          <w:sz w:val="24"/>
          <w:szCs w:val="24"/>
          <w:highlight w:val="none"/>
        </w:rPr>
        <w:t>。</w:t>
      </w:r>
    </w:p>
    <w:p w14:paraId="15A5AE94">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lang w:val="en-US" w:eastAsia="zh-CN"/>
        </w:rPr>
        <w:t>27.3</w:t>
      </w:r>
      <w:r>
        <w:rPr>
          <w:rFonts w:hint="eastAsia" w:asciiTheme="minorEastAsia" w:hAnsiTheme="minorEastAsia" w:eastAsiaTheme="minorEastAsia" w:cstheme="minorEastAsia"/>
          <w:b w:val="0"/>
          <w:bCs w:val="0"/>
          <w:color w:val="auto"/>
          <w:sz w:val="24"/>
          <w:szCs w:val="24"/>
          <w:highlight w:val="none"/>
        </w:rPr>
        <w:t>采购人、采购代理机构不得拒收质疑</w:t>
      </w:r>
      <w:r>
        <w:rPr>
          <w:rFonts w:hint="eastAsia" w:asciiTheme="minorEastAsia" w:hAnsiTheme="minorEastAsia" w:eastAsiaTheme="minorEastAsia" w:cstheme="minorEastAsia"/>
          <w:b w:val="0"/>
          <w:bCs w:val="0"/>
          <w:color w:val="auto"/>
          <w:sz w:val="24"/>
          <w:szCs w:val="24"/>
          <w:highlight w:val="none"/>
          <w:lang w:eastAsia="zh-CN"/>
        </w:rPr>
        <w:t>供应商</w:t>
      </w:r>
      <w:r>
        <w:rPr>
          <w:rFonts w:hint="eastAsia" w:asciiTheme="minorEastAsia" w:hAnsiTheme="minorEastAsia" w:eastAsiaTheme="minorEastAsia" w:cstheme="minorEastAsia"/>
          <w:b w:val="0"/>
          <w:bCs w:val="0"/>
          <w:color w:val="auto"/>
          <w:sz w:val="24"/>
          <w:szCs w:val="24"/>
          <w:highlight w:val="none"/>
        </w:rPr>
        <w:t>在法定质疑期内发出的质疑函，应当在收到质疑函后7个工作日内作出答复，并以书面形式通知质疑</w:t>
      </w:r>
      <w:r>
        <w:rPr>
          <w:rFonts w:hint="eastAsia" w:asciiTheme="minorEastAsia" w:hAnsiTheme="minorEastAsia" w:eastAsiaTheme="minorEastAsia" w:cstheme="minorEastAsia"/>
          <w:b w:val="0"/>
          <w:bCs w:val="0"/>
          <w:color w:val="auto"/>
          <w:sz w:val="24"/>
          <w:szCs w:val="24"/>
          <w:highlight w:val="none"/>
          <w:lang w:eastAsia="zh-CN"/>
        </w:rPr>
        <w:t>供应商</w:t>
      </w:r>
      <w:r>
        <w:rPr>
          <w:rFonts w:hint="eastAsia" w:asciiTheme="minorEastAsia" w:hAnsiTheme="minorEastAsia" w:eastAsiaTheme="minorEastAsia" w:cstheme="minorEastAsia"/>
          <w:b w:val="0"/>
          <w:bCs w:val="0"/>
          <w:color w:val="auto"/>
          <w:sz w:val="24"/>
          <w:szCs w:val="24"/>
          <w:highlight w:val="none"/>
        </w:rPr>
        <w:t>和其他有关</w:t>
      </w:r>
      <w:r>
        <w:rPr>
          <w:rFonts w:hint="eastAsia" w:asciiTheme="minorEastAsia" w:hAnsiTheme="minorEastAsia" w:eastAsiaTheme="minorEastAsia" w:cstheme="minorEastAsia"/>
          <w:b w:val="0"/>
          <w:bCs w:val="0"/>
          <w:color w:val="auto"/>
          <w:sz w:val="24"/>
          <w:szCs w:val="24"/>
          <w:highlight w:val="none"/>
          <w:lang w:eastAsia="zh-CN"/>
        </w:rPr>
        <w:t>供应商</w:t>
      </w:r>
      <w:r>
        <w:rPr>
          <w:rFonts w:hint="eastAsia" w:asciiTheme="minorEastAsia" w:hAnsiTheme="minorEastAsia" w:eastAsiaTheme="minorEastAsia" w:cstheme="minorEastAsia"/>
          <w:b w:val="0"/>
          <w:bCs w:val="0"/>
          <w:color w:val="auto"/>
          <w:sz w:val="24"/>
          <w:szCs w:val="24"/>
          <w:highlight w:val="none"/>
        </w:rPr>
        <w:t>。</w:t>
      </w:r>
    </w:p>
    <w:p w14:paraId="2AC6DF8F">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lang w:val="en-US" w:eastAsia="zh-CN"/>
        </w:rPr>
        <w:t>27.4</w:t>
      </w:r>
      <w:r>
        <w:rPr>
          <w:rFonts w:hint="eastAsia" w:asciiTheme="minorEastAsia" w:hAnsiTheme="minorEastAsia" w:eastAsiaTheme="minorEastAsia" w:cstheme="minorEastAsia"/>
          <w:b w:val="0"/>
          <w:bCs w:val="0"/>
          <w:color w:val="auto"/>
          <w:sz w:val="24"/>
          <w:szCs w:val="24"/>
          <w:highlight w:val="none"/>
          <w:lang w:eastAsia="zh-CN"/>
        </w:rPr>
        <w:t>供应商</w:t>
      </w:r>
      <w:r>
        <w:rPr>
          <w:rFonts w:hint="eastAsia" w:asciiTheme="minorEastAsia" w:hAnsiTheme="minorEastAsia" w:eastAsiaTheme="minorEastAsia" w:cstheme="minorEastAsia"/>
          <w:b w:val="0"/>
          <w:bCs w:val="0"/>
          <w:color w:val="auto"/>
          <w:sz w:val="24"/>
          <w:szCs w:val="24"/>
          <w:highlight w:val="none"/>
        </w:rPr>
        <w:t>对评审过程、</w:t>
      </w:r>
      <w:r>
        <w:rPr>
          <w:rFonts w:hint="eastAsia" w:asciiTheme="minorEastAsia" w:hAnsiTheme="minorEastAsia" w:eastAsiaTheme="minorEastAsia" w:cstheme="minorEastAsia"/>
          <w:b w:val="0"/>
          <w:bCs w:val="0"/>
          <w:color w:val="auto"/>
          <w:sz w:val="24"/>
          <w:szCs w:val="24"/>
          <w:highlight w:val="none"/>
          <w:lang w:val="en-US" w:eastAsia="zh-CN"/>
        </w:rPr>
        <w:t>中标</w:t>
      </w:r>
      <w:r>
        <w:rPr>
          <w:rFonts w:hint="eastAsia" w:asciiTheme="minorEastAsia" w:hAnsiTheme="minorEastAsia" w:eastAsiaTheme="minorEastAsia" w:cstheme="minorEastAsia"/>
          <w:b w:val="0"/>
          <w:bCs w:val="0"/>
          <w:color w:val="auto"/>
          <w:sz w:val="24"/>
          <w:szCs w:val="24"/>
          <w:highlight w:val="none"/>
        </w:rPr>
        <w:t>结果提出质疑的，采购人、采购代理机构可以组织原评标委员会协助答复质疑。</w:t>
      </w:r>
    </w:p>
    <w:p w14:paraId="7881A453">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lang w:val="en-US" w:eastAsia="zh-CN"/>
        </w:rPr>
        <w:t>27.5</w:t>
      </w:r>
      <w:r>
        <w:rPr>
          <w:rFonts w:hint="eastAsia" w:asciiTheme="minorEastAsia" w:hAnsiTheme="minorEastAsia" w:eastAsiaTheme="minorEastAsia" w:cstheme="minorEastAsia"/>
          <w:b w:val="0"/>
          <w:bCs w:val="0"/>
          <w:color w:val="auto"/>
          <w:sz w:val="24"/>
          <w:szCs w:val="24"/>
          <w:highlight w:val="none"/>
        </w:rPr>
        <w:t>采购人、采购代理机构认为</w:t>
      </w:r>
      <w:r>
        <w:rPr>
          <w:rFonts w:hint="eastAsia" w:asciiTheme="minorEastAsia" w:hAnsiTheme="minorEastAsia" w:eastAsiaTheme="minorEastAsia" w:cstheme="minorEastAsia"/>
          <w:b w:val="0"/>
          <w:bCs w:val="0"/>
          <w:color w:val="auto"/>
          <w:sz w:val="24"/>
          <w:szCs w:val="24"/>
          <w:highlight w:val="none"/>
          <w:lang w:eastAsia="zh-CN"/>
        </w:rPr>
        <w:t>供应商</w:t>
      </w:r>
      <w:r>
        <w:rPr>
          <w:rFonts w:hint="eastAsia" w:asciiTheme="minorEastAsia" w:hAnsiTheme="minorEastAsia" w:eastAsiaTheme="minorEastAsia" w:cstheme="minorEastAsia"/>
          <w:b w:val="0"/>
          <w:bCs w:val="0"/>
          <w:color w:val="auto"/>
          <w:sz w:val="24"/>
          <w:szCs w:val="24"/>
          <w:highlight w:val="none"/>
        </w:rPr>
        <w:t>质疑不成立，或者成立但未对中标结果构成影响的，继续开展采购活动；认为</w:t>
      </w:r>
      <w:r>
        <w:rPr>
          <w:rFonts w:hint="eastAsia" w:asciiTheme="minorEastAsia" w:hAnsiTheme="minorEastAsia" w:eastAsiaTheme="minorEastAsia" w:cstheme="minorEastAsia"/>
          <w:b w:val="0"/>
          <w:bCs w:val="0"/>
          <w:color w:val="auto"/>
          <w:sz w:val="24"/>
          <w:szCs w:val="24"/>
          <w:highlight w:val="none"/>
          <w:lang w:eastAsia="zh-CN"/>
        </w:rPr>
        <w:t>供应商</w:t>
      </w:r>
      <w:r>
        <w:rPr>
          <w:rFonts w:hint="eastAsia" w:asciiTheme="minorEastAsia" w:hAnsiTheme="minorEastAsia" w:eastAsiaTheme="minorEastAsia" w:cstheme="minorEastAsia"/>
          <w:b w:val="0"/>
          <w:bCs w:val="0"/>
          <w:color w:val="auto"/>
          <w:sz w:val="24"/>
          <w:szCs w:val="24"/>
          <w:highlight w:val="none"/>
        </w:rPr>
        <w:t>质疑成立且影响或者可能影响中标结果的，按照《政府采购质疑和投诉办法》的规定处理。</w:t>
      </w:r>
    </w:p>
    <w:bookmarkEnd w:id="65"/>
    <w:p w14:paraId="0C77CC09">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82" w:firstLineChars="200"/>
        <w:textAlignment w:val="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28</w:t>
      </w:r>
      <w:r>
        <w:rPr>
          <w:rFonts w:hint="eastAsia" w:asciiTheme="minorEastAsia" w:hAnsiTheme="minorEastAsia" w:eastAsiaTheme="minorEastAsia" w:cstheme="minorEastAsia"/>
          <w:b/>
          <w:bCs/>
          <w:color w:val="auto"/>
          <w:sz w:val="24"/>
          <w:szCs w:val="24"/>
          <w:highlight w:val="none"/>
        </w:rPr>
        <w:t>.投诉</w:t>
      </w:r>
    </w:p>
    <w:p w14:paraId="52B746B2">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rPr>
      </w:pPr>
      <w:bookmarkStart w:id="66" w:name="_Hlk530349380"/>
      <w:bookmarkStart w:id="67" w:name="_Hlk530346774"/>
      <w:r>
        <w:rPr>
          <w:rFonts w:hint="eastAsia" w:asciiTheme="minorEastAsia" w:hAnsiTheme="minorEastAsia" w:eastAsiaTheme="minorEastAsia" w:cstheme="minorEastAsia"/>
          <w:b w:val="0"/>
          <w:bCs w:val="0"/>
          <w:color w:val="auto"/>
          <w:sz w:val="24"/>
          <w:szCs w:val="24"/>
          <w:highlight w:val="none"/>
        </w:rPr>
        <w:t>质疑</w:t>
      </w:r>
      <w:r>
        <w:rPr>
          <w:rFonts w:hint="eastAsia" w:asciiTheme="minorEastAsia" w:hAnsiTheme="minorEastAsia" w:eastAsiaTheme="minorEastAsia" w:cstheme="minorEastAsia"/>
          <w:b w:val="0"/>
          <w:bCs w:val="0"/>
          <w:color w:val="auto"/>
          <w:sz w:val="24"/>
          <w:szCs w:val="24"/>
          <w:highlight w:val="none"/>
          <w:lang w:eastAsia="zh-CN"/>
        </w:rPr>
        <w:t>供应商</w:t>
      </w:r>
      <w:r>
        <w:rPr>
          <w:rFonts w:hint="eastAsia" w:asciiTheme="minorEastAsia" w:hAnsiTheme="minorEastAsia" w:eastAsiaTheme="minorEastAsia" w:cstheme="minorEastAsia"/>
          <w:b w:val="0"/>
          <w:bCs w:val="0"/>
          <w:color w:val="auto"/>
          <w:sz w:val="24"/>
          <w:szCs w:val="24"/>
          <w:highlight w:val="none"/>
        </w:rPr>
        <w:t>对采购人、采购代理机构的答复不满意，或者采购人、采购代理机构未在规定时间内作出答复的，可以在答复期满后15个工作日内向《政府采购质疑和投诉办法》第六条规定的财政部门提起投诉。</w:t>
      </w:r>
      <w:bookmarkEnd w:id="66"/>
      <w:bookmarkEnd w:id="67"/>
    </w:p>
    <w:p w14:paraId="6D8E511D">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82" w:firstLineChars="200"/>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lang w:val="en-US" w:eastAsia="zh-CN"/>
        </w:rPr>
        <w:t>29</w:t>
      </w:r>
      <w:r>
        <w:rPr>
          <w:rFonts w:hint="eastAsia" w:asciiTheme="minorEastAsia" w:hAnsiTheme="minorEastAsia" w:eastAsiaTheme="minorEastAsia" w:cstheme="minorEastAsia"/>
          <w:b/>
          <w:color w:val="auto"/>
          <w:sz w:val="24"/>
          <w:szCs w:val="24"/>
          <w:highlight w:val="none"/>
        </w:rPr>
        <w:t>.需要补充的其他内容</w:t>
      </w:r>
    </w:p>
    <w:p w14:paraId="4A45B77F">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29</w:t>
      </w:r>
      <w:r>
        <w:rPr>
          <w:rFonts w:hint="eastAsia" w:asciiTheme="minorEastAsia" w:hAnsiTheme="minorEastAsia" w:eastAsiaTheme="minorEastAsia" w:cstheme="minorEastAsia"/>
          <w:color w:val="auto"/>
          <w:sz w:val="24"/>
          <w:szCs w:val="24"/>
          <w:highlight w:val="none"/>
        </w:rPr>
        <w:t>.1“</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须知前附表”中若规定可以接受备选方案的，</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在投标文件中只能提供一个备选方案，并注明主选方案，且备选方案的投标价格不得高于主选方案。凡提供两个以上备选方案或未注明主选方案的，该投标将被视为未实质性响应</w:t>
      </w:r>
      <w:r>
        <w:rPr>
          <w:rFonts w:hint="eastAsia" w:asciiTheme="minorEastAsia" w:hAnsiTheme="minorEastAsia" w:eastAsiaTheme="minorEastAsia" w:cstheme="minorEastAsia"/>
          <w:color w:val="auto"/>
          <w:sz w:val="24"/>
          <w:szCs w:val="24"/>
          <w:highlight w:val="none"/>
          <w:lang w:eastAsia="zh-CN"/>
        </w:rPr>
        <w:t>采购文件</w:t>
      </w:r>
      <w:r>
        <w:rPr>
          <w:rFonts w:hint="eastAsia" w:asciiTheme="minorEastAsia" w:hAnsiTheme="minorEastAsia" w:eastAsiaTheme="minorEastAsia" w:cstheme="minorEastAsia"/>
          <w:color w:val="auto"/>
          <w:sz w:val="24"/>
          <w:szCs w:val="24"/>
          <w:highlight w:val="none"/>
        </w:rPr>
        <w:t>要求。</w:t>
      </w:r>
    </w:p>
    <w:p w14:paraId="2803D189">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82" w:firstLineChars="200"/>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29</w:t>
      </w:r>
      <w:r>
        <w:rPr>
          <w:rFonts w:hint="eastAsia" w:asciiTheme="minorEastAsia" w:hAnsiTheme="minorEastAsia" w:eastAsiaTheme="minorEastAsia" w:cstheme="minorEastAsia"/>
          <w:b/>
          <w:bCs/>
          <w:color w:val="auto"/>
          <w:sz w:val="24"/>
          <w:szCs w:val="24"/>
          <w:highlight w:val="none"/>
        </w:rPr>
        <w:t>.2本</w:t>
      </w:r>
      <w:r>
        <w:rPr>
          <w:rFonts w:hint="eastAsia" w:asciiTheme="minorEastAsia" w:hAnsiTheme="minorEastAsia" w:eastAsiaTheme="minorEastAsia" w:cstheme="minorEastAsia"/>
          <w:b/>
          <w:bCs/>
          <w:color w:val="auto"/>
          <w:sz w:val="24"/>
          <w:szCs w:val="24"/>
          <w:highlight w:val="none"/>
          <w:lang w:val="en-US" w:eastAsia="zh-CN"/>
        </w:rPr>
        <w:t>采购</w:t>
      </w:r>
      <w:r>
        <w:rPr>
          <w:rFonts w:hint="eastAsia" w:asciiTheme="minorEastAsia" w:hAnsiTheme="minorEastAsia" w:eastAsiaTheme="minorEastAsia" w:cstheme="minorEastAsia"/>
          <w:b/>
          <w:bCs/>
          <w:color w:val="auto"/>
          <w:sz w:val="24"/>
          <w:szCs w:val="24"/>
          <w:highlight w:val="none"/>
        </w:rPr>
        <w:t>项目采购人不统一组织</w:t>
      </w:r>
      <w:r>
        <w:rPr>
          <w:rFonts w:hint="eastAsia" w:asciiTheme="minorEastAsia" w:hAnsiTheme="minorEastAsia" w:eastAsiaTheme="minorEastAsia" w:cstheme="minorEastAsia"/>
          <w:b/>
          <w:bCs/>
          <w:color w:val="auto"/>
          <w:sz w:val="24"/>
          <w:szCs w:val="24"/>
          <w:highlight w:val="none"/>
          <w:lang w:eastAsia="zh-CN"/>
        </w:rPr>
        <w:t>供应商</w:t>
      </w:r>
      <w:r>
        <w:rPr>
          <w:rFonts w:hint="eastAsia" w:asciiTheme="minorEastAsia" w:hAnsiTheme="minorEastAsia" w:eastAsiaTheme="minorEastAsia" w:cstheme="minorEastAsia"/>
          <w:b/>
          <w:bCs/>
          <w:color w:val="auto"/>
          <w:sz w:val="24"/>
          <w:szCs w:val="24"/>
          <w:highlight w:val="none"/>
        </w:rPr>
        <w:t>对现场情况进行踏勘，由</w:t>
      </w:r>
      <w:r>
        <w:rPr>
          <w:rFonts w:hint="eastAsia" w:asciiTheme="minorEastAsia" w:hAnsiTheme="minorEastAsia" w:eastAsiaTheme="minorEastAsia" w:cstheme="minorEastAsia"/>
          <w:b/>
          <w:bCs/>
          <w:color w:val="auto"/>
          <w:sz w:val="24"/>
          <w:szCs w:val="24"/>
          <w:highlight w:val="none"/>
          <w:lang w:eastAsia="zh-CN"/>
        </w:rPr>
        <w:t>供应商</w:t>
      </w:r>
      <w:r>
        <w:rPr>
          <w:rFonts w:hint="eastAsia" w:asciiTheme="minorEastAsia" w:hAnsiTheme="minorEastAsia" w:eastAsiaTheme="minorEastAsia" w:cstheme="minorEastAsia"/>
          <w:b/>
          <w:bCs/>
          <w:color w:val="auto"/>
          <w:sz w:val="24"/>
          <w:szCs w:val="24"/>
          <w:highlight w:val="none"/>
        </w:rPr>
        <w:t>根据</w:t>
      </w:r>
      <w:r>
        <w:rPr>
          <w:rFonts w:hint="eastAsia" w:asciiTheme="minorEastAsia" w:hAnsiTheme="minorEastAsia" w:eastAsiaTheme="minorEastAsia" w:cstheme="minorEastAsia"/>
          <w:b/>
          <w:bCs/>
          <w:color w:val="auto"/>
          <w:sz w:val="24"/>
          <w:szCs w:val="24"/>
          <w:highlight w:val="none"/>
          <w:lang w:val="en-US" w:eastAsia="zh-CN"/>
        </w:rPr>
        <w:t>本项目采购需求等</w:t>
      </w:r>
      <w:r>
        <w:rPr>
          <w:rFonts w:hint="eastAsia" w:asciiTheme="minorEastAsia" w:hAnsiTheme="minorEastAsia" w:eastAsiaTheme="minorEastAsia" w:cstheme="minorEastAsia"/>
          <w:b/>
          <w:bCs/>
          <w:color w:val="auto"/>
          <w:sz w:val="24"/>
          <w:szCs w:val="24"/>
          <w:highlight w:val="none"/>
        </w:rPr>
        <w:t>，自行踏勘。</w:t>
      </w:r>
      <w:r>
        <w:rPr>
          <w:rFonts w:hint="eastAsia" w:asciiTheme="minorEastAsia" w:hAnsiTheme="minorEastAsia" w:eastAsiaTheme="minorEastAsia" w:cstheme="minorEastAsia"/>
          <w:b/>
          <w:bCs/>
          <w:color w:val="auto"/>
          <w:sz w:val="24"/>
          <w:szCs w:val="24"/>
          <w:highlight w:val="none"/>
          <w:lang w:eastAsia="zh-CN"/>
        </w:rPr>
        <w:t>供应商</w:t>
      </w:r>
      <w:r>
        <w:rPr>
          <w:rFonts w:hint="eastAsia" w:asciiTheme="minorEastAsia" w:hAnsiTheme="minorEastAsia" w:eastAsiaTheme="minorEastAsia" w:cstheme="minorEastAsia"/>
          <w:b/>
          <w:bCs/>
          <w:color w:val="auto"/>
          <w:sz w:val="24"/>
          <w:szCs w:val="24"/>
          <w:highlight w:val="none"/>
        </w:rPr>
        <w:t>对踏勘中获取的现场资料</w:t>
      </w:r>
      <w:r>
        <w:rPr>
          <w:rFonts w:hint="eastAsia" w:asciiTheme="minorEastAsia" w:hAnsiTheme="minorEastAsia" w:eastAsiaTheme="minorEastAsia" w:cstheme="minorEastAsia"/>
          <w:b/>
          <w:bCs/>
          <w:color w:val="auto"/>
          <w:sz w:val="24"/>
          <w:szCs w:val="24"/>
          <w:highlight w:val="none"/>
          <w:lang w:val="en-US" w:eastAsia="zh-CN"/>
        </w:rPr>
        <w:t>自行承担理解及应用的责任</w:t>
      </w:r>
      <w:r>
        <w:rPr>
          <w:rFonts w:hint="eastAsia" w:asciiTheme="minorEastAsia" w:hAnsiTheme="minorEastAsia" w:eastAsiaTheme="minorEastAsia" w:cstheme="minorEastAsia"/>
          <w:b/>
          <w:bCs/>
          <w:color w:val="auto"/>
          <w:sz w:val="24"/>
          <w:szCs w:val="24"/>
          <w:highlight w:val="none"/>
        </w:rPr>
        <w:t>，</w:t>
      </w:r>
      <w:r>
        <w:rPr>
          <w:rFonts w:hint="eastAsia" w:asciiTheme="minorEastAsia" w:hAnsiTheme="minorEastAsia" w:eastAsiaTheme="minorEastAsia" w:cstheme="minorEastAsia"/>
          <w:b/>
          <w:bCs/>
          <w:color w:val="auto"/>
          <w:sz w:val="24"/>
          <w:szCs w:val="24"/>
          <w:highlight w:val="none"/>
          <w:lang w:val="en-US" w:eastAsia="zh-CN"/>
        </w:rPr>
        <w:t>并对踏勘过程中的责任和风险负责，无论</w:t>
      </w:r>
      <w:r>
        <w:rPr>
          <w:rFonts w:hint="eastAsia" w:asciiTheme="minorEastAsia" w:hAnsiTheme="minorEastAsia" w:eastAsiaTheme="minorEastAsia" w:cstheme="minorEastAsia"/>
          <w:b/>
          <w:bCs/>
          <w:color w:val="auto"/>
          <w:sz w:val="24"/>
          <w:szCs w:val="24"/>
          <w:highlight w:val="none"/>
          <w:lang w:eastAsia="zh-CN"/>
        </w:rPr>
        <w:t>供应商</w:t>
      </w:r>
      <w:r>
        <w:rPr>
          <w:rFonts w:hint="eastAsia" w:asciiTheme="minorEastAsia" w:hAnsiTheme="minorEastAsia" w:eastAsiaTheme="minorEastAsia" w:cstheme="minorEastAsia"/>
          <w:b/>
          <w:bCs/>
          <w:color w:val="auto"/>
          <w:sz w:val="24"/>
          <w:szCs w:val="24"/>
          <w:highlight w:val="none"/>
        </w:rPr>
        <w:t>是否踏勘过</w:t>
      </w:r>
      <w:r>
        <w:rPr>
          <w:rFonts w:hint="eastAsia" w:asciiTheme="minorEastAsia" w:hAnsiTheme="minorEastAsia" w:eastAsiaTheme="minorEastAsia" w:cstheme="minorEastAsia"/>
          <w:b/>
          <w:bCs/>
          <w:color w:val="auto"/>
          <w:sz w:val="24"/>
          <w:szCs w:val="24"/>
          <w:highlight w:val="none"/>
          <w:lang w:val="en-US" w:eastAsia="zh-CN"/>
        </w:rPr>
        <w:t>本项目</w:t>
      </w:r>
      <w:r>
        <w:rPr>
          <w:rFonts w:hint="eastAsia" w:asciiTheme="minorEastAsia" w:hAnsiTheme="minorEastAsia" w:eastAsiaTheme="minorEastAsia" w:cstheme="minorEastAsia"/>
          <w:b/>
          <w:bCs/>
          <w:color w:val="auto"/>
          <w:sz w:val="24"/>
          <w:szCs w:val="24"/>
          <w:highlight w:val="none"/>
        </w:rPr>
        <w:t>现场，均被认为在</w:t>
      </w:r>
      <w:r>
        <w:rPr>
          <w:rFonts w:hint="eastAsia" w:asciiTheme="minorEastAsia" w:hAnsiTheme="minorEastAsia" w:eastAsiaTheme="minorEastAsia" w:cstheme="minorEastAsia"/>
          <w:b/>
          <w:bCs/>
          <w:color w:val="auto"/>
          <w:sz w:val="24"/>
          <w:szCs w:val="24"/>
          <w:highlight w:val="none"/>
          <w:lang w:eastAsia="zh-CN"/>
        </w:rPr>
        <w:t>提交</w:t>
      </w:r>
      <w:r>
        <w:rPr>
          <w:rFonts w:hint="eastAsia" w:asciiTheme="minorEastAsia" w:hAnsiTheme="minorEastAsia" w:eastAsiaTheme="minorEastAsia" w:cstheme="minorEastAsia"/>
          <w:b/>
          <w:bCs/>
          <w:color w:val="auto"/>
          <w:sz w:val="24"/>
          <w:szCs w:val="24"/>
          <w:highlight w:val="none"/>
        </w:rPr>
        <w:t>投标文件之前已踏勘过</w:t>
      </w:r>
      <w:r>
        <w:rPr>
          <w:rFonts w:hint="eastAsia" w:asciiTheme="minorEastAsia" w:hAnsiTheme="minorEastAsia" w:eastAsiaTheme="minorEastAsia" w:cstheme="minorEastAsia"/>
          <w:b/>
          <w:bCs/>
          <w:color w:val="auto"/>
          <w:sz w:val="24"/>
          <w:szCs w:val="24"/>
          <w:highlight w:val="none"/>
          <w:lang w:val="en-US" w:eastAsia="zh-CN"/>
        </w:rPr>
        <w:t>项目</w:t>
      </w:r>
      <w:r>
        <w:rPr>
          <w:rFonts w:hint="eastAsia" w:asciiTheme="minorEastAsia" w:hAnsiTheme="minorEastAsia" w:eastAsiaTheme="minorEastAsia" w:cstheme="minorEastAsia"/>
          <w:b/>
          <w:bCs/>
          <w:color w:val="auto"/>
          <w:sz w:val="24"/>
          <w:szCs w:val="24"/>
          <w:highlight w:val="none"/>
        </w:rPr>
        <w:t>现场，对本项目的风险和义务十分了解，并在其投标文件中充分考虑了</w:t>
      </w:r>
      <w:r>
        <w:rPr>
          <w:rFonts w:hint="eastAsia" w:asciiTheme="minorEastAsia" w:hAnsiTheme="minorEastAsia" w:eastAsiaTheme="minorEastAsia" w:cstheme="minorEastAsia"/>
          <w:b/>
          <w:bCs/>
          <w:color w:val="auto"/>
          <w:sz w:val="24"/>
          <w:szCs w:val="24"/>
          <w:highlight w:val="none"/>
          <w:lang w:val="en-US" w:eastAsia="zh-CN"/>
        </w:rPr>
        <w:t>项目</w:t>
      </w:r>
      <w:r>
        <w:rPr>
          <w:rFonts w:hint="eastAsia" w:asciiTheme="minorEastAsia" w:hAnsiTheme="minorEastAsia" w:eastAsiaTheme="minorEastAsia" w:cstheme="minorEastAsia"/>
          <w:b/>
          <w:bCs/>
          <w:color w:val="auto"/>
          <w:sz w:val="24"/>
          <w:szCs w:val="24"/>
          <w:highlight w:val="none"/>
        </w:rPr>
        <w:t>现场的</w:t>
      </w:r>
      <w:r>
        <w:rPr>
          <w:rFonts w:hint="eastAsia" w:asciiTheme="minorEastAsia" w:hAnsiTheme="minorEastAsia" w:eastAsiaTheme="minorEastAsia" w:cstheme="minorEastAsia"/>
          <w:b/>
          <w:bCs/>
          <w:color w:val="auto"/>
          <w:sz w:val="24"/>
          <w:szCs w:val="24"/>
          <w:highlight w:val="none"/>
          <w:lang w:val="en-US" w:eastAsia="zh-CN"/>
        </w:rPr>
        <w:t>各项</w:t>
      </w:r>
      <w:r>
        <w:rPr>
          <w:rFonts w:hint="eastAsia" w:asciiTheme="minorEastAsia" w:hAnsiTheme="minorEastAsia" w:eastAsiaTheme="minorEastAsia" w:cstheme="minorEastAsia"/>
          <w:b/>
          <w:bCs/>
          <w:color w:val="auto"/>
          <w:sz w:val="24"/>
          <w:szCs w:val="24"/>
          <w:highlight w:val="none"/>
        </w:rPr>
        <w:t>条件</w:t>
      </w:r>
      <w:r>
        <w:rPr>
          <w:rFonts w:hint="eastAsia" w:asciiTheme="minorEastAsia" w:hAnsiTheme="minorEastAsia" w:eastAsiaTheme="minorEastAsia" w:cstheme="minorEastAsia"/>
          <w:b/>
          <w:bCs/>
          <w:color w:val="auto"/>
          <w:sz w:val="24"/>
          <w:szCs w:val="24"/>
          <w:highlight w:val="none"/>
          <w:lang w:eastAsia="zh-CN"/>
        </w:rPr>
        <w:t>。</w:t>
      </w:r>
    </w:p>
    <w:p w14:paraId="6CC2E8CD">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lang w:val="en-US" w:eastAsia="zh-CN"/>
        </w:rPr>
        <w:t>29</w:t>
      </w:r>
      <w:r>
        <w:rPr>
          <w:rFonts w:hint="eastAsia" w:asciiTheme="minorEastAsia" w:hAnsiTheme="minorEastAsia" w:eastAsiaTheme="minorEastAsia" w:cstheme="minorEastAsia"/>
          <w:color w:val="auto"/>
          <w:sz w:val="24"/>
          <w:szCs w:val="24"/>
          <w:highlight w:val="none"/>
        </w:rPr>
        <w:t>.3需要补充的其他内容详见</w:t>
      </w:r>
      <w:r>
        <w:rPr>
          <w:rFonts w:hint="eastAsia" w:asciiTheme="minorEastAsia" w:hAnsiTheme="minorEastAsia" w:eastAsiaTheme="minorEastAsia" w:cstheme="minorEastAsia"/>
          <w:color w:val="auto"/>
          <w:sz w:val="24"/>
          <w:szCs w:val="24"/>
          <w:highlight w:val="none"/>
          <w:lang w:val="en-US" w:eastAsia="zh-CN"/>
        </w:rPr>
        <w:t>供应商</w:t>
      </w:r>
      <w:r>
        <w:rPr>
          <w:rFonts w:hint="eastAsia" w:asciiTheme="minorEastAsia" w:hAnsiTheme="minorEastAsia" w:eastAsiaTheme="minorEastAsia" w:cstheme="minorEastAsia"/>
          <w:color w:val="auto"/>
          <w:sz w:val="24"/>
          <w:szCs w:val="24"/>
          <w:highlight w:val="none"/>
        </w:rPr>
        <w:t>须知前附表。</w:t>
      </w:r>
    </w:p>
    <w:p w14:paraId="3DCC5361">
      <w:pPr>
        <w:pStyle w:val="9"/>
        <w:keepNext w:val="0"/>
        <w:keepLines w:val="0"/>
        <w:pageBreakBefore w:val="0"/>
        <w:widowControl w:val="0"/>
        <w:kinsoku w:val="0"/>
        <w:wordWrap w:val="0"/>
        <w:bidi w:val="0"/>
        <w:textAlignment w:val="auto"/>
        <w:rPr>
          <w:rFonts w:hint="eastAsia" w:asciiTheme="minorEastAsia" w:hAnsiTheme="minorEastAsia" w:eastAsiaTheme="minorEastAsia" w:cstheme="minorEastAsia"/>
          <w:b/>
          <w:color w:val="auto"/>
          <w:sz w:val="24"/>
          <w:szCs w:val="24"/>
          <w:highlight w:val="none"/>
        </w:rPr>
      </w:pPr>
      <w:bookmarkStart w:id="68" w:name="_Toc1256"/>
    </w:p>
    <w:p w14:paraId="363FAA8E">
      <w:pPr>
        <w:keepNext w:val="0"/>
        <w:keepLines w:val="0"/>
        <w:pageBreakBefore w:val="0"/>
        <w:widowControl w:val="0"/>
        <w:kinsoku w:val="0"/>
        <w:wordWrap w:val="0"/>
        <w:bidi w:val="0"/>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br w:type="page"/>
      </w:r>
    </w:p>
    <w:p w14:paraId="6923BA58">
      <w:pPr>
        <w:keepNext w:val="0"/>
        <w:keepLines w:val="0"/>
        <w:pageBreakBefore w:val="0"/>
        <w:widowControl w:val="0"/>
        <w:shd w:val="clear" w:color="auto" w:fill="auto"/>
        <w:kinsoku w:val="0"/>
        <w:wordWrap w:val="0"/>
        <w:bidi w:val="0"/>
        <w:spacing w:line="413" w:lineRule="auto"/>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附件1：</w:t>
      </w:r>
      <w:bookmarkEnd w:id="68"/>
      <w:r>
        <w:rPr>
          <w:rFonts w:hint="eastAsia" w:asciiTheme="minorEastAsia" w:hAnsiTheme="minorEastAsia" w:eastAsiaTheme="minorEastAsia" w:cstheme="minorEastAsia"/>
          <w:b/>
          <w:color w:val="auto"/>
          <w:sz w:val="24"/>
          <w:szCs w:val="24"/>
          <w:highlight w:val="none"/>
        </w:rPr>
        <w:t>政府采购项目电子化交易操作须知</w:t>
      </w:r>
    </w:p>
    <w:p w14:paraId="3EB1C4FC">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82"/>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为规范临沧市政府采购电子交易平台操作和使用，整理交易操作流程等内容供各位潜在</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学习，请认真阅读以免影响投标。</w:t>
      </w:r>
    </w:p>
    <w:p w14:paraId="43B7BCA4">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82"/>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一、</w:t>
      </w:r>
      <w:r>
        <w:rPr>
          <w:rFonts w:hint="eastAsia" w:asciiTheme="minorEastAsia" w:hAnsiTheme="minorEastAsia" w:eastAsiaTheme="minorEastAsia" w:cstheme="minorEastAsia"/>
          <w:color w:val="auto"/>
          <w:sz w:val="24"/>
          <w:szCs w:val="24"/>
          <w:highlight w:val="none"/>
        </w:rPr>
        <w:t>凡有意参加投标者，须提前在政采云平台注册账号并办理数字证书（CA）。涉及电子交易平台使用问题的，请致电</w:t>
      </w:r>
      <w:r>
        <w:rPr>
          <w:rFonts w:hint="eastAsia" w:asciiTheme="minorEastAsia" w:hAnsiTheme="minorEastAsia" w:eastAsiaTheme="minorEastAsia" w:cstheme="minorEastAsia"/>
          <w:color w:val="auto"/>
          <w:sz w:val="24"/>
          <w:szCs w:val="24"/>
          <w:highlight w:val="none"/>
          <w:lang w:val="en-US" w:eastAsia="zh-CN"/>
        </w:rPr>
        <w:t>“政采云平台”</w:t>
      </w:r>
      <w:r>
        <w:rPr>
          <w:rFonts w:hint="eastAsia" w:asciiTheme="minorEastAsia" w:hAnsiTheme="minorEastAsia" w:eastAsiaTheme="minorEastAsia" w:cstheme="minorEastAsia"/>
          <w:color w:val="auto"/>
          <w:sz w:val="24"/>
          <w:szCs w:val="24"/>
          <w:highlight w:val="none"/>
        </w:rPr>
        <w:t>：95763。</w:t>
      </w:r>
    </w:p>
    <w:p w14:paraId="1F86DA9A">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82"/>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rPr>
        <w:t>政采云平台</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账号注册：登录</w:t>
      </w:r>
      <w:r>
        <w:rPr>
          <w:rFonts w:hint="eastAsia" w:asciiTheme="minorEastAsia" w:hAnsiTheme="minorEastAsia" w:eastAsiaTheme="minorEastAsia" w:cstheme="minorEastAsia"/>
          <w:color w:val="auto"/>
          <w:sz w:val="24"/>
          <w:szCs w:val="24"/>
          <w:highlight w:val="none"/>
          <w:lang w:eastAsia="zh-CN"/>
        </w:rPr>
        <w:t>“政采云平台”</w:t>
      </w:r>
      <w:r>
        <w:rPr>
          <w:rFonts w:hint="eastAsia" w:asciiTheme="minorEastAsia" w:hAnsiTheme="minorEastAsia" w:eastAsiaTheme="minorEastAsia" w:cstheme="minorEastAsia"/>
          <w:color w:val="auto"/>
          <w:sz w:val="24"/>
          <w:szCs w:val="24"/>
          <w:highlight w:val="none"/>
        </w:rPr>
        <w:t>（https：//www.zcygov.cn/）注册账号。操作路径：政府采购云平台首页—商家入驻—云南省（找到云南省立即前往）—云南省政府采购</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入驻登记（立即登记），</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根据平台系统提示逐步进行操作即可。</w:t>
      </w:r>
    </w:p>
    <w:p w14:paraId="611742E6">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82"/>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须办理数字证书（CA），并在政采云绑定数字证书（CA）后线上获取采购文件及其它采购资料。CA申领链接：http：//yzt.ynsmartcert.cn/cms/yztlccb.html云南壹证通CA可支持线上、线下办理方式，并提供7*24小时全天候客户服务支持，客服热线400-004-0628（紧急CA办理电话：19988166369）政府采购云平台支持多家CA服务商，</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可自行选择。CA申领后需登陆政采云平台完成数字证书（CA）绑定才可以使用，数字证书（CA）详见其办理流程。</w:t>
      </w:r>
    </w:p>
    <w:p w14:paraId="613F362E">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82"/>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在政采云平台注册账号后，登录</w:t>
      </w:r>
      <w:r>
        <w:rPr>
          <w:rFonts w:hint="eastAsia" w:asciiTheme="minorEastAsia" w:hAnsiTheme="minorEastAsia" w:eastAsiaTheme="minorEastAsia" w:cstheme="minorEastAsia"/>
          <w:color w:val="auto"/>
          <w:sz w:val="24"/>
          <w:szCs w:val="24"/>
          <w:highlight w:val="none"/>
          <w:lang w:val="en-US" w:eastAsia="zh-CN"/>
        </w:rPr>
        <w:t>“政采云平台”</w:t>
      </w:r>
      <w:r>
        <w:rPr>
          <w:rFonts w:hint="eastAsia" w:asciiTheme="minorEastAsia" w:hAnsiTheme="minorEastAsia" w:eastAsiaTheme="minorEastAsia" w:cstheme="minorEastAsia"/>
          <w:color w:val="auto"/>
          <w:sz w:val="24"/>
          <w:szCs w:val="24"/>
          <w:highlight w:val="none"/>
        </w:rPr>
        <w:t>（www.zcygov.cn），绑定数字证书（CA）后，在线申请获取电子招标（或采购）文件及其他相关资料（如有）；未办理数字证书（CA） 的潜在</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，请登录CA数字证书申请系统注册并在网上申请办理证书；此前已经在云南省公共资源交易电子化平台申请过云南CA数字证书的，不用重复申请数字证书，可以互通共用。</w:t>
      </w:r>
    </w:p>
    <w:p w14:paraId="5B66B3AF">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82"/>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二、</w:t>
      </w:r>
      <w:r>
        <w:rPr>
          <w:rFonts w:hint="eastAsia" w:asciiTheme="minorEastAsia" w:hAnsiTheme="minorEastAsia" w:eastAsiaTheme="minorEastAsia" w:cstheme="minorEastAsia"/>
          <w:color w:val="auto"/>
          <w:sz w:val="24"/>
          <w:szCs w:val="24"/>
          <w:highlight w:val="none"/>
        </w:rPr>
        <w:t>政府采购项目电子化操作流程</w:t>
      </w:r>
    </w:p>
    <w:p w14:paraId="508D93AD">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82"/>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rPr>
        <w:t>政府采购项目电子化操作学习：请各位潜在</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自行登录</w:t>
      </w:r>
      <w:r>
        <w:rPr>
          <w:rFonts w:hint="eastAsia" w:asciiTheme="minorEastAsia" w:hAnsiTheme="minorEastAsia" w:eastAsiaTheme="minorEastAsia" w:cstheme="minorEastAsia"/>
          <w:color w:val="auto"/>
          <w:sz w:val="24"/>
          <w:szCs w:val="24"/>
          <w:highlight w:val="none"/>
          <w:lang w:val="en-US" w:eastAsia="zh-CN"/>
        </w:rPr>
        <w:t>“政采云平台”</w:t>
      </w:r>
      <w:r>
        <w:rPr>
          <w:rFonts w:hint="eastAsia" w:asciiTheme="minorEastAsia" w:hAnsiTheme="minorEastAsia" w:eastAsiaTheme="minorEastAsia" w:cstheme="minorEastAsia"/>
          <w:color w:val="auto"/>
          <w:sz w:val="24"/>
          <w:szCs w:val="24"/>
          <w:highlight w:val="none"/>
        </w:rPr>
        <w:t>进行学习。（操作路径：登录首页—操作指南—登录</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账号—查看</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操作手册进行学习）。</w:t>
      </w:r>
    </w:p>
    <w:p w14:paraId="34D19B71">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82"/>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招标（或采购）文件获取：</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可自行在</w:t>
      </w:r>
      <w:r>
        <w:rPr>
          <w:rFonts w:hint="eastAsia" w:asciiTheme="minorEastAsia" w:hAnsiTheme="minorEastAsia" w:eastAsiaTheme="minorEastAsia" w:cstheme="minorEastAsia"/>
          <w:color w:val="auto"/>
          <w:sz w:val="24"/>
          <w:szCs w:val="24"/>
          <w:highlight w:val="none"/>
          <w:lang w:val="en-US" w:eastAsia="zh-CN"/>
        </w:rPr>
        <w:t>“政采云平台”</w:t>
      </w:r>
      <w:r>
        <w:rPr>
          <w:rFonts w:hint="eastAsia" w:asciiTheme="minorEastAsia" w:hAnsiTheme="minorEastAsia" w:eastAsiaTheme="minorEastAsia" w:cstheme="minorEastAsia"/>
          <w:color w:val="auto"/>
          <w:sz w:val="24"/>
          <w:szCs w:val="24"/>
          <w:highlight w:val="none"/>
        </w:rPr>
        <w:t>下载采购文件（操作路径：登录</w:t>
      </w:r>
      <w:r>
        <w:rPr>
          <w:rFonts w:hint="eastAsia" w:asciiTheme="minorEastAsia" w:hAnsiTheme="minorEastAsia" w:eastAsiaTheme="minorEastAsia" w:cstheme="minorEastAsia"/>
          <w:color w:val="auto"/>
          <w:sz w:val="24"/>
          <w:szCs w:val="24"/>
          <w:highlight w:val="none"/>
          <w:lang w:val="en-US" w:eastAsia="zh-CN"/>
        </w:rPr>
        <w:t>“政采云平台”</w:t>
      </w:r>
      <w:r>
        <w:rPr>
          <w:rFonts w:hint="eastAsia" w:asciiTheme="minorEastAsia" w:hAnsiTheme="minorEastAsia" w:eastAsiaTheme="minorEastAsia" w:cstheme="minorEastAsia"/>
          <w:color w:val="auto"/>
          <w:sz w:val="24"/>
          <w:szCs w:val="24"/>
          <w:highlight w:val="none"/>
        </w:rPr>
        <w:t>—项目采购—获取采购文件—找到本项目—点击“申请获取采购文件”）。获取时间截止到截标前，请各位</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合理安排好时间，妥善处理好文件下载与制作响应文件时间关系。</w:t>
      </w:r>
    </w:p>
    <w:p w14:paraId="2FCF70D9">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82"/>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rPr>
        <w:t>投标（或响应）文件编制与导入</w:t>
      </w:r>
    </w:p>
    <w:p w14:paraId="1AB0B908">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82"/>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投标（或响应）文件编制：（操作路径：政采云投标客户端—投标响应文件编制），电子投标（响应）文件应使用</w:t>
      </w:r>
      <w:r>
        <w:rPr>
          <w:rFonts w:hint="eastAsia" w:asciiTheme="minorEastAsia" w:hAnsiTheme="minorEastAsia" w:eastAsiaTheme="minorEastAsia" w:cstheme="minorEastAsia"/>
          <w:color w:val="auto"/>
          <w:sz w:val="24"/>
          <w:szCs w:val="24"/>
          <w:highlight w:val="none"/>
          <w:lang w:val="en-US" w:eastAsia="zh-CN"/>
        </w:rPr>
        <w:t>“政采云平台”</w:t>
      </w:r>
      <w:r>
        <w:rPr>
          <w:rFonts w:hint="eastAsia" w:asciiTheme="minorEastAsia" w:hAnsiTheme="minorEastAsia" w:eastAsiaTheme="minorEastAsia" w:cstheme="minorEastAsia"/>
          <w:color w:val="auto"/>
          <w:sz w:val="24"/>
          <w:szCs w:val="24"/>
          <w:highlight w:val="none"/>
        </w:rPr>
        <w:t>（http：//www.zcygov.cn）中下载的政采云电子投标客户端制作，并进行电子签章及加密后上传至</w:t>
      </w:r>
      <w:r>
        <w:rPr>
          <w:rFonts w:hint="eastAsia" w:asciiTheme="minorEastAsia" w:hAnsiTheme="minorEastAsia" w:eastAsiaTheme="minorEastAsia" w:cstheme="minorEastAsia"/>
          <w:color w:val="auto"/>
          <w:sz w:val="24"/>
          <w:szCs w:val="24"/>
          <w:highlight w:val="none"/>
          <w:lang w:val="en-US" w:eastAsia="zh-CN"/>
        </w:rPr>
        <w:t>“政采云平台”</w:t>
      </w:r>
      <w:r>
        <w:rPr>
          <w:rFonts w:hint="eastAsia" w:asciiTheme="minorEastAsia" w:hAnsiTheme="minorEastAsia" w:eastAsiaTheme="minorEastAsia" w:cstheme="minorEastAsia"/>
          <w:color w:val="auto"/>
          <w:sz w:val="24"/>
          <w:szCs w:val="24"/>
          <w:highlight w:val="none"/>
        </w:rPr>
        <w:t>。</w:t>
      </w:r>
    </w:p>
    <w:p w14:paraId="1B8F705A">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82"/>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如</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提交的电子标书不符合（1）要求或开标时无法读取导入或解密，其投标（响应）文件将不予受理。</w:t>
      </w:r>
    </w:p>
    <w:p w14:paraId="0F690B6B">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82"/>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投标（或响应）文件导入：单个资料上传不能大于100MB或300MB（具体以政采云平台系统要求为准）。</w:t>
      </w:r>
    </w:p>
    <w:p w14:paraId="0A7951DF">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82"/>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投标文件格式：</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应当在政采云电子投标客户端上编制投标（或响应）文件，并生成电子加密标书，响应文件制作完成并生成加密标书后，</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需在开标前将加密的响应文件上传至政采云平台。具体操作请下载附件（</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政府采购电子交易平台操作指南）</w:t>
      </w:r>
    </w:p>
    <w:p w14:paraId="0424EEF0">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82"/>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rPr>
        <w:t>投标（或响应）文件递交：</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必须通过</w:t>
      </w:r>
      <w:r>
        <w:rPr>
          <w:rFonts w:hint="eastAsia" w:asciiTheme="minorEastAsia" w:hAnsiTheme="minorEastAsia" w:eastAsiaTheme="minorEastAsia" w:cstheme="minorEastAsia"/>
          <w:color w:val="auto"/>
          <w:sz w:val="24"/>
          <w:szCs w:val="24"/>
          <w:highlight w:val="none"/>
          <w:lang w:val="en-US" w:eastAsia="zh-CN"/>
        </w:rPr>
        <w:t>“政采云平台”</w:t>
      </w:r>
      <w:r>
        <w:rPr>
          <w:rFonts w:hint="eastAsia" w:asciiTheme="minorEastAsia" w:hAnsiTheme="minorEastAsia" w:eastAsiaTheme="minorEastAsia" w:cstheme="minorEastAsia"/>
          <w:color w:val="auto"/>
          <w:sz w:val="24"/>
          <w:szCs w:val="24"/>
          <w:highlight w:val="none"/>
        </w:rPr>
        <w:t>递交电子投标响应文件。</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须在投标截止时间前递交投标文件，完成所有电子投标文件的上传。</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在投标文件提交截止时间前可以补充、修改或者撤回投标文件。补充或者修改投标文件的，应当先行撤回原文件，补充、修改后重新上传、递交。投标截止时间前未完成投标文件传输的，视为未上传或撤回投标文件。不通过</w:t>
      </w:r>
      <w:r>
        <w:rPr>
          <w:rFonts w:hint="eastAsia" w:asciiTheme="minorEastAsia" w:hAnsiTheme="minorEastAsia" w:eastAsiaTheme="minorEastAsia" w:cstheme="minorEastAsia"/>
          <w:color w:val="auto"/>
          <w:sz w:val="24"/>
          <w:szCs w:val="24"/>
          <w:highlight w:val="none"/>
          <w:lang w:val="en-US" w:eastAsia="zh-CN"/>
        </w:rPr>
        <w:t>“政采云平台”</w:t>
      </w:r>
      <w:r>
        <w:rPr>
          <w:rFonts w:hint="eastAsia" w:asciiTheme="minorEastAsia" w:hAnsiTheme="minorEastAsia" w:eastAsiaTheme="minorEastAsia" w:cstheme="minorEastAsia"/>
          <w:color w:val="auto"/>
          <w:sz w:val="24"/>
          <w:szCs w:val="24"/>
          <w:highlight w:val="none"/>
        </w:rPr>
        <w:t>递交投标文件的，均为无效</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w:t>
      </w:r>
    </w:p>
    <w:p w14:paraId="3EF05FAD">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82"/>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rPr>
        <w:t>采用网上开标，远程解密投标响应文件，投标</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无须参加开标活动。</w:t>
      </w:r>
    </w:p>
    <w:p w14:paraId="41626DD9">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82"/>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远程解密、签字确认时间：本项目远程解密时间为</w:t>
      </w:r>
      <w:r>
        <w:rPr>
          <w:rFonts w:hint="eastAsia" w:asciiTheme="minorEastAsia" w:hAnsiTheme="minorEastAsia" w:eastAsiaTheme="minorEastAsia" w:cstheme="minorEastAsia"/>
          <w:color w:val="auto"/>
          <w:sz w:val="24"/>
          <w:szCs w:val="24"/>
          <w:highlight w:val="none"/>
          <w:lang w:val="en-US" w:eastAsia="zh-CN"/>
        </w:rPr>
        <w:t>30</w:t>
      </w:r>
      <w:r>
        <w:rPr>
          <w:rFonts w:hint="eastAsia" w:asciiTheme="minorEastAsia" w:hAnsiTheme="minorEastAsia" w:eastAsiaTheme="minorEastAsia" w:cstheme="minorEastAsia"/>
          <w:color w:val="auto"/>
          <w:sz w:val="24"/>
          <w:szCs w:val="24"/>
          <w:highlight w:val="none"/>
        </w:rPr>
        <w:t>分钟，签名确认时间为5分钟，请投标</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务必携带加密数字证书在规定的时间内完成投标响应文件解密和签名确认工作。若在规定的时间内不能成功完成网上远程解密的，则视为</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放弃此次投标；若未在签名确认时间内完成签名确认，则视为对本次开标无异议。</w:t>
      </w:r>
    </w:p>
    <w:p w14:paraId="1FE9DBE4">
      <w:pPr>
        <w:keepNext w:val="0"/>
        <w:keepLines w:val="0"/>
        <w:pageBreakBefore w:val="0"/>
        <w:widowControl w:val="0"/>
        <w:kinsoku w:val="0"/>
        <w:wordWrap w:val="0"/>
        <w:bidi w:val="0"/>
        <w:textAlignment w:val="auto"/>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br w:type="page"/>
      </w:r>
    </w:p>
    <w:p w14:paraId="682B8A52">
      <w:pPr>
        <w:pStyle w:val="2"/>
        <w:keepNext w:val="0"/>
        <w:keepLines w:val="0"/>
        <w:pageBreakBefore w:val="0"/>
        <w:widowControl w:val="0"/>
        <w:shd w:val="clear" w:color="auto" w:fill="auto"/>
        <w:tabs>
          <w:tab w:val="left" w:pos="360"/>
        </w:tabs>
        <w:kinsoku w:val="0"/>
        <w:wordWrap w:val="0"/>
        <w:bidi w:val="0"/>
        <w:ind w:left="0" w:firstLine="0"/>
        <w:jc w:val="center"/>
        <w:textAlignment w:val="auto"/>
        <w:rPr>
          <w:rFonts w:hint="eastAsia" w:asciiTheme="minorEastAsia" w:hAnsiTheme="minorEastAsia" w:eastAsiaTheme="minorEastAsia" w:cstheme="minorEastAsia"/>
          <w:color w:val="auto"/>
          <w:sz w:val="32"/>
          <w:szCs w:val="32"/>
          <w:highlight w:val="none"/>
        </w:rPr>
      </w:pPr>
      <w:bookmarkStart w:id="69" w:name="_Toc12031"/>
      <w:r>
        <w:rPr>
          <w:rFonts w:hint="eastAsia" w:asciiTheme="minorEastAsia" w:hAnsiTheme="minorEastAsia" w:eastAsiaTheme="minorEastAsia" w:cstheme="minorEastAsia"/>
          <w:color w:val="auto"/>
          <w:sz w:val="32"/>
          <w:szCs w:val="32"/>
          <w:highlight w:val="none"/>
        </w:rPr>
        <w:t>第</w:t>
      </w:r>
      <w:r>
        <w:rPr>
          <w:rFonts w:hint="eastAsia" w:asciiTheme="minorEastAsia" w:hAnsiTheme="minorEastAsia" w:eastAsiaTheme="minorEastAsia" w:cstheme="minorEastAsia"/>
          <w:color w:val="auto"/>
          <w:sz w:val="32"/>
          <w:szCs w:val="32"/>
          <w:highlight w:val="none"/>
          <w:lang w:val="en-US" w:eastAsia="zh-CN"/>
        </w:rPr>
        <w:t>三</w:t>
      </w:r>
      <w:r>
        <w:rPr>
          <w:rFonts w:hint="eastAsia" w:asciiTheme="minorEastAsia" w:hAnsiTheme="minorEastAsia" w:eastAsiaTheme="minorEastAsia" w:cstheme="minorEastAsia"/>
          <w:color w:val="auto"/>
          <w:sz w:val="32"/>
          <w:szCs w:val="32"/>
          <w:highlight w:val="none"/>
        </w:rPr>
        <w:t xml:space="preserve">章 </w:t>
      </w:r>
      <w:r>
        <w:rPr>
          <w:rFonts w:hint="eastAsia" w:asciiTheme="minorEastAsia" w:hAnsiTheme="minorEastAsia" w:eastAsiaTheme="minorEastAsia" w:cstheme="minorEastAsia"/>
          <w:color w:val="auto"/>
          <w:sz w:val="32"/>
          <w:szCs w:val="32"/>
          <w:highlight w:val="none"/>
          <w:lang w:eastAsia="zh-CN"/>
        </w:rPr>
        <w:t>评标办法</w:t>
      </w:r>
      <w:r>
        <w:rPr>
          <w:rFonts w:hint="eastAsia" w:asciiTheme="minorEastAsia" w:hAnsiTheme="minorEastAsia" w:eastAsiaTheme="minorEastAsia" w:cstheme="minorEastAsia"/>
          <w:color w:val="auto"/>
          <w:sz w:val="32"/>
          <w:szCs w:val="32"/>
          <w:highlight w:val="none"/>
        </w:rPr>
        <w:t>（综合评分法）</w:t>
      </w:r>
      <w:bookmarkEnd w:id="69"/>
    </w:p>
    <w:p w14:paraId="42074608">
      <w:pPr>
        <w:keepNext w:val="0"/>
        <w:keepLines w:val="0"/>
        <w:pageBreakBefore w:val="0"/>
        <w:widowControl w:val="0"/>
        <w:shd w:val="clear" w:color="auto" w:fill="auto"/>
        <w:kinsoku w:val="0"/>
        <w:wordWrap w:val="0"/>
        <w:bidi w:val="0"/>
        <w:jc w:val="left"/>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lang w:eastAsia="zh-CN"/>
        </w:rPr>
        <w:t>评标办法</w:t>
      </w:r>
      <w:r>
        <w:rPr>
          <w:rFonts w:hint="eastAsia" w:asciiTheme="minorEastAsia" w:hAnsiTheme="minorEastAsia" w:eastAsiaTheme="minorEastAsia" w:cstheme="minorEastAsia"/>
          <w:b/>
          <w:color w:val="auto"/>
          <w:sz w:val="24"/>
          <w:szCs w:val="24"/>
          <w:highlight w:val="none"/>
        </w:rPr>
        <w:t>前附表</w:t>
      </w:r>
    </w:p>
    <w:tbl>
      <w:tblPr>
        <w:tblStyle w:val="21"/>
        <w:tblpPr w:leftFromText="180" w:rightFromText="180" w:vertAnchor="text" w:tblpX="-335" w:tblpY="1"/>
        <w:tblOverlap w:val="never"/>
        <w:tblW w:w="960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4"/>
        <w:gridCol w:w="444"/>
        <w:gridCol w:w="3120"/>
        <w:gridCol w:w="5193"/>
      </w:tblGrid>
      <w:tr w14:paraId="6B362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288" w:type="dxa"/>
            <w:gridSpan w:val="2"/>
            <w:noWrap w:val="0"/>
            <w:vAlign w:val="center"/>
          </w:tcPr>
          <w:p w14:paraId="16ED7B0A">
            <w:pPr>
              <w:keepNext w:val="0"/>
              <w:keepLines w:val="0"/>
              <w:pageBreakBefore w:val="0"/>
              <w:widowControl w:val="0"/>
              <w:shd w:val="clear" w:color="auto" w:fill="auto"/>
              <w:kinsoku w:val="0"/>
              <w:wordWrap w:val="0"/>
              <w:overflowPunct/>
              <w:topLinePunct w:val="0"/>
              <w:autoSpaceDE/>
              <w:autoSpaceDN/>
              <w:bidi w:val="0"/>
              <w:snapToGrid/>
              <w:spacing w:line="360" w:lineRule="exact"/>
              <w:jc w:val="center"/>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条款号</w:t>
            </w:r>
          </w:p>
        </w:tc>
        <w:tc>
          <w:tcPr>
            <w:tcW w:w="3120" w:type="dxa"/>
            <w:noWrap w:val="0"/>
            <w:vAlign w:val="center"/>
          </w:tcPr>
          <w:p w14:paraId="58E5EA1B">
            <w:pPr>
              <w:keepNext w:val="0"/>
              <w:keepLines w:val="0"/>
              <w:pageBreakBefore w:val="0"/>
              <w:widowControl w:val="0"/>
              <w:shd w:val="clear" w:color="auto" w:fill="auto"/>
              <w:kinsoku w:val="0"/>
              <w:wordWrap w:val="0"/>
              <w:overflowPunct/>
              <w:topLinePunct w:val="0"/>
              <w:autoSpaceDE/>
              <w:autoSpaceDN/>
              <w:bidi w:val="0"/>
              <w:snapToGrid/>
              <w:spacing w:line="360" w:lineRule="exact"/>
              <w:jc w:val="center"/>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评 审 内 容</w:t>
            </w:r>
          </w:p>
        </w:tc>
        <w:tc>
          <w:tcPr>
            <w:tcW w:w="5193" w:type="dxa"/>
            <w:noWrap w:val="0"/>
            <w:vAlign w:val="center"/>
          </w:tcPr>
          <w:p w14:paraId="6285E5C4">
            <w:pPr>
              <w:keepNext w:val="0"/>
              <w:keepLines w:val="0"/>
              <w:pageBreakBefore w:val="0"/>
              <w:widowControl w:val="0"/>
              <w:shd w:val="clear" w:color="auto" w:fill="auto"/>
              <w:kinsoku w:val="0"/>
              <w:wordWrap w:val="0"/>
              <w:overflowPunct/>
              <w:topLinePunct w:val="0"/>
              <w:autoSpaceDE/>
              <w:autoSpaceDN/>
              <w:bidi w:val="0"/>
              <w:snapToGrid/>
              <w:spacing w:line="360" w:lineRule="exact"/>
              <w:jc w:val="center"/>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评 审 标 准</w:t>
            </w:r>
          </w:p>
        </w:tc>
      </w:tr>
      <w:tr w14:paraId="61E2B7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44" w:type="dxa"/>
            <w:vMerge w:val="restart"/>
            <w:tcBorders>
              <w:right w:val="single" w:color="auto" w:sz="4" w:space="0"/>
            </w:tcBorders>
            <w:noWrap w:val="0"/>
            <w:vAlign w:val="center"/>
          </w:tcPr>
          <w:p w14:paraId="65250E25">
            <w:pPr>
              <w:keepNext w:val="0"/>
              <w:keepLines w:val="0"/>
              <w:pageBreakBefore w:val="0"/>
              <w:widowControl w:val="0"/>
              <w:shd w:val="clear" w:color="auto" w:fill="auto"/>
              <w:kinsoku w:val="0"/>
              <w:wordWrap w:val="0"/>
              <w:overflowPunct/>
              <w:topLinePunct w:val="0"/>
              <w:autoSpaceDE/>
              <w:autoSpaceDN/>
              <w:bidi w:val="0"/>
              <w:snapToGrid/>
              <w:spacing w:before="100" w:beforeAutospacing="1" w:after="100" w:afterAutospacing="1" w:line="360" w:lineRule="exact"/>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2.1.1</w:t>
            </w:r>
          </w:p>
        </w:tc>
        <w:tc>
          <w:tcPr>
            <w:tcW w:w="444" w:type="dxa"/>
            <w:vMerge w:val="restart"/>
            <w:tcBorders>
              <w:top w:val="single" w:color="auto" w:sz="4" w:space="0"/>
              <w:left w:val="single" w:color="auto" w:sz="4" w:space="0"/>
              <w:right w:val="single" w:color="auto" w:sz="4" w:space="0"/>
            </w:tcBorders>
            <w:noWrap w:val="0"/>
            <w:vAlign w:val="center"/>
          </w:tcPr>
          <w:p w14:paraId="1CE705B6">
            <w:pPr>
              <w:keepNext w:val="0"/>
              <w:keepLines w:val="0"/>
              <w:pageBreakBefore w:val="0"/>
              <w:widowControl w:val="0"/>
              <w:shd w:val="clear" w:color="auto" w:fill="auto"/>
              <w:kinsoku w:val="0"/>
              <w:wordWrap w:val="0"/>
              <w:overflowPunct/>
              <w:topLinePunct w:val="0"/>
              <w:autoSpaceDE/>
              <w:autoSpaceDN/>
              <w:bidi w:val="0"/>
              <w:snapToGrid/>
              <w:spacing w:before="100" w:beforeAutospacing="1" w:after="100" w:afterAutospacing="1" w:line="360" w:lineRule="exact"/>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资格评审标准</w:t>
            </w:r>
          </w:p>
        </w:tc>
        <w:tc>
          <w:tcPr>
            <w:tcW w:w="3120" w:type="dxa"/>
            <w:tcBorders>
              <w:left w:val="single" w:color="auto" w:sz="4" w:space="0"/>
            </w:tcBorders>
            <w:noWrap w:val="0"/>
            <w:vAlign w:val="center"/>
          </w:tcPr>
          <w:p w14:paraId="70E6A467">
            <w:pPr>
              <w:keepNext w:val="0"/>
              <w:keepLines w:val="0"/>
              <w:pageBreakBefore w:val="0"/>
              <w:widowControl w:val="0"/>
              <w:shd w:val="clear" w:color="auto" w:fill="auto"/>
              <w:kinsoku w:val="0"/>
              <w:wordWrap w:val="0"/>
              <w:overflowPunct/>
              <w:topLinePunct w:val="0"/>
              <w:autoSpaceDE/>
              <w:autoSpaceDN/>
              <w:bidi w:val="0"/>
              <w:snapToGrid/>
              <w:spacing w:line="360" w:lineRule="exact"/>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供应商</w:t>
            </w:r>
            <w:r>
              <w:rPr>
                <w:rFonts w:hint="eastAsia" w:asciiTheme="minorEastAsia" w:hAnsiTheme="minorEastAsia" w:eastAsiaTheme="minorEastAsia" w:cstheme="minorEastAsia"/>
                <w:color w:val="auto"/>
                <w:sz w:val="24"/>
                <w:szCs w:val="24"/>
                <w:highlight w:val="none"/>
              </w:rPr>
              <w:t>须为在中华人民共和国注册</w:t>
            </w:r>
            <w:r>
              <w:rPr>
                <w:rFonts w:hint="eastAsia" w:asciiTheme="minorEastAsia" w:hAnsiTheme="minorEastAsia" w:eastAsiaTheme="minorEastAsia" w:cstheme="minorEastAsia"/>
                <w:color w:val="auto"/>
                <w:sz w:val="24"/>
                <w:szCs w:val="24"/>
                <w:highlight w:val="none"/>
                <w:lang w:val="en-US" w:eastAsia="zh-CN"/>
              </w:rPr>
              <w:t>且</w:t>
            </w:r>
            <w:r>
              <w:rPr>
                <w:rFonts w:hint="eastAsia" w:asciiTheme="minorEastAsia" w:hAnsiTheme="minorEastAsia" w:eastAsiaTheme="minorEastAsia" w:cstheme="minorEastAsia"/>
                <w:color w:val="auto"/>
                <w:sz w:val="24"/>
                <w:szCs w:val="24"/>
                <w:highlight w:val="none"/>
              </w:rPr>
              <w:t>具有独立承担民事责任能力的法人</w:t>
            </w:r>
            <w:r>
              <w:rPr>
                <w:rFonts w:hint="eastAsia" w:asciiTheme="minorEastAsia" w:hAnsiTheme="minorEastAsia" w:eastAsiaTheme="minorEastAsia" w:cstheme="minorEastAsia"/>
                <w:color w:val="auto"/>
                <w:sz w:val="24"/>
                <w:szCs w:val="24"/>
                <w:highlight w:val="none"/>
                <w:lang w:val="en-US" w:eastAsia="zh-CN"/>
              </w:rPr>
              <w:t>或</w:t>
            </w:r>
            <w:r>
              <w:rPr>
                <w:rFonts w:hint="eastAsia" w:asciiTheme="minorEastAsia" w:hAnsiTheme="minorEastAsia" w:eastAsiaTheme="minorEastAsia" w:cstheme="minorEastAsia"/>
                <w:color w:val="auto"/>
                <w:sz w:val="24"/>
                <w:szCs w:val="24"/>
                <w:highlight w:val="none"/>
              </w:rPr>
              <w:t>其他组织，</w:t>
            </w:r>
            <w:r>
              <w:rPr>
                <w:rFonts w:hint="eastAsia" w:asciiTheme="minorEastAsia" w:hAnsiTheme="minorEastAsia" w:eastAsiaTheme="minorEastAsia" w:cstheme="minorEastAsia"/>
                <w:color w:val="auto"/>
                <w:sz w:val="24"/>
                <w:szCs w:val="24"/>
                <w:highlight w:val="none"/>
                <w:lang w:val="en-US" w:eastAsia="zh-CN"/>
              </w:rPr>
              <w:t>具有</w:t>
            </w:r>
            <w:r>
              <w:rPr>
                <w:rFonts w:hint="eastAsia" w:asciiTheme="minorEastAsia" w:hAnsiTheme="minorEastAsia" w:eastAsiaTheme="minorEastAsia" w:cstheme="minorEastAsia"/>
                <w:color w:val="auto"/>
                <w:sz w:val="24"/>
                <w:szCs w:val="24"/>
                <w:highlight w:val="none"/>
              </w:rPr>
              <w:t>有效</w:t>
            </w:r>
            <w:r>
              <w:rPr>
                <w:rFonts w:hint="eastAsia" w:asciiTheme="minorEastAsia" w:hAnsiTheme="minorEastAsia" w:eastAsiaTheme="minorEastAsia" w:cstheme="minorEastAsia"/>
                <w:color w:val="auto"/>
                <w:sz w:val="24"/>
                <w:szCs w:val="24"/>
                <w:highlight w:val="none"/>
                <w:lang w:val="en-US" w:eastAsia="zh-CN"/>
              </w:rPr>
              <w:t>的</w:t>
            </w:r>
            <w:r>
              <w:rPr>
                <w:rFonts w:hint="eastAsia" w:asciiTheme="minorEastAsia" w:hAnsiTheme="minorEastAsia" w:eastAsiaTheme="minorEastAsia" w:cstheme="minorEastAsia"/>
                <w:color w:val="auto"/>
                <w:sz w:val="24"/>
                <w:szCs w:val="24"/>
                <w:highlight w:val="none"/>
              </w:rPr>
              <w:t>营业执照</w:t>
            </w:r>
            <w:r>
              <w:rPr>
                <w:rFonts w:hint="eastAsia" w:asciiTheme="minorEastAsia" w:hAnsiTheme="minorEastAsia" w:eastAsiaTheme="minorEastAsia" w:cstheme="minorEastAsia"/>
                <w:color w:val="auto"/>
                <w:sz w:val="24"/>
                <w:szCs w:val="24"/>
                <w:highlight w:val="none"/>
                <w:lang w:eastAsia="zh-CN"/>
              </w:rPr>
              <w:t>。</w:t>
            </w:r>
          </w:p>
        </w:tc>
        <w:tc>
          <w:tcPr>
            <w:tcW w:w="5193" w:type="dxa"/>
            <w:noWrap w:val="0"/>
            <w:vAlign w:val="center"/>
          </w:tcPr>
          <w:p w14:paraId="12C1A6E7">
            <w:pPr>
              <w:keepNext w:val="0"/>
              <w:keepLines w:val="0"/>
              <w:pageBreakBefore w:val="0"/>
              <w:widowControl w:val="0"/>
              <w:shd w:val="clear" w:color="auto" w:fill="auto"/>
              <w:kinsoku w:val="0"/>
              <w:wordWrap w:val="0"/>
              <w:overflowPunct/>
              <w:topLinePunct w:val="0"/>
              <w:autoSpaceDE/>
              <w:autoSpaceDN/>
              <w:bidi w:val="0"/>
              <w:snapToGrid/>
              <w:spacing w:before="100" w:beforeAutospacing="1" w:after="100" w:afterAutospacing="1" w:line="36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投标文件中提供</w:t>
            </w:r>
            <w:r>
              <w:rPr>
                <w:rFonts w:hint="eastAsia" w:asciiTheme="minorEastAsia" w:hAnsiTheme="minorEastAsia" w:eastAsiaTheme="minorEastAsia" w:cstheme="minorEastAsia"/>
                <w:color w:val="auto"/>
                <w:sz w:val="24"/>
                <w:szCs w:val="24"/>
                <w:highlight w:val="none"/>
                <w:lang w:val="en-US" w:eastAsia="zh-CN"/>
              </w:rPr>
              <w:t>原件</w:t>
            </w:r>
            <w:r>
              <w:rPr>
                <w:rFonts w:hint="eastAsia" w:asciiTheme="minorEastAsia" w:hAnsiTheme="minorEastAsia" w:eastAsiaTheme="minorEastAsia" w:cstheme="minorEastAsia"/>
                <w:color w:val="auto"/>
                <w:sz w:val="24"/>
                <w:szCs w:val="24"/>
                <w:highlight w:val="none"/>
              </w:rPr>
              <w:t>扫描件</w:t>
            </w:r>
          </w:p>
        </w:tc>
      </w:tr>
      <w:tr w14:paraId="1461E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44" w:type="dxa"/>
            <w:vMerge w:val="continue"/>
            <w:tcBorders>
              <w:right w:val="single" w:color="auto" w:sz="4" w:space="0"/>
            </w:tcBorders>
            <w:noWrap w:val="0"/>
            <w:vAlign w:val="center"/>
          </w:tcPr>
          <w:p w14:paraId="215EF99D">
            <w:pPr>
              <w:keepNext w:val="0"/>
              <w:keepLines w:val="0"/>
              <w:pageBreakBefore w:val="0"/>
              <w:widowControl w:val="0"/>
              <w:shd w:val="clear" w:color="auto" w:fill="auto"/>
              <w:kinsoku w:val="0"/>
              <w:wordWrap w:val="0"/>
              <w:overflowPunct/>
              <w:topLinePunct w:val="0"/>
              <w:autoSpaceDE/>
              <w:autoSpaceDN/>
              <w:bidi w:val="0"/>
              <w:snapToGrid/>
              <w:spacing w:before="100" w:beforeAutospacing="1" w:after="100" w:afterAutospacing="1" w:line="360" w:lineRule="exact"/>
              <w:jc w:val="center"/>
              <w:textAlignment w:val="auto"/>
              <w:rPr>
                <w:rFonts w:hint="eastAsia" w:asciiTheme="minorEastAsia" w:hAnsiTheme="minorEastAsia" w:eastAsiaTheme="minorEastAsia" w:cstheme="minorEastAsia"/>
                <w:color w:val="auto"/>
                <w:sz w:val="24"/>
                <w:szCs w:val="24"/>
                <w:highlight w:val="none"/>
              </w:rPr>
            </w:pPr>
          </w:p>
        </w:tc>
        <w:tc>
          <w:tcPr>
            <w:tcW w:w="444" w:type="dxa"/>
            <w:vMerge w:val="continue"/>
            <w:tcBorders>
              <w:left w:val="single" w:color="auto" w:sz="4" w:space="0"/>
              <w:right w:val="single" w:color="auto" w:sz="4" w:space="0"/>
            </w:tcBorders>
            <w:noWrap w:val="0"/>
            <w:vAlign w:val="center"/>
          </w:tcPr>
          <w:p w14:paraId="630B014D">
            <w:pPr>
              <w:keepNext w:val="0"/>
              <w:keepLines w:val="0"/>
              <w:pageBreakBefore w:val="0"/>
              <w:widowControl w:val="0"/>
              <w:shd w:val="clear" w:color="auto" w:fill="auto"/>
              <w:kinsoku w:val="0"/>
              <w:wordWrap w:val="0"/>
              <w:overflowPunct/>
              <w:topLinePunct w:val="0"/>
              <w:autoSpaceDE/>
              <w:autoSpaceDN/>
              <w:bidi w:val="0"/>
              <w:snapToGrid/>
              <w:spacing w:before="100" w:beforeAutospacing="1" w:after="100" w:afterAutospacing="1" w:line="360" w:lineRule="exact"/>
              <w:jc w:val="center"/>
              <w:textAlignment w:val="auto"/>
              <w:rPr>
                <w:rFonts w:hint="eastAsia" w:asciiTheme="minorEastAsia" w:hAnsiTheme="minorEastAsia" w:eastAsiaTheme="minorEastAsia" w:cstheme="minorEastAsia"/>
                <w:color w:val="auto"/>
                <w:sz w:val="24"/>
                <w:szCs w:val="24"/>
                <w:highlight w:val="none"/>
              </w:rPr>
            </w:pPr>
          </w:p>
        </w:tc>
        <w:tc>
          <w:tcPr>
            <w:tcW w:w="3120" w:type="dxa"/>
            <w:tcBorders>
              <w:left w:val="single" w:color="auto" w:sz="4" w:space="0"/>
            </w:tcBorders>
            <w:noWrap w:val="0"/>
            <w:vAlign w:val="center"/>
          </w:tcPr>
          <w:p w14:paraId="317CEFC0">
            <w:pPr>
              <w:keepNext w:val="0"/>
              <w:keepLines w:val="0"/>
              <w:pageBreakBefore w:val="0"/>
              <w:widowControl w:val="0"/>
              <w:shd w:val="clear" w:color="auto" w:fill="auto"/>
              <w:kinsoku w:val="0"/>
              <w:wordWrap w:val="0"/>
              <w:overflowPunct/>
              <w:topLinePunct w:val="0"/>
              <w:autoSpaceDE/>
              <w:autoSpaceDN/>
              <w:bidi w:val="0"/>
              <w:snapToGrid/>
              <w:spacing w:line="360" w:lineRule="exac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供应商须</w:t>
            </w:r>
            <w:r>
              <w:rPr>
                <w:rFonts w:hint="eastAsia" w:asciiTheme="minorEastAsia" w:hAnsiTheme="minorEastAsia" w:eastAsiaTheme="minorEastAsia" w:cstheme="minorEastAsia"/>
                <w:color w:val="auto"/>
                <w:sz w:val="24"/>
                <w:szCs w:val="24"/>
                <w:highlight w:val="none"/>
                <w:lang w:eastAsia="zh-CN"/>
              </w:rPr>
              <w:t>具有良好的商业信誉。</w:t>
            </w:r>
          </w:p>
        </w:tc>
        <w:tc>
          <w:tcPr>
            <w:tcW w:w="5193" w:type="dxa"/>
            <w:noWrap w:val="0"/>
            <w:vAlign w:val="center"/>
          </w:tcPr>
          <w:p w14:paraId="5F2000DB">
            <w:pPr>
              <w:keepNext w:val="0"/>
              <w:keepLines w:val="0"/>
              <w:pageBreakBefore w:val="0"/>
              <w:widowControl w:val="0"/>
              <w:shd w:val="clear" w:color="auto" w:fill="auto"/>
              <w:kinsoku w:val="0"/>
              <w:wordWrap w:val="0"/>
              <w:overflowPunct/>
              <w:topLinePunct w:val="0"/>
              <w:autoSpaceDE/>
              <w:autoSpaceDN/>
              <w:bidi w:val="0"/>
              <w:snapToGrid/>
              <w:spacing w:before="100" w:beforeAutospacing="1" w:after="100" w:afterAutospacing="1" w:line="36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投标文件中提供承诺书</w:t>
            </w:r>
          </w:p>
        </w:tc>
      </w:tr>
      <w:tr w14:paraId="09582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44" w:type="dxa"/>
            <w:vMerge w:val="continue"/>
            <w:tcBorders>
              <w:right w:val="single" w:color="auto" w:sz="4" w:space="0"/>
            </w:tcBorders>
            <w:noWrap w:val="0"/>
            <w:vAlign w:val="center"/>
          </w:tcPr>
          <w:p w14:paraId="0548C4B0">
            <w:pPr>
              <w:keepNext w:val="0"/>
              <w:keepLines w:val="0"/>
              <w:pageBreakBefore w:val="0"/>
              <w:widowControl w:val="0"/>
              <w:shd w:val="clear" w:color="auto" w:fill="auto"/>
              <w:kinsoku w:val="0"/>
              <w:wordWrap w:val="0"/>
              <w:overflowPunct/>
              <w:topLinePunct w:val="0"/>
              <w:autoSpaceDE/>
              <w:autoSpaceDN/>
              <w:bidi w:val="0"/>
              <w:snapToGrid/>
              <w:spacing w:before="100" w:beforeAutospacing="1" w:after="100" w:afterAutospacing="1" w:line="360" w:lineRule="exact"/>
              <w:jc w:val="center"/>
              <w:textAlignment w:val="auto"/>
              <w:rPr>
                <w:rFonts w:hint="eastAsia" w:asciiTheme="minorEastAsia" w:hAnsiTheme="minorEastAsia" w:eastAsiaTheme="minorEastAsia" w:cstheme="minorEastAsia"/>
                <w:color w:val="auto"/>
                <w:sz w:val="24"/>
                <w:szCs w:val="24"/>
                <w:highlight w:val="none"/>
              </w:rPr>
            </w:pPr>
          </w:p>
        </w:tc>
        <w:tc>
          <w:tcPr>
            <w:tcW w:w="444" w:type="dxa"/>
            <w:vMerge w:val="continue"/>
            <w:tcBorders>
              <w:left w:val="single" w:color="auto" w:sz="4" w:space="0"/>
              <w:right w:val="single" w:color="auto" w:sz="4" w:space="0"/>
            </w:tcBorders>
            <w:noWrap w:val="0"/>
            <w:vAlign w:val="center"/>
          </w:tcPr>
          <w:p w14:paraId="5A7BCAF3">
            <w:pPr>
              <w:keepNext w:val="0"/>
              <w:keepLines w:val="0"/>
              <w:pageBreakBefore w:val="0"/>
              <w:widowControl w:val="0"/>
              <w:shd w:val="clear" w:color="auto" w:fill="auto"/>
              <w:kinsoku w:val="0"/>
              <w:wordWrap w:val="0"/>
              <w:overflowPunct/>
              <w:topLinePunct w:val="0"/>
              <w:autoSpaceDE/>
              <w:autoSpaceDN/>
              <w:bidi w:val="0"/>
              <w:snapToGrid/>
              <w:spacing w:before="100" w:beforeAutospacing="1" w:after="100" w:afterAutospacing="1" w:line="360" w:lineRule="exact"/>
              <w:jc w:val="center"/>
              <w:textAlignment w:val="auto"/>
              <w:rPr>
                <w:rFonts w:hint="eastAsia" w:asciiTheme="minorEastAsia" w:hAnsiTheme="minorEastAsia" w:eastAsiaTheme="minorEastAsia" w:cstheme="minorEastAsia"/>
                <w:color w:val="auto"/>
                <w:sz w:val="24"/>
                <w:szCs w:val="24"/>
                <w:highlight w:val="none"/>
              </w:rPr>
            </w:pPr>
          </w:p>
        </w:tc>
        <w:tc>
          <w:tcPr>
            <w:tcW w:w="3120" w:type="dxa"/>
            <w:tcBorders>
              <w:left w:val="single" w:color="auto" w:sz="4" w:space="0"/>
            </w:tcBorders>
            <w:noWrap w:val="0"/>
            <w:vAlign w:val="center"/>
          </w:tcPr>
          <w:p w14:paraId="156132CF">
            <w:pPr>
              <w:keepNext w:val="0"/>
              <w:keepLines w:val="0"/>
              <w:pageBreakBefore w:val="0"/>
              <w:widowControl w:val="0"/>
              <w:shd w:val="clear" w:color="auto" w:fill="auto"/>
              <w:kinsoku w:val="0"/>
              <w:wordWrap w:val="0"/>
              <w:overflowPunct/>
              <w:topLinePunct w:val="0"/>
              <w:autoSpaceDE/>
              <w:autoSpaceDN/>
              <w:bidi w:val="0"/>
              <w:snapToGrid/>
              <w:spacing w:line="360" w:lineRule="exac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供应商须</w:t>
            </w:r>
            <w:r>
              <w:rPr>
                <w:rFonts w:hint="eastAsia" w:asciiTheme="minorEastAsia" w:hAnsiTheme="minorEastAsia" w:eastAsiaTheme="minorEastAsia" w:cstheme="minorEastAsia"/>
                <w:color w:val="auto"/>
                <w:sz w:val="24"/>
                <w:szCs w:val="24"/>
                <w:highlight w:val="none"/>
                <w:lang w:eastAsia="zh-CN"/>
              </w:rPr>
              <w:t>具有健全的财务会计制度，</w:t>
            </w:r>
            <w:r>
              <w:rPr>
                <w:rFonts w:hint="eastAsia" w:asciiTheme="minorEastAsia" w:hAnsiTheme="minorEastAsia" w:eastAsiaTheme="minorEastAsia" w:cstheme="minorEastAsia"/>
                <w:color w:val="auto"/>
                <w:sz w:val="24"/>
                <w:szCs w:val="24"/>
                <w:highlight w:val="none"/>
                <w:lang w:val="en-US" w:eastAsia="zh-CN"/>
              </w:rPr>
              <w:t>提供财务状况报告（财务报告或银行出具的资信证明或供应商应具备的财务资料）。</w:t>
            </w:r>
          </w:p>
        </w:tc>
        <w:tc>
          <w:tcPr>
            <w:tcW w:w="5193" w:type="dxa"/>
            <w:noWrap w:val="0"/>
            <w:vAlign w:val="center"/>
          </w:tcPr>
          <w:p w14:paraId="66DC2A9D">
            <w:pPr>
              <w:keepNext w:val="0"/>
              <w:keepLines w:val="0"/>
              <w:pageBreakBefore w:val="0"/>
              <w:widowControl w:val="0"/>
              <w:shd w:val="clear" w:color="auto" w:fill="auto"/>
              <w:kinsoku w:val="0"/>
              <w:wordWrap w:val="0"/>
              <w:overflowPunct/>
              <w:topLinePunct w:val="0"/>
              <w:autoSpaceDE/>
              <w:autoSpaceDN/>
              <w:bidi w:val="0"/>
              <w:snapToGrid/>
              <w:spacing w:before="100" w:beforeAutospacing="1" w:after="100" w:afterAutospacing="1" w:line="36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投标文件中提供</w:t>
            </w:r>
            <w:r>
              <w:rPr>
                <w:rFonts w:hint="eastAsia" w:asciiTheme="minorEastAsia" w:hAnsiTheme="minorEastAsia" w:eastAsiaTheme="minorEastAsia" w:cstheme="minorEastAsia"/>
                <w:color w:val="auto"/>
                <w:sz w:val="24"/>
                <w:szCs w:val="24"/>
                <w:highlight w:val="none"/>
                <w:lang w:val="en-US" w:eastAsia="zh-CN"/>
              </w:rPr>
              <w:t>原件</w:t>
            </w:r>
            <w:r>
              <w:rPr>
                <w:rFonts w:hint="eastAsia" w:asciiTheme="minorEastAsia" w:hAnsiTheme="minorEastAsia" w:eastAsiaTheme="minorEastAsia" w:cstheme="minorEastAsia"/>
                <w:color w:val="auto"/>
                <w:sz w:val="24"/>
                <w:szCs w:val="24"/>
                <w:highlight w:val="none"/>
              </w:rPr>
              <w:t>扫描件</w:t>
            </w:r>
          </w:p>
        </w:tc>
      </w:tr>
      <w:tr w14:paraId="444A4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44" w:type="dxa"/>
            <w:vMerge w:val="continue"/>
            <w:tcBorders>
              <w:right w:val="single" w:color="auto" w:sz="4" w:space="0"/>
            </w:tcBorders>
            <w:noWrap w:val="0"/>
            <w:vAlign w:val="center"/>
          </w:tcPr>
          <w:p w14:paraId="7AD7332C">
            <w:pPr>
              <w:keepNext w:val="0"/>
              <w:keepLines w:val="0"/>
              <w:pageBreakBefore w:val="0"/>
              <w:widowControl w:val="0"/>
              <w:shd w:val="clear" w:color="auto" w:fill="auto"/>
              <w:kinsoku w:val="0"/>
              <w:wordWrap w:val="0"/>
              <w:overflowPunct/>
              <w:topLinePunct w:val="0"/>
              <w:autoSpaceDE/>
              <w:autoSpaceDN/>
              <w:bidi w:val="0"/>
              <w:snapToGrid/>
              <w:spacing w:before="100" w:beforeAutospacing="1" w:after="100" w:afterAutospacing="1" w:line="360" w:lineRule="exact"/>
              <w:jc w:val="center"/>
              <w:textAlignment w:val="auto"/>
              <w:rPr>
                <w:rFonts w:hint="eastAsia" w:asciiTheme="minorEastAsia" w:hAnsiTheme="minorEastAsia" w:eastAsiaTheme="minorEastAsia" w:cstheme="minorEastAsia"/>
                <w:color w:val="auto"/>
                <w:sz w:val="24"/>
                <w:szCs w:val="24"/>
                <w:highlight w:val="none"/>
              </w:rPr>
            </w:pPr>
          </w:p>
        </w:tc>
        <w:tc>
          <w:tcPr>
            <w:tcW w:w="444" w:type="dxa"/>
            <w:vMerge w:val="continue"/>
            <w:tcBorders>
              <w:left w:val="single" w:color="auto" w:sz="4" w:space="0"/>
              <w:right w:val="single" w:color="auto" w:sz="4" w:space="0"/>
            </w:tcBorders>
            <w:noWrap w:val="0"/>
            <w:vAlign w:val="center"/>
          </w:tcPr>
          <w:p w14:paraId="655D80C3">
            <w:pPr>
              <w:keepNext w:val="0"/>
              <w:keepLines w:val="0"/>
              <w:pageBreakBefore w:val="0"/>
              <w:widowControl w:val="0"/>
              <w:shd w:val="clear" w:color="auto" w:fill="auto"/>
              <w:kinsoku w:val="0"/>
              <w:wordWrap w:val="0"/>
              <w:overflowPunct/>
              <w:topLinePunct w:val="0"/>
              <w:autoSpaceDE/>
              <w:autoSpaceDN/>
              <w:bidi w:val="0"/>
              <w:snapToGrid/>
              <w:spacing w:before="100" w:beforeAutospacing="1" w:after="100" w:afterAutospacing="1" w:line="360" w:lineRule="exact"/>
              <w:jc w:val="center"/>
              <w:textAlignment w:val="auto"/>
              <w:rPr>
                <w:rFonts w:hint="eastAsia" w:asciiTheme="minorEastAsia" w:hAnsiTheme="minorEastAsia" w:eastAsiaTheme="minorEastAsia" w:cstheme="minorEastAsia"/>
                <w:color w:val="auto"/>
                <w:sz w:val="24"/>
                <w:szCs w:val="24"/>
                <w:highlight w:val="none"/>
              </w:rPr>
            </w:pPr>
          </w:p>
        </w:tc>
        <w:tc>
          <w:tcPr>
            <w:tcW w:w="3120" w:type="dxa"/>
            <w:tcBorders>
              <w:left w:val="single" w:color="auto" w:sz="4" w:space="0"/>
            </w:tcBorders>
            <w:noWrap w:val="0"/>
            <w:vAlign w:val="center"/>
          </w:tcPr>
          <w:p w14:paraId="4A9F6C6A">
            <w:pPr>
              <w:keepNext w:val="0"/>
              <w:keepLines w:val="0"/>
              <w:pageBreakBefore w:val="0"/>
              <w:widowControl w:val="0"/>
              <w:shd w:val="clear" w:color="auto" w:fill="auto"/>
              <w:kinsoku w:val="0"/>
              <w:wordWrap w:val="0"/>
              <w:overflowPunct/>
              <w:topLinePunct w:val="0"/>
              <w:autoSpaceDE/>
              <w:autoSpaceDN/>
              <w:bidi w:val="0"/>
              <w:snapToGrid/>
              <w:spacing w:line="360" w:lineRule="exac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供应商须</w:t>
            </w:r>
            <w:r>
              <w:rPr>
                <w:rFonts w:hint="eastAsia" w:asciiTheme="minorEastAsia" w:hAnsiTheme="minorEastAsia" w:eastAsiaTheme="minorEastAsia" w:cstheme="minorEastAsia"/>
                <w:color w:val="auto"/>
                <w:sz w:val="24"/>
                <w:szCs w:val="24"/>
                <w:highlight w:val="none"/>
              </w:rPr>
              <w:t>具有履行合同所必需的设备和专业技术能力</w:t>
            </w:r>
            <w:r>
              <w:rPr>
                <w:rFonts w:hint="eastAsia" w:asciiTheme="minorEastAsia" w:hAnsiTheme="minorEastAsia" w:eastAsiaTheme="minorEastAsia" w:cstheme="minorEastAsia"/>
                <w:color w:val="auto"/>
                <w:sz w:val="24"/>
                <w:szCs w:val="24"/>
                <w:highlight w:val="none"/>
                <w:lang w:eastAsia="zh-CN"/>
              </w:rPr>
              <w:t>。</w:t>
            </w:r>
          </w:p>
        </w:tc>
        <w:tc>
          <w:tcPr>
            <w:tcW w:w="5193" w:type="dxa"/>
            <w:noWrap w:val="0"/>
            <w:vAlign w:val="center"/>
          </w:tcPr>
          <w:p w14:paraId="4E136CD8">
            <w:pPr>
              <w:keepNext w:val="0"/>
              <w:keepLines w:val="0"/>
              <w:pageBreakBefore w:val="0"/>
              <w:widowControl w:val="0"/>
              <w:shd w:val="clear" w:color="auto" w:fill="auto"/>
              <w:kinsoku w:val="0"/>
              <w:wordWrap w:val="0"/>
              <w:overflowPunct/>
              <w:topLinePunct w:val="0"/>
              <w:autoSpaceDE/>
              <w:autoSpaceDN/>
              <w:bidi w:val="0"/>
              <w:snapToGrid/>
              <w:spacing w:before="100" w:beforeAutospacing="1" w:after="100" w:afterAutospacing="1" w:line="36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投标文件中提供承诺书</w:t>
            </w:r>
          </w:p>
        </w:tc>
      </w:tr>
      <w:tr w14:paraId="11989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44" w:type="dxa"/>
            <w:vMerge w:val="continue"/>
            <w:tcBorders>
              <w:right w:val="single" w:color="auto" w:sz="4" w:space="0"/>
            </w:tcBorders>
            <w:noWrap w:val="0"/>
            <w:vAlign w:val="center"/>
          </w:tcPr>
          <w:p w14:paraId="0EA7B9B2">
            <w:pPr>
              <w:keepNext w:val="0"/>
              <w:keepLines w:val="0"/>
              <w:pageBreakBefore w:val="0"/>
              <w:widowControl w:val="0"/>
              <w:shd w:val="clear" w:color="auto" w:fill="auto"/>
              <w:kinsoku w:val="0"/>
              <w:wordWrap w:val="0"/>
              <w:overflowPunct/>
              <w:topLinePunct w:val="0"/>
              <w:autoSpaceDE/>
              <w:autoSpaceDN/>
              <w:bidi w:val="0"/>
              <w:snapToGrid/>
              <w:spacing w:before="100" w:beforeAutospacing="1" w:after="100" w:afterAutospacing="1" w:line="360" w:lineRule="exact"/>
              <w:jc w:val="center"/>
              <w:textAlignment w:val="auto"/>
              <w:rPr>
                <w:rFonts w:hint="eastAsia" w:asciiTheme="minorEastAsia" w:hAnsiTheme="minorEastAsia" w:eastAsiaTheme="minorEastAsia" w:cstheme="minorEastAsia"/>
                <w:color w:val="auto"/>
                <w:sz w:val="24"/>
                <w:szCs w:val="24"/>
                <w:highlight w:val="none"/>
              </w:rPr>
            </w:pPr>
          </w:p>
        </w:tc>
        <w:tc>
          <w:tcPr>
            <w:tcW w:w="444" w:type="dxa"/>
            <w:vMerge w:val="continue"/>
            <w:tcBorders>
              <w:left w:val="single" w:color="auto" w:sz="4" w:space="0"/>
              <w:right w:val="single" w:color="auto" w:sz="4" w:space="0"/>
            </w:tcBorders>
            <w:noWrap w:val="0"/>
            <w:vAlign w:val="center"/>
          </w:tcPr>
          <w:p w14:paraId="3DDBB662">
            <w:pPr>
              <w:keepNext w:val="0"/>
              <w:keepLines w:val="0"/>
              <w:pageBreakBefore w:val="0"/>
              <w:widowControl w:val="0"/>
              <w:shd w:val="clear" w:color="auto" w:fill="auto"/>
              <w:kinsoku w:val="0"/>
              <w:wordWrap w:val="0"/>
              <w:overflowPunct/>
              <w:topLinePunct w:val="0"/>
              <w:autoSpaceDE/>
              <w:autoSpaceDN/>
              <w:bidi w:val="0"/>
              <w:snapToGrid/>
              <w:spacing w:before="100" w:beforeAutospacing="1" w:after="100" w:afterAutospacing="1" w:line="360" w:lineRule="exact"/>
              <w:jc w:val="center"/>
              <w:textAlignment w:val="auto"/>
              <w:rPr>
                <w:rFonts w:hint="eastAsia" w:asciiTheme="minorEastAsia" w:hAnsiTheme="minorEastAsia" w:eastAsiaTheme="minorEastAsia" w:cstheme="minorEastAsia"/>
                <w:color w:val="auto"/>
                <w:sz w:val="24"/>
                <w:szCs w:val="24"/>
                <w:highlight w:val="none"/>
              </w:rPr>
            </w:pPr>
          </w:p>
        </w:tc>
        <w:tc>
          <w:tcPr>
            <w:tcW w:w="3120" w:type="dxa"/>
            <w:tcBorders>
              <w:left w:val="single" w:color="auto" w:sz="4" w:space="0"/>
            </w:tcBorders>
            <w:noWrap w:val="0"/>
            <w:vAlign w:val="center"/>
          </w:tcPr>
          <w:p w14:paraId="31740B19">
            <w:pPr>
              <w:keepNext w:val="0"/>
              <w:keepLines w:val="0"/>
              <w:pageBreakBefore w:val="0"/>
              <w:widowControl w:val="0"/>
              <w:shd w:val="clear" w:color="auto" w:fill="auto"/>
              <w:kinsoku w:val="0"/>
              <w:wordWrap w:val="0"/>
              <w:overflowPunct/>
              <w:topLinePunct w:val="0"/>
              <w:autoSpaceDE/>
              <w:autoSpaceDN/>
              <w:bidi w:val="0"/>
              <w:snapToGrid/>
              <w:spacing w:line="360" w:lineRule="exac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供应商须具有依法缴纳税收和社保资金的良好记录，具有相关证明材料（新成立不满3个月的供应商，提供情况说明或未拖欠税收、社保资金承诺或证明材料）；依法免税或不需要缴纳社会保障资金的供应商，应具有相应证明文件。</w:t>
            </w:r>
          </w:p>
        </w:tc>
        <w:tc>
          <w:tcPr>
            <w:tcW w:w="5193" w:type="dxa"/>
            <w:noWrap w:val="0"/>
            <w:vAlign w:val="center"/>
          </w:tcPr>
          <w:p w14:paraId="1C44175A">
            <w:pPr>
              <w:keepNext w:val="0"/>
              <w:keepLines w:val="0"/>
              <w:pageBreakBefore w:val="0"/>
              <w:widowControl w:val="0"/>
              <w:shd w:val="clear" w:color="auto" w:fill="auto"/>
              <w:kinsoku w:val="0"/>
              <w:wordWrap w:val="0"/>
              <w:overflowPunct/>
              <w:topLinePunct w:val="0"/>
              <w:autoSpaceDE/>
              <w:autoSpaceDN/>
              <w:bidi w:val="0"/>
              <w:snapToGrid/>
              <w:spacing w:before="100" w:beforeAutospacing="1" w:after="100" w:afterAutospacing="1" w:line="36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投标文件中提供</w:t>
            </w:r>
            <w:r>
              <w:rPr>
                <w:rFonts w:hint="eastAsia" w:asciiTheme="minorEastAsia" w:hAnsiTheme="minorEastAsia" w:eastAsiaTheme="minorEastAsia" w:cstheme="minorEastAsia"/>
                <w:color w:val="auto"/>
                <w:sz w:val="24"/>
                <w:szCs w:val="24"/>
                <w:highlight w:val="none"/>
                <w:lang w:val="en-US" w:eastAsia="zh-CN"/>
              </w:rPr>
              <w:t>原件</w:t>
            </w:r>
            <w:r>
              <w:rPr>
                <w:rFonts w:hint="eastAsia" w:asciiTheme="minorEastAsia" w:hAnsiTheme="minorEastAsia" w:eastAsiaTheme="minorEastAsia" w:cstheme="minorEastAsia"/>
                <w:color w:val="auto"/>
                <w:sz w:val="24"/>
                <w:szCs w:val="24"/>
                <w:highlight w:val="none"/>
              </w:rPr>
              <w:t>扫描件</w:t>
            </w:r>
          </w:p>
        </w:tc>
      </w:tr>
      <w:tr w14:paraId="0A875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44" w:type="dxa"/>
            <w:vMerge w:val="continue"/>
            <w:tcBorders>
              <w:right w:val="single" w:color="auto" w:sz="4" w:space="0"/>
            </w:tcBorders>
            <w:noWrap w:val="0"/>
            <w:vAlign w:val="center"/>
          </w:tcPr>
          <w:p w14:paraId="64A3E568">
            <w:pPr>
              <w:keepNext w:val="0"/>
              <w:keepLines w:val="0"/>
              <w:pageBreakBefore w:val="0"/>
              <w:widowControl w:val="0"/>
              <w:shd w:val="clear" w:color="auto" w:fill="auto"/>
              <w:kinsoku w:val="0"/>
              <w:wordWrap w:val="0"/>
              <w:overflowPunct/>
              <w:topLinePunct w:val="0"/>
              <w:autoSpaceDE/>
              <w:autoSpaceDN/>
              <w:bidi w:val="0"/>
              <w:snapToGrid/>
              <w:spacing w:before="100" w:beforeAutospacing="1" w:after="100" w:afterAutospacing="1" w:line="360" w:lineRule="exact"/>
              <w:jc w:val="center"/>
              <w:textAlignment w:val="auto"/>
              <w:rPr>
                <w:rFonts w:hint="eastAsia" w:asciiTheme="minorEastAsia" w:hAnsiTheme="minorEastAsia" w:eastAsiaTheme="minorEastAsia" w:cstheme="minorEastAsia"/>
                <w:color w:val="auto"/>
                <w:sz w:val="24"/>
                <w:szCs w:val="24"/>
                <w:highlight w:val="none"/>
              </w:rPr>
            </w:pPr>
          </w:p>
        </w:tc>
        <w:tc>
          <w:tcPr>
            <w:tcW w:w="444" w:type="dxa"/>
            <w:vMerge w:val="continue"/>
            <w:tcBorders>
              <w:left w:val="single" w:color="auto" w:sz="4" w:space="0"/>
              <w:right w:val="single" w:color="auto" w:sz="4" w:space="0"/>
            </w:tcBorders>
            <w:noWrap w:val="0"/>
            <w:vAlign w:val="center"/>
          </w:tcPr>
          <w:p w14:paraId="168CD70B">
            <w:pPr>
              <w:keepNext w:val="0"/>
              <w:keepLines w:val="0"/>
              <w:pageBreakBefore w:val="0"/>
              <w:widowControl w:val="0"/>
              <w:shd w:val="clear" w:color="auto" w:fill="auto"/>
              <w:kinsoku w:val="0"/>
              <w:wordWrap w:val="0"/>
              <w:overflowPunct/>
              <w:topLinePunct w:val="0"/>
              <w:autoSpaceDE/>
              <w:autoSpaceDN/>
              <w:bidi w:val="0"/>
              <w:snapToGrid/>
              <w:spacing w:before="100" w:beforeAutospacing="1" w:after="100" w:afterAutospacing="1" w:line="360" w:lineRule="exact"/>
              <w:jc w:val="center"/>
              <w:textAlignment w:val="auto"/>
              <w:rPr>
                <w:rFonts w:hint="eastAsia" w:asciiTheme="minorEastAsia" w:hAnsiTheme="minorEastAsia" w:eastAsiaTheme="minorEastAsia" w:cstheme="minorEastAsia"/>
                <w:color w:val="auto"/>
                <w:sz w:val="24"/>
                <w:szCs w:val="24"/>
                <w:highlight w:val="none"/>
              </w:rPr>
            </w:pPr>
          </w:p>
        </w:tc>
        <w:tc>
          <w:tcPr>
            <w:tcW w:w="3120" w:type="dxa"/>
            <w:tcBorders>
              <w:left w:val="single" w:color="auto" w:sz="4" w:space="0"/>
            </w:tcBorders>
            <w:noWrap w:val="0"/>
            <w:vAlign w:val="center"/>
          </w:tcPr>
          <w:p w14:paraId="109293B7">
            <w:pPr>
              <w:keepNext w:val="0"/>
              <w:keepLines w:val="0"/>
              <w:pageBreakBefore w:val="0"/>
              <w:widowControl w:val="0"/>
              <w:shd w:val="clear" w:color="auto" w:fill="auto"/>
              <w:kinsoku w:val="0"/>
              <w:wordWrap w:val="0"/>
              <w:overflowPunct/>
              <w:topLinePunct w:val="0"/>
              <w:autoSpaceDE/>
              <w:autoSpaceDN/>
              <w:bidi w:val="0"/>
              <w:snapToGrid/>
              <w:spacing w:line="360" w:lineRule="exact"/>
              <w:jc w:val="lef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供应商</w:t>
            </w:r>
            <w:r>
              <w:rPr>
                <w:rFonts w:hint="eastAsia" w:ascii="宋体" w:hAnsi="宋体" w:eastAsia="宋体" w:cs="宋体"/>
                <w:color w:val="auto"/>
                <w:sz w:val="24"/>
                <w:szCs w:val="24"/>
                <w:highlight w:val="none"/>
                <w:u w:val="none"/>
                <w:lang w:val="en-US" w:eastAsia="zh-CN"/>
              </w:rPr>
              <w:t>参加政府采购活动前三年内，在经营活动中没有重大违法记录（重大违法记录是指供应商因违法经营受到刑事处罚或者责令停产停业、吊销许可证或者执照、较大数额罚款等行政处罚）</w:t>
            </w:r>
            <w:r>
              <w:rPr>
                <w:rFonts w:hint="eastAsia" w:ascii="宋体" w:hAnsi="宋体" w:cs="宋体"/>
                <w:color w:val="auto"/>
                <w:sz w:val="24"/>
                <w:szCs w:val="24"/>
                <w:highlight w:val="none"/>
                <w:u w:val="none"/>
                <w:lang w:val="en-US" w:eastAsia="zh-CN"/>
              </w:rPr>
              <w:t>。</w:t>
            </w:r>
          </w:p>
        </w:tc>
        <w:tc>
          <w:tcPr>
            <w:tcW w:w="5193" w:type="dxa"/>
            <w:noWrap w:val="0"/>
            <w:vAlign w:val="center"/>
          </w:tcPr>
          <w:p w14:paraId="2EF07673">
            <w:pPr>
              <w:pStyle w:val="9"/>
              <w:keepNext w:val="0"/>
              <w:keepLines w:val="0"/>
              <w:pageBreakBefore w:val="0"/>
              <w:widowControl w:val="0"/>
              <w:shd w:val="clear" w:color="auto" w:fill="auto"/>
              <w:kinsoku w:val="0"/>
              <w:wordWrap w:val="0"/>
              <w:overflowPunct/>
              <w:topLinePunct w:val="0"/>
              <w:autoSpaceDE/>
              <w:autoSpaceDN/>
              <w:bidi w:val="0"/>
              <w:snapToGrid/>
              <w:spacing w:line="36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投标文件中提供声明函</w:t>
            </w:r>
          </w:p>
        </w:tc>
      </w:tr>
      <w:tr w14:paraId="36D16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44" w:type="dxa"/>
            <w:vMerge w:val="continue"/>
            <w:tcBorders>
              <w:right w:val="single" w:color="auto" w:sz="4" w:space="0"/>
            </w:tcBorders>
            <w:noWrap w:val="0"/>
            <w:vAlign w:val="center"/>
          </w:tcPr>
          <w:p w14:paraId="64D8758C">
            <w:pPr>
              <w:keepNext w:val="0"/>
              <w:keepLines w:val="0"/>
              <w:pageBreakBefore w:val="0"/>
              <w:widowControl w:val="0"/>
              <w:shd w:val="clear" w:color="auto" w:fill="auto"/>
              <w:kinsoku w:val="0"/>
              <w:wordWrap w:val="0"/>
              <w:overflowPunct/>
              <w:topLinePunct w:val="0"/>
              <w:autoSpaceDE/>
              <w:autoSpaceDN/>
              <w:bidi w:val="0"/>
              <w:snapToGrid/>
              <w:spacing w:before="100" w:beforeAutospacing="1" w:after="100" w:afterAutospacing="1" w:line="360" w:lineRule="exact"/>
              <w:jc w:val="center"/>
              <w:textAlignment w:val="auto"/>
              <w:rPr>
                <w:rFonts w:hint="eastAsia" w:asciiTheme="minorEastAsia" w:hAnsiTheme="minorEastAsia" w:eastAsiaTheme="minorEastAsia" w:cstheme="minorEastAsia"/>
                <w:color w:val="auto"/>
                <w:sz w:val="24"/>
                <w:szCs w:val="24"/>
                <w:highlight w:val="none"/>
              </w:rPr>
            </w:pPr>
          </w:p>
        </w:tc>
        <w:tc>
          <w:tcPr>
            <w:tcW w:w="444" w:type="dxa"/>
            <w:vMerge w:val="continue"/>
            <w:tcBorders>
              <w:left w:val="single" w:color="auto" w:sz="4" w:space="0"/>
              <w:right w:val="single" w:color="auto" w:sz="4" w:space="0"/>
            </w:tcBorders>
            <w:noWrap w:val="0"/>
            <w:vAlign w:val="center"/>
          </w:tcPr>
          <w:p w14:paraId="59F85FFB">
            <w:pPr>
              <w:keepNext w:val="0"/>
              <w:keepLines w:val="0"/>
              <w:pageBreakBefore w:val="0"/>
              <w:widowControl w:val="0"/>
              <w:shd w:val="clear" w:color="auto" w:fill="auto"/>
              <w:kinsoku w:val="0"/>
              <w:wordWrap w:val="0"/>
              <w:overflowPunct/>
              <w:topLinePunct w:val="0"/>
              <w:autoSpaceDE/>
              <w:autoSpaceDN/>
              <w:bidi w:val="0"/>
              <w:snapToGrid/>
              <w:spacing w:before="100" w:beforeAutospacing="1" w:after="100" w:afterAutospacing="1" w:line="360" w:lineRule="exact"/>
              <w:jc w:val="center"/>
              <w:textAlignment w:val="auto"/>
              <w:rPr>
                <w:rFonts w:hint="eastAsia" w:asciiTheme="minorEastAsia" w:hAnsiTheme="minorEastAsia" w:eastAsiaTheme="minorEastAsia" w:cstheme="minorEastAsia"/>
                <w:color w:val="auto"/>
                <w:sz w:val="24"/>
                <w:szCs w:val="24"/>
                <w:highlight w:val="none"/>
              </w:rPr>
            </w:pPr>
          </w:p>
        </w:tc>
        <w:tc>
          <w:tcPr>
            <w:tcW w:w="3120" w:type="dxa"/>
            <w:tcBorders>
              <w:left w:val="single" w:color="auto" w:sz="4" w:space="0"/>
            </w:tcBorders>
            <w:noWrap w:val="0"/>
            <w:vAlign w:val="center"/>
          </w:tcPr>
          <w:p w14:paraId="7242474E">
            <w:pPr>
              <w:keepNext w:val="0"/>
              <w:keepLines w:val="0"/>
              <w:pageBreakBefore w:val="0"/>
              <w:widowControl w:val="0"/>
              <w:shd w:val="clear" w:color="auto" w:fill="auto"/>
              <w:kinsoku w:val="0"/>
              <w:wordWrap w:val="0"/>
              <w:overflowPunct/>
              <w:topLinePunct w:val="0"/>
              <w:autoSpaceDE/>
              <w:autoSpaceDN/>
              <w:bidi w:val="0"/>
              <w:snapToGrid/>
              <w:spacing w:line="360" w:lineRule="exac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供应商未被列入信用中国网站（www.creditchina.gov.cn）公布的“失信被执行人”、“重大税收违法失信主体”；未被列入中国政府采购网（www.ccgp.gov.cn）公布的“政府采购严重违法失信行为信息记录”（被禁止在一定期限内参加政府采购活动但期限届满的除外）。</w:t>
            </w:r>
          </w:p>
        </w:tc>
        <w:tc>
          <w:tcPr>
            <w:tcW w:w="5193" w:type="dxa"/>
            <w:noWrap w:val="0"/>
            <w:vAlign w:val="center"/>
          </w:tcPr>
          <w:p w14:paraId="52B47E33">
            <w:pPr>
              <w:keepNext w:val="0"/>
              <w:keepLines w:val="0"/>
              <w:pageBreakBefore w:val="0"/>
              <w:widowControl w:val="0"/>
              <w:shd w:val="clear" w:color="auto" w:fill="auto"/>
              <w:kinsoku w:val="0"/>
              <w:wordWrap w:val="0"/>
              <w:overflowPunct/>
              <w:topLinePunct w:val="0"/>
              <w:autoSpaceDE/>
              <w:autoSpaceDN/>
              <w:bidi w:val="0"/>
              <w:snapToGrid/>
              <w:spacing w:before="100" w:beforeAutospacing="1" w:after="100" w:afterAutospacing="1" w:line="360" w:lineRule="exact"/>
              <w:textAlignment w:val="auto"/>
              <w:rPr>
                <w:rFonts w:hint="default"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sz w:val="24"/>
                <w:szCs w:val="24"/>
                <w:highlight w:val="none"/>
                <w:lang w:val="en-US" w:eastAsia="zh-CN"/>
              </w:rPr>
              <w:t>提供相关证明材料</w:t>
            </w:r>
          </w:p>
        </w:tc>
      </w:tr>
      <w:tr w14:paraId="775AF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44" w:type="dxa"/>
            <w:vMerge w:val="continue"/>
            <w:tcBorders>
              <w:right w:val="single" w:color="auto" w:sz="4" w:space="0"/>
            </w:tcBorders>
            <w:noWrap w:val="0"/>
            <w:vAlign w:val="center"/>
          </w:tcPr>
          <w:p w14:paraId="648D7395">
            <w:pPr>
              <w:keepNext w:val="0"/>
              <w:keepLines w:val="0"/>
              <w:pageBreakBefore w:val="0"/>
              <w:widowControl w:val="0"/>
              <w:shd w:val="clear" w:color="auto" w:fill="auto"/>
              <w:kinsoku w:val="0"/>
              <w:wordWrap w:val="0"/>
              <w:overflowPunct/>
              <w:topLinePunct w:val="0"/>
              <w:autoSpaceDE/>
              <w:autoSpaceDN/>
              <w:bidi w:val="0"/>
              <w:snapToGrid/>
              <w:spacing w:before="100" w:beforeAutospacing="1" w:after="100" w:afterAutospacing="1" w:line="360" w:lineRule="exact"/>
              <w:jc w:val="center"/>
              <w:textAlignment w:val="auto"/>
              <w:rPr>
                <w:rFonts w:hint="eastAsia" w:asciiTheme="minorEastAsia" w:hAnsiTheme="minorEastAsia" w:eastAsiaTheme="minorEastAsia" w:cstheme="minorEastAsia"/>
                <w:color w:val="auto"/>
                <w:sz w:val="24"/>
                <w:szCs w:val="24"/>
                <w:highlight w:val="none"/>
              </w:rPr>
            </w:pPr>
          </w:p>
        </w:tc>
        <w:tc>
          <w:tcPr>
            <w:tcW w:w="444" w:type="dxa"/>
            <w:vMerge w:val="continue"/>
            <w:tcBorders>
              <w:left w:val="single" w:color="auto" w:sz="4" w:space="0"/>
              <w:right w:val="single" w:color="auto" w:sz="4" w:space="0"/>
            </w:tcBorders>
            <w:noWrap w:val="0"/>
            <w:vAlign w:val="center"/>
          </w:tcPr>
          <w:p w14:paraId="53E6C78C">
            <w:pPr>
              <w:keepNext w:val="0"/>
              <w:keepLines w:val="0"/>
              <w:pageBreakBefore w:val="0"/>
              <w:widowControl w:val="0"/>
              <w:shd w:val="clear" w:color="auto" w:fill="auto"/>
              <w:kinsoku w:val="0"/>
              <w:wordWrap w:val="0"/>
              <w:overflowPunct/>
              <w:topLinePunct w:val="0"/>
              <w:autoSpaceDE/>
              <w:autoSpaceDN/>
              <w:bidi w:val="0"/>
              <w:snapToGrid/>
              <w:spacing w:before="100" w:beforeAutospacing="1" w:after="100" w:afterAutospacing="1" w:line="360" w:lineRule="exact"/>
              <w:jc w:val="center"/>
              <w:textAlignment w:val="auto"/>
              <w:rPr>
                <w:rFonts w:hint="eastAsia" w:asciiTheme="minorEastAsia" w:hAnsiTheme="minorEastAsia" w:eastAsiaTheme="minorEastAsia" w:cstheme="minorEastAsia"/>
                <w:color w:val="auto"/>
                <w:sz w:val="24"/>
                <w:szCs w:val="24"/>
                <w:highlight w:val="none"/>
              </w:rPr>
            </w:pPr>
          </w:p>
        </w:tc>
        <w:tc>
          <w:tcPr>
            <w:tcW w:w="3120" w:type="dxa"/>
            <w:tcBorders>
              <w:left w:val="single" w:color="auto" w:sz="4" w:space="0"/>
            </w:tcBorders>
            <w:shd w:val="clear" w:color="auto" w:fill="auto"/>
            <w:noWrap w:val="0"/>
            <w:vAlign w:val="center"/>
          </w:tcPr>
          <w:p w14:paraId="58114B73">
            <w:pPr>
              <w:keepNext w:val="0"/>
              <w:keepLines w:val="0"/>
              <w:pageBreakBefore w:val="0"/>
              <w:widowControl w:val="0"/>
              <w:shd w:val="clear" w:color="auto" w:fill="auto"/>
              <w:kinsoku w:val="0"/>
              <w:wordWrap w:val="0"/>
              <w:overflowPunct/>
              <w:topLinePunct w:val="0"/>
              <w:autoSpaceDE/>
              <w:autoSpaceDN/>
              <w:bidi w:val="0"/>
              <w:snapToGrid/>
              <w:spacing w:line="360" w:lineRule="exact"/>
              <w:jc w:val="left"/>
              <w:textAlignment w:val="auto"/>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rPr>
              <w:t>根据《中华人民共和国政府采购法实施条例》第十八条规定，单位负责人为同一人或者存在直接控股、管理关系的不同供应商，不得参加同一合同项下的政府采购活动。</w:t>
            </w:r>
          </w:p>
        </w:tc>
        <w:tc>
          <w:tcPr>
            <w:tcW w:w="5193" w:type="dxa"/>
            <w:shd w:val="clear" w:color="auto" w:fill="auto"/>
            <w:noWrap w:val="0"/>
            <w:vAlign w:val="center"/>
          </w:tcPr>
          <w:p w14:paraId="22E29E08">
            <w:pPr>
              <w:keepNext w:val="0"/>
              <w:keepLines w:val="0"/>
              <w:pageBreakBefore w:val="0"/>
              <w:widowControl w:val="0"/>
              <w:shd w:val="clear" w:color="auto" w:fill="auto"/>
              <w:kinsoku w:val="0"/>
              <w:wordWrap w:val="0"/>
              <w:overflowPunct/>
              <w:topLinePunct w:val="0"/>
              <w:autoSpaceDE/>
              <w:autoSpaceDN/>
              <w:bidi w:val="0"/>
              <w:snapToGrid/>
              <w:spacing w:before="100" w:beforeAutospacing="1" w:after="100" w:afterAutospacing="1" w:line="360" w:lineRule="exact"/>
              <w:textAlignment w:val="auto"/>
              <w:rPr>
                <w:rFonts w:hint="eastAsia" w:asciiTheme="minorEastAsia" w:hAnsiTheme="minorEastAsia" w:eastAsiaTheme="minorEastAsia" w:cstheme="minorEastAsia"/>
                <w:b w:val="0"/>
                <w:bCs/>
                <w:color w:val="auto"/>
                <w:kern w:val="2"/>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rPr>
              <w:t>投标文件中提供承诺书</w:t>
            </w:r>
          </w:p>
        </w:tc>
      </w:tr>
      <w:tr w14:paraId="797B0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44" w:type="dxa"/>
            <w:vMerge w:val="restart"/>
            <w:noWrap w:val="0"/>
            <w:vAlign w:val="center"/>
          </w:tcPr>
          <w:p w14:paraId="0FEB6C83">
            <w:pPr>
              <w:keepNext w:val="0"/>
              <w:keepLines w:val="0"/>
              <w:pageBreakBefore w:val="0"/>
              <w:widowControl w:val="0"/>
              <w:shd w:val="clear" w:color="auto" w:fill="auto"/>
              <w:kinsoku w:val="0"/>
              <w:wordWrap w:val="0"/>
              <w:overflowPunct/>
              <w:topLinePunct w:val="0"/>
              <w:autoSpaceDE/>
              <w:autoSpaceDN/>
              <w:bidi w:val="0"/>
              <w:snapToGrid/>
              <w:spacing w:before="100" w:beforeAutospacing="1" w:after="100" w:afterAutospacing="1" w:line="360" w:lineRule="exact"/>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2.1.2</w:t>
            </w:r>
          </w:p>
        </w:tc>
        <w:tc>
          <w:tcPr>
            <w:tcW w:w="444" w:type="dxa"/>
            <w:vMerge w:val="restart"/>
            <w:tcBorders>
              <w:top w:val="single" w:color="auto" w:sz="4" w:space="0"/>
            </w:tcBorders>
            <w:noWrap w:val="0"/>
            <w:vAlign w:val="center"/>
          </w:tcPr>
          <w:p w14:paraId="1145421C">
            <w:pPr>
              <w:keepNext w:val="0"/>
              <w:keepLines w:val="0"/>
              <w:pageBreakBefore w:val="0"/>
              <w:widowControl w:val="0"/>
              <w:shd w:val="clear" w:color="auto" w:fill="auto"/>
              <w:kinsoku w:val="0"/>
              <w:wordWrap w:val="0"/>
              <w:overflowPunct/>
              <w:topLinePunct w:val="0"/>
              <w:autoSpaceDE/>
              <w:autoSpaceDN/>
              <w:bidi w:val="0"/>
              <w:snapToGrid/>
              <w:spacing w:before="100" w:beforeAutospacing="1" w:after="100" w:afterAutospacing="1" w:line="36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符合性评审标准</w:t>
            </w:r>
          </w:p>
        </w:tc>
        <w:tc>
          <w:tcPr>
            <w:tcW w:w="3120" w:type="dxa"/>
            <w:noWrap w:val="0"/>
            <w:vAlign w:val="center"/>
          </w:tcPr>
          <w:p w14:paraId="4201F163">
            <w:pPr>
              <w:keepNext w:val="0"/>
              <w:keepLines w:val="0"/>
              <w:pageBreakBefore w:val="0"/>
              <w:widowControl w:val="0"/>
              <w:shd w:val="clear" w:color="auto" w:fill="auto"/>
              <w:kinsoku w:val="0"/>
              <w:wordWrap w:val="0"/>
              <w:overflowPunct/>
              <w:topLinePunct w:val="0"/>
              <w:autoSpaceDE/>
              <w:autoSpaceDN/>
              <w:bidi w:val="0"/>
              <w:snapToGrid/>
              <w:spacing w:line="360" w:lineRule="exact"/>
              <w:jc w:val="center"/>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投标文件格式</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内容及签字盖章</w:t>
            </w:r>
          </w:p>
        </w:tc>
        <w:tc>
          <w:tcPr>
            <w:tcW w:w="5193" w:type="dxa"/>
            <w:noWrap w:val="0"/>
            <w:vAlign w:val="center"/>
          </w:tcPr>
          <w:p w14:paraId="37DD7318">
            <w:pPr>
              <w:keepNext w:val="0"/>
              <w:keepLines w:val="0"/>
              <w:pageBreakBefore w:val="0"/>
              <w:widowControl w:val="0"/>
              <w:shd w:val="clear" w:color="auto" w:fill="auto"/>
              <w:kinsoku w:val="0"/>
              <w:wordWrap w:val="0"/>
              <w:overflowPunct/>
              <w:topLinePunct w:val="0"/>
              <w:autoSpaceDE/>
              <w:autoSpaceDN/>
              <w:bidi w:val="0"/>
              <w:snapToGrid/>
              <w:spacing w:line="36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符合</w:t>
            </w:r>
            <w:r>
              <w:rPr>
                <w:rFonts w:hint="eastAsia" w:asciiTheme="minorEastAsia" w:hAnsiTheme="minorEastAsia" w:eastAsiaTheme="minorEastAsia" w:cstheme="minorEastAsia"/>
                <w:color w:val="auto"/>
                <w:sz w:val="24"/>
                <w:szCs w:val="24"/>
                <w:highlight w:val="none"/>
                <w:lang w:eastAsia="zh-CN"/>
              </w:rPr>
              <w:t>采购文件</w:t>
            </w:r>
            <w:r>
              <w:rPr>
                <w:rFonts w:hint="eastAsia" w:asciiTheme="minorEastAsia" w:hAnsiTheme="minorEastAsia" w:eastAsiaTheme="minorEastAsia" w:cstheme="minorEastAsia"/>
                <w:color w:val="auto"/>
                <w:sz w:val="24"/>
                <w:szCs w:val="24"/>
                <w:highlight w:val="none"/>
              </w:rPr>
              <w:t>中规定的“投标文件格式”的要求</w:t>
            </w:r>
          </w:p>
        </w:tc>
      </w:tr>
      <w:tr w14:paraId="1EC8B0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44" w:type="dxa"/>
            <w:vMerge w:val="continue"/>
            <w:noWrap w:val="0"/>
            <w:vAlign w:val="center"/>
          </w:tcPr>
          <w:p w14:paraId="21805A5D">
            <w:pPr>
              <w:keepNext w:val="0"/>
              <w:keepLines w:val="0"/>
              <w:pageBreakBefore w:val="0"/>
              <w:widowControl w:val="0"/>
              <w:shd w:val="clear" w:color="auto" w:fill="auto"/>
              <w:kinsoku w:val="0"/>
              <w:wordWrap w:val="0"/>
              <w:overflowPunct/>
              <w:topLinePunct w:val="0"/>
              <w:autoSpaceDE/>
              <w:autoSpaceDN/>
              <w:bidi w:val="0"/>
              <w:snapToGrid/>
              <w:spacing w:before="100" w:beforeAutospacing="1" w:after="100" w:afterAutospacing="1" w:line="360" w:lineRule="exact"/>
              <w:jc w:val="center"/>
              <w:textAlignment w:val="auto"/>
              <w:rPr>
                <w:rFonts w:hint="eastAsia" w:asciiTheme="minorEastAsia" w:hAnsiTheme="minorEastAsia" w:eastAsiaTheme="minorEastAsia" w:cstheme="minorEastAsia"/>
                <w:color w:val="auto"/>
                <w:sz w:val="24"/>
                <w:szCs w:val="24"/>
                <w:highlight w:val="none"/>
              </w:rPr>
            </w:pPr>
          </w:p>
        </w:tc>
        <w:tc>
          <w:tcPr>
            <w:tcW w:w="444" w:type="dxa"/>
            <w:vMerge w:val="continue"/>
            <w:noWrap w:val="0"/>
            <w:vAlign w:val="center"/>
          </w:tcPr>
          <w:p w14:paraId="50471FDB">
            <w:pPr>
              <w:keepNext w:val="0"/>
              <w:keepLines w:val="0"/>
              <w:pageBreakBefore w:val="0"/>
              <w:widowControl w:val="0"/>
              <w:shd w:val="clear" w:color="auto" w:fill="auto"/>
              <w:kinsoku w:val="0"/>
              <w:wordWrap w:val="0"/>
              <w:overflowPunct/>
              <w:topLinePunct w:val="0"/>
              <w:autoSpaceDE/>
              <w:autoSpaceDN/>
              <w:bidi w:val="0"/>
              <w:snapToGrid/>
              <w:spacing w:before="100" w:beforeAutospacing="1" w:after="100" w:afterAutospacing="1" w:line="360" w:lineRule="exact"/>
              <w:textAlignment w:val="auto"/>
              <w:rPr>
                <w:rFonts w:hint="eastAsia" w:asciiTheme="minorEastAsia" w:hAnsiTheme="minorEastAsia" w:eastAsiaTheme="minorEastAsia" w:cstheme="minorEastAsia"/>
                <w:color w:val="auto"/>
                <w:sz w:val="24"/>
                <w:szCs w:val="24"/>
                <w:highlight w:val="none"/>
              </w:rPr>
            </w:pPr>
          </w:p>
        </w:tc>
        <w:tc>
          <w:tcPr>
            <w:tcW w:w="3120" w:type="dxa"/>
            <w:noWrap w:val="0"/>
            <w:vAlign w:val="center"/>
          </w:tcPr>
          <w:p w14:paraId="21492ACA">
            <w:pPr>
              <w:keepNext w:val="0"/>
              <w:keepLines w:val="0"/>
              <w:pageBreakBefore w:val="0"/>
              <w:widowControl w:val="0"/>
              <w:shd w:val="clear" w:color="auto" w:fill="auto"/>
              <w:kinsoku w:val="0"/>
              <w:wordWrap w:val="0"/>
              <w:overflowPunct/>
              <w:topLinePunct w:val="0"/>
              <w:autoSpaceDE/>
              <w:autoSpaceDN/>
              <w:bidi w:val="0"/>
              <w:snapToGrid/>
              <w:spacing w:line="360" w:lineRule="exact"/>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法定代表人身份证明书</w:t>
            </w:r>
          </w:p>
        </w:tc>
        <w:tc>
          <w:tcPr>
            <w:tcW w:w="5193" w:type="dxa"/>
            <w:noWrap w:val="0"/>
            <w:vAlign w:val="center"/>
          </w:tcPr>
          <w:p w14:paraId="29057FDB">
            <w:pPr>
              <w:keepNext w:val="0"/>
              <w:keepLines w:val="0"/>
              <w:pageBreakBefore w:val="0"/>
              <w:widowControl w:val="0"/>
              <w:shd w:val="clear" w:color="auto" w:fill="auto"/>
              <w:kinsoku w:val="0"/>
              <w:wordWrap w:val="0"/>
              <w:overflowPunct/>
              <w:topLinePunct w:val="0"/>
              <w:autoSpaceDE/>
              <w:autoSpaceDN/>
              <w:bidi w:val="0"/>
              <w:snapToGrid/>
              <w:spacing w:line="360" w:lineRule="exact"/>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符合</w:t>
            </w:r>
            <w:r>
              <w:rPr>
                <w:rFonts w:hint="eastAsia" w:asciiTheme="minorEastAsia" w:hAnsiTheme="minorEastAsia" w:eastAsiaTheme="minorEastAsia" w:cstheme="minorEastAsia"/>
                <w:color w:val="auto"/>
                <w:sz w:val="24"/>
                <w:szCs w:val="24"/>
                <w:highlight w:val="none"/>
                <w:lang w:eastAsia="zh-CN"/>
              </w:rPr>
              <w:t>采购文件</w:t>
            </w:r>
            <w:r>
              <w:rPr>
                <w:rFonts w:hint="eastAsia" w:asciiTheme="minorEastAsia" w:hAnsiTheme="minorEastAsia" w:eastAsiaTheme="minorEastAsia" w:cstheme="minorEastAsia"/>
                <w:color w:val="auto"/>
                <w:sz w:val="24"/>
                <w:szCs w:val="24"/>
                <w:highlight w:val="none"/>
              </w:rPr>
              <w:t>规定的格式及内容</w:t>
            </w:r>
          </w:p>
        </w:tc>
      </w:tr>
      <w:tr w14:paraId="761CB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44" w:type="dxa"/>
            <w:vMerge w:val="continue"/>
            <w:noWrap w:val="0"/>
            <w:vAlign w:val="top"/>
          </w:tcPr>
          <w:p w14:paraId="04E4F657">
            <w:pPr>
              <w:keepNext w:val="0"/>
              <w:keepLines w:val="0"/>
              <w:pageBreakBefore w:val="0"/>
              <w:widowControl w:val="0"/>
              <w:shd w:val="clear" w:color="auto" w:fill="auto"/>
              <w:kinsoku w:val="0"/>
              <w:wordWrap w:val="0"/>
              <w:overflowPunct/>
              <w:topLinePunct w:val="0"/>
              <w:autoSpaceDE/>
              <w:autoSpaceDN/>
              <w:bidi w:val="0"/>
              <w:snapToGrid/>
              <w:spacing w:before="100" w:beforeAutospacing="1" w:after="100" w:afterAutospacing="1" w:line="360" w:lineRule="exact"/>
              <w:jc w:val="center"/>
              <w:textAlignment w:val="auto"/>
              <w:rPr>
                <w:rFonts w:hint="eastAsia" w:asciiTheme="minorEastAsia" w:hAnsiTheme="minorEastAsia" w:eastAsiaTheme="minorEastAsia" w:cstheme="minorEastAsia"/>
                <w:color w:val="auto"/>
                <w:sz w:val="24"/>
                <w:szCs w:val="24"/>
                <w:highlight w:val="none"/>
              </w:rPr>
            </w:pPr>
          </w:p>
        </w:tc>
        <w:tc>
          <w:tcPr>
            <w:tcW w:w="444" w:type="dxa"/>
            <w:vMerge w:val="continue"/>
            <w:noWrap w:val="0"/>
            <w:vAlign w:val="top"/>
          </w:tcPr>
          <w:p w14:paraId="6C786652">
            <w:pPr>
              <w:keepNext w:val="0"/>
              <w:keepLines w:val="0"/>
              <w:pageBreakBefore w:val="0"/>
              <w:widowControl w:val="0"/>
              <w:shd w:val="clear" w:color="auto" w:fill="auto"/>
              <w:kinsoku w:val="0"/>
              <w:wordWrap w:val="0"/>
              <w:overflowPunct/>
              <w:topLinePunct w:val="0"/>
              <w:autoSpaceDE/>
              <w:autoSpaceDN/>
              <w:bidi w:val="0"/>
              <w:snapToGrid/>
              <w:spacing w:before="100" w:beforeAutospacing="1" w:after="100" w:afterAutospacing="1" w:line="360" w:lineRule="exact"/>
              <w:jc w:val="center"/>
              <w:textAlignment w:val="auto"/>
              <w:rPr>
                <w:rFonts w:hint="eastAsia" w:asciiTheme="minorEastAsia" w:hAnsiTheme="minorEastAsia" w:eastAsiaTheme="minorEastAsia" w:cstheme="minorEastAsia"/>
                <w:color w:val="auto"/>
                <w:sz w:val="24"/>
                <w:szCs w:val="24"/>
                <w:highlight w:val="none"/>
              </w:rPr>
            </w:pPr>
          </w:p>
        </w:tc>
        <w:tc>
          <w:tcPr>
            <w:tcW w:w="3120" w:type="dxa"/>
            <w:noWrap w:val="0"/>
            <w:vAlign w:val="center"/>
          </w:tcPr>
          <w:p w14:paraId="4BBB9853">
            <w:pPr>
              <w:keepNext w:val="0"/>
              <w:keepLines w:val="0"/>
              <w:pageBreakBefore w:val="0"/>
              <w:widowControl w:val="0"/>
              <w:shd w:val="clear" w:color="auto" w:fill="auto"/>
              <w:kinsoku w:val="0"/>
              <w:wordWrap w:val="0"/>
              <w:overflowPunct/>
              <w:topLinePunct w:val="0"/>
              <w:autoSpaceDE/>
              <w:autoSpaceDN/>
              <w:bidi w:val="0"/>
              <w:snapToGrid/>
              <w:spacing w:line="360" w:lineRule="exact"/>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法定代表人授权委托书</w:t>
            </w:r>
          </w:p>
        </w:tc>
        <w:tc>
          <w:tcPr>
            <w:tcW w:w="5193" w:type="dxa"/>
            <w:noWrap w:val="0"/>
            <w:vAlign w:val="center"/>
          </w:tcPr>
          <w:p w14:paraId="01CC60C3">
            <w:pPr>
              <w:keepNext w:val="0"/>
              <w:keepLines w:val="0"/>
              <w:pageBreakBefore w:val="0"/>
              <w:widowControl w:val="0"/>
              <w:shd w:val="clear" w:color="auto" w:fill="auto"/>
              <w:kinsoku w:val="0"/>
              <w:wordWrap w:val="0"/>
              <w:overflowPunct/>
              <w:topLinePunct w:val="0"/>
              <w:autoSpaceDE/>
              <w:autoSpaceDN/>
              <w:bidi w:val="0"/>
              <w:snapToGrid/>
              <w:spacing w:line="360" w:lineRule="exact"/>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符合</w:t>
            </w:r>
            <w:r>
              <w:rPr>
                <w:rFonts w:hint="eastAsia" w:asciiTheme="minorEastAsia" w:hAnsiTheme="minorEastAsia" w:eastAsiaTheme="minorEastAsia" w:cstheme="minorEastAsia"/>
                <w:color w:val="auto"/>
                <w:sz w:val="24"/>
                <w:szCs w:val="24"/>
                <w:highlight w:val="none"/>
                <w:lang w:eastAsia="zh-CN"/>
              </w:rPr>
              <w:t>采购文件</w:t>
            </w:r>
            <w:r>
              <w:rPr>
                <w:rFonts w:hint="eastAsia" w:asciiTheme="minorEastAsia" w:hAnsiTheme="minorEastAsia" w:eastAsiaTheme="minorEastAsia" w:cstheme="minorEastAsia"/>
                <w:color w:val="auto"/>
                <w:sz w:val="24"/>
                <w:szCs w:val="24"/>
                <w:highlight w:val="none"/>
              </w:rPr>
              <w:t>规定的格式及内容</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投标文件中提供</w:t>
            </w:r>
            <w:r>
              <w:rPr>
                <w:rFonts w:hint="eastAsia" w:asciiTheme="minorEastAsia" w:hAnsiTheme="minorEastAsia" w:eastAsiaTheme="minorEastAsia" w:cstheme="minorEastAsia"/>
                <w:color w:val="auto"/>
                <w:sz w:val="24"/>
                <w:szCs w:val="24"/>
                <w:highlight w:val="none"/>
                <w:lang w:val="en-US" w:eastAsia="zh-CN"/>
              </w:rPr>
              <w:t>原件</w:t>
            </w:r>
            <w:r>
              <w:rPr>
                <w:rFonts w:hint="eastAsia" w:asciiTheme="minorEastAsia" w:hAnsiTheme="minorEastAsia" w:eastAsiaTheme="minorEastAsia" w:cstheme="minorEastAsia"/>
                <w:color w:val="auto"/>
                <w:sz w:val="24"/>
                <w:szCs w:val="24"/>
                <w:highlight w:val="none"/>
              </w:rPr>
              <w:t>扫描件</w:t>
            </w:r>
            <w:r>
              <w:rPr>
                <w:rFonts w:hint="eastAsia" w:asciiTheme="minorEastAsia" w:hAnsiTheme="minorEastAsia" w:eastAsiaTheme="minorEastAsia" w:cstheme="minorEastAsia"/>
                <w:color w:val="auto"/>
                <w:sz w:val="24"/>
                <w:szCs w:val="24"/>
                <w:highlight w:val="none"/>
                <w:lang w:eastAsia="zh-CN"/>
              </w:rPr>
              <w:t>。</w:t>
            </w:r>
          </w:p>
        </w:tc>
      </w:tr>
      <w:tr w14:paraId="7E2AA2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44" w:type="dxa"/>
            <w:vMerge w:val="continue"/>
            <w:noWrap w:val="0"/>
            <w:vAlign w:val="top"/>
          </w:tcPr>
          <w:p w14:paraId="42C2DDB3">
            <w:pPr>
              <w:keepNext w:val="0"/>
              <w:keepLines w:val="0"/>
              <w:pageBreakBefore w:val="0"/>
              <w:widowControl w:val="0"/>
              <w:shd w:val="clear" w:color="auto" w:fill="auto"/>
              <w:kinsoku w:val="0"/>
              <w:wordWrap w:val="0"/>
              <w:overflowPunct/>
              <w:topLinePunct w:val="0"/>
              <w:autoSpaceDE/>
              <w:autoSpaceDN/>
              <w:bidi w:val="0"/>
              <w:snapToGrid/>
              <w:spacing w:before="100" w:beforeAutospacing="1" w:after="100" w:afterAutospacing="1" w:line="360" w:lineRule="exact"/>
              <w:jc w:val="center"/>
              <w:textAlignment w:val="auto"/>
              <w:rPr>
                <w:rFonts w:hint="eastAsia" w:asciiTheme="minorEastAsia" w:hAnsiTheme="minorEastAsia" w:eastAsiaTheme="minorEastAsia" w:cstheme="minorEastAsia"/>
                <w:color w:val="auto"/>
                <w:sz w:val="24"/>
                <w:szCs w:val="24"/>
                <w:highlight w:val="none"/>
              </w:rPr>
            </w:pPr>
          </w:p>
        </w:tc>
        <w:tc>
          <w:tcPr>
            <w:tcW w:w="444" w:type="dxa"/>
            <w:vMerge w:val="continue"/>
            <w:noWrap w:val="0"/>
            <w:vAlign w:val="top"/>
          </w:tcPr>
          <w:p w14:paraId="4EF3584D">
            <w:pPr>
              <w:keepNext w:val="0"/>
              <w:keepLines w:val="0"/>
              <w:pageBreakBefore w:val="0"/>
              <w:widowControl w:val="0"/>
              <w:shd w:val="clear" w:color="auto" w:fill="auto"/>
              <w:kinsoku w:val="0"/>
              <w:wordWrap w:val="0"/>
              <w:overflowPunct/>
              <w:topLinePunct w:val="0"/>
              <w:autoSpaceDE/>
              <w:autoSpaceDN/>
              <w:bidi w:val="0"/>
              <w:snapToGrid/>
              <w:spacing w:before="100" w:beforeAutospacing="1" w:after="100" w:afterAutospacing="1" w:line="360" w:lineRule="exact"/>
              <w:jc w:val="center"/>
              <w:textAlignment w:val="auto"/>
              <w:rPr>
                <w:rFonts w:hint="eastAsia" w:asciiTheme="minorEastAsia" w:hAnsiTheme="minorEastAsia" w:eastAsiaTheme="minorEastAsia" w:cstheme="minorEastAsia"/>
                <w:color w:val="auto"/>
                <w:sz w:val="24"/>
                <w:szCs w:val="24"/>
                <w:highlight w:val="none"/>
              </w:rPr>
            </w:pPr>
          </w:p>
        </w:tc>
        <w:tc>
          <w:tcPr>
            <w:tcW w:w="3120" w:type="dxa"/>
            <w:noWrap w:val="0"/>
            <w:vAlign w:val="center"/>
          </w:tcPr>
          <w:p w14:paraId="60C0607C">
            <w:pPr>
              <w:keepNext w:val="0"/>
              <w:keepLines w:val="0"/>
              <w:pageBreakBefore w:val="0"/>
              <w:widowControl w:val="0"/>
              <w:shd w:val="clear" w:color="auto" w:fill="auto"/>
              <w:kinsoku w:val="0"/>
              <w:wordWrap w:val="0"/>
              <w:overflowPunct/>
              <w:topLinePunct w:val="0"/>
              <w:autoSpaceDE/>
              <w:autoSpaceDN/>
              <w:bidi w:val="0"/>
              <w:snapToGrid/>
              <w:spacing w:line="360" w:lineRule="exact"/>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法定代表人或委托代理人</w:t>
            </w:r>
          </w:p>
          <w:p w14:paraId="67694A55">
            <w:pPr>
              <w:keepNext w:val="0"/>
              <w:keepLines w:val="0"/>
              <w:pageBreakBefore w:val="0"/>
              <w:widowControl w:val="0"/>
              <w:shd w:val="clear" w:color="auto" w:fill="auto"/>
              <w:kinsoku w:val="0"/>
              <w:wordWrap w:val="0"/>
              <w:overflowPunct/>
              <w:topLinePunct w:val="0"/>
              <w:autoSpaceDE/>
              <w:autoSpaceDN/>
              <w:bidi w:val="0"/>
              <w:snapToGrid/>
              <w:spacing w:line="360" w:lineRule="exact"/>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身份证</w:t>
            </w:r>
          </w:p>
        </w:tc>
        <w:tc>
          <w:tcPr>
            <w:tcW w:w="5193" w:type="dxa"/>
            <w:noWrap w:val="0"/>
            <w:vAlign w:val="center"/>
          </w:tcPr>
          <w:p w14:paraId="3F68EEED">
            <w:pPr>
              <w:keepNext w:val="0"/>
              <w:keepLines w:val="0"/>
              <w:pageBreakBefore w:val="0"/>
              <w:widowControl w:val="0"/>
              <w:shd w:val="clear" w:color="auto" w:fill="auto"/>
              <w:kinsoku w:val="0"/>
              <w:wordWrap w:val="0"/>
              <w:overflowPunct/>
              <w:topLinePunct w:val="0"/>
              <w:autoSpaceDE/>
              <w:autoSpaceDN/>
              <w:bidi w:val="0"/>
              <w:snapToGrid/>
              <w:spacing w:line="36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投标文件中提供</w:t>
            </w:r>
            <w:r>
              <w:rPr>
                <w:rFonts w:hint="eastAsia" w:asciiTheme="minorEastAsia" w:hAnsiTheme="minorEastAsia" w:eastAsiaTheme="minorEastAsia" w:cstheme="minorEastAsia"/>
                <w:color w:val="auto"/>
                <w:sz w:val="24"/>
                <w:szCs w:val="24"/>
                <w:highlight w:val="none"/>
                <w:lang w:val="en-US" w:eastAsia="zh-CN"/>
              </w:rPr>
              <w:t>原件</w:t>
            </w:r>
            <w:r>
              <w:rPr>
                <w:rFonts w:hint="eastAsia" w:asciiTheme="minorEastAsia" w:hAnsiTheme="minorEastAsia" w:eastAsiaTheme="minorEastAsia" w:cstheme="minorEastAsia"/>
                <w:color w:val="auto"/>
                <w:sz w:val="24"/>
                <w:szCs w:val="24"/>
                <w:highlight w:val="none"/>
              </w:rPr>
              <w:t>扫描件</w:t>
            </w:r>
          </w:p>
        </w:tc>
      </w:tr>
      <w:tr w14:paraId="67378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atLeast"/>
        </w:trPr>
        <w:tc>
          <w:tcPr>
            <w:tcW w:w="844" w:type="dxa"/>
            <w:vMerge w:val="continue"/>
            <w:noWrap w:val="0"/>
            <w:vAlign w:val="top"/>
          </w:tcPr>
          <w:p w14:paraId="670BD2C0">
            <w:pPr>
              <w:keepNext w:val="0"/>
              <w:keepLines w:val="0"/>
              <w:pageBreakBefore w:val="0"/>
              <w:widowControl w:val="0"/>
              <w:shd w:val="clear" w:color="auto" w:fill="auto"/>
              <w:kinsoku w:val="0"/>
              <w:wordWrap w:val="0"/>
              <w:overflowPunct/>
              <w:topLinePunct w:val="0"/>
              <w:autoSpaceDE/>
              <w:autoSpaceDN/>
              <w:bidi w:val="0"/>
              <w:snapToGrid/>
              <w:spacing w:before="100" w:beforeAutospacing="1" w:after="100" w:afterAutospacing="1" w:line="360" w:lineRule="exact"/>
              <w:jc w:val="center"/>
              <w:textAlignment w:val="auto"/>
              <w:rPr>
                <w:rFonts w:hint="eastAsia" w:asciiTheme="minorEastAsia" w:hAnsiTheme="minorEastAsia" w:eastAsiaTheme="minorEastAsia" w:cstheme="minorEastAsia"/>
                <w:color w:val="auto"/>
                <w:sz w:val="24"/>
                <w:szCs w:val="24"/>
                <w:highlight w:val="none"/>
              </w:rPr>
            </w:pPr>
          </w:p>
        </w:tc>
        <w:tc>
          <w:tcPr>
            <w:tcW w:w="444" w:type="dxa"/>
            <w:vMerge w:val="continue"/>
            <w:noWrap w:val="0"/>
            <w:vAlign w:val="top"/>
          </w:tcPr>
          <w:p w14:paraId="678E0FE7">
            <w:pPr>
              <w:keepNext w:val="0"/>
              <w:keepLines w:val="0"/>
              <w:pageBreakBefore w:val="0"/>
              <w:widowControl w:val="0"/>
              <w:shd w:val="clear" w:color="auto" w:fill="auto"/>
              <w:kinsoku w:val="0"/>
              <w:wordWrap w:val="0"/>
              <w:overflowPunct/>
              <w:topLinePunct w:val="0"/>
              <w:autoSpaceDE/>
              <w:autoSpaceDN/>
              <w:bidi w:val="0"/>
              <w:snapToGrid/>
              <w:spacing w:before="100" w:beforeAutospacing="1" w:after="100" w:afterAutospacing="1" w:line="360" w:lineRule="exact"/>
              <w:jc w:val="center"/>
              <w:textAlignment w:val="auto"/>
              <w:rPr>
                <w:rFonts w:hint="eastAsia" w:asciiTheme="minorEastAsia" w:hAnsiTheme="minorEastAsia" w:eastAsiaTheme="minorEastAsia" w:cstheme="minorEastAsia"/>
                <w:color w:val="auto"/>
                <w:sz w:val="24"/>
                <w:szCs w:val="24"/>
                <w:highlight w:val="none"/>
              </w:rPr>
            </w:pPr>
          </w:p>
        </w:tc>
        <w:tc>
          <w:tcPr>
            <w:tcW w:w="3120" w:type="dxa"/>
            <w:noWrap w:val="0"/>
            <w:vAlign w:val="center"/>
          </w:tcPr>
          <w:p w14:paraId="40058B74">
            <w:pPr>
              <w:keepNext w:val="0"/>
              <w:keepLines w:val="0"/>
              <w:pageBreakBefore w:val="0"/>
              <w:widowControl w:val="0"/>
              <w:shd w:val="clear" w:color="auto" w:fill="auto"/>
              <w:kinsoku w:val="0"/>
              <w:wordWrap w:val="0"/>
              <w:overflowPunct/>
              <w:topLinePunct w:val="0"/>
              <w:autoSpaceDE/>
              <w:autoSpaceDN/>
              <w:bidi w:val="0"/>
              <w:snapToGrid/>
              <w:spacing w:line="360" w:lineRule="exact"/>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投标报价一览表</w:t>
            </w:r>
          </w:p>
        </w:tc>
        <w:tc>
          <w:tcPr>
            <w:tcW w:w="5193" w:type="dxa"/>
            <w:noWrap w:val="0"/>
            <w:vAlign w:val="center"/>
          </w:tcPr>
          <w:p w14:paraId="7333885E">
            <w:pPr>
              <w:keepNext w:val="0"/>
              <w:keepLines w:val="0"/>
              <w:pageBreakBefore w:val="0"/>
              <w:widowControl w:val="0"/>
              <w:shd w:val="clear" w:color="auto" w:fill="auto"/>
              <w:kinsoku w:val="0"/>
              <w:wordWrap w:val="0"/>
              <w:overflowPunct/>
              <w:topLinePunct w:val="0"/>
              <w:autoSpaceDE/>
              <w:autoSpaceDN/>
              <w:bidi w:val="0"/>
              <w:snapToGrid/>
              <w:spacing w:line="360" w:lineRule="exact"/>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rPr>
              <w:t>按</w:t>
            </w:r>
            <w:r>
              <w:rPr>
                <w:rFonts w:hint="eastAsia" w:asciiTheme="minorEastAsia" w:hAnsiTheme="minorEastAsia" w:eastAsiaTheme="minorEastAsia" w:cstheme="minorEastAsia"/>
                <w:color w:val="auto"/>
                <w:sz w:val="24"/>
                <w:szCs w:val="24"/>
                <w:highlight w:val="none"/>
                <w:lang w:eastAsia="zh-CN"/>
              </w:rPr>
              <w:t>采购文件</w:t>
            </w:r>
            <w:r>
              <w:rPr>
                <w:rFonts w:hint="eastAsia" w:asciiTheme="minorEastAsia" w:hAnsiTheme="minorEastAsia" w:eastAsiaTheme="minorEastAsia" w:cstheme="minorEastAsia"/>
                <w:color w:val="auto"/>
                <w:sz w:val="24"/>
                <w:szCs w:val="24"/>
                <w:highlight w:val="none"/>
              </w:rPr>
              <w:t>格式提供，且对</w:t>
            </w:r>
            <w:r>
              <w:rPr>
                <w:rFonts w:hint="eastAsia" w:asciiTheme="minorEastAsia" w:hAnsiTheme="minorEastAsia" w:eastAsiaTheme="minorEastAsia" w:cstheme="minorEastAsia"/>
                <w:color w:val="auto"/>
                <w:sz w:val="24"/>
                <w:szCs w:val="24"/>
                <w:highlight w:val="none"/>
                <w:lang w:eastAsia="zh-CN"/>
              </w:rPr>
              <w:t>采购文件</w:t>
            </w:r>
            <w:r>
              <w:rPr>
                <w:rFonts w:hint="eastAsia" w:asciiTheme="minorEastAsia" w:hAnsiTheme="minorEastAsia" w:eastAsiaTheme="minorEastAsia" w:cstheme="minorEastAsia"/>
                <w:color w:val="auto"/>
                <w:sz w:val="24"/>
                <w:szCs w:val="24"/>
                <w:highlight w:val="none"/>
              </w:rPr>
              <w:t>采购内容作完整唯一报价</w:t>
            </w:r>
            <w:r>
              <w:rPr>
                <w:rFonts w:hint="eastAsia" w:asciiTheme="minorEastAsia" w:hAnsiTheme="minorEastAsia" w:eastAsiaTheme="minorEastAsia" w:cstheme="minorEastAsia"/>
                <w:color w:val="auto"/>
                <w:sz w:val="24"/>
                <w:szCs w:val="24"/>
                <w:highlight w:val="none"/>
                <w:lang w:eastAsia="zh-CN"/>
              </w:rPr>
              <w:t>；</w:t>
            </w:r>
          </w:p>
          <w:p w14:paraId="229EAF0C">
            <w:pPr>
              <w:keepNext w:val="0"/>
              <w:keepLines w:val="0"/>
              <w:pageBreakBefore w:val="0"/>
              <w:widowControl w:val="0"/>
              <w:shd w:val="clear" w:color="auto" w:fill="auto"/>
              <w:kinsoku w:val="0"/>
              <w:wordWrap w:val="0"/>
              <w:overflowPunct/>
              <w:topLinePunct w:val="0"/>
              <w:autoSpaceDE/>
              <w:autoSpaceDN/>
              <w:bidi w:val="0"/>
              <w:snapToGrid/>
              <w:spacing w:line="360" w:lineRule="exac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投标文件未擅自对清单所列</w:t>
            </w:r>
            <w:r>
              <w:rPr>
                <w:rFonts w:hint="eastAsia" w:asciiTheme="minorEastAsia" w:hAnsiTheme="minorEastAsia" w:eastAsiaTheme="minorEastAsia" w:cstheme="minorEastAsia"/>
                <w:color w:val="auto"/>
                <w:sz w:val="24"/>
                <w:szCs w:val="24"/>
                <w:highlight w:val="none"/>
                <w:lang w:val="en-US" w:eastAsia="zh-CN"/>
              </w:rPr>
              <w:t>采购货物名称</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数量、单位等内容进行更改；</w:t>
            </w:r>
          </w:p>
          <w:p w14:paraId="2183DFB2">
            <w:pPr>
              <w:keepNext w:val="0"/>
              <w:keepLines w:val="0"/>
              <w:pageBreakBefore w:val="0"/>
              <w:widowControl w:val="0"/>
              <w:shd w:val="clear" w:color="auto" w:fill="auto"/>
              <w:kinsoku w:val="0"/>
              <w:wordWrap w:val="0"/>
              <w:overflowPunct/>
              <w:topLinePunct w:val="0"/>
              <w:autoSpaceDE/>
              <w:autoSpaceDN/>
              <w:bidi w:val="0"/>
              <w:snapToGrid/>
              <w:spacing w:line="36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lang w:eastAsia="zh-CN"/>
              </w:rPr>
              <w:t>投标文件投标报价未超过最高限价（</w:t>
            </w:r>
            <w:r>
              <w:rPr>
                <w:rFonts w:hint="eastAsia" w:asciiTheme="minorEastAsia" w:hAnsiTheme="minorEastAsia" w:eastAsiaTheme="minorEastAsia" w:cstheme="minorEastAsia"/>
                <w:color w:val="auto"/>
                <w:sz w:val="24"/>
                <w:szCs w:val="24"/>
                <w:highlight w:val="none"/>
                <w:lang w:val="en-US" w:eastAsia="zh-CN"/>
              </w:rPr>
              <w:t>包括单项限价若有</w:t>
            </w:r>
            <w:r>
              <w:rPr>
                <w:rFonts w:hint="eastAsia" w:asciiTheme="minorEastAsia" w:hAnsiTheme="minorEastAsia" w:eastAsiaTheme="minorEastAsia" w:cstheme="minorEastAsia"/>
                <w:color w:val="auto"/>
                <w:sz w:val="24"/>
                <w:szCs w:val="24"/>
                <w:highlight w:val="none"/>
                <w:lang w:eastAsia="zh-CN"/>
              </w:rPr>
              <w:t>）。</w:t>
            </w:r>
          </w:p>
        </w:tc>
      </w:tr>
      <w:tr w14:paraId="5AAC29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44" w:type="dxa"/>
            <w:vMerge w:val="continue"/>
            <w:noWrap w:val="0"/>
            <w:vAlign w:val="top"/>
          </w:tcPr>
          <w:p w14:paraId="733A390A">
            <w:pPr>
              <w:keepNext w:val="0"/>
              <w:keepLines w:val="0"/>
              <w:pageBreakBefore w:val="0"/>
              <w:widowControl w:val="0"/>
              <w:shd w:val="clear" w:color="auto" w:fill="auto"/>
              <w:kinsoku w:val="0"/>
              <w:wordWrap w:val="0"/>
              <w:overflowPunct/>
              <w:topLinePunct w:val="0"/>
              <w:autoSpaceDE/>
              <w:autoSpaceDN/>
              <w:bidi w:val="0"/>
              <w:snapToGrid/>
              <w:spacing w:before="100" w:beforeAutospacing="1" w:after="100" w:afterAutospacing="1" w:line="360" w:lineRule="exact"/>
              <w:jc w:val="center"/>
              <w:textAlignment w:val="auto"/>
              <w:rPr>
                <w:rFonts w:hint="eastAsia" w:asciiTheme="minorEastAsia" w:hAnsiTheme="minorEastAsia" w:eastAsiaTheme="minorEastAsia" w:cstheme="minorEastAsia"/>
                <w:color w:val="auto"/>
                <w:sz w:val="24"/>
                <w:szCs w:val="24"/>
                <w:highlight w:val="none"/>
              </w:rPr>
            </w:pPr>
          </w:p>
        </w:tc>
        <w:tc>
          <w:tcPr>
            <w:tcW w:w="444" w:type="dxa"/>
            <w:vMerge w:val="continue"/>
            <w:noWrap w:val="0"/>
            <w:vAlign w:val="top"/>
          </w:tcPr>
          <w:p w14:paraId="290DC84B">
            <w:pPr>
              <w:keepNext w:val="0"/>
              <w:keepLines w:val="0"/>
              <w:pageBreakBefore w:val="0"/>
              <w:widowControl w:val="0"/>
              <w:shd w:val="clear" w:color="auto" w:fill="auto"/>
              <w:kinsoku w:val="0"/>
              <w:wordWrap w:val="0"/>
              <w:overflowPunct/>
              <w:topLinePunct w:val="0"/>
              <w:autoSpaceDE/>
              <w:autoSpaceDN/>
              <w:bidi w:val="0"/>
              <w:snapToGrid/>
              <w:spacing w:before="100" w:beforeAutospacing="1" w:after="100" w:afterAutospacing="1" w:line="360" w:lineRule="exact"/>
              <w:jc w:val="center"/>
              <w:textAlignment w:val="auto"/>
              <w:rPr>
                <w:rFonts w:hint="eastAsia" w:asciiTheme="minorEastAsia" w:hAnsiTheme="minorEastAsia" w:eastAsiaTheme="minorEastAsia" w:cstheme="minorEastAsia"/>
                <w:color w:val="auto"/>
                <w:sz w:val="24"/>
                <w:szCs w:val="24"/>
                <w:highlight w:val="none"/>
              </w:rPr>
            </w:pPr>
          </w:p>
        </w:tc>
        <w:tc>
          <w:tcPr>
            <w:tcW w:w="3120" w:type="dxa"/>
            <w:noWrap w:val="0"/>
            <w:vAlign w:val="center"/>
          </w:tcPr>
          <w:p w14:paraId="0531C543">
            <w:pPr>
              <w:keepNext w:val="0"/>
              <w:keepLines w:val="0"/>
              <w:pageBreakBefore w:val="0"/>
              <w:widowControl w:val="0"/>
              <w:shd w:val="clear" w:color="auto" w:fill="auto"/>
              <w:kinsoku w:val="0"/>
              <w:wordWrap w:val="0"/>
              <w:overflowPunct/>
              <w:topLinePunct w:val="0"/>
              <w:autoSpaceDE/>
              <w:autoSpaceDN/>
              <w:bidi w:val="0"/>
              <w:snapToGrid/>
              <w:spacing w:line="360" w:lineRule="exact"/>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公平竞争</w:t>
            </w:r>
          </w:p>
        </w:tc>
        <w:tc>
          <w:tcPr>
            <w:tcW w:w="5193" w:type="dxa"/>
            <w:noWrap w:val="0"/>
            <w:vAlign w:val="center"/>
          </w:tcPr>
          <w:p w14:paraId="1D7D94E3">
            <w:pPr>
              <w:keepNext w:val="0"/>
              <w:keepLines w:val="0"/>
              <w:pageBreakBefore w:val="0"/>
              <w:widowControl w:val="0"/>
              <w:shd w:val="clear" w:color="auto" w:fill="auto"/>
              <w:kinsoku w:val="0"/>
              <w:wordWrap w:val="0"/>
              <w:overflowPunct/>
              <w:topLinePunct w:val="0"/>
              <w:autoSpaceDE/>
              <w:autoSpaceDN/>
              <w:bidi w:val="0"/>
              <w:snapToGrid/>
              <w:spacing w:line="360" w:lineRule="exact"/>
              <w:textAlignment w:val="auto"/>
              <w:rPr>
                <w:rFonts w:hint="eastAsia" w:eastAsia="宋体" w:asciiTheme="minorEastAsia" w:hAnsiTheme="minorEastAsia" w:cstheme="minorEastAsia"/>
                <w:color w:val="auto"/>
                <w:sz w:val="24"/>
                <w:szCs w:val="24"/>
                <w:highlight w:val="none"/>
                <w:lang w:eastAsia="zh-CN"/>
              </w:rPr>
            </w:pPr>
            <w:r>
              <w:rPr>
                <w:rFonts w:hint="eastAsia" w:ascii="宋体" w:hAnsi="宋体" w:cs="宋体"/>
                <w:color w:val="auto"/>
                <w:sz w:val="24"/>
                <w:highlight w:val="none"/>
                <w:lang w:eastAsia="zh-CN"/>
              </w:rPr>
              <w:t>供应商</w:t>
            </w:r>
            <w:r>
              <w:rPr>
                <w:rFonts w:hint="eastAsia" w:ascii="宋体" w:hAnsi="宋体" w:eastAsia="宋体" w:cs="宋体"/>
                <w:color w:val="auto"/>
                <w:sz w:val="24"/>
                <w:highlight w:val="none"/>
              </w:rPr>
              <w:t>遵循公平竞争的原则，不存在恶意串通，妨碍其他</w:t>
            </w:r>
            <w:r>
              <w:rPr>
                <w:rFonts w:hint="eastAsia" w:ascii="宋体" w:hAnsi="宋体" w:cs="宋体"/>
                <w:color w:val="auto"/>
                <w:sz w:val="24"/>
                <w:highlight w:val="none"/>
                <w:lang w:eastAsia="zh-CN"/>
              </w:rPr>
              <w:t>供应商</w:t>
            </w:r>
            <w:r>
              <w:rPr>
                <w:rFonts w:hint="eastAsia" w:ascii="宋体" w:hAnsi="宋体" w:eastAsia="宋体" w:cs="宋体"/>
                <w:color w:val="auto"/>
                <w:sz w:val="24"/>
                <w:highlight w:val="none"/>
              </w:rPr>
              <w:t>的竞争行为，不存在损害采购人或者其他</w:t>
            </w:r>
            <w:r>
              <w:rPr>
                <w:rFonts w:hint="eastAsia" w:ascii="宋体" w:hAnsi="宋体" w:cs="宋体"/>
                <w:color w:val="auto"/>
                <w:sz w:val="24"/>
                <w:highlight w:val="none"/>
                <w:lang w:eastAsia="zh-CN"/>
              </w:rPr>
              <w:t>供应商</w:t>
            </w:r>
            <w:r>
              <w:rPr>
                <w:rFonts w:hint="eastAsia" w:ascii="宋体" w:hAnsi="宋体" w:eastAsia="宋体" w:cs="宋体"/>
                <w:color w:val="auto"/>
                <w:sz w:val="24"/>
                <w:highlight w:val="none"/>
              </w:rPr>
              <w:t>的合法权益的情形</w:t>
            </w:r>
            <w:r>
              <w:rPr>
                <w:rFonts w:hint="eastAsia" w:ascii="宋体" w:hAnsi="宋体" w:cs="宋体"/>
                <w:color w:val="auto"/>
                <w:sz w:val="24"/>
                <w:highlight w:val="none"/>
                <w:lang w:eastAsia="zh-CN"/>
              </w:rPr>
              <w:t>。</w:t>
            </w:r>
          </w:p>
        </w:tc>
      </w:tr>
      <w:tr w14:paraId="54701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44" w:type="dxa"/>
            <w:vMerge w:val="continue"/>
            <w:noWrap w:val="0"/>
            <w:vAlign w:val="top"/>
          </w:tcPr>
          <w:p w14:paraId="3EEC09B3">
            <w:pPr>
              <w:keepNext w:val="0"/>
              <w:keepLines w:val="0"/>
              <w:pageBreakBefore w:val="0"/>
              <w:widowControl w:val="0"/>
              <w:shd w:val="clear" w:color="auto" w:fill="auto"/>
              <w:kinsoku w:val="0"/>
              <w:wordWrap w:val="0"/>
              <w:overflowPunct/>
              <w:topLinePunct w:val="0"/>
              <w:autoSpaceDE/>
              <w:autoSpaceDN/>
              <w:bidi w:val="0"/>
              <w:snapToGrid/>
              <w:spacing w:before="100" w:beforeAutospacing="1" w:after="100" w:afterAutospacing="1" w:line="360" w:lineRule="exact"/>
              <w:jc w:val="center"/>
              <w:textAlignment w:val="auto"/>
              <w:rPr>
                <w:rFonts w:hint="eastAsia" w:asciiTheme="minorEastAsia" w:hAnsiTheme="minorEastAsia" w:eastAsiaTheme="minorEastAsia" w:cstheme="minorEastAsia"/>
                <w:color w:val="auto"/>
                <w:sz w:val="24"/>
                <w:szCs w:val="24"/>
                <w:highlight w:val="none"/>
              </w:rPr>
            </w:pPr>
          </w:p>
        </w:tc>
        <w:tc>
          <w:tcPr>
            <w:tcW w:w="444" w:type="dxa"/>
            <w:vMerge w:val="continue"/>
            <w:noWrap w:val="0"/>
            <w:vAlign w:val="top"/>
          </w:tcPr>
          <w:p w14:paraId="487817D2">
            <w:pPr>
              <w:keepNext w:val="0"/>
              <w:keepLines w:val="0"/>
              <w:pageBreakBefore w:val="0"/>
              <w:widowControl w:val="0"/>
              <w:shd w:val="clear" w:color="auto" w:fill="auto"/>
              <w:kinsoku w:val="0"/>
              <w:wordWrap w:val="0"/>
              <w:overflowPunct/>
              <w:topLinePunct w:val="0"/>
              <w:autoSpaceDE/>
              <w:autoSpaceDN/>
              <w:bidi w:val="0"/>
              <w:snapToGrid/>
              <w:spacing w:before="100" w:beforeAutospacing="1" w:after="100" w:afterAutospacing="1" w:line="360" w:lineRule="exact"/>
              <w:jc w:val="center"/>
              <w:textAlignment w:val="auto"/>
              <w:rPr>
                <w:rFonts w:hint="eastAsia" w:asciiTheme="minorEastAsia" w:hAnsiTheme="minorEastAsia" w:eastAsiaTheme="minorEastAsia" w:cstheme="minorEastAsia"/>
                <w:color w:val="auto"/>
                <w:sz w:val="24"/>
                <w:szCs w:val="24"/>
                <w:highlight w:val="none"/>
              </w:rPr>
            </w:pPr>
          </w:p>
        </w:tc>
        <w:tc>
          <w:tcPr>
            <w:tcW w:w="3120" w:type="dxa"/>
            <w:noWrap w:val="0"/>
            <w:vAlign w:val="center"/>
          </w:tcPr>
          <w:p w14:paraId="2DCF8D7D">
            <w:pPr>
              <w:keepNext w:val="0"/>
              <w:keepLines w:val="0"/>
              <w:pageBreakBefore w:val="0"/>
              <w:widowControl w:val="0"/>
              <w:shd w:val="clear" w:color="auto" w:fill="auto"/>
              <w:kinsoku w:val="0"/>
              <w:wordWrap w:val="0"/>
              <w:overflowPunct/>
              <w:topLinePunct w:val="0"/>
              <w:autoSpaceDE/>
              <w:autoSpaceDN/>
              <w:bidi w:val="0"/>
              <w:snapToGrid/>
              <w:spacing w:line="360" w:lineRule="exact"/>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商务条款偏离</w:t>
            </w:r>
          </w:p>
        </w:tc>
        <w:tc>
          <w:tcPr>
            <w:tcW w:w="5193" w:type="dxa"/>
            <w:noWrap w:val="0"/>
            <w:vAlign w:val="center"/>
          </w:tcPr>
          <w:p w14:paraId="5A74BC9D">
            <w:pPr>
              <w:keepNext w:val="0"/>
              <w:keepLines w:val="0"/>
              <w:pageBreakBefore w:val="0"/>
              <w:widowControl w:val="0"/>
              <w:shd w:val="clear" w:color="auto" w:fill="auto"/>
              <w:kinsoku w:val="0"/>
              <w:wordWrap w:val="0"/>
              <w:overflowPunct/>
              <w:topLinePunct w:val="0"/>
              <w:autoSpaceDE/>
              <w:autoSpaceDN/>
              <w:bidi w:val="0"/>
              <w:snapToGrid/>
              <w:spacing w:line="36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投标文件载明条款不存在采购人不能接受的偏离</w:t>
            </w:r>
          </w:p>
        </w:tc>
      </w:tr>
      <w:tr w14:paraId="3D2D46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44" w:type="dxa"/>
            <w:vMerge w:val="continue"/>
            <w:noWrap w:val="0"/>
            <w:vAlign w:val="top"/>
          </w:tcPr>
          <w:p w14:paraId="0D30D246">
            <w:pPr>
              <w:keepNext w:val="0"/>
              <w:keepLines w:val="0"/>
              <w:pageBreakBefore w:val="0"/>
              <w:widowControl w:val="0"/>
              <w:shd w:val="clear" w:color="auto" w:fill="auto"/>
              <w:kinsoku w:val="0"/>
              <w:wordWrap w:val="0"/>
              <w:overflowPunct/>
              <w:topLinePunct w:val="0"/>
              <w:autoSpaceDE/>
              <w:autoSpaceDN/>
              <w:bidi w:val="0"/>
              <w:snapToGrid/>
              <w:spacing w:before="100" w:beforeAutospacing="1" w:after="100" w:afterAutospacing="1" w:line="360" w:lineRule="exact"/>
              <w:jc w:val="center"/>
              <w:textAlignment w:val="auto"/>
              <w:rPr>
                <w:rFonts w:hint="eastAsia" w:asciiTheme="minorEastAsia" w:hAnsiTheme="minorEastAsia" w:eastAsiaTheme="minorEastAsia" w:cstheme="minorEastAsia"/>
                <w:color w:val="auto"/>
                <w:sz w:val="24"/>
                <w:szCs w:val="24"/>
                <w:highlight w:val="none"/>
              </w:rPr>
            </w:pPr>
          </w:p>
        </w:tc>
        <w:tc>
          <w:tcPr>
            <w:tcW w:w="444" w:type="dxa"/>
            <w:vMerge w:val="continue"/>
            <w:noWrap w:val="0"/>
            <w:vAlign w:val="top"/>
          </w:tcPr>
          <w:p w14:paraId="02266803">
            <w:pPr>
              <w:keepNext w:val="0"/>
              <w:keepLines w:val="0"/>
              <w:pageBreakBefore w:val="0"/>
              <w:widowControl w:val="0"/>
              <w:shd w:val="clear" w:color="auto" w:fill="auto"/>
              <w:kinsoku w:val="0"/>
              <w:wordWrap w:val="0"/>
              <w:overflowPunct/>
              <w:topLinePunct w:val="0"/>
              <w:autoSpaceDE/>
              <w:autoSpaceDN/>
              <w:bidi w:val="0"/>
              <w:snapToGrid/>
              <w:spacing w:before="100" w:beforeAutospacing="1" w:after="100" w:afterAutospacing="1" w:line="360" w:lineRule="exact"/>
              <w:jc w:val="center"/>
              <w:textAlignment w:val="auto"/>
              <w:rPr>
                <w:rFonts w:hint="eastAsia" w:asciiTheme="minorEastAsia" w:hAnsiTheme="minorEastAsia" w:eastAsiaTheme="minorEastAsia" w:cstheme="minorEastAsia"/>
                <w:color w:val="auto"/>
                <w:sz w:val="24"/>
                <w:szCs w:val="24"/>
                <w:highlight w:val="none"/>
              </w:rPr>
            </w:pPr>
          </w:p>
        </w:tc>
        <w:tc>
          <w:tcPr>
            <w:tcW w:w="3120" w:type="dxa"/>
            <w:noWrap w:val="0"/>
            <w:vAlign w:val="center"/>
          </w:tcPr>
          <w:p w14:paraId="72041B7E">
            <w:pPr>
              <w:keepNext w:val="0"/>
              <w:keepLines w:val="0"/>
              <w:pageBreakBefore w:val="0"/>
              <w:widowControl w:val="0"/>
              <w:shd w:val="clear" w:color="auto" w:fill="auto"/>
              <w:kinsoku w:val="0"/>
              <w:wordWrap w:val="0"/>
              <w:overflowPunct/>
              <w:topLinePunct w:val="0"/>
              <w:autoSpaceDE/>
              <w:autoSpaceDN/>
              <w:bidi w:val="0"/>
              <w:snapToGrid/>
              <w:spacing w:line="360" w:lineRule="exact"/>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技术</w:t>
            </w:r>
            <w:r>
              <w:rPr>
                <w:rFonts w:hint="eastAsia" w:asciiTheme="minorEastAsia" w:hAnsiTheme="minorEastAsia" w:eastAsiaTheme="minorEastAsia" w:cstheme="minorEastAsia"/>
                <w:color w:val="auto"/>
                <w:sz w:val="24"/>
                <w:szCs w:val="24"/>
                <w:highlight w:val="none"/>
              </w:rPr>
              <w:t>条款偏离</w:t>
            </w:r>
          </w:p>
        </w:tc>
        <w:tc>
          <w:tcPr>
            <w:tcW w:w="5193" w:type="dxa"/>
            <w:noWrap w:val="0"/>
            <w:vAlign w:val="center"/>
          </w:tcPr>
          <w:p w14:paraId="699A6869">
            <w:pPr>
              <w:keepNext w:val="0"/>
              <w:keepLines w:val="0"/>
              <w:pageBreakBefore w:val="0"/>
              <w:widowControl w:val="0"/>
              <w:shd w:val="clear" w:color="auto" w:fill="auto"/>
              <w:kinsoku w:val="0"/>
              <w:wordWrap w:val="0"/>
              <w:overflowPunct/>
              <w:topLinePunct w:val="0"/>
              <w:autoSpaceDE/>
              <w:autoSpaceDN/>
              <w:bidi w:val="0"/>
              <w:snapToGrid/>
              <w:spacing w:line="36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投标文件载明条款不存在采购人不能接受的偏离</w:t>
            </w:r>
          </w:p>
        </w:tc>
      </w:tr>
      <w:tr w14:paraId="791F7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44" w:type="dxa"/>
            <w:vMerge w:val="continue"/>
            <w:noWrap w:val="0"/>
            <w:vAlign w:val="top"/>
          </w:tcPr>
          <w:p w14:paraId="67378F68">
            <w:pPr>
              <w:keepNext w:val="0"/>
              <w:keepLines w:val="0"/>
              <w:pageBreakBefore w:val="0"/>
              <w:widowControl w:val="0"/>
              <w:shd w:val="clear" w:color="auto" w:fill="auto"/>
              <w:kinsoku w:val="0"/>
              <w:wordWrap w:val="0"/>
              <w:overflowPunct/>
              <w:topLinePunct w:val="0"/>
              <w:autoSpaceDE/>
              <w:autoSpaceDN/>
              <w:bidi w:val="0"/>
              <w:snapToGrid/>
              <w:spacing w:before="100" w:beforeAutospacing="1" w:after="100" w:afterAutospacing="1" w:line="360" w:lineRule="exact"/>
              <w:jc w:val="center"/>
              <w:textAlignment w:val="auto"/>
              <w:rPr>
                <w:rFonts w:hint="eastAsia" w:asciiTheme="minorEastAsia" w:hAnsiTheme="minorEastAsia" w:eastAsiaTheme="minorEastAsia" w:cstheme="minorEastAsia"/>
                <w:color w:val="auto"/>
                <w:sz w:val="24"/>
                <w:szCs w:val="24"/>
                <w:highlight w:val="none"/>
              </w:rPr>
            </w:pPr>
          </w:p>
        </w:tc>
        <w:tc>
          <w:tcPr>
            <w:tcW w:w="444" w:type="dxa"/>
            <w:vMerge w:val="continue"/>
            <w:tcBorders>
              <w:bottom w:val="single" w:color="auto" w:sz="4" w:space="0"/>
            </w:tcBorders>
            <w:noWrap w:val="0"/>
            <w:vAlign w:val="top"/>
          </w:tcPr>
          <w:p w14:paraId="64389A63">
            <w:pPr>
              <w:keepNext w:val="0"/>
              <w:keepLines w:val="0"/>
              <w:pageBreakBefore w:val="0"/>
              <w:widowControl w:val="0"/>
              <w:shd w:val="clear" w:color="auto" w:fill="auto"/>
              <w:kinsoku w:val="0"/>
              <w:wordWrap w:val="0"/>
              <w:overflowPunct/>
              <w:topLinePunct w:val="0"/>
              <w:autoSpaceDE/>
              <w:autoSpaceDN/>
              <w:bidi w:val="0"/>
              <w:snapToGrid/>
              <w:spacing w:before="100" w:beforeAutospacing="1" w:after="100" w:afterAutospacing="1" w:line="360" w:lineRule="exact"/>
              <w:jc w:val="center"/>
              <w:textAlignment w:val="auto"/>
              <w:rPr>
                <w:rFonts w:hint="eastAsia" w:asciiTheme="minorEastAsia" w:hAnsiTheme="minorEastAsia" w:eastAsiaTheme="minorEastAsia" w:cstheme="minorEastAsia"/>
                <w:color w:val="auto"/>
                <w:sz w:val="24"/>
                <w:szCs w:val="24"/>
                <w:highlight w:val="none"/>
              </w:rPr>
            </w:pPr>
          </w:p>
        </w:tc>
        <w:tc>
          <w:tcPr>
            <w:tcW w:w="3120" w:type="dxa"/>
            <w:noWrap w:val="0"/>
            <w:vAlign w:val="center"/>
          </w:tcPr>
          <w:p w14:paraId="284F379B">
            <w:pPr>
              <w:keepNext w:val="0"/>
              <w:keepLines w:val="0"/>
              <w:pageBreakBefore w:val="0"/>
              <w:widowControl w:val="0"/>
              <w:shd w:val="clear" w:color="auto" w:fill="auto"/>
              <w:kinsoku w:val="0"/>
              <w:wordWrap w:val="0"/>
              <w:overflowPunct/>
              <w:topLinePunct w:val="0"/>
              <w:autoSpaceDE/>
              <w:autoSpaceDN/>
              <w:bidi w:val="0"/>
              <w:snapToGrid/>
              <w:spacing w:line="360" w:lineRule="exact"/>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投标有效期</w:t>
            </w:r>
          </w:p>
        </w:tc>
        <w:tc>
          <w:tcPr>
            <w:tcW w:w="5193" w:type="dxa"/>
            <w:noWrap w:val="0"/>
            <w:vAlign w:val="center"/>
          </w:tcPr>
          <w:p w14:paraId="3762E861">
            <w:pPr>
              <w:keepNext w:val="0"/>
              <w:keepLines w:val="0"/>
              <w:pageBreakBefore w:val="0"/>
              <w:widowControl w:val="0"/>
              <w:shd w:val="clear" w:color="auto" w:fill="auto"/>
              <w:kinsoku w:val="0"/>
              <w:wordWrap w:val="0"/>
              <w:overflowPunct/>
              <w:topLinePunct w:val="0"/>
              <w:autoSpaceDE/>
              <w:autoSpaceDN/>
              <w:bidi w:val="0"/>
              <w:snapToGrid/>
              <w:spacing w:line="36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符合</w:t>
            </w:r>
            <w:r>
              <w:rPr>
                <w:rFonts w:hint="eastAsia" w:asciiTheme="minorEastAsia" w:hAnsiTheme="minorEastAsia" w:eastAsiaTheme="minorEastAsia" w:cstheme="minorEastAsia"/>
                <w:color w:val="auto"/>
                <w:sz w:val="24"/>
                <w:szCs w:val="24"/>
                <w:highlight w:val="none"/>
                <w:lang w:eastAsia="zh-CN"/>
              </w:rPr>
              <w:t>采购文件</w:t>
            </w:r>
            <w:r>
              <w:rPr>
                <w:rFonts w:hint="eastAsia" w:asciiTheme="minorEastAsia" w:hAnsiTheme="minorEastAsia" w:eastAsiaTheme="minorEastAsia" w:cstheme="minorEastAsia"/>
                <w:color w:val="auto"/>
                <w:sz w:val="24"/>
                <w:szCs w:val="24"/>
                <w:highlight w:val="none"/>
              </w:rPr>
              <w:t>规定</w:t>
            </w:r>
          </w:p>
        </w:tc>
      </w:tr>
      <w:tr w14:paraId="3ED7E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44" w:type="dxa"/>
            <w:vMerge w:val="restart"/>
            <w:noWrap w:val="0"/>
            <w:vAlign w:val="center"/>
          </w:tcPr>
          <w:p w14:paraId="5F16A2CA">
            <w:pPr>
              <w:keepNext w:val="0"/>
              <w:keepLines w:val="0"/>
              <w:pageBreakBefore w:val="0"/>
              <w:widowControl w:val="0"/>
              <w:shd w:val="clear" w:color="auto" w:fill="auto"/>
              <w:kinsoku w:val="0"/>
              <w:wordWrap w:val="0"/>
              <w:overflowPunct/>
              <w:topLinePunct w:val="0"/>
              <w:autoSpaceDE/>
              <w:autoSpaceDN/>
              <w:bidi w:val="0"/>
              <w:snapToGrid/>
              <w:spacing w:line="360" w:lineRule="exact"/>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2.2</w:t>
            </w:r>
          </w:p>
          <w:p w14:paraId="79838C97">
            <w:pPr>
              <w:keepNext w:val="0"/>
              <w:keepLines w:val="0"/>
              <w:pageBreakBefore w:val="0"/>
              <w:widowControl w:val="0"/>
              <w:shd w:val="clear" w:color="auto" w:fill="auto"/>
              <w:kinsoku w:val="0"/>
              <w:wordWrap w:val="0"/>
              <w:overflowPunct/>
              <w:topLinePunct w:val="0"/>
              <w:autoSpaceDE/>
              <w:autoSpaceDN/>
              <w:bidi w:val="0"/>
              <w:snapToGrid/>
              <w:spacing w:line="360" w:lineRule="exact"/>
              <w:jc w:val="center"/>
              <w:textAlignment w:val="auto"/>
              <w:rPr>
                <w:rFonts w:hint="eastAsia" w:asciiTheme="minorEastAsia" w:hAnsiTheme="minorEastAsia" w:eastAsiaTheme="minorEastAsia" w:cstheme="minorEastAsia"/>
                <w:b/>
                <w:bCs/>
                <w:color w:val="auto"/>
                <w:sz w:val="24"/>
                <w:szCs w:val="24"/>
                <w:highlight w:val="none"/>
              </w:rPr>
            </w:pPr>
          </w:p>
        </w:tc>
        <w:tc>
          <w:tcPr>
            <w:tcW w:w="444" w:type="dxa"/>
            <w:vMerge w:val="restart"/>
            <w:tcBorders>
              <w:top w:val="single" w:color="auto" w:sz="4" w:space="0"/>
            </w:tcBorders>
            <w:noWrap w:val="0"/>
            <w:vAlign w:val="center"/>
          </w:tcPr>
          <w:p w14:paraId="5CC86075">
            <w:pPr>
              <w:keepNext w:val="0"/>
              <w:keepLines w:val="0"/>
              <w:pageBreakBefore w:val="0"/>
              <w:widowControl w:val="0"/>
              <w:shd w:val="clear" w:color="auto" w:fill="auto"/>
              <w:kinsoku w:val="0"/>
              <w:wordWrap w:val="0"/>
              <w:overflowPunct/>
              <w:topLinePunct w:val="0"/>
              <w:autoSpaceDE/>
              <w:autoSpaceDN/>
              <w:bidi w:val="0"/>
              <w:snapToGrid/>
              <w:spacing w:line="360" w:lineRule="exact"/>
              <w:jc w:val="both"/>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color w:val="auto"/>
                <w:sz w:val="24"/>
                <w:szCs w:val="24"/>
                <w:highlight w:val="none"/>
              </w:rPr>
              <w:t>详细评审标准</w:t>
            </w:r>
          </w:p>
        </w:tc>
        <w:tc>
          <w:tcPr>
            <w:tcW w:w="3120" w:type="dxa"/>
            <w:noWrap w:val="0"/>
            <w:vAlign w:val="center"/>
          </w:tcPr>
          <w:p w14:paraId="7E0619A9">
            <w:pPr>
              <w:keepNext w:val="0"/>
              <w:keepLines w:val="0"/>
              <w:pageBreakBefore w:val="0"/>
              <w:widowControl w:val="0"/>
              <w:shd w:val="clear" w:color="auto" w:fill="auto"/>
              <w:kinsoku w:val="0"/>
              <w:wordWrap w:val="0"/>
              <w:overflowPunct/>
              <w:topLinePunct w:val="0"/>
              <w:autoSpaceDE/>
              <w:autoSpaceDN/>
              <w:bidi w:val="0"/>
              <w:snapToGrid/>
              <w:spacing w:line="360" w:lineRule="exact"/>
              <w:ind w:firstLine="240" w:firstLineChars="10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1）评标总得分计算公式</w:t>
            </w:r>
          </w:p>
        </w:tc>
        <w:tc>
          <w:tcPr>
            <w:tcW w:w="5193" w:type="dxa"/>
            <w:noWrap w:val="0"/>
            <w:vAlign w:val="center"/>
          </w:tcPr>
          <w:p w14:paraId="33EA335A">
            <w:pPr>
              <w:keepNext w:val="0"/>
              <w:keepLines w:val="0"/>
              <w:pageBreakBefore w:val="0"/>
              <w:widowControl w:val="0"/>
              <w:shd w:val="clear" w:color="auto" w:fill="auto"/>
              <w:kinsoku w:val="0"/>
              <w:wordWrap w:val="0"/>
              <w:overflowPunct/>
              <w:topLinePunct w:val="0"/>
              <w:autoSpaceDE/>
              <w:autoSpaceDN/>
              <w:bidi w:val="0"/>
              <w:snapToGrid/>
              <w:spacing w:line="36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供应商</w:t>
            </w:r>
            <w:r>
              <w:rPr>
                <w:rFonts w:hint="eastAsia" w:asciiTheme="minorEastAsia" w:hAnsiTheme="minorEastAsia" w:eastAsiaTheme="minorEastAsia" w:cstheme="minorEastAsia"/>
                <w:color w:val="auto"/>
                <w:sz w:val="24"/>
                <w:szCs w:val="24"/>
                <w:highlight w:val="none"/>
              </w:rPr>
              <w:t>的评标总得分＝F1＋F2＋F3</w:t>
            </w:r>
          </w:p>
          <w:p w14:paraId="3DF0C0ED">
            <w:pPr>
              <w:keepNext w:val="0"/>
              <w:keepLines w:val="0"/>
              <w:pageBreakBefore w:val="0"/>
              <w:widowControl w:val="0"/>
              <w:shd w:val="clear" w:color="auto" w:fill="auto"/>
              <w:kinsoku w:val="0"/>
              <w:wordWrap w:val="0"/>
              <w:overflowPunct/>
              <w:topLinePunct w:val="0"/>
              <w:autoSpaceDE/>
              <w:autoSpaceDN/>
              <w:bidi w:val="0"/>
              <w:snapToGrid/>
              <w:spacing w:line="36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其中：F1、F2、F3分别为投标报价、技术部分、履约能力3项评分因素的汇总得分。</w:t>
            </w:r>
          </w:p>
        </w:tc>
      </w:tr>
      <w:tr w14:paraId="49C7B3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44" w:type="dxa"/>
            <w:vMerge w:val="continue"/>
            <w:noWrap w:val="0"/>
            <w:vAlign w:val="top"/>
          </w:tcPr>
          <w:p w14:paraId="03BB9941">
            <w:pPr>
              <w:keepNext w:val="0"/>
              <w:keepLines w:val="0"/>
              <w:pageBreakBefore w:val="0"/>
              <w:widowControl w:val="0"/>
              <w:shd w:val="clear" w:color="auto" w:fill="auto"/>
              <w:kinsoku w:val="0"/>
              <w:wordWrap w:val="0"/>
              <w:overflowPunct/>
              <w:topLinePunct w:val="0"/>
              <w:autoSpaceDE/>
              <w:autoSpaceDN/>
              <w:bidi w:val="0"/>
              <w:snapToGrid/>
              <w:spacing w:before="100" w:beforeAutospacing="1" w:after="100" w:afterAutospacing="1" w:line="360" w:lineRule="exact"/>
              <w:jc w:val="center"/>
              <w:textAlignment w:val="auto"/>
              <w:rPr>
                <w:rFonts w:hint="eastAsia" w:asciiTheme="minorEastAsia" w:hAnsiTheme="minorEastAsia" w:eastAsiaTheme="minorEastAsia" w:cstheme="minorEastAsia"/>
                <w:color w:val="auto"/>
                <w:sz w:val="24"/>
                <w:szCs w:val="24"/>
                <w:highlight w:val="none"/>
              </w:rPr>
            </w:pPr>
          </w:p>
        </w:tc>
        <w:tc>
          <w:tcPr>
            <w:tcW w:w="444" w:type="dxa"/>
            <w:vMerge w:val="continue"/>
            <w:noWrap w:val="0"/>
            <w:vAlign w:val="top"/>
          </w:tcPr>
          <w:p w14:paraId="540AD3C8">
            <w:pPr>
              <w:keepNext w:val="0"/>
              <w:keepLines w:val="0"/>
              <w:pageBreakBefore w:val="0"/>
              <w:widowControl w:val="0"/>
              <w:shd w:val="clear" w:color="auto" w:fill="auto"/>
              <w:kinsoku w:val="0"/>
              <w:wordWrap w:val="0"/>
              <w:overflowPunct/>
              <w:topLinePunct w:val="0"/>
              <w:autoSpaceDE/>
              <w:autoSpaceDN/>
              <w:bidi w:val="0"/>
              <w:snapToGrid/>
              <w:spacing w:before="100" w:beforeAutospacing="1" w:after="100" w:afterAutospacing="1" w:line="360" w:lineRule="exact"/>
              <w:jc w:val="center"/>
              <w:textAlignment w:val="auto"/>
              <w:rPr>
                <w:rFonts w:hint="eastAsia" w:asciiTheme="minorEastAsia" w:hAnsiTheme="minorEastAsia" w:eastAsiaTheme="minorEastAsia" w:cstheme="minorEastAsia"/>
                <w:color w:val="auto"/>
                <w:sz w:val="24"/>
                <w:szCs w:val="24"/>
                <w:highlight w:val="none"/>
              </w:rPr>
            </w:pPr>
          </w:p>
        </w:tc>
        <w:tc>
          <w:tcPr>
            <w:tcW w:w="3120" w:type="dxa"/>
            <w:noWrap w:val="0"/>
            <w:vAlign w:val="center"/>
          </w:tcPr>
          <w:p w14:paraId="2BB34378">
            <w:pPr>
              <w:keepNext w:val="0"/>
              <w:keepLines w:val="0"/>
              <w:pageBreakBefore w:val="0"/>
              <w:widowControl w:val="0"/>
              <w:shd w:val="clear" w:color="auto" w:fill="auto"/>
              <w:kinsoku w:val="0"/>
              <w:wordWrap w:val="0"/>
              <w:overflowPunct/>
              <w:topLinePunct w:val="0"/>
              <w:autoSpaceDE/>
              <w:autoSpaceDN/>
              <w:bidi w:val="0"/>
              <w:snapToGrid/>
              <w:spacing w:line="360" w:lineRule="exact"/>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2）评分因素权重</w:t>
            </w:r>
          </w:p>
        </w:tc>
        <w:tc>
          <w:tcPr>
            <w:tcW w:w="5193" w:type="dxa"/>
            <w:noWrap w:val="0"/>
            <w:vAlign w:val="center"/>
          </w:tcPr>
          <w:p w14:paraId="22B748D5">
            <w:pPr>
              <w:keepNext w:val="0"/>
              <w:keepLines w:val="0"/>
              <w:pageBreakBefore w:val="0"/>
              <w:widowControl w:val="0"/>
              <w:shd w:val="clear" w:color="auto" w:fill="auto"/>
              <w:kinsoku w:val="0"/>
              <w:wordWrap w:val="0"/>
              <w:overflowPunct/>
              <w:topLinePunct w:val="0"/>
              <w:autoSpaceDE/>
              <w:autoSpaceDN/>
              <w:bidi w:val="0"/>
              <w:snapToGrid/>
              <w:spacing w:line="360" w:lineRule="exact"/>
              <w:ind w:left="1258" w:hanging="1258"/>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投标报价评审得分F1：</w:t>
            </w:r>
            <w:r>
              <w:rPr>
                <w:rFonts w:hint="eastAsia" w:asciiTheme="minorEastAsia" w:hAnsiTheme="minorEastAsia" w:eastAsiaTheme="minorEastAsia" w:cstheme="minorEastAsia"/>
                <w:b/>
                <w:bCs/>
                <w:color w:val="auto"/>
                <w:sz w:val="24"/>
                <w:szCs w:val="24"/>
                <w:highlight w:val="none"/>
                <w:lang w:val="en-US" w:eastAsia="zh-CN"/>
              </w:rPr>
              <w:t>3</w:t>
            </w:r>
            <w:r>
              <w:rPr>
                <w:rFonts w:hint="eastAsia" w:asciiTheme="minorEastAsia" w:hAnsiTheme="minorEastAsia" w:eastAsiaTheme="minorEastAsia" w:cstheme="minorEastAsia"/>
                <w:b/>
                <w:bCs/>
                <w:color w:val="auto"/>
                <w:sz w:val="24"/>
                <w:szCs w:val="24"/>
                <w:highlight w:val="none"/>
              </w:rPr>
              <w:t>0分。</w:t>
            </w:r>
          </w:p>
          <w:p w14:paraId="06589CB0">
            <w:pPr>
              <w:keepNext w:val="0"/>
              <w:keepLines w:val="0"/>
              <w:pageBreakBefore w:val="0"/>
              <w:widowControl w:val="0"/>
              <w:shd w:val="clear" w:color="auto" w:fill="auto"/>
              <w:kinsoku w:val="0"/>
              <w:wordWrap w:val="0"/>
              <w:overflowPunct/>
              <w:topLinePunct w:val="0"/>
              <w:autoSpaceDE/>
              <w:autoSpaceDN/>
              <w:bidi w:val="0"/>
              <w:snapToGrid/>
              <w:spacing w:line="360" w:lineRule="exact"/>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技术部分评审得分F2：</w:t>
            </w:r>
            <w:r>
              <w:rPr>
                <w:rFonts w:hint="eastAsia" w:asciiTheme="minorEastAsia" w:hAnsiTheme="minorEastAsia" w:eastAsiaTheme="minorEastAsia" w:cstheme="minorEastAsia"/>
                <w:b/>
                <w:bCs/>
                <w:color w:val="auto"/>
                <w:sz w:val="24"/>
                <w:szCs w:val="24"/>
                <w:highlight w:val="none"/>
                <w:lang w:val="en-US" w:eastAsia="zh-CN"/>
              </w:rPr>
              <w:t>30</w:t>
            </w:r>
            <w:r>
              <w:rPr>
                <w:rFonts w:hint="eastAsia" w:asciiTheme="minorEastAsia" w:hAnsiTheme="minorEastAsia" w:eastAsiaTheme="minorEastAsia" w:cstheme="minorEastAsia"/>
                <w:b/>
                <w:bCs/>
                <w:color w:val="auto"/>
                <w:sz w:val="24"/>
                <w:szCs w:val="24"/>
                <w:highlight w:val="none"/>
              </w:rPr>
              <w:t>分。</w:t>
            </w:r>
          </w:p>
          <w:p w14:paraId="50CA8F21">
            <w:pPr>
              <w:keepNext w:val="0"/>
              <w:keepLines w:val="0"/>
              <w:pageBreakBefore w:val="0"/>
              <w:widowControl w:val="0"/>
              <w:shd w:val="clear" w:color="auto" w:fill="auto"/>
              <w:kinsoku w:val="0"/>
              <w:wordWrap w:val="0"/>
              <w:overflowPunct/>
              <w:topLinePunct w:val="0"/>
              <w:autoSpaceDE/>
              <w:autoSpaceDN/>
              <w:bidi w:val="0"/>
              <w:snapToGrid/>
              <w:spacing w:line="36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履约能力评审得分F3：</w:t>
            </w:r>
            <w:r>
              <w:rPr>
                <w:rFonts w:hint="eastAsia" w:asciiTheme="minorEastAsia" w:hAnsiTheme="minorEastAsia" w:eastAsiaTheme="minorEastAsia" w:cstheme="minorEastAsia"/>
                <w:b/>
                <w:bCs/>
                <w:color w:val="auto"/>
                <w:sz w:val="24"/>
                <w:szCs w:val="24"/>
                <w:highlight w:val="none"/>
                <w:lang w:val="en-US" w:eastAsia="zh-CN"/>
              </w:rPr>
              <w:t>40</w:t>
            </w:r>
            <w:r>
              <w:rPr>
                <w:rFonts w:hint="eastAsia" w:asciiTheme="minorEastAsia" w:hAnsiTheme="minorEastAsia" w:eastAsiaTheme="minorEastAsia" w:cstheme="minorEastAsia"/>
                <w:b/>
                <w:bCs/>
                <w:color w:val="auto"/>
                <w:sz w:val="24"/>
                <w:szCs w:val="24"/>
                <w:highlight w:val="none"/>
              </w:rPr>
              <w:t>分。</w:t>
            </w:r>
          </w:p>
        </w:tc>
      </w:tr>
      <w:tr w14:paraId="12863D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44" w:type="dxa"/>
            <w:vMerge w:val="continue"/>
            <w:noWrap w:val="0"/>
            <w:vAlign w:val="center"/>
          </w:tcPr>
          <w:p w14:paraId="0225F986">
            <w:pPr>
              <w:keepNext w:val="0"/>
              <w:keepLines w:val="0"/>
              <w:pageBreakBefore w:val="0"/>
              <w:widowControl w:val="0"/>
              <w:shd w:val="clear" w:color="auto" w:fill="auto"/>
              <w:kinsoku w:val="0"/>
              <w:wordWrap w:val="0"/>
              <w:overflowPunct/>
              <w:topLinePunct w:val="0"/>
              <w:autoSpaceDE/>
              <w:autoSpaceDN/>
              <w:bidi w:val="0"/>
              <w:snapToGrid/>
              <w:spacing w:line="360" w:lineRule="exact"/>
              <w:textAlignment w:val="auto"/>
              <w:rPr>
                <w:rFonts w:hint="eastAsia" w:asciiTheme="minorEastAsia" w:hAnsiTheme="minorEastAsia" w:eastAsiaTheme="minorEastAsia" w:cstheme="minorEastAsia"/>
                <w:b/>
                <w:bCs/>
                <w:color w:val="auto"/>
                <w:sz w:val="24"/>
                <w:szCs w:val="24"/>
                <w:highlight w:val="none"/>
              </w:rPr>
            </w:pPr>
          </w:p>
        </w:tc>
        <w:tc>
          <w:tcPr>
            <w:tcW w:w="444" w:type="dxa"/>
            <w:vMerge w:val="continue"/>
            <w:noWrap w:val="0"/>
            <w:vAlign w:val="center"/>
          </w:tcPr>
          <w:p w14:paraId="3A30543E">
            <w:pPr>
              <w:keepNext w:val="0"/>
              <w:keepLines w:val="0"/>
              <w:pageBreakBefore w:val="0"/>
              <w:widowControl w:val="0"/>
              <w:shd w:val="clear" w:color="auto" w:fill="auto"/>
              <w:kinsoku w:val="0"/>
              <w:wordWrap w:val="0"/>
              <w:overflowPunct/>
              <w:topLinePunct w:val="0"/>
              <w:autoSpaceDE/>
              <w:autoSpaceDN/>
              <w:bidi w:val="0"/>
              <w:snapToGrid/>
              <w:spacing w:line="360" w:lineRule="exact"/>
              <w:jc w:val="center"/>
              <w:textAlignment w:val="auto"/>
              <w:rPr>
                <w:rFonts w:hint="eastAsia" w:asciiTheme="minorEastAsia" w:hAnsiTheme="minorEastAsia" w:eastAsiaTheme="minorEastAsia" w:cstheme="minorEastAsia"/>
                <w:b/>
                <w:bCs/>
                <w:color w:val="auto"/>
                <w:sz w:val="24"/>
                <w:szCs w:val="24"/>
                <w:highlight w:val="none"/>
              </w:rPr>
            </w:pPr>
          </w:p>
        </w:tc>
        <w:tc>
          <w:tcPr>
            <w:tcW w:w="3120" w:type="dxa"/>
            <w:noWrap w:val="0"/>
            <w:vAlign w:val="center"/>
          </w:tcPr>
          <w:p w14:paraId="61383921">
            <w:pPr>
              <w:keepNext w:val="0"/>
              <w:keepLines w:val="0"/>
              <w:pageBreakBefore w:val="0"/>
              <w:widowControl w:val="0"/>
              <w:shd w:val="clear" w:color="auto" w:fill="auto"/>
              <w:kinsoku w:val="0"/>
              <w:wordWrap w:val="0"/>
              <w:overflowPunct/>
              <w:topLinePunct w:val="0"/>
              <w:autoSpaceDE/>
              <w:autoSpaceDN/>
              <w:bidi w:val="0"/>
              <w:snapToGrid/>
              <w:spacing w:line="360" w:lineRule="exact"/>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3）投标报价得分F1</w:t>
            </w:r>
          </w:p>
          <w:p w14:paraId="56BB3C30">
            <w:pPr>
              <w:keepNext w:val="0"/>
              <w:keepLines w:val="0"/>
              <w:pageBreakBefore w:val="0"/>
              <w:widowControl w:val="0"/>
              <w:shd w:val="clear" w:color="auto" w:fill="auto"/>
              <w:kinsoku w:val="0"/>
              <w:wordWrap w:val="0"/>
              <w:overflowPunct/>
              <w:topLinePunct w:val="0"/>
              <w:autoSpaceDE/>
              <w:autoSpaceDN/>
              <w:bidi w:val="0"/>
              <w:snapToGrid/>
              <w:spacing w:line="360" w:lineRule="exact"/>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（满分</w:t>
            </w: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rPr>
              <w:t>0分）</w:t>
            </w:r>
          </w:p>
        </w:tc>
        <w:tc>
          <w:tcPr>
            <w:tcW w:w="5193" w:type="dxa"/>
            <w:noWrap w:val="0"/>
            <w:vAlign w:val="center"/>
          </w:tcPr>
          <w:p w14:paraId="01C10769">
            <w:pPr>
              <w:keepNext w:val="0"/>
              <w:keepLines w:val="0"/>
              <w:pageBreakBefore w:val="0"/>
              <w:widowControl w:val="0"/>
              <w:shd w:val="clear" w:color="auto" w:fill="auto"/>
              <w:kinsoku w:val="0"/>
              <w:wordWrap w:val="0"/>
              <w:overflowPunct/>
              <w:topLinePunct w:val="0"/>
              <w:autoSpaceDE/>
              <w:autoSpaceDN/>
              <w:bidi w:val="0"/>
              <w:adjustRightInd w:val="0"/>
              <w:snapToGrid/>
              <w:spacing w:line="360" w:lineRule="exact"/>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color w:val="auto"/>
                <w:sz w:val="24"/>
                <w:szCs w:val="24"/>
                <w:highlight w:val="none"/>
              </w:rPr>
              <w:t>价格分应当采用低价优先法计算，即满足</w:t>
            </w:r>
            <w:r>
              <w:rPr>
                <w:rFonts w:hint="eastAsia" w:asciiTheme="minorEastAsia" w:hAnsiTheme="minorEastAsia" w:eastAsiaTheme="minorEastAsia" w:cstheme="minorEastAsia"/>
                <w:color w:val="auto"/>
                <w:sz w:val="24"/>
                <w:szCs w:val="24"/>
                <w:highlight w:val="none"/>
                <w:lang w:eastAsia="zh-CN"/>
              </w:rPr>
              <w:t>采购文件</w:t>
            </w:r>
            <w:r>
              <w:rPr>
                <w:rFonts w:hint="eastAsia" w:asciiTheme="minorEastAsia" w:hAnsiTheme="minorEastAsia" w:eastAsiaTheme="minorEastAsia" w:cstheme="minorEastAsia"/>
                <w:color w:val="auto"/>
                <w:sz w:val="24"/>
                <w:szCs w:val="24"/>
                <w:highlight w:val="none"/>
              </w:rPr>
              <w:t>要求且投标价格最低的投标报价为评标基准价，其价格分为满分。其他</w:t>
            </w:r>
            <w:r>
              <w:rPr>
                <w:rFonts w:hint="eastAsia" w:asciiTheme="minorEastAsia" w:hAnsiTheme="minorEastAsia" w:eastAsiaTheme="minorEastAsia" w:cstheme="minorEastAsia"/>
                <w:color w:val="auto"/>
                <w:sz w:val="24"/>
                <w:szCs w:val="24"/>
                <w:highlight w:val="none"/>
                <w:lang w:val="en-US" w:eastAsia="zh-CN"/>
              </w:rPr>
              <w:t>供应商</w:t>
            </w:r>
            <w:r>
              <w:rPr>
                <w:rFonts w:hint="eastAsia" w:asciiTheme="minorEastAsia" w:hAnsiTheme="minorEastAsia" w:eastAsiaTheme="minorEastAsia" w:cstheme="minorEastAsia"/>
                <w:color w:val="auto"/>
                <w:sz w:val="24"/>
                <w:szCs w:val="24"/>
                <w:highlight w:val="none"/>
              </w:rPr>
              <w:t>的价格分统一按照下列公式计算：</w:t>
            </w:r>
            <w:r>
              <w:rPr>
                <w:rFonts w:hint="eastAsia" w:asciiTheme="minorEastAsia" w:hAnsiTheme="minorEastAsia" w:eastAsiaTheme="minorEastAsia" w:cstheme="minorEastAsia"/>
                <w:b/>
                <w:bCs/>
                <w:color w:val="auto"/>
                <w:sz w:val="24"/>
                <w:szCs w:val="24"/>
                <w:highlight w:val="none"/>
              </w:rPr>
              <w:t>投标报价得分=(评标基准价／投标报价)×</w:t>
            </w:r>
            <w:r>
              <w:rPr>
                <w:rFonts w:hint="eastAsia" w:asciiTheme="minorEastAsia" w:hAnsiTheme="minorEastAsia" w:eastAsiaTheme="minorEastAsia" w:cstheme="minorEastAsia"/>
                <w:b/>
                <w:bCs/>
                <w:color w:val="auto"/>
                <w:sz w:val="24"/>
                <w:szCs w:val="24"/>
                <w:highlight w:val="none"/>
                <w:lang w:val="en-US" w:eastAsia="zh-CN"/>
              </w:rPr>
              <w:t>30</w:t>
            </w:r>
          </w:p>
          <w:p w14:paraId="7B8555B8">
            <w:pPr>
              <w:pStyle w:val="9"/>
              <w:keepNext w:val="0"/>
              <w:keepLines w:val="0"/>
              <w:pageBreakBefore w:val="0"/>
              <w:widowControl w:val="0"/>
              <w:shd w:val="clear" w:color="auto" w:fill="auto"/>
              <w:kinsoku w:val="0"/>
              <w:wordWrap w:val="0"/>
              <w:overflowPunct/>
              <w:topLinePunct w:val="0"/>
              <w:autoSpaceDE/>
              <w:autoSpaceDN/>
              <w:bidi w:val="0"/>
              <w:snapToGrid/>
              <w:spacing w:after="0" w:line="36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注：1.评标基准价为经初步评审合格且投标价格最低的投标报</w:t>
            </w:r>
            <w:r>
              <w:rPr>
                <w:rFonts w:hint="eastAsia" w:asciiTheme="minorEastAsia" w:hAnsiTheme="minorEastAsia" w:eastAsiaTheme="minorEastAsia" w:cstheme="minorEastAsia"/>
                <w:color w:val="auto"/>
                <w:sz w:val="24"/>
                <w:szCs w:val="24"/>
                <w:highlight w:val="none"/>
                <w:lang w:val="en-US" w:eastAsia="zh-CN"/>
              </w:rPr>
              <w:t>价</w:t>
            </w:r>
            <w:r>
              <w:rPr>
                <w:rFonts w:hint="eastAsia" w:asciiTheme="minorEastAsia" w:hAnsiTheme="minorEastAsia" w:eastAsiaTheme="minorEastAsia" w:cstheme="minorEastAsia"/>
                <w:color w:val="auto"/>
                <w:sz w:val="24"/>
                <w:szCs w:val="24"/>
                <w:highlight w:val="none"/>
              </w:rPr>
              <w:t>；</w:t>
            </w:r>
          </w:p>
          <w:p w14:paraId="1C4BDA6A">
            <w:pPr>
              <w:pStyle w:val="9"/>
              <w:keepNext w:val="0"/>
              <w:keepLines w:val="0"/>
              <w:pageBreakBefore w:val="0"/>
              <w:widowControl w:val="0"/>
              <w:shd w:val="clear" w:color="auto" w:fill="auto"/>
              <w:kinsoku w:val="0"/>
              <w:wordWrap w:val="0"/>
              <w:overflowPunct/>
              <w:topLinePunct w:val="0"/>
              <w:autoSpaceDE/>
              <w:autoSpaceDN/>
              <w:bidi w:val="0"/>
              <w:snapToGrid/>
              <w:spacing w:after="0" w:line="36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r>
              <w:rPr>
                <w:rFonts w:hint="eastAsia" w:asciiTheme="minorEastAsia" w:hAnsiTheme="minorEastAsia" w:eastAsiaTheme="minorEastAsia" w:cstheme="minorEastAsia"/>
                <w:color w:val="auto"/>
                <w:sz w:val="24"/>
                <w:szCs w:val="24"/>
                <w:highlight w:val="none"/>
                <w:lang w:val="en-US" w:eastAsia="zh-CN"/>
              </w:rPr>
              <w:t>.</w:t>
            </w:r>
            <w:r>
              <w:rPr>
                <w:rFonts w:hint="eastAsia" w:asciiTheme="minorEastAsia" w:hAnsiTheme="minorEastAsia" w:eastAsiaTheme="minorEastAsia" w:cstheme="minorEastAsia"/>
                <w:color w:val="auto"/>
                <w:sz w:val="24"/>
                <w:szCs w:val="24"/>
                <w:highlight w:val="none"/>
              </w:rPr>
              <w:t>评标过程中，不得去掉报价中的最高报价和最低报价。</w:t>
            </w:r>
          </w:p>
          <w:p w14:paraId="16CCDC37">
            <w:pPr>
              <w:pStyle w:val="9"/>
              <w:keepNext w:val="0"/>
              <w:keepLines w:val="0"/>
              <w:pageBreakBefore w:val="0"/>
              <w:widowControl w:val="0"/>
              <w:shd w:val="clear" w:color="auto" w:fill="auto"/>
              <w:kinsoku w:val="0"/>
              <w:wordWrap w:val="0"/>
              <w:overflowPunct/>
              <w:topLinePunct w:val="0"/>
              <w:autoSpaceDE/>
              <w:autoSpaceDN/>
              <w:bidi w:val="0"/>
              <w:snapToGrid/>
              <w:spacing w:after="0" w:line="360" w:lineRule="exac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3.供应商提供的货物全部由符合政策要求的小型和微型企业制造的其价格给予10%价格扣除，用扣除后的价格参加评审；</w:t>
            </w:r>
            <w:r>
              <w:rPr>
                <w:rFonts w:hint="eastAsia" w:ascii="宋体" w:hAnsi="宋体" w:eastAsia="宋体" w:cs="宋体"/>
                <w:b w:val="0"/>
                <w:bCs w:val="0"/>
                <w:color w:val="auto"/>
                <w:sz w:val="24"/>
                <w:szCs w:val="24"/>
                <w:highlight w:val="none"/>
                <w:lang w:val="en-US" w:eastAsia="zh-CN"/>
              </w:rPr>
              <w:t>监狱企业、残疾人福利性单位视同小型、微型企业，其价格在评审时给予相同的价格扣除。监狱企业、残疾人福利性单位属于小微企业的，不重复享受价格扣除优惠政策；价格扣除比例对小型企业和微型企业同等对待，不作区分。</w:t>
            </w:r>
            <w:r>
              <w:rPr>
                <w:rFonts w:hint="eastAsia" w:asciiTheme="minorEastAsia" w:hAnsiTheme="minorEastAsia" w:eastAsiaTheme="minorEastAsia" w:cstheme="minorEastAsia"/>
                <w:color w:val="auto"/>
                <w:sz w:val="24"/>
                <w:szCs w:val="24"/>
                <w:highlight w:val="none"/>
                <w:lang w:val="en-US" w:eastAsia="zh-CN"/>
              </w:rPr>
              <w:t>评标委员会应当按扣除后的价格作为评审报价，并依据其计算报价得分，即评审报价=投标总报价×（1-10%）。该扣除后的评审报价仅作为计算报价得分之用，不作为采购合同签订报价，合同价格仍按供应商的实际报价进行签订。</w:t>
            </w:r>
          </w:p>
        </w:tc>
      </w:tr>
      <w:tr w14:paraId="7FE40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44" w:type="dxa"/>
            <w:vMerge w:val="continue"/>
            <w:noWrap w:val="0"/>
            <w:vAlign w:val="top"/>
          </w:tcPr>
          <w:p w14:paraId="24A0501D">
            <w:pPr>
              <w:keepNext w:val="0"/>
              <w:keepLines w:val="0"/>
              <w:pageBreakBefore w:val="0"/>
              <w:widowControl w:val="0"/>
              <w:shd w:val="clear" w:color="auto" w:fill="auto"/>
              <w:kinsoku w:val="0"/>
              <w:wordWrap w:val="0"/>
              <w:overflowPunct/>
              <w:topLinePunct w:val="0"/>
              <w:autoSpaceDE/>
              <w:autoSpaceDN/>
              <w:bidi w:val="0"/>
              <w:snapToGrid/>
              <w:spacing w:line="360" w:lineRule="exact"/>
              <w:jc w:val="center"/>
              <w:textAlignment w:val="auto"/>
              <w:rPr>
                <w:rFonts w:hint="eastAsia" w:asciiTheme="minorEastAsia" w:hAnsiTheme="minorEastAsia" w:eastAsiaTheme="minorEastAsia" w:cstheme="minorEastAsia"/>
                <w:b/>
                <w:bCs/>
                <w:color w:val="auto"/>
                <w:sz w:val="24"/>
                <w:szCs w:val="24"/>
                <w:highlight w:val="none"/>
              </w:rPr>
            </w:pPr>
          </w:p>
        </w:tc>
        <w:tc>
          <w:tcPr>
            <w:tcW w:w="444" w:type="dxa"/>
            <w:vMerge w:val="continue"/>
            <w:noWrap w:val="0"/>
            <w:vAlign w:val="center"/>
          </w:tcPr>
          <w:p w14:paraId="37C8006B">
            <w:pPr>
              <w:keepNext w:val="0"/>
              <w:keepLines w:val="0"/>
              <w:pageBreakBefore w:val="0"/>
              <w:widowControl w:val="0"/>
              <w:shd w:val="clear" w:color="auto" w:fill="auto"/>
              <w:kinsoku w:val="0"/>
              <w:wordWrap w:val="0"/>
              <w:overflowPunct/>
              <w:topLinePunct w:val="0"/>
              <w:autoSpaceDE/>
              <w:autoSpaceDN/>
              <w:bidi w:val="0"/>
              <w:snapToGrid/>
              <w:spacing w:line="360" w:lineRule="exact"/>
              <w:jc w:val="center"/>
              <w:textAlignment w:val="auto"/>
              <w:rPr>
                <w:rFonts w:hint="eastAsia" w:asciiTheme="minorEastAsia" w:hAnsiTheme="minorEastAsia" w:eastAsiaTheme="minorEastAsia" w:cstheme="minorEastAsia"/>
                <w:b/>
                <w:bCs/>
                <w:color w:val="auto"/>
                <w:sz w:val="24"/>
                <w:szCs w:val="24"/>
                <w:highlight w:val="none"/>
              </w:rPr>
            </w:pPr>
          </w:p>
        </w:tc>
        <w:tc>
          <w:tcPr>
            <w:tcW w:w="3120" w:type="dxa"/>
            <w:noWrap w:val="0"/>
            <w:vAlign w:val="center"/>
          </w:tcPr>
          <w:p w14:paraId="12E91452">
            <w:pPr>
              <w:keepNext w:val="0"/>
              <w:keepLines w:val="0"/>
              <w:pageBreakBefore w:val="0"/>
              <w:widowControl w:val="0"/>
              <w:shd w:val="clear" w:color="auto" w:fill="auto"/>
              <w:kinsoku w:val="0"/>
              <w:wordWrap w:val="0"/>
              <w:overflowPunct/>
              <w:topLinePunct w:val="0"/>
              <w:autoSpaceDE/>
              <w:autoSpaceDN/>
              <w:bidi w:val="0"/>
              <w:snapToGrid/>
              <w:spacing w:line="360" w:lineRule="exact"/>
              <w:jc w:val="center"/>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rPr>
              <w:t>）技术部分得分F</w:t>
            </w: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（满分</w:t>
            </w:r>
            <w:r>
              <w:rPr>
                <w:rFonts w:hint="eastAsia" w:asciiTheme="minorEastAsia" w:hAnsiTheme="minorEastAsia" w:eastAsiaTheme="minorEastAsia" w:cstheme="minorEastAsia"/>
                <w:color w:val="auto"/>
                <w:sz w:val="24"/>
                <w:szCs w:val="24"/>
                <w:highlight w:val="none"/>
                <w:lang w:val="en-US" w:eastAsia="zh-CN"/>
              </w:rPr>
              <w:t>30</w:t>
            </w:r>
            <w:r>
              <w:rPr>
                <w:rFonts w:hint="eastAsia" w:asciiTheme="minorEastAsia" w:hAnsiTheme="minorEastAsia" w:eastAsiaTheme="minorEastAsia" w:cstheme="minorEastAsia"/>
                <w:color w:val="auto"/>
                <w:sz w:val="24"/>
                <w:szCs w:val="24"/>
                <w:highlight w:val="none"/>
              </w:rPr>
              <w:t>分）</w:t>
            </w:r>
          </w:p>
        </w:tc>
        <w:tc>
          <w:tcPr>
            <w:tcW w:w="5193" w:type="dxa"/>
            <w:noWrap w:val="0"/>
            <w:vAlign w:val="center"/>
          </w:tcPr>
          <w:p w14:paraId="7B17F286">
            <w:pPr>
              <w:keepNext w:val="0"/>
              <w:keepLines w:val="0"/>
              <w:pageBreakBefore w:val="0"/>
              <w:widowControl w:val="0"/>
              <w:kinsoku w:val="0"/>
              <w:wordWrap w:val="0"/>
              <w:bidi w:val="0"/>
              <w:snapToGrid w:val="0"/>
              <w:spacing w:line="360" w:lineRule="auto"/>
              <w:textAlignment w:val="auto"/>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4.1</w:t>
            </w:r>
            <w:r>
              <w:rPr>
                <w:rFonts w:hint="eastAsia" w:ascii="宋体" w:hAnsi="宋体" w:eastAsia="宋体" w:cs="宋体"/>
                <w:b/>
                <w:bCs/>
                <w:color w:val="auto"/>
                <w:sz w:val="24"/>
                <w:szCs w:val="24"/>
                <w:highlight w:val="none"/>
                <w:lang w:val="en-US" w:eastAsia="zh-CN"/>
              </w:rPr>
              <w:t>技术参数</w:t>
            </w:r>
            <w:r>
              <w:rPr>
                <w:rFonts w:hint="eastAsia" w:ascii="宋体" w:hAnsi="宋体" w:cs="宋体"/>
                <w:b/>
                <w:bCs/>
                <w:color w:val="auto"/>
                <w:sz w:val="24"/>
                <w:szCs w:val="24"/>
                <w:highlight w:val="none"/>
                <w:lang w:val="en-US" w:eastAsia="zh-CN"/>
              </w:rPr>
              <w:t>评审（满分30分）</w:t>
            </w:r>
          </w:p>
          <w:p w14:paraId="2DBDBF8C">
            <w:pPr>
              <w:pStyle w:val="11"/>
              <w:keepNext w:val="0"/>
              <w:keepLines w:val="0"/>
              <w:pageBreakBefore w:val="0"/>
              <w:widowControl w:val="0"/>
              <w:numPr>
                <w:ilvl w:val="0"/>
                <w:numId w:val="0"/>
              </w:numPr>
              <w:kinsoku w:val="0"/>
              <w:wordWrap w:val="0"/>
              <w:bidi w:val="0"/>
              <w:spacing w:line="360" w:lineRule="auto"/>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评标委员会根据采购文件第五章“采购清单”中的部分设备技术参数要求及供应商提供的设备技术参数进行综合评比。</w:t>
            </w:r>
          </w:p>
          <w:p w14:paraId="1AB893F5">
            <w:pPr>
              <w:pStyle w:val="11"/>
              <w:keepNext w:val="0"/>
              <w:keepLines w:val="0"/>
              <w:pageBreakBefore w:val="0"/>
              <w:widowControl w:val="0"/>
              <w:numPr>
                <w:ilvl w:val="0"/>
                <w:numId w:val="0"/>
              </w:numPr>
              <w:kinsoku w:val="0"/>
              <w:wordWrap w:val="0"/>
              <w:bidi w:val="0"/>
              <w:spacing w:line="360" w:lineRule="auto"/>
              <w:textAlignment w:val="auto"/>
              <w:rPr>
                <w:rFonts w:hint="eastAsia"/>
                <w:color w:val="FF0000"/>
                <w:highlight w:val="none"/>
                <w:lang w:val="en-US" w:eastAsia="zh-CN"/>
              </w:rPr>
            </w:pPr>
            <w:r>
              <w:rPr>
                <w:rFonts w:hint="eastAsia" w:ascii="宋体" w:hAnsi="宋体" w:eastAsia="宋体" w:cs="宋体"/>
                <w:b w:val="0"/>
                <w:bCs w:val="0"/>
                <w:color w:val="auto"/>
                <w:kern w:val="2"/>
                <w:sz w:val="24"/>
                <w:szCs w:val="24"/>
                <w:highlight w:val="none"/>
                <w:lang w:val="en-US" w:eastAsia="zh-CN" w:bidi="ar-SA"/>
              </w:rPr>
              <w:t>技术参数全部满足采购文件要求的得基础分2</w:t>
            </w:r>
            <w:r>
              <w:rPr>
                <w:rFonts w:hint="eastAsia" w:hAnsi="宋体" w:cs="宋体"/>
                <w:b w:val="0"/>
                <w:bCs w:val="0"/>
                <w:color w:val="auto"/>
                <w:kern w:val="2"/>
                <w:sz w:val="24"/>
                <w:szCs w:val="24"/>
                <w:highlight w:val="none"/>
                <w:lang w:val="en-US" w:eastAsia="zh-CN" w:bidi="ar-SA"/>
              </w:rPr>
              <w:t>0</w:t>
            </w:r>
            <w:r>
              <w:rPr>
                <w:rFonts w:hint="eastAsia" w:ascii="宋体" w:hAnsi="宋体" w:eastAsia="宋体" w:cs="宋体"/>
                <w:b w:val="0"/>
                <w:bCs w:val="0"/>
                <w:color w:val="auto"/>
                <w:kern w:val="2"/>
                <w:sz w:val="24"/>
                <w:szCs w:val="24"/>
                <w:highlight w:val="none"/>
                <w:lang w:val="en-US" w:eastAsia="zh-CN" w:bidi="ar-SA"/>
              </w:rPr>
              <w:t>分</w:t>
            </w:r>
            <w:r>
              <w:rPr>
                <w:rFonts w:hint="eastAsia" w:hAnsi="宋体" w:cs="宋体"/>
                <w:b w:val="0"/>
                <w:bCs w:val="0"/>
                <w:color w:val="auto"/>
                <w:kern w:val="2"/>
                <w:sz w:val="24"/>
                <w:szCs w:val="24"/>
                <w:highlight w:val="none"/>
                <w:lang w:val="en-US" w:eastAsia="zh-CN" w:bidi="ar-SA"/>
              </w:rPr>
              <w:t>；</w:t>
            </w:r>
            <w:r>
              <w:rPr>
                <w:rFonts w:hint="eastAsia" w:ascii="宋体" w:hAnsi="宋体" w:eastAsia="宋体" w:cs="宋体"/>
                <w:b w:val="0"/>
                <w:bCs w:val="0"/>
                <w:color w:val="auto"/>
                <w:kern w:val="2"/>
                <w:sz w:val="24"/>
                <w:szCs w:val="24"/>
                <w:highlight w:val="none"/>
                <w:lang w:val="en-US" w:eastAsia="zh-CN" w:bidi="ar-SA"/>
              </w:rPr>
              <w:t>技术参数每出现1项不满足采购文件要求的，在2</w:t>
            </w:r>
            <w:r>
              <w:rPr>
                <w:rFonts w:hint="eastAsia" w:hAnsi="宋体" w:cs="宋体"/>
                <w:b w:val="0"/>
                <w:bCs w:val="0"/>
                <w:color w:val="auto"/>
                <w:kern w:val="2"/>
                <w:sz w:val="24"/>
                <w:szCs w:val="24"/>
                <w:highlight w:val="none"/>
                <w:lang w:val="en-US" w:eastAsia="zh-CN" w:bidi="ar-SA"/>
              </w:rPr>
              <w:t>0</w:t>
            </w:r>
            <w:r>
              <w:rPr>
                <w:rFonts w:hint="eastAsia" w:ascii="宋体" w:hAnsi="宋体" w:eastAsia="宋体" w:cs="宋体"/>
                <w:b w:val="0"/>
                <w:bCs w:val="0"/>
                <w:color w:val="auto"/>
                <w:kern w:val="2"/>
                <w:sz w:val="24"/>
                <w:szCs w:val="24"/>
                <w:highlight w:val="none"/>
                <w:lang w:val="en-US" w:eastAsia="zh-CN" w:bidi="ar-SA"/>
              </w:rPr>
              <w:t>分的基础分上扣1分，</w:t>
            </w:r>
            <w:r>
              <w:rPr>
                <w:rFonts w:hint="eastAsia" w:hAnsi="宋体" w:cs="宋体"/>
                <w:b w:val="0"/>
                <w:bCs w:val="0"/>
                <w:color w:val="auto"/>
                <w:kern w:val="2"/>
                <w:sz w:val="24"/>
                <w:szCs w:val="24"/>
                <w:highlight w:val="none"/>
                <w:lang w:val="en-US" w:eastAsia="zh-CN" w:bidi="ar-SA"/>
              </w:rPr>
              <w:t>至20分</w:t>
            </w:r>
            <w:r>
              <w:rPr>
                <w:rFonts w:hint="eastAsia" w:ascii="宋体" w:hAnsi="宋体" w:eastAsia="宋体" w:cs="宋体"/>
                <w:b w:val="0"/>
                <w:bCs w:val="0"/>
                <w:color w:val="auto"/>
                <w:kern w:val="2"/>
                <w:sz w:val="24"/>
                <w:szCs w:val="24"/>
                <w:highlight w:val="none"/>
                <w:lang w:val="en-US" w:eastAsia="zh-CN" w:bidi="ar-SA"/>
              </w:rPr>
              <w:t>扣完为止；技术参数每出现一项优于采购文件要求的，在2</w:t>
            </w:r>
            <w:r>
              <w:rPr>
                <w:rFonts w:hint="eastAsia" w:hAnsi="宋体" w:cs="宋体"/>
                <w:b w:val="0"/>
                <w:bCs w:val="0"/>
                <w:color w:val="auto"/>
                <w:kern w:val="2"/>
                <w:sz w:val="24"/>
                <w:szCs w:val="24"/>
                <w:highlight w:val="none"/>
                <w:lang w:val="en-US" w:eastAsia="zh-CN" w:bidi="ar-SA"/>
              </w:rPr>
              <w:t>0</w:t>
            </w:r>
            <w:r>
              <w:rPr>
                <w:rFonts w:hint="eastAsia" w:ascii="宋体" w:hAnsi="宋体" w:eastAsia="宋体" w:cs="宋体"/>
                <w:b w:val="0"/>
                <w:bCs w:val="0"/>
                <w:color w:val="auto"/>
                <w:kern w:val="2"/>
                <w:sz w:val="24"/>
                <w:szCs w:val="24"/>
                <w:highlight w:val="none"/>
                <w:lang w:val="en-US" w:eastAsia="zh-CN" w:bidi="ar-SA"/>
              </w:rPr>
              <w:t>分的基础分上加0.</w:t>
            </w:r>
            <w:r>
              <w:rPr>
                <w:rFonts w:hint="eastAsia" w:hAnsi="宋体" w:cs="宋体"/>
                <w:b w:val="0"/>
                <w:bCs w:val="0"/>
                <w:color w:val="auto"/>
                <w:kern w:val="2"/>
                <w:sz w:val="24"/>
                <w:szCs w:val="24"/>
                <w:highlight w:val="none"/>
                <w:lang w:val="en-US" w:eastAsia="zh-CN" w:bidi="ar-SA"/>
              </w:rPr>
              <w:t>5</w:t>
            </w:r>
            <w:r>
              <w:rPr>
                <w:rFonts w:hint="eastAsia" w:ascii="宋体" w:hAnsi="宋体" w:eastAsia="宋体" w:cs="宋体"/>
                <w:b w:val="0"/>
                <w:bCs w:val="0"/>
                <w:color w:val="auto"/>
                <w:kern w:val="2"/>
                <w:sz w:val="24"/>
                <w:szCs w:val="24"/>
                <w:highlight w:val="none"/>
                <w:lang w:val="en-US" w:eastAsia="zh-CN" w:bidi="ar-SA"/>
              </w:rPr>
              <w:t>分，加至满分30分止。</w:t>
            </w:r>
          </w:p>
          <w:p w14:paraId="58B666C7">
            <w:pPr>
              <w:pStyle w:val="11"/>
              <w:keepNext w:val="0"/>
              <w:keepLines w:val="0"/>
              <w:pageBreakBefore w:val="0"/>
              <w:widowControl w:val="0"/>
              <w:numPr>
                <w:ilvl w:val="0"/>
                <w:numId w:val="0"/>
              </w:numPr>
              <w:kinsoku w:val="0"/>
              <w:wordWrap w:val="0"/>
              <w:bidi w:val="0"/>
              <w:spacing w:line="360" w:lineRule="auto"/>
              <w:textAlignment w:val="auto"/>
              <w:rPr>
                <w:rFonts w:hint="default" w:eastAsia="宋体"/>
                <w:b w:val="0"/>
                <w:bCs w:val="0"/>
                <w:highlight w:val="none"/>
                <w:lang w:val="en-US" w:eastAsia="zh-CN"/>
              </w:rPr>
            </w:pPr>
            <w:r>
              <w:rPr>
                <w:rFonts w:hint="eastAsia" w:ascii="宋体" w:hAnsi="宋体" w:eastAsia="宋体" w:cs="宋体"/>
                <w:b/>
                <w:bCs/>
                <w:color w:val="auto"/>
                <w:sz w:val="24"/>
                <w:szCs w:val="24"/>
                <w:highlight w:val="none"/>
                <w:lang w:val="en-US" w:eastAsia="zh-CN"/>
              </w:rPr>
              <w:t>注：</w:t>
            </w:r>
            <w:r>
              <w:rPr>
                <w:rFonts w:hint="eastAsia" w:ascii="宋体" w:hAnsi="宋体" w:eastAsia="宋体" w:cs="宋体"/>
                <w:b/>
                <w:bCs/>
                <w:color w:val="auto"/>
                <w:sz w:val="24"/>
                <w:szCs w:val="24"/>
                <w:highlight w:val="none"/>
                <w:lang w:eastAsia="zh-CN"/>
              </w:rPr>
              <w:t>供应商</w:t>
            </w:r>
            <w:r>
              <w:rPr>
                <w:rFonts w:hint="eastAsia" w:ascii="宋体" w:hAnsi="宋体" w:eastAsia="宋体" w:cs="宋体"/>
                <w:b/>
                <w:bCs/>
                <w:color w:val="auto"/>
                <w:sz w:val="24"/>
                <w:szCs w:val="24"/>
                <w:highlight w:val="none"/>
                <w:lang w:val="en-US" w:eastAsia="zh-CN"/>
              </w:rPr>
              <w:t>所供设备</w:t>
            </w:r>
            <w:r>
              <w:rPr>
                <w:rFonts w:hint="eastAsia" w:ascii="宋体" w:hAnsi="宋体" w:eastAsia="宋体" w:cs="宋体"/>
                <w:b/>
                <w:bCs/>
                <w:color w:val="auto"/>
                <w:sz w:val="24"/>
                <w:szCs w:val="24"/>
                <w:highlight w:val="none"/>
              </w:rPr>
              <w:t>出现任</w:t>
            </w:r>
            <w:r>
              <w:rPr>
                <w:rFonts w:hint="eastAsia" w:ascii="宋体" w:hAnsi="宋体" w:eastAsia="宋体" w:cs="宋体"/>
                <w:b/>
                <w:bCs/>
                <w:color w:val="auto"/>
                <w:sz w:val="24"/>
                <w:szCs w:val="24"/>
                <w:highlight w:val="none"/>
                <w:lang w:val="en-US" w:eastAsia="zh-CN"/>
              </w:rPr>
              <w:t>一项技术参数</w:t>
            </w:r>
            <w:r>
              <w:rPr>
                <w:rFonts w:hint="eastAsia" w:ascii="宋体" w:hAnsi="宋体" w:eastAsia="宋体" w:cs="宋体"/>
                <w:b/>
                <w:bCs/>
                <w:color w:val="auto"/>
                <w:sz w:val="24"/>
                <w:szCs w:val="24"/>
                <w:highlight w:val="none"/>
              </w:rPr>
              <w:t>不满足对应技术指标项下的内容，</w:t>
            </w:r>
            <w:r>
              <w:rPr>
                <w:rFonts w:hint="eastAsia" w:ascii="宋体" w:hAnsi="宋体" w:eastAsia="宋体" w:cs="宋体"/>
                <w:b/>
                <w:bCs/>
                <w:color w:val="auto"/>
                <w:sz w:val="24"/>
                <w:szCs w:val="24"/>
                <w:highlight w:val="none"/>
                <w:lang w:eastAsia="zh-CN"/>
              </w:rPr>
              <w:t>即视为该项技术参数不满足采购文件要求</w:t>
            </w:r>
            <w:r>
              <w:rPr>
                <w:rFonts w:hint="eastAsia" w:hAnsi="宋体" w:cs="宋体"/>
                <w:b/>
                <w:bCs/>
                <w:color w:val="auto"/>
                <w:sz w:val="24"/>
                <w:szCs w:val="24"/>
                <w:highlight w:val="none"/>
                <w:lang w:eastAsia="zh-CN"/>
              </w:rPr>
              <w:t>，</w:t>
            </w:r>
            <w:r>
              <w:rPr>
                <w:rFonts w:hint="eastAsia" w:hAnsi="宋体" w:cs="宋体"/>
                <w:b/>
                <w:bCs/>
                <w:color w:val="auto"/>
                <w:sz w:val="24"/>
                <w:szCs w:val="24"/>
                <w:highlight w:val="none"/>
                <w:lang w:val="en-US" w:eastAsia="zh-CN"/>
              </w:rPr>
              <w:t>以技术、商务偏离表承诺为准</w:t>
            </w:r>
            <w:r>
              <w:rPr>
                <w:rFonts w:hint="eastAsia" w:ascii="宋体" w:hAnsi="宋体" w:eastAsia="宋体" w:cs="宋体"/>
                <w:b/>
                <w:bCs/>
                <w:color w:val="auto"/>
                <w:sz w:val="24"/>
                <w:szCs w:val="24"/>
                <w:highlight w:val="none"/>
                <w:lang w:eastAsia="zh-CN"/>
              </w:rPr>
              <w:t>。</w:t>
            </w:r>
          </w:p>
        </w:tc>
      </w:tr>
      <w:tr w14:paraId="051580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844" w:type="dxa"/>
            <w:vMerge w:val="continue"/>
            <w:noWrap w:val="0"/>
            <w:vAlign w:val="top"/>
          </w:tcPr>
          <w:p w14:paraId="00B43E98">
            <w:pPr>
              <w:keepNext w:val="0"/>
              <w:keepLines w:val="0"/>
              <w:pageBreakBefore w:val="0"/>
              <w:widowControl w:val="0"/>
              <w:shd w:val="clear" w:color="auto" w:fill="auto"/>
              <w:kinsoku w:val="0"/>
              <w:wordWrap w:val="0"/>
              <w:overflowPunct/>
              <w:topLinePunct w:val="0"/>
              <w:autoSpaceDE/>
              <w:autoSpaceDN/>
              <w:bidi w:val="0"/>
              <w:snapToGrid/>
              <w:spacing w:line="360" w:lineRule="exact"/>
              <w:jc w:val="center"/>
              <w:textAlignment w:val="auto"/>
              <w:rPr>
                <w:rFonts w:hint="eastAsia" w:asciiTheme="minorEastAsia" w:hAnsiTheme="minorEastAsia" w:eastAsiaTheme="minorEastAsia" w:cstheme="minorEastAsia"/>
                <w:b/>
                <w:bCs/>
                <w:color w:val="auto"/>
                <w:sz w:val="24"/>
                <w:szCs w:val="24"/>
                <w:highlight w:val="none"/>
              </w:rPr>
            </w:pPr>
          </w:p>
        </w:tc>
        <w:tc>
          <w:tcPr>
            <w:tcW w:w="444" w:type="dxa"/>
            <w:vMerge w:val="continue"/>
            <w:noWrap w:val="0"/>
            <w:vAlign w:val="center"/>
          </w:tcPr>
          <w:p w14:paraId="7F835452">
            <w:pPr>
              <w:keepNext w:val="0"/>
              <w:keepLines w:val="0"/>
              <w:pageBreakBefore w:val="0"/>
              <w:widowControl w:val="0"/>
              <w:shd w:val="clear" w:color="auto" w:fill="auto"/>
              <w:kinsoku w:val="0"/>
              <w:wordWrap w:val="0"/>
              <w:overflowPunct/>
              <w:topLinePunct w:val="0"/>
              <w:autoSpaceDE/>
              <w:autoSpaceDN/>
              <w:bidi w:val="0"/>
              <w:snapToGrid/>
              <w:spacing w:line="360" w:lineRule="exact"/>
              <w:jc w:val="center"/>
              <w:textAlignment w:val="auto"/>
              <w:rPr>
                <w:rFonts w:hint="eastAsia" w:asciiTheme="minorEastAsia" w:hAnsiTheme="minorEastAsia" w:eastAsiaTheme="minorEastAsia" w:cstheme="minorEastAsia"/>
                <w:b/>
                <w:bCs/>
                <w:color w:val="auto"/>
                <w:sz w:val="24"/>
                <w:szCs w:val="24"/>
                <w:highlight w:val="none"/>
              </w:rPr>
            </w:pPr>
          </w:p>
        </w:tc>
        <w:tc>
          <w:tcPr>
            <w:tcW w:w="3120" w:type="dxa"/>
            <w:vMerge w:val="restart"/>
            <w:noWrap w:val="0"/>
            <w:vAlign w:val="center"/>
          </w:tcPr>
          <w:p w14:paraId="35523803">
            <w:pPr>
              <w:keepNext w:val="0"/>
              <w:keepLines w:val="0"/>
              <w:pageBreakBefore w:val="0"/>
              <w:widowControl w:val="0"/>
              <w:shd w:val="clear" w:color="auto" w:fill="auto"/>
              <w:kinsoku w:val="0"/>
              <w:wordWrap w:val="0"/>
              <w:overflowPunct/>
              <w:topLinePunct w:val="0"/>
              <w:autoSpaceDE/>
              <w:autoSpaceDN/>
              <w:bidi w:val="0"/>
              <w:snapToGrid/>
              <w:spacing w:line="360" w:lineRule="exact"/>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5）履约能力评审得分F3</w:t>
            </w:r>
          </w:p>
          <w:p w14:paraId="52C8FCDB">
            <w:pPr>
              <w:keepNext w:val="0"/>
              <w:keepLines w:val="0"/>
              <w:pageBreakBefore w:val="0"/>
              <w:widowControl w:val="0"/>
              <w:shd w:val="clear" w:color="auto" w:fill="auto"/>
              <w:kinsoku w:val="0"/>
              <w:wordWrap w:val="0"/>
              <w:overflowPunct/>
              <w:topLinePunct w:val="0"/>
              <w:autoSpaceDE/>
              <w:autoSpaceDN/>
              <w:bidi w:val="0"/>
              <w:snapToGrid/>
              <w:spacing w:line="360" w:lineRule="exact"/>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（满分</w:t>
            </w:r>
            <w:r>
              <w:rPr>
                <w:rFonts w:hint="eastAsia" w:asciiTheme="minorEastAsia" w:hAnsiTheme="minorEastAsia" w:eastAsiaTheme="minorEastAsia" w:cstheme="minorEastAsia"/>
                <w:color w:val="auto"/>
                <w:sz w:val="24"/>
                <w:szCs w:val="24"/>
                <w:highlight w:val="none"/>
                <w:lang w:val="en-US" w:eastAsia="zh-CN"/>
              </w:rPr>
              <w:t>40</w:t>
            </w:r>
            <w:r>
              <w:rPr>
                <w:rFonts w:hint="eastAsia" w:asciiTheme="minorEastAsia" w:hAnsiTheme="minorEastAsia" w:eastAsiaTheme="minorEastAsia" w:cstheme="minorEastAsia"/>
                <w:color w:val="auto"/>
                <w:sz w:val="24"/>
                <w:szCs w:val="24"/>
                <w:highlight w:val="none"/>
              </w:rPr>
              <w:t>分）</w:t>
            </w:r>
          </w:p>
        </w:tc>
        <w:tc>
          <w:tcPr>
            <w:tcW w:w="5193" w:type="dxa"/>
            <w:noWrap w:val="0"/>
            <w:vAlign w:val="center"/>
          </w:tcPr>
          <w:p w14:paraId="77B57E24">
            <w:pPr>
              <w:keepNext w:val="0"/>
              <w:keepLines w:val="0"/>
              <w:pageBreakBefore w:val="0"/>
              <w:widowControl w:val="0"/>
              <w:shd w:val="clear" w:color="auto" w:fill="auto"/>
              <w:kinsoku w:val="0"/>
              <w:wordWrap w:val="0"/>
              <w:overflowPunct/>
              <w:topLinePunct w:val="0"/>
              <w:autoSpaceDE/>
              <w:autoSpaceDN/>
              <w:bidi w:val="0"/>
              <w:adjustRightInd/>
              <w:snapToGrid/>
              <w:spacing w:line="360" w:lineRule="exact"/>
              <w:ind w:left="0" w:leftChars="0" w:right="0" w:rightChars="0" w:firstLine="0" w:firstLineChars="0"/>
              <w:jc w:val="left"/>
              <w:textAlignment w:val="auto"/>
              <w:outlineLvl w:val="9"/>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5.1项目实施方案评审（30分）</w:t>
            </w:r>
          </w:p>
          <w:p w14:paraId="4EC4A898">
            <w:pPr>
              <w:keepNext w:val="0"/>
              <w:keepLines w:val="0"/>
              <w:pageBreakBefore w:val="0"/>
              <w:widowControl w:val="0"/>
              <w:shd w:val="clear" w:color="auto" w:fill="auto"/>
              <w:kinsoku w:val="0"/>
              <w:wordWrap w:val="0"/>
              <w:overflowPunct/>
              <w:topLinePunct w:val="0"/>
              <w:autoSpaceDE/>
              <w:autoSpaceDN/>
              <w:bidi w:val="0"/>
              <w:adjustRightInd/>
              <w:snapToGrid/>
              <w:spacing w:line="360" w:lineRule="exact"/>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（1）满足开学所需基本条件设备安装交付方案（6分）</w:t>
            </w:r>
          </w:p>
          <w:p w14:paraId="29408050">
            <w:pPr>
              <w:keepNext w:val="0"/>
              <w:keepLines w:val="0"/>
              <w:pageBreakBefore w:val="0"/>
              <w:widowControl w:val="0"/>
              <w:shd w:val="clear" w:color="auto" w:fill="auto"/>
              <w:kinsoku w:val="0"/>
              <w:wordWrap w:val="0"/>
              <w:overflowPunct/>
              <w:topLinePunct w:val="0"/>
              <w:autoSpaceDE/>
              <w:autoSpaceDN/>
              <w:bidi w:val="0"/>
              <w:adjustRightInd/>
              <w:snapToGrid/>
              <w:spacing w:line="360" w:lineRule="exact"/>
              <w:ind w:right="0" w:rightChars="0"/>
              <w:jc w:val="left"/>
              <w:textAlignment w:val="auto"/>
              <w:outlineLvl w:val="9"/>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满足开学所需基本条件设备（如：学生桌、椅，教师办公设备，教室大屏、信息化设备等）须在合同签订后30日历天内完成安装、调试、验收交付并投入使用，并确保所投入设备均能正常使用并通过验收，满足办学需求，保证学校能正常开学。</w:t>
            </w:r>
          </w:p>
          <w:p w14:paraId="74A274BE">
            <w:pPr>
              <w:keepNext w:val="0"/>
              <w:keepLines w:val="0"/>
              <w:pageBreakBefore w:val="0"/>
              <w:widowControl w:val="0"/>
              <w:shd w:val="clear" w:color="auto" w:fill="auto"/>
              <w:kinsoku w:val="0"/>
              <w:wordWrap w:val="0"/>
              <w:overflowPunct/>
              <w:topLinePunct w:val="0"/>
              <w:autoSpaceDE/>
              <w:autoSpaceDN/>
              <w:bidi w:val="0"/>
              <w:adjustRightInd/>
              <w:snapToGrid/>
              <w:spacing w:line="360" w:lineRule="exact"/>
              <w:ind w:right="0" w:rightChars="0" w:firstLine="241" w:firstLineChars="100"/>
              <w:jc w:val="left"/>
              <w:textAlignment w:val="auto"/>
              <w:outlineLvl w:val="9"/>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评审办法：满足开学所需基本条件设备安装交付期限在30日历天基础上每缩短1天，加0.5分，加至总分6分止。</w:t>
            </w:r>
          </w:p>
          <w:p w14:paraId="128CE636">
            <w:pPr>
              <w:keepNext w:val="0"/>
              <w:keepLines w:val="0"/>
              <w:pageBreakBefore w:val="0"/>
              <w:widowControl w:val="0"/>
              <w:shd w:val="clear" w:color="auto" w:fill="auto"/>
              <w:kinsoku w:val="0"/>
              <w:wordWrap w:val="0"/>
              <w:overflowPunct/>
              <w:topLinePunct w:val="0"/>
              <w:autoSpaceDE/>
              <w:autoSpaceDN/>
              <w:bidi w:val="0"/>
              <w:adjustRightInd/>
              <w:snapToGrid/>
              <w:spacing w:line="360" w:lineRule="exact"/>
              <w:ind w:left="0" w:leftChars="0" w:right="0" w:rightChars="0" w:firstLine="0" w:firstLineChars="0"/>
              <w:jc w:val="left"/>
              <w:textAlignment w:val="auto"/>
              <w:outlineLvl w:val="9"/>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（2）其余设备安装交付方案（4分）</w:t>
            </w:r>
          </w:p>
          <w:p w14:paraId="68D6EA41">
            <w:pPr>
              <w:keepNext w:val="0"/>
              <w:keepLines w:val="0"/>
              <w:pageBreakBefore w:val="0"/>
              <w:widowControl w:val="0"/>
              <w:shd w:val="clear" w:color="auto" w:fill="auto"/>
              <w:kinsoku w:val="0"/>
              <w:wordWrap w:val="0"/>
              <w:overflowPunct/>
              <w:topLinePunct w:val="0"/>
              <w:autoSpaceDE/>
              <w:autoSpaceDN/>
              <w:bidi w:val="0"/>
              <w:adjustRightInd/>
              <w:snapToGrid/>
              <w:spacing w:line="360" w:lineRule="exact"/>
              <w:ind w:right="0" w:rightChars="0"/>
              <w:jc w:val="left"/>
              <w:textAlignment w:val="auto"/>
              <w:outlineLvl w:val="9"/>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评审办法：</w:t>
            </w:r>
            <w:r>
              <w:rPr>
                <w:rFonts w:hint="eastAsia" w:asciiTheme="minorEastAsia" w:hAnsiTheme="minorEastAsia" w:eastAsiaTheme="minorEastAsia" w:cstheme="minorEastAsia"/>
                <w:b w:val="0"/>
                <w:bCs w:val="0"/>
                <w:color w:val="auto"/>
                <w:sz w:val="24"/>
                <w:szCs w:val="24"/>
                <w:highlight w:val="none"/>
                <w:lang w:val="en-US" w:eastAsia="zh-CN"/>
              </w:rPr>
              <w:t>根据项目需求，合理安排设备安装、调试、验收交付期限，根据供应商提供的方案内容进行综合评分，方案内容每出现一处缺陷扣1分，直至4分扣完为止。</w:t>
            </w:r>
          </w:p>
          <w:p w14:paraId="14CD58F1">
            <w:pPr>
              <w:keepNext w:val="0"/>
              <w:keepLines w:val="0"/>
              <w:pageBreakBefore w:val="0"/>
              <w:widowControl w:val="0"/>
              <w:shd w:val="clear" w:color="auto" w:fill="auto"/>
              <w:kinsoku w:val="0"/>
              <w:wordWrap w:val="0"/>
              <w:overflowPunct/>
              <w:topLinePunct w:val="0"/>
              <w:autoSpaceDE/>
              <w:autoSpaceDN/>
              <w:bidi w:val="0"/>
              <w:adjustRightInd/>
              <w:snapToGrid/>
              <w:spacing w:line="360" w:lineRule="exact"/>
              <w:ind w:right="0" w:rightChars="0"/>
              <w:jc w:val="left"/>
              <w:textAlignment w:val="auto"/>
              <w:outlineLvl w:val="9"/>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注：缺陷是指存在与本项目无关的内容、方案内容前后不一致、方法措施明显失当、逻辑不合理、涉及的规范及标准引用错误或已废止、有违法违规内容陈述、地点区域错误、内容缺失等，下同。</w:t>
            </w:r>
          </w:p>
          <w:p w14:paraId="3C7C22E3">
            <w:pPr>
              <w:keepNext w:val="0"/>
              <w:keepLines w:val="0"/>
              <w:pageBreakBefore w:val="0"/>
              <w:widowControl w:val="0"/>
              <w:shd w:val="clear" w:color="auto" w:fill="auto"/>
              <w:kinsoku w:val="0"/>
              <w:wordWrap w:val="0"/>
              <w:overflowPunct/>
              <w:topLinePunct w:val="0"/>
              <w:autoSpaceDE/>
              <w:autoSpaceDN/>
              <w:bidi w:val="0"/>
              <w:adjustRightInd/>
              <w:snapToGrid/>
              <w:spacing w:line="360" w:lineRule="exact"/>
              <w:ind w:right="0" w:rightChars="0"/>
              <w:jc w:val="left"/>
              <w:textAlignment w:val="auto"/>
              <w:outlineLvl w:val="9"/>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（3）设备安装交付期限保证措施（5分）</w:t>
            </w:r>
          </w:p>
          <w:p w14:paraId="44452AE3">
            <w:pPr>
              <w:keepNext w:val="0"/>
              <w:keepLines w:val="0"/>
              <w:pageBreakBefore w:val="0"/>
              <w:widowControl w:val="0"/>
              <w:numPr>
                <w:ilvl w:val="0"/>
                <w:numId w:val="0"/>
              </w:numPr>
              <w:shd w:val="clear" w:color="auto" w:fill="auto"/>
              <w:kinsoku w:val="0"/>
              <w:wordWrap w:val="0"/>
              <w:overflowPunct/>
              <w:topLinePunct w:val="0"/>
              <w:autoSpaceDE/>
              <w:autoSpaceDN/>
              <w:bidi w:val="0"/>
              <w:adjustRightInd/>
              <w:snapToGrid/>
              <w:spacing w:line="360" w:lineRule="exact"/>
              <w:ind w:right="0" w:rightChars="0"/>
              <w:jc w:val="left"/>
              <w:textAlignment w:val="auto"/>
              <w:outlineLvl w:val="9"/>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kern w:val="2"/>
                <w:sz w:val="24"/>
                <w:szCs w:val="24"/>
                <w:highlight w:val="none"/>
                <w:lang w:val="en-US" w:eastAsia="zh-CN" w:bidi="ar-SA"/>
              </w:rPr>
              <w:t>1）</w:t>
            </w:r>
            <w:r>
              <w:rPr>
                <w:rFonts w:hint="eastAsia" w:asciiTheme="minorEastAsia" w:hAnsiTheme="minorEastAsia" w:eastAsiaTheme="minorEastAsia" w:cstheme="minorEastAsia"/>
                <w:b w:val="0"/>
                <w:bCs w:val="0"/>
                <w:color w:val="auto"/>
                <w:sz w:val="24"/>
                <w:szCs w:val="24"/>
                <w:highlight w:val="none"/>
                <w:lang w:val="en-US" w:eastAsia="zh-CN"/>
              </w:rPr>
              <w:t>安装保证措施（2分）；</w:t>
            </w:r>
          </w:p>
          <w:p w14:paraId="675185EC">
            <w:pPr>
              <w:keepNext w:val="0"/>
              <w:keepLines w:val="0"/>
              <w:pageBreakBefore w:val="0"/>
              <w:widowControl w:val="0"/>
              <w:numPr>
                <w:ilvl w:val="0"/>
                <w:numId w:val="0"/>
              </w:numPr>
              <w:shd w:val="clear" w:color="auto" w:fill="auto"/>
              <w:kinsoku w:val="0"/>
              <w:wordWrap w:val="0"/>
              <w:overflowPunct/>
              <w:topLinePunct w:val="0"/>
              <w:autoSpaceDE/>
              <w:autoSpaceDN/>
              <w:bidi w:val="0"/>
              <w:adjustRightInd/>
              <w:snapToGrid/>
              <w:spacing w:line="360" w:lineRule="exact"/>
              <w:ind w:right="0" w:rightChars="0"/>
              <w:jc w:val="left"/>
              <w:textAlignment w:val="auto"/>
              <w:outlineLvl w:val="9"/>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2）调试保证措施（2分）；</w:t>
            </w:r>
          </w:p>
          <w:p w14:paraId="20C50855">
            <w:pPr>
              <w:keepNext w:val="0"/>
              <w:keepLines w:val="0"/>
              <w:pageBreakBefore w:val="0"/>
              <w:widowControl w:val="0"/>
              <w:numPr>
                <w:ilvl w:val="0"/>
                <w:numId w:val="0"/>
              </w:numPr>
              <w:shd w:val="clear" w:color="auto" w:fill="auto"/>
              <w:kinsoku w:val="0"/>
              <w:wordWrap w:val="0"/>
              <w:overflowPunct/>
              <w:topLinePunct w:val="0"/>
              <w:autoSpaceDE/>
              <w:autoSpaceDN/>
              <w:bidi w:val="0"/>
              <w:adjustRightInd/>
              <w:snapToGrid/>
              <w:spacing w:line="360" w:lineRule="exact"/>
              <w:ind w:right="0" w:rightChars="0"/>
              <w:jc w:val="left"/>
              <w:textAlignment w:val="auto"/>
              <w:outlineLvl w:val="9"/>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3）验收交付保证措施（1分）。</w:t>
            </w:r>
          </w:p>
          <w:p w14:paraId="049C476F">
            <w:pPr>
              <w:keepNext w:val="0"/>
              <w:keepLines w:val="0"/>
              <w:pageBreakBefore w:val="0"/>
              <w:widowControl w:val="0"/>
              <w:shd w:val="clear" w:color="auto" w:fill="auto"/>
              <w:kinsoku w:val="0"/>
              <w:wordWrap w:val="0"/>
              <w:overflowPunct/>
              <w:topLinePunct w:val="0"/>
              <w:autoSpaceDE/>
              <w:autoSpaceDN/>
              <w:bidi w:val="0"/>
              <w:adjustRightInd/>
              <w:snapToGrid/>
              <w:spacing w:line="360" w:lineRule="exact"/>
              <w:ind w:right="0" w:rightChars="0"/>
              <w:jc w:val="left"/>
              <w:textAlignment w:val="auto"/>
              <w:outlineLvl w:val="9"/>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评审办法：</w:t>
            </w:r>
            <w:r>
              <w:rPr>
                <w:rFonts w:hint="eastAsia" w:asciiTheme="minorEastAsia" w:hAnsiTheme="minorEastAsia" w:eastAsiaTheme="minorEastAsia" w:cstheme="minorEastAsia"/>
                <w:b w:val="0"/>
                <w:bCs w:val="0"/>
                <w:color w:val="auto"/>
                <w:sz w:val="24"/>
                <w:szCs w:val="24"/>
                <w:highlight w:val="none"/>
                <w:lang w:val="en-US" w:eastAsia="zh-CN"/>
              </w:rPr>
              <w:t>上述各项内容全部提供且无缺陷的得满分，内容每出现一处缺陷的扣1分，至对应项分全部扣完为止。未提供对应项内容的该项不得分。</w:t>
            </w:r>
          </w:p>
          <w:p w14:paraId="7F8EECBA">
            <w:pPr>
              <w:keepNext w:val="0"/>
              <w:keepLines w:val="0"/>
              <w:pageBreakBefore w:val="0"/>
              <w:widowControl w:val="0"/>
              <w:shd w:val="clear" w:color="auto" w:fill="auto"/>
              <w:kinsoku w:val="0"/>
              <w:wordWrap w:val="0"/>
              <w:overflowPunct/>
              <w:topLinePunct w:val="0"/>
              <w:autoSpaceDE/>
              <w:autoSpaceDN/>
              <w:bidi w:val="0"/>
              <w:adjustRightInd/>
              <w:snapToGrid/>
              <w:spacing w:line="360" w:lineRule="exact"/>
              <w:ind w:left="0" w:leftChars="0" w:right="0" w:rightChars="0" w:firstLine="0" w:firstLineChars="0"/>
              <w:jc w:val="left"/>
              <w:textAlignment w:val="auto"/>
              <w:outlineLvl w:val="9"/>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（4）违约处罚及其保证措施（15分）</w:t>
            </w:r>
          </w:p>
          <w:p w14:paraId="2C9D3B7E">
            <w:pPr>
              <w:keepNext w:val="0"/>
              <w:keepLines w:val="0"/>
              <w:pageBreakBefore w:val="0"/>
              <w:widowControl w:val="0"/>
              <w:numPr>
                <w:ilvl w:val="0"/>
                <w:numId w:val="0"/>
              </w:numPr>
              <w:shd w:val="clear" w:color="auto" w:fill="auto"/>
              <w:kinsoku w:val="0"/>
              <w:wordWrap w:val="0"/>
              <w:overflowPunct/>
              <w:topLinePunct w:val="0"/>
              <w:autoSpaceDE/>
              <w:autoSpaceDN/>
              <w:bidi w:val="0"/>
              <w:adjustRightInd/>
              <w:snapToGrid/>
              <w:spacing w:line="360" w:lineRule="exact"/>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kern w:val="2"/>
                <w:sz w:val="24"/>
                <w:szCs w:val="24"/>
                <w:highlight w:val="none"/>
                <w:lang w:val="en-US" w:eastAsia="zh-CN" w:bidi="ar-SA"/>
              </w:rPr>
              <w:t>1）</w:t>
            </w:r>
            <w:r>
              <w:rPr>
                <w:rFonts w:hint="eastAsia" w:asciiTheme="minorEastAsia" w:hAnsiTheme="minorEastAsia" w:eastAsiaTheme="minorEastAsia" w:cstheme="minorEastAsia"/>
                <w:b w:val="0"/>
                <w:bCs w:val="0"/>
                <w:color w:val="auto"/>
                <w:sz w:val="24"/>
                <w:szCs w:val="24"/>
                <w:highlight w:val="none"/>
                <w:lang w:val="en-US" w:eastAsia="zh-CN"/>
              </w:rPr>
              <w:t>供货组织方案及违约处罚措施（4分）；</w:t>
            </w:r>
          </w:p>
          <w:p w14:paraId="3ECD191B">
            <w:pPr>
              <w:keepNext w:val="0"/>
              <w:keepLines w:val="0"/>
              <w:pageBreakBefore w:val="0"/>
              <w:widowControl w:val="0"/>
              <w:numPr>
                <w:ilvl w:val="0"/>
                <w:numId w:val="0"/>
              </w:numPr>
              <w:shd w:val="clear" w:color="auto" w:fill="auto"/>
              <w:kinsoku w:val="0"/>
              <w:wordWrap w:val="0"/>
              <w:overflowPunct/>
              <w:topLinePunct w:val="0"/>
              <w:autoSpaceDE/>
              <w:autoSpaceDN/>
              <w:bidi w:val="0"/>
              <w:adjustRightInd/>
              <w:snapToGrid/>
              <w:spacing w:line="360" w:lineRule="exact"/>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kern w:val="2"/>
                <w:sz w:val="24"/>
                <w:szCs w:val="24"/>
                <w:highlight w:val="none"/>
                <w:lang w:val="en-US" w:eastAsia="zh-CN" w:bidi="ar-SA"/>
              </w:rPr>
              <w:t>2）</w:t>
            </w:r>
            <w:r>
              <w:rPr>
                <w:rFonts w:hint="eastAsia" w:asciiTheme="minorEastAsia" w:hAnsiTheme="minorEastAsia" w:eastAsiaTheme="minorEastAsia" w:cstheme="minorEastAsia"/>
                <w:b w:val="0"/>
                <w:bCs w:val="0"/>
                <w:color w:val="auto"/>
                <w:sz w:val="24"/>
                <w:szCs w:val="24"/>
                <w:highlight w:val="none"/>
                <w:lang w:val="en-US" w:eastAsia="zh-CN"/>
              </w:rPr>
              <w:t>安装、调试及验收组织方案及违约处罚措施（4分）；</w:t>
            </w:r>
          </w:p>
          <w:p w14:paraId="2033BDAE">
            <w:pPr>
              <w:keepNext w:val="0"/>
              <w:keepLines w:val="0"/>
              <w:pageBreakBefore w:val="0"/>
              <w:widowControl w:val="0"/>
              <w:numPr>
                <w:ilvl w:val="0"/>
                <w:numId w:val="0"/>
              </w:numPr>
              <w:shd w:val="clear" w:color="auto" w:fill="auto"/>
              <w:kinsoku w:val="0"/>
              <w:wordWrap w:val="0"/>
              <w:overflowPunct/>
              <w:topLinePunct w:val="0"/>
              <w:autoSpaceDE/>
              <w:autoSpaceDN/>
              <w:bidi w:val="0"/>
              <w:adjustRightInd/>
              <w:snapToGrid/>
              <w:spacing w:line="360" w:lineRule="exact"/>
              <w:ind w:left="0" w:leftChars="0" w:right="0" w:rightChars="0" w:firstLine="0" w:firstLineChars="0"/>
              <w:jc w:val="left"/>
              <w:textAlignment w:val="auto"/>
              <w:outlineLvl w:val="9"/>
              <w:rPr>
                <w:rFonts w:hint="default"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3）质量承诺及保证措施（4分）</w:t>
            </w:r>
          </w:p>
          <w:p w14:paraId="4DC9EB05">
            <w:pPr>
              <w:keepNext w:val="0"/>
              <w:keepLines w:val="0"/>
              <w:pageBreakBefore w:val="0"/>
              <w:widowControl w:val="0"/>
              <w:numPr>
                <w:ilvl w:val="0"/>
                <w:numId w:val="0"/>
              </w:numPr>
              <w:shd w:val="clear" w:color="auto" w:fill="auto"/>
              <w:kinsoku w:val="0"/>
              <w:wordWrap w:val="0"/>
              <w:overflowPunct/>
              <w:topLinePunct w:val="0"/>
              <w:autoSpaceDE/>
              <w:autoSpaceDN/>
              <w:bidi w:val="0"/>
              <w:adjustRightInd/>
              <w:snapToGrid/>
              <w:spacing w:line="360" w:lineRule="exact"/>
              <w:ind w:left="0" w:leftChars="0" w:right="0" w:rightChars="0" w:firstLine="0" w:firstLineChars="0"/>
              <w:jc w:val="left"/>
              <w:textAlignment w:val="auto"/>
              <w:outlineLvl w:val="9"/>
              <w:rPr>
                <w:rFonts w:hint="default"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4）应急预案（3分）。</w:t>
            </w:r>
          </w:p>
          <w:p w14:paraId="222444A1">
            <w:pPr>
              <w:keepNext w:val="0"/>
              <w:keepLines w:val="0"/>
              <w:pageBreakBefore w:val="0"/>
              <w:widowControl w:val="0"/>
              <w:shd w:val="clear" w:color="auto" w:fill="auto"/>
              <w:kinsoku w:val="0"/>
              <w:wordWrap w:val="0"/>
              <w:overflowPunct/>
              <w:topLinePunct w:val="0"/>
              <w:autoSpaceDE/>
              <w:autoSpaceDN/>
              <w:bidi w:val="0"/>
              <w:adjustRightInd/>
              <w:snapToGrid/>
              <w:spacing w:line="360" w:lineRule="exact"/>
              <w:ind w:right="0" w:rightChars="0" w:firstLine="241" w:firstLineChars="100"/>
              <w:jc w:val="left"/>
              <w:textAlignment w:val="auto"/>
              <w:outlineLvl w:val="9"/>
              <w:rPr>
                <w:rFonts w:hint="default"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评审办法：</w:t>
            </w:r>
            <w:r>
              <w:rPr>
                <w:rFonts w:hint="eastAsia" w:asciiTheme="minorEastAsia" w:hAnsiTheme="minorEastAsia" w:eastAsiaTheme="minorEastAsia" w:cstheme="minorEastAsia"/>
                <w:b w:val="0"/>
                <w:bCs w:val="0"/>
                <w:color w:val="auto"/>
                <w:sz w:val="24"/>
                <w:szCs w:val="24"/>
                <w:highlight w:val="none"/>
                <w:lang w:val="en-US" w:eastAsia="zh-CN"/>
              </w:rPr>
              <w:t>上述各项内容全部提供且无缺陷的得满分，内容每出现一处缺陷的扣1分，至对应项分全部扣完为止。未提供对应项内容的该项不得分。</w:t>
            </w:r>
          </w:p>
        </w:tc>
      </w:tr>
      <w:tr w14:paraId="6D2AC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44" w:type="dxa"/>
            <w:vMerge w:val="continue"/>
            <w:noWrap w:val="0"/>
            <w:vAlign w:val="top"/>
          </w:tcPr>
          <w:p w14:paraId="2B1705BD">
            <w:pPr>
              <w:keepNext w:val="0"/>
              <w:keepLines w:val="0"/>
              <w:pageBreakBefore w:val="0"/>
              <w:widowControl w:val="0"/>
              <w:shd w:val="clear" w:color="auto" w:fill="auto"/>
              <w:kinsoku w:val="0"/>
              <w:wordWrap w:val="0"/>
              <w:overflowPunct/>
              <w:topLinePunct w:val="0"/>
              <w:autoSpaceDE/>
              <w:autoSpaceDN/>
              <w:bidi w:val="0"/>
              <w:snapToGrid/>
              <w:spacing w:line="360" w:lineRule="exact"/>
              <w:jc w:val="center"/>
              <w:textAlignment w:val="auto"/>
              <w:rPr>
                <w:rFonts w:hint="eastAsia" w:asciiTheme="minorEastAsia" w:hAnsiTheme="minorEastAsia" w:eastAsiaTheme="minorEastAsia" w:cstheme="minorEastAsia"/>
                <w:b/>
                <w:bCs/>
                <w:color w:val="auto"/>
                <w:sz w:val="24"/>
                <w:szCs w:val="24"/>
                <w:highlight w:val="none"/>
              </w:rPr>
            </w:pPr>
          </w:p>
        </w:tc>
        <w:tc>
          <w:tcPr>
            <w:tcW w:w="444" w:type="dxa"/>
            <w:vMerge w:val="continue"/>
            <w:noWrap w:val="0"/>
            <w:vAlign w:val="center"/>
          </w:tcPr>
          <w:p w14:paraId="6B1EE549">
            <w:pPr>
              <w:keepNext w:val="0"/>
              <w:keepLines w:val="0"/>
              <w:pageBreakBefore w:val="0"/>
              <w:widowControl w:val="0"/>
              <w:shd w:val="clear" w:color="auto" w:fill="auto"/>
              <w:kinsoku w:val="0"/>
              <w:wordWrap w:val="0"/>
              <w:overflowPunct/>
              <w:topLinePunct w:val="0"/>
              <w:autoSpaceDE/>
              <w:autoSpaceDN/>
              <w:bidi w:val="0"/>
              <w:snapToGrid/>
              <w:spacing w:line="360" w:lineRule="exact"/>
              <w:jc w:val="center"/>
              <w:textAlignment w:val="auto"/>
              <w:rPr>
                <w:rFonts w:hint="eastAsia" w:asciiTheme="minorEastAsia" w:hAnsiTheme="minorEastAsia" w:eastAsiaTheme="minorEastAsia" w:cstheme="minorEastAsia"/>
                <w:b/>
                <w:bCs/>
                <w:color w:val="auto"/>
                <w:sz w:val="24"/>
                <w:szCs w:val="24"/>
                <w:highlight w:val="none"/>
              </w:rPr>
            </w:pPr>
          </w:p>
        </w:tc>
        <w:tc>
          <w:tcPr>
            <w:tcW w:w="3120" w:type="dxa"/>
            <w:vMerge w:val="continue"/>
            <w:noWrap w:val="0"/>
            <w:vAlign w:val="center"/>
          </w:tcPr>
          <w:p w14:paraId="09619F76">
            <w:pPr>
              <w:keepNext w:val="0"/>
              <w:keepLines w:val="0"/>
              <w:pageBreakBefore w:val="0"/>
              <w:widowControl w:val="0"/>
              <w:shd w:val="clear" w:color="auto" w:fill="auto"/>
              <w:kinsoku w:val="0"/>
              <w:wordWrap w:val="0"/>
              <w:overflowPunct/>
              <w:topLinePunct w:val="0"/>
              <w:autoSpaceDE/>
              <w:autoSpaceDN/>
              <w:bidi w:val="0"/>
              <w:snapToGrid/>
              <w:spacing w:line="360" w:lineRule="exact"/>
              <w:jc w:val="center"/>
              <w:textAlignment w:val="auto"/>
              <w:rPr>
                <w:rFonts w:hint="eastAsia" w:asciiTheme="minorEastAsia" w:hAnsiTheme="minorEastAsia" w:eastAsiaTheme="minorEastAsia" w:cstheme="minorEastAsia"/>
                <w:color w:val="auto"/>
                <w:sz w:val="24"/>
                <w:szCs w:val="24"/>
                <w:highlight w:val="none"/>
              </w:rPr>
            </w:pPr>
          </w:p>
        </w:tc>
        <w:tc>
          <w:tcPr>
            <w:tcW w:w="5193" w:type="dxa"/>
            <w:noWrap w:val="0"/>
            <w:vAlign w:val="center"/>
          </w:tcPr>
          <w:p w14:paraId="2F69659E">
            <w:pPr>
              <w:keepNext w:val="0"/>
              <w:keepLines w:val="0"/>
              <w:pageBreakBefore w:val="0"/>
              <w:widowControl w:val="0"/>
              <w:shd w:val="clear" w:color="auto" w:fill="auto"/>
              <w:kinsoku w:val="0"/>
              <w:wordWrap w:val="0"/>
              <w:overflowPunct/>
              <w:topLinePunct w:val="0"/>
              <w:autoSpaceDE/>
              <w:autoSpaceDN/>
              <w:bidi w:val="0"/>
              <w:adjustRightInd/>
              <w:snapToGrid/>
              <w:spacing w:line="360" w:lineRule="exact"/>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5.2技术培训方案评审（5分）</w:t>
            </w:r>
          </w:p>
          <w:p w14:paraId="1B32C729">
            <w:pPr>
              <w:keepNext w:val="0"/>
              <w:keepLines w:val="0"/>
              <w:pageBreakBefore w:val="0"/>
              <w:widowControl w:val="0"/>
              <w:shd w:val="clear" w:color="auto" w:fill="auto"/>
              <w:kinsoku w:val="0"/>
              <w:wordWrap w:val="0"/>
              <w:overflowPunct/>
              <w:topLinePunct w:val="0"/>
              <w:autoSpaceDE/>
              <w:autoSpaceDN/>
              <w:bidi w:val="0"/>
              <w:adjustRightInd/>
              <w:snapToGrid/>
              <w:spacing w:line="360" w:lineRule="exact"/>
              <w:ind w:left="0" w:leftChars="0" w:right="0" w:rightChars="0" w:firstLine="0" w:firstLineChars="0"/>
              <w:jc w:val="left"/>
              <w:textAlignment w:val="auto"/>
              <w:outlineLvl w:val="9"/>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技术培训方案内容包括：</w:t>
            </w:r>
          </w:p>
          <w:p w14:paraId="093C81E3">
            <w:pPr>
              <w:keepNext w:val="0"/>
              <w:keepLines w:val="0"/>
              <w:pageBreakBefore w:val="0"/>
              <w:widowControl w:val="0"/>
              <w:shd w:val="clear" w:color="auto" w:fill="auto"/>
              <w:kinsoku w:val="0"/>
              <w:wordWrap w:val="0"/>
              <w:overflowPunct/>
              <w:topLinePunct w:val="0"/>
              <w:autoSpaceDE/>
              <w:autoSpaceDN/>
              <w:bidi w:val="0"/>
              <w:adjustRightInd/>
              <w:snapToGrid/>
              <w:spacing w:line="360" w:lineRule="exact"/>
              <w:ind w:left="0" w:leftChars="0" w:right="0" w:rightChars="0" w:firstLine="0" w:firstLineChars="0"/>
              <w:jc w:val="left"/>
              <w:textAlignment w:val="auto"/>
              <w:outlineLvl w:val="9"/>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培训计划</w:t>
            </w:r>
            <w:r>
              <w:rPr>
                <w:rFonts w:hint="eastAsia" w:ascii="宋体" w:hAnsi="宋体" w:cs="宋体"/>
                <w:color w:val="auto"/>
                <w:sz w:val="24"/>
                <w:szCs w:val="24"/>
                <w:highlight w:val="none"/>
                <w:lang w:val="en-US" w:eastAsia="zh-CN"/>
              </w:rPr>
              <w:t>（1分）；</w:t>
            </w:r>
          </w:p>
          <w:p w14:paraId="599EE828">
            <w:pPr>
              <w:keepNext w:val="0"/>
              <w:keepLines w:val="0"/>
              <w:pageBreakBefore w:val="0"/>
              <w:widowControl w:val="0"/>
              <w:shd w:val="clear" w:color="auto" w:fill="auto"/>
              <w:kinsoku w:val="0"/>
              <w:wordWrap w:val="0"/>
              <w:overflowPunct/>
              <w:topLinePunct w:val="0"/>
              <w:autoSpaceDE/>
              <w:autoSpaceDN/>
              <w:bidi w:val="0"/>
              <w:adjustRightInd/>
              <w:snapToGrid/>
              <w:spacing w:line="360" w:lineRule="exact"/>
              <w:ind w:left="0" w:leftChars="0" w:right="0" w:rightChars="0" w:firstLine="0" w:firstLineChars="0"/>
              <w:jc w:val="left"/>
              <w:textAlignment w:val="auto"/>
              <w:outlineLvl w:val="9"/>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（2）培训</w:t>
            </w:r>
            <w:r>
              <w:rPr>
                <w:rFonts w:hint="eastAsia" w:ascii="宋体" w:hAnsi="宋体" w:eastAsia="宋体" w:cs="宋体"/>
                <w:color w:val="auto"/>
                <w:sz w:val="24"/>
                <w:szCs w:val="24"/>
                <w:highlight w:val="none"/>
                <w:lang w:val="en-US" w:eastAsia="zh-CN"/>
              </w:rPr>
              <w:t>目的</w:t>
            </w:r>
            <w:r>
              <w:rPr>
                <w:rFonts w:hint="eastAsia" w:ascii="宋体" w:hAnsi="宋体" w:cs="宋体"/>
                <w:color w:val="auto"/>
                <w:sz w:val="24"/>
                <w:szCs w:val="24"/>
                <w:highlight w:val="none"/>
                <w:lang w:val="en-US" w:eastAsia="zh-CN"/>
              </w:rPr>
              <w:t>（1分）；</w:t>
            </w:r>
          </w:p>
          <w:p w14:paraId="19C9EBBB">
            <w:pPr>
              <w:keepNext w:val="0"/>
              <w:keepLines w:val="0"/>
              <w:pageBreakBefore w:val="0"/>
              <w:widowControl w:val="0"/>
              <w:shd w:val="clear" w:color="auto" w:fill="auto"/>
              <w:kinsoku w:val="0"/>
              <w:wordWrap w:val="0"/>
              <w:overflowPunct/>
              <w:topLinePunct w:val="0"/>
              <w:autoSpaceDE/>
              <w:autoSpaceDN/>
              <w:bidi w:val="0"/>
              <w:adjustRightInd/>
              <w:snapToGrid/>
              <w:spacing w:line="360" w:lineRule="exact"/>
              <w:ind w:left="0" w:leftChars="0" w:right="0" w:rightChars="0" w:firstLine="0" w:firstLineChars="0"/>
              <w:jc w:val="left"/>
              <w:textAlignment w:val="auto"/>
              <w:outlineLvl w:val="9"/>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（3）培训</w:t>
            </w:r>
            <w:r>
              <w:rPr>
                <w:rFonts w:hint="eastAsia" w:ascii="宋体" w:hAnsi="宋体" w:eastAsia="宋体" w:cs="宋体"/>
                <w:color w:val="auto"/>
                <w:sz w:val="24"/>
                <w:szCs w:val="24"/>
                <w:highlight w:val="none"/>
                <w:lang w:val="en-US" w:eastAsia="zh-CN"/>
              </w:rPr>
              <w:t>对象</w:t>
            </w:r>
            <w:r>
              <w:rPr>
                <w:rFonts w:hint="eastAsia" w:ascii="宋体" w:hAnsi="宋体" w:cs="宋体"/>
                <w:color w:val="auto"/>
                <w:sz w:val="24"/>
                <w:szCs w:val="24"/>
                <w:highlight w:val="none"/>
                <w:lang w:val="en-US" w:eastAsia="zh-CN"/>
              </w:rPr>
              <w:t>（1分）；</w:t>
            </w:r>
          </w:p>
          <w:p w14:paraId="102E0FED">
            <w:pPr>
              <w:keepNext w:val="0"/>
              <w:keepLines w:val="0"/>
              <w:pageBreakBefore w:val="0"/>
              <w:widowControl w:val="0"/>
              <w:shd w:val="clear" w:color="auto" w:fill="auto"/>
              <w:kinsoku w:val="0"/>
              <w:wordWrap w:val="0"/>
              <w:overflowPunct/>
              <w:topLinePunct w:val="0"/>
              <w:autoSpaceDE/>
              <w:autoSpaceDN/>
              <w:bidi w:val="0"/>
              <w:adjustRightInd/>
              <w:snapToGrid/>
              <w:spacing w:line="360" w:lineRule="exact"/>
              <w:ind w:left="0" w:leftChars="0" w:right="0" w:rightChars="0" w:firstLine="0" w:firstLineChars="0"/>
              <w:jc w:val="left"/>
              <w:textAlignment w:val="auto"/>
              <w:outlineLvl w:val="9"/>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（4）培训</w:t>
            </w:r>
            <w:r>
              <w:rPr>
                <w:rFonts w:hint="eastAsia" w:ascii="宋体" w:hAnsi="宋体" w:eastAsia="宋体" w:cs="宋体"/>
                <w:color w:val="auto"/>
                <w:sz w:val="24"/>
                <w:szCs w:val="24"/>
                <w:highlight w:val="none"/>
                <w:lang w:val="en-US" w:eastAsia="zh-CN"/>
              </w:rPr>
              <w:t>方式</w:t>
            </w:r>
            <w:r>
              <w:rPr>
                <w:rFonts w:hint="eastAsia" w:ascii="宋体" w:hAnsi="宋体" w:cs="宋体"/>
                <w:color w:val="auto"/>
                <w:sz w:val="24"/>
                <w:szCs w:val="24"/>
                <w:highlight w:val="none"/>
                <w:lang w:val="en-US" w:eastAsia="zh-CN"/>
              </w:rPr>
              <w:t>（1分）；</w:t>
            </w:r>
          </w:p>
          <w:p w14:paraId="56CCC58B">
            <w:pPr>
              <w:keepNext w:val="0"/>
              <w:keepLines w:val="0"/>
              <w:pageBreakBefore w:val="0"/>
              <w:widowControl w:val="0"/>
              <w:shd w:val="clear" w:color="auto" w:fill="auto"/>
              <w:kinsoku w:val="0"/>
              <w:wordWrap w:val="0"/>
              <w:overflowPunct/>
              <w:topLinePunct w:val="0"/>
              <w:autoSpaceDE/>
              <w:autoSpaceDN/>
              <w:bidi w:val="0"/>
              <w:adjustRightInd/>
              <w:snapToGrid/>
              <w:spacing w:line="360" w:lineRule="exact"/>
              <w:ind w:left="0" w:leftChars="0" w:right="0" w:rightChars="0" w:firstLine="0" w:firstLineChars="0"/>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（5）培训内容（1分）</w:t>
            </w:r>
            <w:r>
              <w:rPr>
                <w:rFonts w:hint="eastAsia" w:ascii="宋体" w:hAnsi="宋体" w:eastAsia="宋体" w:cs="宋体"/>
                <w:color w:val="auto"/>
                <w:sz w:val="24"/>
                <w:szCs w:val="24"/>
                <w:highlight w:val="none"/>
                <w:lang w:val="en-US" w:eastAsia="zh-CN"/>
              </w:rPr>
              <w:t>。</w:t>
            </w:r>
          </w:p>
          <w:p w14:paraId="0F37A836">
            <w:pPr>
              <w:keepNext w:val="0"/>
              <w:keepLines w:val="0"/>
              <w:pageBreakBefore w:val="0"/>
              <w:widowControl w:val="0"/>
              <w:shd w:val="clear" w:color="auto" w:fill="auto"/>
              <w:kinsoku w:val="0"/>
              <w:wordWrap w:val="0"/>
              <w:overflowPunct/>
              <w:topLinePunct w:val="0"/>
              <w:autoSpaceDE/>
              <w:autoSpaceDN/>
              <w:bidi w:val="0"/>
              <w:adjustRightInd/>
              <w:snapToGrid/>
              <w:spacing w:line="360" w:lineRule="exact"/>
              <w:ind w:left="0" w:leftChars="0" w:right="0" w:rightChars="0" w:firstLine="0" w:firstLineChars="0"/>
              <w:jc w:val="left"/>
              <w:textAlignment w:val="auto"/>
              <w:outlineLvl w:val="9"/>
              <w:rPr>
                <w:rFonts w:hint="eastAsia" w:ascii="宋体" w:hAnsi="宋体" w:eastAsia="宋体" w:cs="宋体"/>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评审办法：</w:t>
            </w:r>
            <w:r>
              <w:rPr>
                <w:rFonts w:hint="default" w:ascii="宋体" w:hAnsi="宋体" w:eastAsia="宋体" w:cs="宋体"/>
                <w:color w:val="auto"/>
                <w:sz w:val="24"/>
                <w:szCs w:val="24"/>
                <w:highlight w:val="none"/>
                <w:lang w:val="en-US" w:eastAsia="zh-CN"/>
              </w:rPr>
              <w:t>上述</w:t>
            </w:r>
            <w:r>
              <w:rPr>
                <w:rFonts w:hint="eastAsia" w:ascii="宋体" w:hAnsi="宋体" w:eastAsia="宋体" w:cs="宋体"/>
                <w:color w:val="auto"/>
                <w:sz w:val="24"/>
                <w:szCs w:val="24"/>
                <w:highlight w:val="none"/>
                <w:lang w:val="en-US" w:eastAsia="zh-CN"/>
              </w:rPr>
              <w:t>5</w:t>
            </w:r>
            <w:r>
              <w:rPr>
                <w:rFonts w:hint="default" w:ascii="宋体" w:hAnsi="宋体" w:eastAsia="宋体" w:cs="宋体"/>
                <w:color w:val="auto"/>
                <w:sz w:val="24"/>
                <w:szCs w:val="24"/>
                <w:highlight w:val="none"/>
                <w:lang w:val="en-US" w:eastAsia="zh-CN"/>
              </w:rPr>
              <w:t>项内容全部提供且无任何缺陷的得满分</w:t>
            </w:r>
            <w:r>
              <w:rPr>
                <w:rFonts w:hint="eastAsia" w:ascii="宋体" w:hAnsi="宋体" w:cs="宋体"/>
                <w:color w:val="auto"/>
                <w:sz w:val="24"/>
                <w:szCs w:val="24"/>
                <w:highlight w:val="none"/>
                <w:lang w:val="en-US" w:eastAsia="zh-CN"/>
              </w:rPr>
              <w:t>5</w:t>
            </w:r>
            <w:r>
              <w:rPr>
                <w:rFonts w:hint="default" w:ascii="宋体" w:hAnsi="宋体" w:eastAsia="宋体" w:cs="宋体"/>
                <w:color w:val="auto"/>
                <w:sz w:val="24"/>
                <w:szCs w:val="24"/>
                <w:highlight w:val="none"/>
                <w:lang w:val="en-US" w:eastAsia="zh-CN"/>
              </w:rPr>
              <w:t>分；内容每出现一处缺陷的扣</w:t>
            </w:r>
            <w:r>
              <w:rPr>
                <w:rFonts w:hint="eastAsia" w:ascii="宋体" w:hAnsi="宋体" w:cs="宋体"/>
                <w:color w:val="auto"/>
                <w:sz w:val="24"/>
                <w:szCs w:val="24"/>
                <w:highlight w:val="none"/>
                <w:lang w:val="en-US" w:eastAsia="zh-CN"/>
              </w:rPr>
              <w:t>0.5</w:t>
            </w:r>
            <w:r>
              <w:rPr>
                <w:rFonts w:hint="default" w:ascii="宋体" w:hAnsi="宋体" w:eastAsia="宋体" w:cs="宋体"/>
                <w:color w:val="auto"/>
                <w:sz w:val="24"/>
                <w:szCs w:val="24"/>
                <w:highlight w:val="none"/>
                <w:lang w:val="en-US" w:eastAsia="zh-CN"/>
              </w:rPr>
              <w:t>分，至5分扣完止；</w:t>
            </w:r>
            <w:r>
              <w:rPr>
                <w:rFonts w:hint="eastAsia" w:ascii="宋体" w:hAnsi="宋体" w:cs="宋体"/>
                <w:color w:val="auto"/>
                <w:sz w:val="24"/>
                <w:szCs w:val="24"/>
                <w:highlight w:val="none"/>
                <w:lang w:val="en-US" w:eastAsia="zh-CN"/>
              </w:rPr>
              <w:t>未提供对应项内容的该项不得分</w:t>
            </w:r>
            <w:r>
              <w:rPr>
                <w:rFonts w:hint="default" w:ascii="宋体" w:hAnsi="宋体" w:eastAsia="宋体" w:cs="宋体"/>
                <w:color w:val="auto"/>
                <w:sz w:val="24"/>
                <w:szCs w:val="24"/>
                <w:highlight w:val="none"/>
                <w:lang w:val="en-US" w:eastAsia="zh-CN"/>
              </w:rPr>
              <w:t>。</w:t>
            </w:r>
          </w:p>
        </w:tc>
      </w:tr>
      <w:tr w14:paraId="69CC9C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44" w:type="dxa"/>
            <w:vMerge w:val="continue"/>
            <w:noWrap w:val="0"/>
            <w:vAlign w:val="top"/>
          </w:tcPr>
          <w:p w14:paraId="388A5A7C">
            <w:pPr>
              <w:keepNext w:val="0"/>
              <w:keepLines w:val="0"/>
              <w:pageBreakBefore w:val="0"/>
              <w:widowControl w:val="0"/>
              <w:shd w:val="clear" w:color="auto" w:fill="auto"/>
              <w:kinsoku w:val="0"/>
              <w:wordWrap w:val="0"/>
              <w:overflowPunct/>
              <w:topLinePunct w:val="0"/>
              <w:autoSpaceDE/>
              <w:autoSpaceDN/>
              <w:bidi w:val="0"/>
              <w:snapToGrid/>
              <w:spacing w:line="360" w:lineRule="exact"/>
              <w:jc w:val="center"/>
              <w:textAlignment w:val="auto"/>
              <w:rPr>
                <w:rFonts w:hint="eastAsia" w:asciiTheme="minorEastAsia" w:hAnsiTheme="minorEastAsia" w:eastAsiaTheme="minorEastAsia" w:cstheme="minorEastAsia"/>
                <w:b/>
                <w:bCs/>
                <w:color w:val="auto"/>
                <w:sz w:val="24"/>
                <w:szCs w:val="24"/>
                <w:highlight w:val="none"/>
              </w:rPr>
            </w:pPr>
          </w:p>
        </w:tc>
        <w:tc>
          <w:tcPr>
            <w:tcW w:w="444" w:type="dxa"/>
            <w:vMerge w:val="continue"/>
            <w:noWrap w:val="0"/>
            <w:vAlign w:val="center"/>
          </w:tcPr>
          <w:p w14:paraId="29EB934A">
            <w:pPr>
              <w:keepNext w:val="0"/>
              <w:keepLines w:val="0"/>
              <w:pageBreakBefore w:val="0"/>
              <w:widowControl w:val="0"/>
              <w:shd w:val="clear" w:color="auto" w:fill="auto"/>
              <w:kinsoku w:val="0"/>
              <w:wordWrap w:val="0"/>
              <w:overflowPunct/>
              <w:topLinePunct w:val="0"/>
              <w:autoSpaceDE/>
              <w:autoSpaceDN/>
              <w:bidi w:val="0"/>
              <w:snapToGrid/>
              <w:spacing w:line="360" w:lineRule="exact"/>
              <w:jc w:val="center"/>
              <w:textAlignment w:val="auto"/>
              <w:rPr>
                <w:rFonts w:hint="eastAsia" w:asciiTheme="minorEastAsia" w:hAnsiTheme="minorEastAsia" w:eastAsiaTheme="minorEastAsia" w:cstheme="minorEastAsia"/>
                <w:b/>
                <w:bCs/>
                <w:color w:val="auto"/>
                <w:sz w:val="24"/>
                <w:szCs w:val="24"/>
                <w:highlight w:val="none"/>
              </w:rPr>
            </w:pPr>
          </w:p>
        </w:tc>
        <w:tc>
          <w:tcPr>
            <w:tcW w:w="3120" w:type="dxa"/>
            <w:vMerge w:val="continue"/>
            <w:noWrap w:val="0"/>
            <w:vAlign w:val="center"/>
          </w:tcPr>
          <w:p w14:paraId="5A54D686">
            <w:pPr>
              <w:keepNext w:val="0"/>
              <w:keepLines w:val="0"/>
              <w:pageBreakBefore w:val="0"/>
              <w:widowControl w:val="0"/>
              <w:shd w:val="clear" w:color="auto" w:fill="auto"/>
              <w:kinsoku w:val="0"/>
              <w:wordWrap w:val="0"/>
              <w:overflowPunct/>
              <w:topLinePunct w:val="0"/>
              <w:autoSpaceDE/>
              <w:autoSpaceDN/>
              <w:bidi w:val="0"/>
              <w:snapToGrid/>
              <w:spacing w:line="360" w:lineRule="exact"/>
              <w:jc w:val="center"/>
              <w:textAlignment w:val="auto"/>
              <w:rPr>
                <w:rFonts w:hint="eastAsia" w:asciiTheme="minorEastAsia" w:hAnsiTheme="minorEastAsia" w:eastAsiaTheme="minorEastAsia" w:cstheme="minorEastAsia"/>
                <w:color w:val="auto"/>
                <w:sz w:val="24"/>
                <w:szCs w:val="24"/>
                <w:highlight w:val="none"/>
              </w:rPr>
            </w:pPr>
          </w:p>
        </w:tc>
        <w:tc>
          <w:tcPr>
            <w:tcW w:w="5193" w:type="dxa"/>
            <w:shd w:val="clear" w:color="auto" w:fill="auto"/>
            <w:noWrap w:val="0"/>
            <w:vAlign w:val="center"/>
          </w:tcPr>
          <w:p w14:paraId="276810AE">
            <w:pPr>
              <w:keepNext w:val="0"/>
              <w:keepLines w:val="0"/>
              <w:pageBreakBefore w:val="0"/>
              <w:widowControl w:val="0"/>
              <w:shd w:val="clear" w:color="auto" w:fill="auto"/>
              <w:kinsoku w:val="0"/>
              <w:wordWrap w:val="0"/>
              <w:overflowPunct/>
              <w:topLinePunct w:val="0"/>
              <w:autoSpaceDE/>
              <w:autoSpaceDN/>
              <w:bidi w:val="0"/>
              <w:adjustRightInd/>
              <w:snapToGrid/>
              <w:spacing w:line="288" w:lineRule="auto"/>
              <w:ind w:left="0" w:leftChars="0" w:right="0" w:rightChars="0" w:firstLine="0" w:firstLineChars="0"/>
              <w:jc w:val="left"/>
              <w:textAlignment w:val="auto"/>
              <w:outlineLvl w:val="9"/>
              <w:rPr>
                <w:rFonts w:hint="eastAsia" w:ascii="宋体" w:hAnsi="宋体" w:eastAsia="宋体" w:cs="宋体"/>
                <w:sz w:val="24"/>
                <w:szCs w:val="24"/>
                <w:lang w:val="en-US" w:eastAsia="zh-CN"/>
              </w:rPr>
            </w:pPr>
            <w:r>
              <w:rPr>
                <w:rFonts w:hint="eastAsia" w:asciiTheme="minorEastAsia" w:hAnsiTheme="minorEastAsia" w:eastAsiaTheme="minorEastAsia" w:cstheme="minorEastAsia"/>
                <w:b/>
                <w:bCs/>
                <w:color w:val="auto"/>
                <w:sz w:val="24"/>
                <w:szCs w:val="24"/>
                <w:highlight w:val="none"/>
                <w:lang w:val="en-US" w:eastAsia="zh-CN"/>
              </w:rPr>
              <w:t>5.3</w:t>
            </w:r>
            <w:r>
              <w:rPr>
                <w:rFonts w:hint="eastAsia" w:ascii="宋体" w:hAnsi="宋体" w:eastAsia="宋体" w:cs="宋体"/>
                <w:b/>
                <w:bCs/>
                <w:sz w:val="24"/>
                <w:szCs w:val="24"/>
              </w:rPr>
              <w:t>售后服务方案评审（</w:t>
            </w:r>
            <w:r>
              <w:rPr>
                <w:rFonts w:hint="eastAsia" w:ascii="宋体" w:hAnsi="宋体" w:cs="宋体"/>
                <w:b/>
                <w:bCs/>
                <w:sz w:val="24"/>
                <w:szCs w:val="24"/>
                <w:lang w:val="en-US" w:eastAsia="zh-CN"/>
              </w:rPr>
              <w:t>5</w:t>
            </w:r>
            <w:r>
              <w:rPr>
                <w:rFonts w:hint="eastAsia" w:ascii="宋体" w:hAnsi="宋体" w:eastAsia="宋体" w:cs="宋体"/>
                <w:b/>
                <w:bCs/>
                <w:sz w:val="24"/>
                <w:szCs w:val="24"/>
              </w:rPr>
              <w:t>分）</w:t>
            </w:r>
          </w:p>
          <w:p w14:paraId="0C8EF25A">
            <w:pPr>
              <w:keepNext w:val="0"/>
              <w:keepLines w:val="0"/>
              <w:pageBreakBefore w:val="0"/>
              <w:widowControl w:val="0"/>
              <w:shd w:val="clear" w:color="auto" w:fill="auto"/>
              <w:kinsoku w:val="0"/>
              <w:wordWrap w:val="0"/>
              <w:overflowPunct/>
              <w:topLinePunct w:val="0"/>
              <w:autoSpaceDE/>
              <w:autoSpaceDN/>
              <w:bidi w:val="0"/>
              <w:adjustRightInd/>
              <w:snapToGrid/>
              <w:spacing w:line="360" w:lineRule="exact"/>
              <w:ind w:left="0" w:leftChars="0" w:right="0" w:rightChars="0" w:firstLine="0" w:firstLineChars="0"/>
              <w:jc w:val="left"/>
              <w:textAlignment w:val="auto"/>
              <w:outlineLvl w:val="9"/>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方案内容包括但</w:t>
            </w:r>
            <w:r>
              <w:rPr>
                <w:rFonts w:hint="eastAsia" w:ascii="宋体" w:hAnsi="宋体" w:cs="宋体"/>
                <w:color w:val="auto"/>
                <w:sz w:val="24"/>
                <w:szCs w:val="24"/>
                <w:highlight w:val="none"/>
                <w:lang w:val="en-US" w:eastAsia="zh-CN"/>
              </w:rPr>
              <w:t>：</w:t>
            </w:r>
          </w:p>
          <w:p w14:paraId="4D5112DA">
            <w:pPr>
              <w:keepNext w:val="0"/>
              <w:keepLines w:val="0"/>
              <w:pageBreakBefore w:val="0"/>
              <w:widowControl w:val="0"/>
              <w:shd w:val="clear" w:color="auto" w:fill="auto"/>
              <w:kinsoku w:val="0"/>
              <w:wordWrap w:val="0"/>
              <w:overflowPunct/>
              <w:topLinePunct w:val="0"/>
              <w:autoSpaceDE/>
              <w:autoSpaceDN/>
              <w:bidi w:val="0"/>
              <w:adjustRightInd/>
              <w:snapToGrid/>
              <w:spacing w:line="360" w:lineRule="exact"/>
              <w:ind w:left="0" w:leftChars="0" w:right="0" w:rightChars="0" w:firstLine="0" w:firstLineChars="0"/>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售后服务承诺保障措施</w:t>
            </w:r>
            <w:r>
              <w:rPr>
                <w:rFonts w:hint="eastAsia" w:ascii="宋体" w:hAnsi="宋体" w:cs="宋体"/>
                <w:color w:val="auto"/>
                <w:sz w:val="24"/>
                <w:szCs w:val="24"/>
                <w:highlight w:val="none"/>
                <w:lang w:val="en-US" w:eastAsia="zh-CN"/>
              </w:rPr>
              <w:t>（1分）</w:t>
            </w:r>
            <w:r>
              <w:rPr>
                <w:rFonts w:hint="eastAsia" w:ascii="宋体" w:hAnsi="宋体" w:eastAsia="宋体" w:cs="宋体"/>
                <w:color w:val="auto"/>
                <w:sz w:val="24"/>
                <w:szCs w:val="24"/>
                <w:highlight w:val="none"/>
                <w:lang w:val="en-US" w:eastAsia="zh-CN"/>
              </w:rPr>
              <w:t>；</w:t>
            </w:r>
          </w:p>
          <w:p w14:paraId="708C6E7D">
            <w:pPr>
              <w:keepNext w:val="0"/>
              <w:keepLines w:val="0"/>
              <w:pageBreakBefore w:val="0"/>
              <w:widowControl w:val="0"/>
              <w:shd w:val="clear" w:color="auto" w:fill="auto"/>
              <w:kinsoku w:val="0"/>
              <w:wordWrap w:val="0"/>
              <w:overflowPunct/>
              <w:topLinePunct w:val="0"/>
              <w:autoSpaceDE/>
              <w:autoSpaceDN/>
              <w:bidi w:val="0"/>
              <w:adjustRightInd/>
              <w:snapToGrid/>
              <w:spacing w:line="360" w:lineRule="exact"/>
              <w:ind w:left="0" w:leftChars="0" w:right="0" w:rightChars="0" w:firstLine="0" w:firstLineChars="0"/>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售后服务人员配置</w:t>
            </w:r>
            <w:r>
              <w:rPr>
                <w:rFonts w:hint="eastAsia" w:ascii="宋体" w:hAnsi="宋体" w:cs="宋体"/>
                <w:color w:val="auto"/>
                <w:sz w:val="24"/>
                <w:szCs w:val="24"/>
                <w:highlight w:val="none"/>
                <w:lang w:val="en-US" w:eastAsia="zh-CN"/>
              </w:rPr>
              <w:t>（1分）</w:t>
            </w:r>
            <w:r>
              <w:rPr>
                <w:rFonts w:hint="eastAsia" w:ascii="宋体" w:hAnsi="宋体" w:eastAsia="宋体" w:cs="宋体"/>
                <w:color w:val="auto"/>
                <w:sz w:val="24"/>
                <w:szCs w:val="24"/>
                <w:highlight w:val="none"/>
                <w:lang w:val="en-US" w:eastAsia="zh-CN"/>
              </w:rPr>
              <w:t>；</w:t>
            </w:r>
          </w:p>
          <w:p w14:paraId="0600D745">
            <w:pPr>
              <w:keepNext w:val="0"/>
              <w:keepLines w:val="0"/>
              <w:pageBreakBefore w:val="0"/>
              <w:widowControl w:val="0"/>
              <w:shd w:val="clear" w:color="auto" w:fill="auto"/>
              <w:kinsoku w:val="0"/>
              <w:wordWrap w:val="0"/>
              <w:overflowPunct/>
              <w:topLinePunct w:val="0"/>
              <w:autoSpaceDE/>
              <w:autoSpaceDN/>
              <w:bidi w:val="0"/>
              <w:adjustRightInd/>
              <w:snapToGrid/>
              <w:spacing w:line="360" w:lineRule="exact"/>
              <w:ind w:left="0" w:leftChars="0" w:right="0" w:rightChars="0" w:firstLine="0" w:firstLineChars="0"/>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退换货、定期回访保养</w:t>
            </w:r>
            <w:r>
              <w:rPr>
                <w:rFonts w:hint="eastAsia" w:ascii="宋体" w:hAnsi="宋体" w:cs="宋体"/>
                <w:color w:val="auto"/>
                <w:sz w:val="24"/>
                <w:szCs w:val="24"/>
                <w:highlight w:val="none"/>
                <w:lang w:val="en-US" w:eastAsia="zh-CN"/>
              </w:rPr>
              <w:t>计划（1分）</w:t>
            </w:r>
            <w:r>
              <w:rPr>
                <w:rFonts w:hint="eastAsia" w:ascii="宋体" w:hAnsi="宋体" w:eastAsia="宋体" w:cs="宋体"/>
                <w:color w:val="auto"/>
                <w:sz w:val="24"/>
                <w:szCs w:val="24"/>
                <w:highlight w:val="none"/>
                <w:lang w:val="en-US" w:eastAsia="zh-CN"/>
              </w:rPr>
              <w:t>；</w:t>
            </w:r>
          </w:p>
          <w:p w14:paraId="0967382F">
            <w:pPr>
              <w:keepNext w:val="0"/>
              <w:keepLines w:val="0"/>
              <w:pageBreakBefore w:val="0"/>
              <w:widowControl w:val="0"/>
              <w:shd w:val="clear" w:color="auto" w:fill="auto"/>
              <w:kinsoku w:val="0"/>
              <w:wordWrap w:val="0"/>
              <w:overflowPunct/>
              <w:topLinePunct w:val="0"/>
              <w:autoSpaceDE/>
              <w:autoSpaceDN/>
              <w:bidi w:val="0"/>
              <w:adjustRightInd/>
              <w:snapToGrid/>
              <w:spacing w:line="360" w:lineRule="exact"/>
              <w:ind w:left="0" w:leftChars="0" w:right="0" w:rightChars="0" w:firstLine="0" w:firstLineChars="0"/>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违约惩罚措施</w:t>
            </w:r>
            <w:r>
              <w:rPr>
                <w:rFonts w:hint="eastAsia" w:ascii="宋体" w:hAnsi="宋体" w:cs="宋体"/>
                <w:color w:val="auto"/>
                <w:sz w:val="24"/>
                <w:szCs w:val="24"/>
                <w:highlight w:val="none"/>
                <w:lang w:val="en-US" w:eastAsia="zh-CN"/>
              </w:rPr>
              <w:t>（1分）</w:t>
            </w:r>
            <w:r>
              <w:rPr>
                <w:rFonts w:hint="eastAsia" w:ascii="宋体" w:hAnsi="宋体" w:eastAsia="宋体" w:cs="宋体"/>
                <w:color w:val="auto"/>
                <w:sz w:val="24"/>
                <w:szCs w:val="24"/>
                <w:highlight w:val="none"/>
                <w:lang w:val="en-US" w:eastAsia="zh-CN"/>
              </w:rPr>
              <w:t>；</w:t>
            </w:r>
          </w:p>
          <w:p w14:paraId="5565486F">
            <w:pPr>
              <w:keepNext w:val="0"/>
              <w:keepLines w:val="0"/>
              <w:pageBreakBefore w:val="0"/>
              <w:widowControl w:val="0"/>
              <w:shd w:val="clear" w:color="auto" w:fill="auto"/>
              <w:kinsoku w:val="0"/>
              <w:wordWrap w:val="0"/>
              <w:overflowPunct/>
              <w:topLinePunct w:val="0"/>
              <w:autoSpaceDE/>
              <w:autoSpaceDN/>
              <w:bidi w:val="0"/>
              <w:adjustRightInd/>
              <w:snapToGrid/>
              <w:spacing w:line="360" w:lineRule="exact"/>
              <w:ind w:left="0" w:leftChars="0" w:right="0" w:rightChars="0" w:firstLine="0" w:firstLineChars="0"/>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紧急故障处理应急预案</w:t>
            </w:r>
            <w:r>
              <w:rPr>
                <w:rFonts w:hint="eastAsia" w:ascii="宋体" w:hAnsi="宋体" w:cs="宋体"/>
                <w:color w:val="auto"/>
                <w:sz w:val="24"/>
                <w:szCs w:val="24"/>
                <w:highlight w:val="none"/>
                <w:lang w:val="en-US" w:eastAsia="zh-CN"/>
              </w:rPr>
              <w:t>（1分）</w:t>
            </w:r>
            <w:r>
              <w:rPr>
                <w:rFonts w:hint="eastAsia" w:ascii="宋体" w:hAnsi="宋体" w:eastAsia="宋体" w:cs="宋体"/>
                <w:color w:val="auto"/>
                <w:sz w:val="24"/>
                <w:szCs w:val="24"/>
                <w:highlight w:val="none"/>
                <w:lang w:val="en-US" w:eastAsia="zh-CN"/>
              </w:rPr>
              <w:t>。</w:t>
            </w:r>
          </w:p>
          <w:p w14:paraId="73D41A8F">
            <w:pPr>
              <w:keepNext w:val="0"/>
              <w:keepLines w:val="0"/>
              <w:pageBreakBefore w:val="0"/>
              <w:widowControl w:val="0"/>
              <w:shd w:val="clear" w:color="auto" w:fill="auto"/>
              <w:kinsoku w:val="0"/>
              <w:wordWrap w:val="0"/>
              <w:overflowPunct/>
              <w:topLinePunct w:val="0"/>
              <w:autoSpaceDE/>
              <w:autoSpaceDN/>
              <w:bidi w:val="0"/>
              <w:adjustRightInd/>
              <w:snapToGrid/>
              <w:spacing w:line="360" w:lineRule="exact"/>
              <w:ind w:left="0" w:leftChars="0" w:right="0" w:rightChars="0" w:firstLine="0" w:firstLineChars="0"/>
              <w:jc w:val="left"/>
              <w:textAlignment w:val="auto"/>
              <w:outlineLvl w:val="9"/>
              <w:rPr>
                <w:rFonts w:hint="eastAsia" w:ascii="宋体" w:hAnsi="宋体" w:eastAsia="宋体" w:cs="宋体"/>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评审办法：</w:t>
            </w:r>
            <w:r>
              <w:rPr>
                <w:rFonts w:hint="default" w:ascii="宋体" w:hAnsi="宋体" w:eastAsia="宋体" w:cs="宋体"/>
                <w:color w:val="auto"/>
                <w:sz w:val="24"/>
                <w:szCs w:val="24"/>
                <w:highlight w:val="none"/>
                <w:lang w:val="en-US" w:eastAsia="zh-CN"/>
              </w:rPr>
              <w:t>内容每出现一处缺陷的扣</w:t>
            </w:r>
            <w:r>
              <w:rPr>
                <w:rFonts w:hint="eastAsia" w:ascii="宋体" w:hAnsi="宋体" w:eastAsia="宋体" w:cs="宋体"/>
                <w:color w:val="auto"/>
                <w:sz w:val="24"/>
                <w:szCs w:val="24"/>
                <w:highlight w:val="none"/>
                <w:lang w:val="en-US" w:eastAsia="zh-CN"/>
              </w:rPr>
              <w:t>0.5</w:t>
            </w:r>
            <w:r>
              <w:rPr>
                <w:rFonts w:hint="default" w:ascii="宋体" w:hAnsi="宋体" w:eastAsia="宋体" w:cs="宋体"/>
                <w:color w:val="auto"/>
                <w:sz w:val="24"/>
                <w:szCs w:val="24"/>
                <w:highlight w:val="none"/>
                <w:lang w:val="en-US" w:eastAsia="zh-CN"/>
              </w:rPr>
              <w:t>分，至</w:t>
            </w:r>
            <w:r>
              <w:rPr>
                <w:rFonts w:hint="eastAsia" w:ascii="宋体" w:hAnsi="宋体" w:eastAsia="宋体" w:cs="宋体"/>
                <w:color w:val="auto"/>
                <w:sz w:val="24"/>
                <w:szCs w:val="24"/>
                <w:highlight w:val="none"/>
                <w:lang w:val="en-US" w:eastAsia="zh-CN"/>
              </w:rPr>
              <w:t>5</w:t>
            </w:r>
            <w:r>
              <w:rPr>
                <w:rFonts w:hint="default" w:ascii="宋体" w:hAnsi="宋体" w:eastAsia="宋体" w:cs="宋体"/>
                <w:color w:val="auto"/>
                <w:sz w:val="24"/>
                <w:szCs w:val="24"/>
                <w:highlight w:val="none"/>
                <w:lang w:val="en-US" w:eastAsia="zh-CN"/>
              </w:rPr>
              <w:t>分扣完止；上述</w:t>
            </w:r>
            <w:r>
              <w:rPr>
                <w:rFonts w:hint="eastAsia" w:ascii="宋体" w:hAnsi="宋体" w:eastAsia="宋体" w:cs="宋体"/>
                <w:color w:val="auto"/>
                <w:sz w:val="24"/>
                <w:szCs w:val="24"/>
                <w:highlight w:val="none"/>
                <w:lang w:val="en-US" w:eastAsia="zh-CN"/>
              </w:rPr>
              <w:t>5</w:t>
            </w:r>
            <w:r>
              <w:rPr>
                <w:rFonts w:hint="default" w:ascii="宋体" w:hAnsi="宋体" w:eastAsia="宋体" w:cs="宋体"/>
                <w:color w:val="auto"/>
                <w:sz w:val="24"/>
                <w:szCs w:val="24"/>
                <w:highlight w:val="none"/>
                <w:lang w:val="en-US" w:eastAsia="zh-CN"/>
              </w:rPr>
              <w:t>项内容全部提供且无任何缺陷的得满分</w:t>
            </w:r>
            <w:r>
              <w:rPr>
                <w:rFonts w:hint="eastAsia" w:ascii="宋体" w:hAnsi="宋体" w:cs="宋体"/>
                <w:color w:val="auto"/>
                <w:sz w:val="24"/>
                <w:szCs w:val="24"/>
                <w:highlight w:val="none"/>
                <w:lang w:val="en-US" w:eastAsia="zh-CN"/>
              </w:rPr>
              <w:t>5</w:t>
            </w:r>
            <w:r>
              <w:rPr>
                <w:rFonts w:hint="default" w:ascii="宋体" w:hAnsi="宋体" w:eastAsia="宋体" w:cs="宋体"/>
                <w:color w:val="auto"/>
                <w:sz w:val="24"/>
                <w:szCs w:val="24"/>
                <w:highlight w:val="none"/>
                <w:lang w:val="en-US" w:eastAsia="zh-CN"/>
              </w:rPr>
              <w:t>分；未提供方案的本项不得分。</w:t>
            </w:r>
          </w:p>
          <w:p w14:paraId="49B94624">
            <w:pPr>
              <w:keepNext w:val="0"/>
              <w:keepLines w:val="0"/>
              <w:pageBreakBefore w:val="0"/>
              <w:widowControl w:val="0"/>
              <w:shd w:val="clear" w:color="auto" w:fill="auto"/>
              <w:kinsoku w:val="0"/>
              <w:wordWrap w:val="0"/>
              <w:overflowPunct/>
              <w:topLinePunct w:val="0"/>
              <w:autoSpaceDE/>
              <w:autoSpaceDN/>
              <w:bidi w:val="0"/>
              <w:adjustRightInd/>
              <w:snapToGrid/>
              <w:spacing w:line="360" w:lineRule="exact"/>
              <w:ind w:left="0" w:leftChars="0" w:right="0" w:rightChars="0" w:firstLine="0" w:firstLineChars="0"/>
              <w:jc w:val="left"/>
              <w:textAlignment w:val="auto"/>
              <w:outlineLvl w:val="9"/>
              <w:rPr>
                <w:rFonts w:hint="default" w:asciiTheme="minorEastAsia" w:hAnsiTheme="minorEastAsia" w:eastAsiaTheme="minorEastAsia" w:cstheme="minorEastAsia"/>
                <w:b w:val="0"/>
                <w:bCs w:val="0"/>
                <w:color w:val="auto"/>
                <w:kern w:val="2"/>
                <w:sz w:val="24"/>
                <w:szCs w:val="24"/>
                <w:highlight w:val="none"/>
                <w:lang w:val="en-US" w:eastAsia="zh-CN" w:bidi="ar-SA"/>
              </w:rPr>
            </w:pPr>
            <w:r>
              <w:rPr>
                <w:rFonts w:hint="eastAsia" w:ascii="宋体" w:hAnsi="宋体" w:eastAsia="宋体" w:cs="宋体"/>
                <w:b/>
                <w:bCs/>
                <w:color w:val="auto"/>
                <w:sz w:val="24"/>
                <w:szCs w:val="24"/>
                <w:highlight w:val="none"/>
                <w:lang w:val="en-US" w:eastAsia="zh-CN"/>
              </w:rPr>
              <w:t>注：相关法律法规对设备（产品）有相关售后服务标准的，按相关规定提供相关售后服务。</w:t>
            </w:r>
          </w:p>
        </w:tc>
      </w:tr>
    </w:tbl>
    <w:p w14:paraId="45E44C82">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jc w:val="center"/>
        <w:textAlignment w:val="auto"/>
        <w:rPr>
          <w:rFonts w:hint="eastAsia" w:asciiTheme="minorEastAsia" w:hAnsiTheme="minorEastAsia" w:eastAsiaTheme="minorEastAsia" w:cstheme="minorEastAsia"/>
          <w:color w:val="auto"/>
          <w:highlight w:val="none"/>
          <w:lang w:eastAsia="zh-CN"/>
        </w:rPr>
      </w:pPr>
      <w:bookmarkStart w:id="70" w:name="_Toc15395"/>
      <w:bookmarkStart w:id="71" w:name="_Toc312150716"/>
      <w:bookmarkStart w:id="72" w:name="_Toc313403325"/>
      <w:bookmarkStart w:id="73" w:name="_Toc393222602"/>
      <w:bookmarkStart w:id="74" w:name="_Toc24895"/>
      <w:bookmarkStart w:id="75" w:name="_Toc354867106"/>
      <w:r>
        <w:rPr>
          <w:rFonts w:hint="eastAsia" w:asciiTheme="minorEastAsia" w:hAnsiTheme="minorEastAsia" w:eastAsiaTheme="minorEastAsia" w:cstheme="minorEastAsia"/>
          <w:b/>
          <w:bCs/>
          <w:color w:val="auto"/>
          <w:sz w:val="24"/>
          <w:szCs w:val="24"/>
          <w:highlight w:val="none"/>
        </w:rPr>
        <w:t>1.</w:t>
      </w:r>
      <w:r>
        <w:rPr>
          <w:rFonts w:hint="eastAsia" w:asciiTheme="minorEastAsia" w:hAnsiTheme="minorEastAsia" w:eastAsiaTheme="minorEastAsia" w:cstheme="minorEastAsia"/>
          <w:b/>
          <w:bCs/>
          <w:color w:val="auto"/>
          <w:sz w:val="24"/>
          <w:szCs w:val="24"/>
          <w:highlight w:val="none"/>
          <w:lang w:eastAsia="zh-CN"/>
        </w:rPr>
        <w:t>评标办法</w:t>
      </w:r>
    </w:p>
    <w:p w14:paraId="206DB8C6">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82"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本次评标采用综合评分法。</w:t>
      </w:r>
      <w:r>
        <w:rPr>
          <w:rFonts w:hint="eastAsia" w:asciiTheme="minorEastAsia" w:hAnsiTheme="minorEastAsia" w:eastAsiaTheme="minorEastAsia" w:cstheme="minorEastAsia"/>
          <w:b w:val="0"/>
          <w:bCs w:val="0"/>
          <w:color w:val="auto"/>
          <w:sz w:val="24"/>
          <w:szCs w:val="24"/>
          <w:highlight w:val="none"/>
        </w:rPr>
        <w:t>评标委员会对满足</w:t>
      </w:r>
      <w:r>
        <w:rPr>
          <w:rFonts w:hint="eastAsia" w:asciiTheme="minorEastAsia" w:hAnsiTheme="minorEastAsia" w:eastAsiaTheme="minorEastAsia" w:cstheme="minorEastAsia"/>
          <w:b w:val="0"/>
          <w:bCs w:val="0"/>
          <w:color w:val="auto"/>
          <w:sz w:val="24"/>
          <w:szCs w:val="24"/>
          <w:highlight w:val="none"/>
          <w:lang w:eastAsia="zh-CN"/>
        </w:rPr>
        <w:t>采购文件</w:t>
      </w:r>
      <w:r>
        <w:rPr>
          <w:rFonts w:hint="eastAsia" w:asciiTheme="minorEastAsia" w:hAnsiTheme="minorEastAsia" w:eastAsiaTheme="minorEastAsia" w:cstheme="minorEastAsia"/>
          <w:b w:val="0"/>
          <w:bCs w:val="0"/>
          <w:color w:val="auto"/>
          <w:sz w:val="24"/>
          <w:szCs w:val="24"/>
          <w:highlight w:val="none"/>
        </w:rPr>
        <w:t>初步评审要求的投标文件，按照本章前附表规定的评分标准进行打分，并按下列评标总得分计算公式计算评标总得分：按总得分由高到低的顺序推荐中标候选人排序，评审得分相同的，按照</w:t>
      </w:r>
      <w:r>
        <w:rPr>
          <w:rFonts w:hint="eastAsia" w:asciiTheme="minorEastAsia" w:hAnsiTheme="minorEastAsia" w:eastAsiaTheme="minorEastAsia" w:cstheme="minorEastAsia"/>
          <w:b w:val="0"/>
          <w:bCs w:val="0"/>
          <w:color w:val="auto"/>
          <w:sz w:val="24"/>
          <w:szCs w:val="24"/>
          <w:highlight w:val="none"/>
          <w:lang w:val="en-US" w:eastAsia="zh-CN"/>
        </w:rPr>
        <w:t>供应商</w:t>
      </w:r>
      <w:r>
        <w:rPr>
          <w:rFonts w:hint="eastAsia" w:asciiTheme="minorEastAsia" w:hAnsiTheme="minorEastAsia" w:eastAsiaTheme="minorEastAsia" w:cstheme="minorEastAsia"/>
          <w:b w:val="0"/>
          <w:bCs w:val="0"/>
          <w:color w:val="auto"/>
          <w:sz w:val="24"/>
          <w:szCs w:val="24"/>
          <w:highlight w:val="none"/>
        </w:rPr>
        <w:t>投标报价（符合相关价格扣除政策的以扣除前的报价为准）由低到高进行排序；评审得分且最后报价都相同的，按照</w:t>
      </w:r>
      <w:r>
        <w:rPr>
          <w:rFonts w:hint="eastAsia" w:asciiTheme="minorEastAsia" w:hAnsiTheme="minorEastAsia" w:eastAsiaTheme="minorEastAsia" w:cstheme="minorEastAsia"/>
          <w:b/>
          <w:bCs/>
          <w:color w:val="auto"/>
          <w:sz w:val="24"/>
          <w:szCs w:val="24"/>
          <w:highlight w:val="none"/>
        </w:rPr>
        <w:t>技术部分得分</w:t>
      </w:r>
      <w:r>
        <w:rPr>
          <w:rFonts w:hint="eastAsia" w:asciiTheme="minorEastAsia" w:hAnsiTheme="minorEastAsia" w:eastAsiaTheme="minorEastAsia" w:cstheme="minorEastAsia"/>
          <w:b w:val="0"/>
          <w:bCs w:val="0"/>
          <w:color w:val="auto"/>
          <w:sz w:val="24"/>
          <w:szCs w:val="24"/>
          <w:highlight w:val="none"/>
        </w:rPr>
        <w:t>由高到低进行排序；评审得分</w:t>
      </w:r>
      <w:r>
        <w:rPr>
          <w:rFonts w:hint="eastAsia" w:asciiTheme="minorEastAsia" w:hAnsiTheme="minorEastAsia" w:eastAsiaTheme="minorEastAsia" w:cstheme="minorEastAsia"/>
          <w:b w:val="0"/>
          <w:bCs w:val="0"/>
          <w:color w:val="auto"/>
          <w:sz w:val="24"/>
          <w:szCs w:val="24"/>
          <w:highlight w:val="none"/>
          <w:lang w:eastAsia="zh-CN"/>
        </w:rPr>
        <w:t>、</w:t>
      </w:r>
      <w:r>
        <w:rPr>
          <w:rFonts w:hint="eastAsia" w:asciiTheme="minorEastAsia" w:hAnsiTheme="minorEastAsia" w:eastAsiaTheme="minorEastAsia" w:cstheme="minorEastAsia"/>
          <w:b w:val="0"/>
          <w:bCs w:val="0"/>
          <w:color w:val="auto"/>
          <w:sz w:val="24"/>
          <w:szCs w:val="24"/>
          <w:highlight w:val="none"/>
        </w:rPr>
        <w:t>最后报价</w:t>
      </w:r>
      <w:r>
        <w:rPr>
          <w:rFonts w:hint="eastAsia" w:asciiTheme="minorEastAsia" w:hAnsiTheme="minorEastAsia" w:eastAsiaTheme="minorEastAsia" w:cstheme="minorEastAsia"/>
          <w:b w:val="0"/>
          <w:bCs w:val="0"/>
          <w:color w:val="auto"/>
          <w:sz w:val="24"/>
          <w:szCs w:val="24"/>
          <w:highlight w:val="none"/>
          <w:lang w:val="en-US" w:eastAsia="zh-CN"/>
        </w:rPr>
        <w:t>及</w:t>
      </w:r>
      <w:r>
        <w:rPr>
          <w:rFonts w:hint="eastAsia" w:asciiTheme="minorEastAsia" w:hAnsiTheme="minorEastAsia" w:eastAsiaTheme="minorEastAsia" w:cstheme="minorEastAsia"/>
          <w:b w:val="0"/>
          <w:bCs w:val="0"/>
          <w:color w:val="auto"/>
          <w:sz w:val="24"/>
          <w:szCs w:val="24"/>
          <w:highlight w:val="none"/>
        </w:rPr>
        <w:t>技术部分得分</w:t>
      </w:r>
      <w:r>
        <w:rPr>
          <w:rFonts w:hint="eastAsia" w:asciiTheme="minorEastAsia" w:hAnsiTheme="minorEastAsia" w:eastAsiaTheme="minorEastAsia" w:cstheme="minorEastAsia"/>
          <w:b w:val="0"/>
          <w:bCs w:val="0"/>
          <w:color w:val="auto"/>
          <w:sz w:val="24"/>
          <w:szCs w:val="24"/>
          <w:highlight w:val="none"/>
          <w:lang w:val="en-US" w:eastAsia="zh-CN"/>
        </w:rPr>
        <w:t>都相同</w:t>
      </w:r>
      <w:r>
        <w:rPr>
          <w:rFonts w:hint="eastAsia" w:asciiTheme="minorEastAsia" w:hAnsiTheme="minorEastAsia" w:eastAsiaTheme="minorEastAsia" w:cstheme="minorEastAsia"/>
          <w:b w:val="0"/>
          <w:bCs w:val="0"/>
          <w:color w:val="auto"/>
          <w:sz w:val="24"/>
          <w:szCs w:val="24"/>
          <w:highlight w:val="none"/>
          <w:lang w:eastAsia="zh-CN"/>
        </w:rPr>
        <w:t>，</w:t>
      </w:r>
      <w:r>
        <w:rPr>
          <w:rFonts w:hint="eastAsia" w:asciiTheme="minorEastAsia" w:hAnsiTheme="minorEastAsia" w:eastAsiaTheme="minorEastAsia" w:cstheme="minorEastAsia"/>
          <w:b w:val="0"/>
          <w:bCs w:val="0"/>
          <w:color w:val="auto"/>
          <w:sz w:val="24"/>
          <w:szCs w:val="24"/>
          <w:highlight w:val="none"/>
          <w:lang w:val="en-US" w:eastAsia="zh-CN"/>
        </w:rPr>
        <w:t>按照供应商提供</w:t>
      </w:r>
      <w:r>
        <w:rPr>
          <w:rFonts w:hint="eastAsia" w:asciiTheme="minorEastAsia" w:hAnsiTheme="minorEastAsia" w:eastAsiaTheme="minorEastAsia" w:cstheme="minorEastAsia"/>
          <w:b/>
          <w:bCs/>
          <w:color w:val="auto"/>
          <w:sz w:val="24"/>
          <w:szCs w:val="24"/>
          <w:highlight w:val="none"/>
          <w:lang w:val="en-US" w:eastAsia="zh-CN"/>
        </w:rPr>
        <w:t>节能、环境标志产品（如有）</w:t>
      </w:r>
      <w:r>
        <w:rPr>
          <w:rFonts w:hint="eastAsia" w:asciiTheme="minorEastAsia" w:hAnsiTheme="minorEastAsia" w:eastAsiaTheme="minorEastAsia" w:cstheme="minorEastAsia"/>
          <w:b w:val="0"/>
          <w:bCs w:val="0"/>
          <w:color w:val="auto"/>
          <w:sz w:val="24"/>
          <w:szCs w:val="24"/>
          <w:highlight w:val="none"/>
        </w:rPr>
        <w:t>由</w:t>
      </w:r>
      <w:r>
        <w:rPr>
          <w:rFonts w:hint="eastAsia" w:asciiTheme="minorEastAsia" w:hAnsiTheme="minorEastAsia" w:eastAsiaTheme="minorEastAsia" w:cstheme="minorEastAsia"/>
          <w:b w:val="0"/>
          <w:bCs w:val="0"/>
          <w:color w:val="auto"/>
          <w:sz w:val="24"/>
          <w:szCs w:val="24"/>
          <w:highlight w:val="none"/>
          <w:lang w:val="en-US" w:eastAsia="zh-CN"/>
        </w:rPr>
        <w:t>多到少的顺序</w:t>
      </w:r>
      <w:r>
        <w:rPr>
          <w:rFonts w:hint="eastAsia" w:asciiTheme="minorEastAsia" w:hAnsiTheme="minorEastAsia" w:eastAsiaTheme="minorEastAsia" w:cstheme="minorEastAsia"/>
          <w:b w:val="0"/>
          <w:bCs w:val="0"/>
          <w:color w:val="auto"/>
          <w:sz w:val="24"/>
          <w:szCs w:val="24"/>
          <w:highlight w:val="none"/>
        </w:rPr>
        <w:t>进行排序</w:t>
      </w:r>
      <w:r>
        <w:rPr>
          <w:rFonts w:hint="eastAsia" w:asciiTheme="minorEastAsia" w:hAnsiTheme="minorEastAsia" w:eastAsiaTheme="minorEastAsia" w:cstheme="minorEastAsia"/>
          <w:b w:val="0"/>
          <w:bCs w:val="0"/>
          <w:color w:val="auto"/>
          <w:sz w:val="24"/>
          <w:szCs w:val="24"/>
          <w:highlight w:val="none"/>
          <w:lang w:val="en-US" w:eastAsia="zh-CN"/>
        </w:rPr>
        <w:t>，</w:t>
      </w:r>
      <w:r>
        <w:rPr>
          <w:rFonts w:hint="eastAsia" w:asciiTheme="minorEastAsia" w:hAnsiTheme="minorEastAsia" w:eastAsiaTheme="minorEastAsia" w:cstheme="minorEastAsia"/>
          <w:b w:val="0"/>
          <w:bCs w:val="0"/>
          <w:color w:val="auto"/>
          <w:sz w:val="24"/>
          <w:szCs w:val="24"/>
          <w:highlight w:val="none"/>
        </w:rPr>
        <w:t>出现其他情形的，由评标委员会投票，得票多者排序在前。</w:t>
      </w:r>
    </w:p>
    <w:p w14:paraId="41F1C1BA">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82" w:firstLineChars="200"/>
        <w:textAlignment w:val="auto"/>
        <w:rPr>
          <w:rFonts w:hint="eastAsia" w:asciiTheme="minorEastAsia" w:hAnsiTheme="minorEastAsia" w:eastAsiaTheme="minorEastAsia" w:cstheme="minorEastAsia"/>
          <w:b/>
          <w:bCs/>
          <w:color w:val="auto"/>
          <w:sz w:val="24"/>
          <w:szCs w:val="24"/>
          <w:highlight w:val="none"/>
          <w:lang w:eastAsia="zh-CN"/>
        </w:rPr>
      </w:pPr>
      <w:r>
        <w:rPr>
          <w:rFonts w:hint="eastAsia" w:asciiTheme="minorEastAsia" w:hAnsiTheme="minorEastAsia" w:eastAsiaTheme="minorEastAsia" w:cstheme="minorEastAsia"/>
          <w:b/>
          <w:bCs/>
          <w:color w:val="auto"/>
          <w:sz w:val="24"/>
          <w:szCs w:val="24"/>
          <w:highlight w:val="none"/>
          <w:lang w:val="en-US" w:eastAsia="zh-CN"/>
        </w:rPr>
        <w:t>供应商提供产品品牌相同的，</w:t>
      </w:r>
      <w:r>
        <w:rPr>
          <w:rFonts w:hint="eastAsia" w:asciiTheme="minorEastAsia" w:hAnsiTheme="minorEastAsia" w:eastAsiaTheme="minorEastAsia" w:cstheme="minorEastAsia"/>
          <w:b w:val="0"/>
          <w:bCs w:val="0"/>
          <w:color w:val="auto"/>
          <w:sz w:val="24"/>
          <w:szCs w:val="24"/>
          <w:highlight w:val="none"/>
        </w:rPr>
        <w:t>按照《政府采购货物和服务招标投标管理办法》（财政部87号令）第三十一条第二款规定执行，即使用综合评分法的</w:t>
      </w:r>
      <w:r>
        <w:rPr>
          <w:rFonts w:hint="eastAsia" w:asciiTheme="minorEastAsia" w:hAnsiTheme="minorEastAsia" w:eastAsiaTheme="minorEastAsia" w:cstheme="minorEastAsia"/>
          <w:b w:val="0"/>
          <w:bCs w:val="0"/>
          <w:color w:val="auto"/>
          <w:sz w:val="24"/>
          <w:szCs w:val="24"/>
          <w:highlight w:val="none"/>
          <w:lang w:val="en-US" w:eastAsia="zh-CN"/>
        </w:rPr>
        <w:t>采购</w:t>
      </w:r>
      <w:r>
        <w:rPr>
          <w:rFonts w:hint="eastAsia" w:asciiTheme="minorEastAsia" w:hAnsiTheme="minorEastAsia" w:eastAsiaTheme="minorEastAsia" w:cstheme="minorEastAsia"/>
          <w:b w:val="0"/>
          <w:bCs w:val="0"/>
          <w:color w:val="auto"/>
          <w:sz w:val="24"/>
          <w:szCs w:val="24"/>
          <w:highlight w:val="none"/>
        </w:rPr>
        <w:t>项目，提供相同品牌产品且通过资格审查、符合性审查的不同</w:t>
      </w:r>
      <w:r>
        <w:rPr>
          <w:rFonts w:hint="eastAsia" w:asciiTheme="minorEastAsia" w:hAnsiTheme="minorEastAsia" w:eastAsiaTheme="minorEastAsia" w:cstheme="minorEastAsia"/>
          <w:b w:val="0"/>
          <w:bCs w:val="0"/>
          <w:color w:val="auto"/>
          <w:sz w:val="24"/>
          <w:szCs w:val="24"/>
          <w:highlight w:val="none"/>
          <w:lang w:eastAsia="zh-CN"/>
        </w:rPr>
        <w:t>供应商</w:t>
      </w:r>
      <w:r>
        <w:rPr>
          <w:rFonts w:hint="eastAsia" w:asciiTheme="minorEastAsia" w:hAnsiTheme="minorEastAsia" w:eastAsiaTheme="minorEastAsia" w:cstheme="minorEastAsia"/>
          <w:b w:val="0"/>
          <w:bCs w:val="0"/>
          <w:color w:val="auto"/>
          <w:sz w:val="24"/>
          <w:szCs w:val="24"/>
          <w:highlight w:val="none"/>
        </w:rPr>
        <w:t>参加</w:t>
      </w:r>
      <w:r>
        <w:rPr>
          <w:rFonts w:hint="eastAsia" w:asciiTheme="minorEastAsia" w:hAnsiTheme="minorEastAsia" w:eastAsiaTheme="minorEastAsia" w:cstheme="minorEastAsia"/>
          <w:b w:val="0"/>
          <w:bCs w:val="0"/>
          <w:color w:val="auto"/>
          <w:sz w:val="24"/>
          <w:szCs w:val="24"/>
          <w:highlight w:val="none"/>
          <w:lang w:val="en-US" w:eastAsia="zh-CN"/>
        </w:rPr>
        <w:t>同一合同项下</w:t>
      </w:r>
      <w:r>
        <w:rPr>
          <w:rFonts w:hint="eastAsia" w:asciiTheme="minorEastAsia" w:hAnsiTheme="minorEastAsia" w:eastAsiaTheme="minorEastAsia" w:cstheme="minorEastAsia"/>
          <w:b w:val="0"/>
          <w:bCs w:val="0"/>
          <w:color w:val="auto"/>
          <w:sz w:val="24"/>
          <w:szCs w:val="24"/>
          <w:highlight w:val="none"/>
        </w:rPr>
        <w:t>投标的，按一家</w:t>
      </w:r>
      <w:r>
        <w:rPr>
          <w:rFonts w:hint="eastAsia" w:asciiTheme="minorEastAsia" w:hAnsiTheme="minorEastAsia" w:eastAsiaTheme="minorEastAsia" w:cstheme="minorEastAsia"/>
          <w:b w:val="0"/>
          <w:bCs w:val="0"/>
          <w:color w:val="auto"/>
          <w:sz w:val="24"/>
          <w:szCs w:val="24"/>
          <w:highlight w:val="none"/>
          <w:lang w:eastAsia="zh-CN"/>
        </w:rPr>
        <w:t>供应商</w:t>
      </w:r>
      <w:r>
        <w:rPr>
          <w:rFonts w:hint="eastAsia" w:asciiTheme="minorEastAsia" w:hAnsiTheme="minorEastAsia" w:eastAsiaTheme="minorEastAsia" w:cstheme="minorEastAsia"/>
          <w:b w:val="0"/>
          <w:bCs w:val="0"/>
          <w:color w:val="auto"/>
          <w:sz w:val="24"/>
          <w:szCs w:val="24"/>
          <w:highlight w:val="none"/>
        </w:rPr>
        <w:t>计算，评审后得分最高的同品牌</w:t>
      </w:r>
      <w:r>
        <w:rPr>
          <w:rFonts w:hint="eastAsia" w:asciiTheme="minorEastAsia" w:hAnsiTheme="minorEastAsia" w:eastAsiaTheme="minorEastAsia" w:cstheme="minorEastAsia"/>
          <w:b w:val="0"/>
          <w:bCs w:val="0"/>
          <w:color w:val="auto"/>
          <w:sz w:val="24"/>
          <w:szCs w:val="24"/>
          <w:highlight w:val="none"/>
          <w:lang w:eastAsia="zh-CN"/>
        </w:rPr>
        <w:t>供应商</w:t>
      </w:r>
      <w:r>
        <w:rPr>
          <w:rFonts w:hint="eastAsia" w:asciiTheme="minorEastAsia" w:hAnsiTheme="minorEastAsia" w:eastAsiaTheme="minorEastAsia" w:cstheme="minorEastAsia"/>
          <w:b w:val="0"/>
          <w:bCs w:val="0"/>
          <w:color w:val="auto"/>
          <w:sz w:val="24"/>
          <w:szCs w:val="24"/>
          <w:highlight w:val="none"/>
        </w:rPr>
        <w:t>获得中标人推荐资格；评审得分相同的，由采购人或者采购人委托评标委员会按照</w:t>
      </w:r>
      <w:r>
        <w:rPr>
          <w:rFonts w:hint="eastAsia" w:asciiTheme="minorEastAsia" w:hAnsiTheme="minorEastAsia" w:eastAsiaTheme="minorEastAsia" w:cstheme="minorEastAsia"/>
          <w:b w:val="0"/>
          <w:bCs w:val="0"/>
          <w:color w:val="auto"/>
          <w:sz w:val="24"/>
          <w:szCs w:val="24"/>
          <w:highlight w:val="none"/>
          <w:lang w:eastAsia="zh-CN"/>
        </w:rPr>
        <w:t>采购文件</w:t>
      </w:r>
      <w:r>
        <w:rPr>
          <w:rFonts w:hint="eastAsia" w:asciiTheme="minorEastAsia" w:hAnsiTheme="minorEastAsia" w:eastAsiaTheme="minorEastAsia" w:cstheme="minorEastAsia"/>
          <w:b w:val="0"/>
          <w:bCs w:val="0"/>
          <w:color w:val="auto"/>
          <w:sz w:val="24"/>
          <w:szCs w:val="24"/>
          <w:highlight w:val="none"/>
        </w:rPr>
        <w:t>规定的方式确定一个</w:t>
      </w:r>
      <w:r>
        <w:rPr>
          <w:rFonts w:hint="eastAsia" w:asciiTheme="minorEastAsia" w:hAnsiTheme="minorEastAsia" w:eastAsiaTheme="minorEastAsia" w:cstheme="minorEastAsia"/>
          <w:b w:val="0"/>
          <w:bCs w:val="0"/>
          <w:color w:val="auto"/>
          <w:sz w:val="24"/>
          <w:szCs w:val="24"/>
          <w:highlight w:val="none"/>
          <w:lang w:eastAsia="zh-CN"/>
        </w:rPr>
        <w:t>供应商</w:t>
      </w:r>
      <w:r>
        <w:rPr>
          <w:rFonts w:hint="eastAsia" w:asciiTheme="minorEastAsia" w:hAnsiTheme="minorEastAsia" w:eastAsiaTheme="minorEastAsia" w:cstheme="minorEastAsia"/>
          <w:b w:val="0"/>
          <w:bCs w:val="0"/>
          <w:color w:val="auto"/>
          <w:sz w:val="24"/>
          <w:szCs w:val="24"/>
          <w:highlight w:val="none"/>
        </w:rPr>
        <w:t>获得中标人推荐资格，</w:t>
      </w:r>
      <w:r>
        <w:rPr>
          <w:rFonts w:hint="eastAsia" w:asciiTheme="minorEastAsia" w:hAnsiTheme="minorEastAsia" w:eastAsiaTheme="minorEastAsia" w:cstheme="minorEastAsia"/>
          <w:b w:val="0"/>
          <w:bCs w:val="0"/>
          <w:color w:val="auto"/>
          <w:sz w:val="24"/>
          <w:szCs w:val="24"/>
          <w:highlight w:val="none"/>
          <w:lang w:eastAsia="zh-CN"/>
        </w:rPr>
        <w:t>采购文件</w:t>
      </w:r>
      <w:r>
        <w:rPr>
          <w:rFonts w:hint="eastAsia" w:asciiTheme="minorEastAsia" w:hAnsiTheme="minorEastAsia" w:eastAsiaTheme="minorEastAsia" w:cstheme="minorEastAsia"/>
          <w:b w:val="0"/>
          <w:bCs w:val="0"/>
          <w:color w:val="auto"/>
          <w:sz w:val="24"/>
          <w:szCs w:val="24"/>
          <w:highlight w:val="none"/>
        </w:rPr>
        <w:t>未规定的采取随机抽取方式确定，其他同品牌</w:t>
      </w:r>
      <w:r>
        <w:rPr>
          <w:rFonts w:hint="eastAsia" w:asciiTheme="minorEastAsia" w:hAnsiTheme="minorEastAsia" w:eastAsiaTheme="minorEastAsia" w:cstheme="minorEastAsia"/>
          <w:b w:val="0"/>
          <w:bCs w:val="0"/>
          <w:color w:val="auto"/>
          <w:sz w:val="24"/>
          <w:szCs w:val="24"/>
          <w:highlight w:val="none"/>
          <w:lang w:eastAsia="zh-CN"/>
        </w:rPr>
        <w:t>供应商</w:t>
      </w:r>
      <w:r>
        <w:rPr>
          <w:rFonts w:hint="eastAsia" w:asciiTheme="minorEastAsia" w:hAnsiTheme="minorEastAsia" w:eastAsiaTheme="minorEastAsia" w:cstheme="minorEastAsia"/>
          <w:b w:val="0"/>
          <w:bCs w:val="0"/>
          <w:color w:val="auto"/>
          <w:sz w:val="24"/>
          <w:szCs w:val="24"/>
          <w:highlight w:val="none"/>
        </w:rPr>
        <w:t>不作为中标候选人</w:t>
      </w:r>
      <w:r>
        <w:rPr>
          <w:rFonts w:hint="eastAsia" w:asciiTheme="minorEastAsia" w:hAnsiTheme="minorEastAsia" w:eastAsiaTheme="minorEastAsia" w:cstheme="minorEastAsia"/>
          <w:b w:val="0"/>
          <w:bCs w:val="0"/>
          <w:color w:val="auto"/>
          <w:sz w:val="24"/>
          <w:szCs w:val="24"/>
          <w:highlight w:val="none"/>
          <w:lang w:eastAsia="zh-CN"/>
        </w:rPr>
        <w:t>。</w:t>
      </w:r>
    </w:p>
    <w:p w14:paraId="4C32EE8C">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2.评审标准</w:t>
      </w:r>
    </w:p>
    <w:p w14:paraId="39C4B3FB">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2.1初步评审标准</w:t>
      </w:r>
    </w:p>
    <w:p w14:paraId="4E2F2380">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2.1.1资格评审标准：依据法律法规和</w:t>
      </w:r>
      <w:r>
        <w:rPr>
          <w:rFonts w:hint="eastAsia" w:asciiTheme="minorEastAsia" w:hAnsiTheme="minorEastAsia" w:eastAsiaTheme="minorEastAsia" w:cstheme="minorEastAsia"/>
          <w:color w:val="auto"/>
          <w:sz w:val="24"/>
          <w:szCs w:val="24"/>
          <w:highlight w:val="none"/>
          <w:lang w:eastAsia="zh-CN"/>
        </w:rPr>
        <w:t>采购文件</w:t>
      </w:r>
      <w:r>
        <w:rPr>
          <w:rFonts w:hint="eastAsia" w:asciiTheme="minorEastAsia" w:hAnsiTheme="minorEastAsia" w:eastAsiaTheme="minorEastAsia" w:cstheme="minorEastAsia"/>
          <w:color w:val="auto"/>
          <w:sz w:val="24"/>
          <w:szCs w:val="24"/>
          <w:highlight w:val="none"/>
        </w:rPr>
        <w:t>的规定，对投标文件中的资格证明文件等进行审查，见</w:t>
      </w:r>
      <w:r>
        <w:rPr>
          <w:rFonts w:hint="eastAsia" w:asciiTheme="minorEastAsia" w:hAnsiTheme="minorEastAsia" w:eastAsiaTheme="minorEastAsia" w:cstheme="minorEastAsia"/>
          <w:color w:val="auto"/>
          <w:sz w:val="24"/>
          <w:szCs w:val="24"/>
          <w:highlight w:val="none"/>
          <w:lang w:eastAsia="zh-CN"/>
        </w:rPr>
        <w:t>评标办法</w:t>
      </w:r>
      <w:r>
        <w:rPr>
          <w:rFonts w:hint="eastAsia" w:asciiTheme="minorEastAsia" w:hAnsiTheme="minorEastAsia" w:eastAsiaTheme="minorEastAsia" w:cstheme="minorEastAsia"/>
          <w:color w:val="auto"/>
          <w:sz w:val="24"/>
          <w:szCs w:val="24"/>
          <w:highlight w:val="none"/>
        </w:rPr>
        <w:t>前附表。</w:t>
      </w:r>
    </w:p>
    <w:p w14:paraId="10D090C1">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2.1.2符合性评审标准：依据</w:t>
      </w:r>
      <w:r>
        <w:rPr>
          <w:rFonts w:hint="eastAsia" w:asciiTheme="minorEastAsia" w:hAnsiTheme="minorEastAsia" w:eastAsiaTheme="minorEastAsia" w:cstheme="minorEastAsia"/>
          <w:color w:val="auto"/>
          <w:sz w:val="24"/>
          <w:szCs w:val="24"/>
          <w:highlight w:val="none"/>
          <w:lang w:eastAsia="zh-CN"/>
        </w:rPr>
        <w:t>采购文件</w:t>
      </w:r>
      <w:r>
        <w:rPr>
          <w:rFonts w:hint="eastAsia" w:asciiTheme="minorEastAsia" w:hAnsiTheme="minorEastAsia" w:eastAsiaTheme="minorEastAsia" w:cstheme="minorEastAsia"/>
          <w:color w:val="auto"/>
          <w:sz w:val="24"/>
          <w:szCs w:val="24"/>
          <w:highlight w:val="none"/>
        </w:rPr>
        <w:t>的规定，从投标文件的有效性、完整性和对</w:t>
      </w:r>
      <w:r>
        <w:rPr>
          <w:rFonts w:hint="eastAsia" w:asciiTheme="minorEastAsia" w:hAnsiTheme="minorEastAsia" w:eastAsiaTheme="minorEastAsia" w:cstheme="minorEastAsia"/>
          <w:color w:val="auto"/>
          <w:sz w:val="24"/>
          <w:szCs w:val="24"/>
          <w:highlight w:val="none"/>
          <w:lang w:eastAsia="zh-CN"/>
        </w:rPr>
        <w:t>采购文件</w:t>
      </w:r>
      <w:r>
        <w:rPr>
          <w:rFonts w:hint="eastAsia" w:asciiTheme="minorEastAsia" w:hAnsiTheme="minorEastAsia" w:eastAsiaTheme="minorEastAsia" w:cstheme="minorEastAsia"/>
          <w:color w:val="auto"/>
          <w:sz w:val="24"/>
          <w:szCs w:val="24"/>
          <w:highlight w:val="none"/>
        </w:rPr>
        <w:t>的响应程度进行审查，见</w:t>
      </w:r>
      <w:r>
        <w:rPr>
          <w:rFonts w:hint="eastAsia" w:asciiTheme="minorEastAsia" w:hAnsiTheme="minorEastAsia" w:eastAsiaTheme="minorEastAsia" w:cstheme="minorEastAsia"/>
          <w:color w:val="auto"/>
          <w:sz w:val="24"/>
          <w:szCs w:val="24"/>
          <w:highlight w:val="none"/>
          <w:lang w:eastAsia="zh-CN"/>
        </w:rPr>
        <w:t>评标办法</w:t>
      </w:r>
      <w:r>
        <w:rPr>
          <w:rFonts w:hint="eastAsia" w:asciiTheme="minorEastAsia" w:hAnsiTheme="minorEastAsia" w:eastAsiaTheme="minorEastAsia" w:cstheme="minorEastAsia"/>
          <w:color w:val="auto"/>
          <w:sz w:val="24"/>
          <w:szCs w:val="24"/>
          <w:highlight w:val="none"/>
        </w:rPr>
        <w:t>前附表。</w:t>
      </w:r>
    </w:p>
    <w:p w14:paraId="353CC655">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2.2分值构成与评分标准</w:t>
      </w:r>
    </w:p>
    <w:p w14:paraId="1C816FDA">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2.2.1分值构成</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见</w:t>
      </w:r>
      <w:r>
        <w:rPr>
          <w:rFonts w:hint="eastAsia" w:asciiTheme="minorEastAsia" w:hAnsiTheme="minorEastAsia" w:eastAsiaTheme="minorEastAsia" w:cstheme="minorEastAsia"/>
          <w:color w:val="auto"/>
          <w:sz w:val="24"/>
          <w:szCs w:val="24"/>
          <w:highlight w:val="none"/>
          <w:lang w:eastAsia="zh-CN"/>
        </w:rPr>
        <w:t>评标办法</w:t>
      </w:r>
      <w:r>
        <w:rPr>
          <w:rFonts w:hint="eastAsia" w:asciiTheme="minorEastAsia" w:hAnsiTheme="minorEastAsia" w:eastAsiaTheme="minorEastAsia" w:cstheme="minorEastAsia"/>
          <w:color w:val="auto"/>
          <w:sz w:val="24"/>
          <w:szCs w:val="24"/>
          <w:highlight w:val="none"/>
        </w:rPr>
        <w:t>前附表</w:t>
      </w:r>
      <w:r>
        <w:rPr>
          <w:rFonts w:hint="eastAsia" w:asciiTheme="minorEastAsia" w:hAnsiTheme="minorEastAsia" w:eastAsiaTheme="minorEastAsia" w:cstheme="minorEastAsia"/>
          <w:color w:val="auto"/>
          <w:sz w:val="24"/>
          <w:szCs w:val="24"/>
          <w:highlight w:val="none"/>
          <w:lang w:eastAsia="zh-CN"/>
        </w:rPr>
        <w:t>。</w:t>
      </w:r>
    </w:p>
    <w:p w14:paraId="4B2964D4">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2.2.2评分标准</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见</w:t>
      </w:r>
      <w:r>
        <w:rPr>
          <w:rFonts w:hint="eastAsia" w:asciiTheme="minorEastAsia" w:hAnsiTheme="minorEastAsia" w:eastAsiaTheme="minorEastAsia" w:cstheme="minorEastAsia"/>
          <w:color w:val="auto"/>
          <w:sz w:val="24"/>
          <w:szCs w:val="24"/>
          <w:highlight w:val="none"/>
          <w:lang w:eastAsia="zh-CN"/>
        </w:rPr>
        <w:t>评标办法</w:t>
      </w:r>
      <w:r>
        <w:rPr>
          <w:rFonts w:hint="eastAsia" w:asciiTheme="minorEastAsia" w:hAnsiTheme="minorEastAsia" w:eastAsiaTheme="minorEastAsia" w:cstheme="minorEastAsia"/>
          <w:color w:val="auto"/>
          <w:sz w:val="24"/>
          <w:szCs w:val="24"/>
          <w:highlight w:val="none"/>
        </w:rPr>
        <w:t>前附表</w:t>
      </w:r>
      <w:r>
        <w:rPr>
          <w:rFonts w:hint="eastAsia" w:asciiTheme="minorEastAsia" w:hAnsiTheme="minorEastAsia" w:eastAsiaTheme="minorEastAsia" w:cstheme="minorEastAsia"/>
          <w:color w:val="auto"/>
          <w:sz w:val="24"/>
          <w:szCs w:val="24"/>
          <w:highlight w:val="none"/>
          <w:lang w:eastAsia="zh-CN"/>
        </w:rPr>
        <w:t>。</w:t>
      </w:r>
    </w:p>
    <w:p w14:paraId="5890FEC5">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jc w:val="center"/>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3.评标程序</w:t>
      </w:r>
    </w:p>
    <w:p w14:paraId="07F011FD">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3.1初步评审</w:t>
      </w:r>
    </w:p>
    <w:p w14:paraId="71C6E7F8">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3.1.1评标委员会依据本章第2.1.1项、第2.1.2项规定的标准对投标文件进行初步评审。有一项不符合评审标准的，该投标文件按无效投标处理。</w:t>
      </w:r>
    </w:p>
    <w:p w14:paraId="4BBB351A">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3.1.2投标文件如果出现计算或表达上的错误，修正错误的原则如下：</w:t>
      </w:r>
    </w:p>
    <w:p w14:paraId="64003D71">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1）开标时，投标文件中开标一览表内容与投标文件中明细表内容不一致的，以开标一览表为准。</w:t>
      </w:r>
    </w:p>
    <w:p w14:paraId="559A36B1">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2）投标文件的大写金额和小写金额不一致的，以大写金额为准；</w:t>
      </w:r>
    </w:p>
    <w:p w14:paraId="037BFE34">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3）总价金额与按单</w:t>
      </w:r>
      <w:r>
        <w:rPr>
          <w:rFonts w:hint="eastAsia" w:asciiTheme="minorEastAsia" w:hAnsiTheme="minorEastAsia" w:eastAsiaTheme="minorEastAsia" w:cstheme="minorEastAsia"/>
          <w:color w:val="auto"/>
          <w:sz w:val="24"/>
          <w:szCs w:val="24"/>
          <w:highlight w:val="none"/>
          <w:lang w:val="en-US" w:eastAsia="zh-CN"/>
        </w:rPr>
        <w:t>项</w:t>
      </w:r>
      <w:r>
        <w:rPr>
          <w:rFonts w:hint="eastAsia" w:asciiTheme="minorEastAsia" w:hAnsiTheme="minorEastAsia" w:eastAsiaTheme="minorEastAsia" w:cstheme="minorEastAsia"/>
          <w:color w:val="auto"/>
          <w:sz w:val="24"/>
          <w:szCs w:val="24"/>
          <w:highlight w:val="none"/>
        </w:rPr>
        <w:t>汇总金额不一致的，以单</w:t>
      </w:r>
      <w:r>
        <w:rPr>
          <w:rFonts w:hint="eastAsia" w:asciiTheme="minorEastAsia" w:hAnsiTheme="minorEastAsia" w:eastAsiaTheme="minorEastAsia" w:cstheme="minorEastAsia"/>
          <w:color w:val="auto"/>
          <w:sz w:val="24"/>
          <w:szCs w:val="24"/>
          <w:highlight w:val="none"/>
          <w:lang w:val="en-US" w:eastAsia="zh-CN"/>
        </w:rPr>
        <w:t>项</w:t>
      </w:r>
      <w:r>
        <w:rPr>
          <w:rFonts w:hint="eastAsia" w:asciiTheme="minorEastAsia" w:hAnsiTheme="minorEastAsia" w:eastAsiaTheme="minorEastAsia" w:cstheme="minorEastAsia"/>
          <w:color w:val="auto"/>
          <w:sz w:val="24"/>
          <w:szCs w:val="24"/>
          <w:highlight w:val="none"/>
        </w:rPr>
        <w:t>金额计算结果为准；</w:t>
      </w:r>
    </w:p>
    <w:p w14:paraId="10744449">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4）单</w:t>
      </w:r>
      <w:r>
        <w:rPr>
          <w:rFonts w:hint="eastAsia" w:asciiTheme="minorEastAsia" w:hAnsiTheme="minorEastAsia" w:eastAsiaTheme="minorEastAsia" w:cstheme="minorEastAsia"/>
          <w:color w:val="auto"/>
          <w:sz w:val="24"/>
          <w:szCs w:val="24"/>
          <w:highlight w:val="none"/>
          <w:lang w:val="en-US" w:eastAsia="zh-CN"/>
        </w:rPr>
        <w:t>项</w:t>
      </w:r>
      <w:r>
        <w:rPr>
          <w:rFonts w:hint="eastAsia" w:asciiTheme="minorEastAsia" w:hAnsiTheme="minorEastAsia" w:eastAsiaTheme="minorEastAsia" w:cstheme="minorEastAsia"/>
          <w:color w:val="auto"/>
          <w:sz w:val="24"/>
          <w:szCs w:val="24"/>
          <w:highlight w:val="none"/>
        </w:rPr>
        <w:t>金额小数点有明显错位的，应以总价为准，并修改单</w:t>
      </w:r>
      <w:r>
        <w:rPr>
          <w:rFonts w:hint="eastAsia" w:asciiTheme="minorEastAsia" w:hAnsiTheme="minorEastAsia" w:eastAsiaTheme="minorEastAsia" w:cstheme="minorEastAsia"/>
          <w:color w:val="auto"/>
          <w:sz w:val="24"/>
          <w:szCs w:val="24"/>
          <w:highlight w:val="none"/>
          <w:lang w:val="en-US" w:eastAsia="zh-CN"/>
        </w:rPr>
        <w:t>项价格</w:t>
      </w:r>
      <w:r>
        <w:rPr>
          <w:rFonts w:hint="eastAsia" w:asciiTheme="minorEastAsia" w:hAnsiTheme="minorEastAsia" w:eastAsiaTheme="minorEastAsia" w:cstheme="minorEastAsia"/>
          <w:color w:val="auto"/>
          <w:sz w:val="24"/>
          <w:szCs w:val="24"/>
          <w:highlight w:val="none"/>
        </w:rPr>
        <w:t>；</w:t>
      </w:r>
    </w:p>
    <w:p w14:paraId="32BE651B">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5）对不同文字文本投标文件的解释发生异议的，以中文文本为准。</w:t>
      </w:r>
    </w:p>
    <w:p w14:paraId="28D9D411">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6）按上述修正错误的原则及方法调整或修正投标文件的投标报价，</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同意后，调整后的投标报价对</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起约束作用。如果</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不接受修正后的报价，视为未实质性响应</w:t>
      </w:r>
      <w:r>
        <w:rPr>
          <w:rFonts w:hint="eastAsia" w:asciiTheme="minorEastAsia" w:hAnsiTheme="minorEastAsia" w:eastAsiaTheme="minorEastAsia" w:cstheme="minorEastAsia"/>
          <w:color w:val="auto"/>
          <w:sz w:val="24"/>
          <w:szCs w:val="24"/>
          <w:highlight w:val="none"/>
          <w:lang w:eastAsia="zh-CN"/>
        </w:rPr>
        <w:t>采购文件</w:t>
      </w:r>
      <w:r>
        <w:rPr>
          <w:rFonts w:hint="eastAsia" w:asciiTheme="minorEastAsia" w:hAnsiTheme="minorEastAsia" w:eastAsiaTheme="minorEastAsia" w:cstheme="minorEastAsia"/>
          <w:color w:val="auto"/>
          <w:sz w:val="24"/>
          <w:szCs w:val="24"/>
          <w:highlight w:val="none"/>
        </w:rPr>
        <w:t>要求。</w:t>
      </w:r>
    </w:p>
    <w:p w14:paraId="66D7CC6B">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3.2详细评审</w:t>
      </w:r>
    </w:p>
    <w:p w14:paraId="62EE5A7F">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3.2.1评标委员会按本章第2款规定的量化因素和分值进行打分，并计算出</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的评标总得分。对</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的客观评分项的评分应当一致，对其他需要借助专业知识评判的主观评分项，应当严格按照评分细则公正评分。</w:t>
      </w:r>
    </w:p>
    <w:p w14:paraId="42534668">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3.2.2</w:t>
      </w:r>
      <w:r>
        <w:rPr>
          <w:rFonts w:hint="eastAsia" w:asciiTheme="minorEastAsia" w:hAnsiTheme="minorEastAsia" w:eastAsiaTheme="minorEastAsia" w:cstheme="minorEastAsia"/>
          <w:color w:val="auto"/>
          <w:sz w:val="24"/>
          <w:szCs w:val="24"/>
          <w:highlight w:val="none"/>
          <w:lang w:val="en-US" w:eastAsia="zh-CN"/>
        </w:rPr>
        <w:t>详细评审部分</w:t>
      </w:r>
      <w:r>
        <w:rPr>
          <w:rFonts w:hint="eastAsia" w:asciiTheme="minorEastAsia" w:hAnsiTheme="minorEastAsia" w:eastAsiaTheme="minorEastAsia" w:cstheme="minorEastAsia"/>
          <w:color w:val="auto"/>
          <w:sz w:val="24"/>
          <w:szCs w:val="24"/>
          <w:highlight w:val="none"/>
        </w:rPr>
        <w:t>得分由评标委员会成员独立评分，</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各项评分因素得分为该项因素各评委评分的算术平均值（保留小数点后两位），小数点后第三位“四舍五入”。</w:t>
      </w:r>
    </w:p>
    <w:p w14:paraId="01C36448">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3.2.3评标委员会成员要依法独立评审，并对评审意见承担个人责任。评标委员会成员对需要共同认定的事项存在争议的，按照少数服从多数的原则做出结论。持不同意见的评标委员会成员应当在评标报告上签署不同意见并说明理由，否则视为同意。</w:t>
      </w:r>
    </w:p>
    <w:p w14:paraId="3FCF07CB">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3.3投标文件的澄清</w:t>
      </w:r>
      <w:r>
        <w:rPr>
          <w:rFonts w:hint="eastAsia" w:asciiTheme="minorEastAsia" w:hAnsiTheme="minorEastAsia" w:eastAsiaTheme="minorEastAsia" w:cstheme="minorEastAsia"/>
          <w:color w:val="auto"/>
          <w:sz w:val="24"/>
          <w:szCs w:val="24"/>
          <w:highlight w:val="none"/>
        </w:rPr>
        <w:t xml:space="preserve"> </w:t>
      </w:r>
    </w:p>
    <w:p w14:paraId="0B95B256">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3.3.1评标委员会可以要求</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对投标文件中含义不明确的内容作必要的澄清或者说明，但是澄清或者说明不得超出投标文件的范围或者改变投标文件的实质性内容。评标委员会不得暗示或者诱导</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作出澄清、说明，不得接受</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主动提出的澄清、说明。</w:t>
      </w:r>
    </w:p>
    <w:p w14:paraId="17CD91EE">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3.3.2</w:t>
      </w:r>
      <w:bookmarkStart w:id="76" w:name="_Toc297531588"/>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电子招标投标办法</w:t>
      </w:r>
      <w:bookmarkEnd w:id="76"/>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八部委20号令</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规定，</w:t>
      </w:r>
      <w:r>
        <w:rPr>
          <w:rFonts w:hint="eastAsia" w:asciiTheme="minorEastAsia" w:hAnsiTheme="minorEastAsia" w:eastAsiaTheme="minorEastAsia" w:cstheme="minorEastAsia"/>
          <w:color w:val="auto"/>
          <w:sz w:val="24"/>
          <w:szCs w:val="24"/>
          <w:highlight w:val="none"/>
        </w:rPr>
        <w:t>评标中需要</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对投标文件澄清或者说明的，</w:t>
      </w:r>
      <w:r>
        <w:rPr>
          <w:rFonts w:hint="eastAsia" w:asciiTheme="minorEastAsia" w:hAnsiTheme="minorEastAsia" w:eastAsiaTheme="minorEastAsia" w:cstheme="minorEastAsia"/>
          <w:color w:val="auto"/>
          <w:sz w:val="24"/>
          <w:szCs w:val="24"/>
          <w:highlight w:val="none"/>
          <w:lang w:eastAsia="zh-CN"/>
        </w:rPr>
        <w:t>采购人</w:t>
      </w:r>
      <w:r>
        <w:rPr>
          <w:rFonts w:hint="eastAsia" w:asciiTheme="minorEastAsia" w:hAnsiTheme="minorEastAsia" w:eastAsiaTheme="minorEastAsia" w:cstheme="minorEastAsia"/>
          <w:color w:val="auto"/>
          <w:sz w:val="24"/>
          <w:szCs w:val="24"/>
          <w:highlight w:val="none"/>
        </w:rPr>
        <w:t>和</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应当通过电子招标投标交易平台交换数据电文。</w:t>
      </w:r>
    </w:p>
    <w:p w14:paraId="60C4F909">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3.4评标结果</w:t>
      </w:r>
    </w:p>
    <w:p w14:paraId="5B84F575">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3.4.1评标委员会按最终得分由高到低顺序推荐中标候选人，并提出书面评标报告。</w:t>
      </w:r>
    </w:p>
    <w:p w14:paraId="6D9BED78">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3.4.2</w:t>
      </w:r>
      <w:r>
        <w:rPr>
          <w:rFonts w:hint="eastAsia" w:asciiTheme="minorEastAsia" w:hAnsiTheme="minorEastAsia" w:eastAsiaTheme="minorEastAsia" w:cstheme="minorEastAsia"/>
          <w:color w:val="auto"/>
          <w:sz w:val="24"/>
          <w:szCs w:val="24"/>
          <w:highlight w:val="none"/>
          <w:lang w:val="en-US" w:eastAsia="zh-CN"/>
        </w:rPr>
        <w:t>采购人</w:t>
      </w:r>
      <w:r>
        <w:rPr>
          <w:rFonts w:hint="eastAsia" w:asciiTheme="minorEastAsia" w:hAnsiTheme="minorEastAsia" w:eastAsiaTheme="minorEastAsia" w:cstheme="minorEastAsia"/>
          <w:color w:val="auto"/>
          <w:sz w:val="24"/>
          <w:szCs w:val="24"/>
          <w:highlight w:val="none"/>
        </w:rPr>
        <w:t>根据评标委员会提出的书面评标报告和推荐的中标候选人名单，确定中标人。</w:t>
      </w:r>
    </w:p>
    <w:p w14:paraId="59F52CB5">
      <w:pPr>
        <w:keepNext w:val="0"/>
        <w:keepLines w:val="0"/>
        <w:pageBreakBefore w:val="0"/>
        <w:widowControl w:val="0"/>
        <w:shd w:val="clear" w:color="auto" w:fill="auto"/>
        <w:kinsoku w:val="0"/>
        <w:wordWrap w:val="0"/>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3.4.3评审委员会发现采购文件存在歧义、重大缺陷导致评审工作无法进行，或者采购文件内容违反国家有关规定的，要停止评审工作并向</w:t>
      </w:r>
      <w:r>
        <w:rPr>
          <w:rFonts w:hint="eastAsia" w:asciiTheme="minorEastAsia" w:hAnsiTheme="minorEastAsia" w:eastAsiaTheme="minorEastAsia" w:cstheme="minorEastAsia"/>
          <w:color w:val="auto"/>
          <w:sz w:val="24"/>
          <w:szCs w:val="24"/>
          <w:highlight w:val="none"/>
          <w:lang w:val="en-US" w:eastAsia="zh-CN"/>
        </w:rPr>
        <w:t>采购人</w:t>
      </w:r>
      <w:r>
        <w:rPr>
          <w:rFonts w:hint="eastAsia" w:asciiTheme="minorEastAsia" w:hAnsiTheme="minorEastAsia" w:eastAsiaTheme="minorEastAsia" w:cstheme="minorEastAsia"/>
          <w:color w:val="auto"/>
          <w:sz w:val="24"/>
          <w:szCs w:val="24"/>
          <w:highlight w:val="none"/>
        </w:rPr>
        <w:t>或</w:t>
      </w:r>
      <w:r>
        <w:rPr>
          <w:rFonts w:hint="eastAsia" w:asciiTheme="minorEastAsia" w:hAnsiTheme="minorEastAsia" w:eastAsiaTheme="minorEastAsia" w:cstheme="minorEastAsia"/>
          <w:color w:val="auto"/>
          <w:sz w:val="24"/>
          <w:szCs w:val="24"/>
          <w:highlight w:val="none"/>
          <w:lang w:eastAsia="zh-CN"/>
        </w:rPr>
        <w:t>代理机构</w:t>
      </w:r>
      <w:r>
        <w:rPr>
          <w:rFonts w:hint="eastAsia" w:asciiTheme="minorEastAsia" w:hAnsiTheme="minorEastAsia" w:eastAsiaTheme="minorEastAsia" w:cstheme="minorEastAsia"/>
          <w:color w:val="auto"/>
          <w:sz w:val="24"/>
          <w:szCs w:val="24"/>
          <w:highlight w:val="none"/>
        </w:rPr>
        <w:t>书面说明情况，</w:t>
      </w:r>
      <w:r>
        <w:rPr>
          <w:rFonts w:hint="eastAsia" w:asciiTheme="minorEastAsia" w:hAnsiTheme="minorEastAsia" w:eastAsiaTheme="minorEastAsia" w:cstheme="minorEastAsia"/>
          <w:color w:val="auto"/>
          <w:sz w:val="24"/>
          <w:szCs w:val="24"/>
          <w:highlight w:val="none"/>
          <w:lang w:val="en-US" w:eastAsia="zh-CN"/>
        </w:rPr>
        <w:t>采购人</w:t>
      </w:r>
      <w:r>
        <w:rPr>
          <w:rFonts w:hint="eastAsia" w:asciiTheme="minorEastAsia" w:hAnsiTheme="minorEastAsia" w:eastAsiaTheme="minorEastAsia" w:cstheme="minorEastAsia"/>
          <w:color w:val="auto"/>
          <w:sz w:val="24"/>
          <w:szCs w:val="24"/>
          <w:highlight w:val="none"/>
        </w:rPr>
        <w:t>或</w:t>
      </w:r>
      <w:r>
        <w:rPr>
          <w:rFonts w:hint="eastAsia" w:asciiTheme="minorEastAsia" w:hAnsiTheme="minorEastAsia" w:eastAsiaTheme="minorEastAsia" w:cstheme="minorEastAsia"/>
          <w:color w:val="auto"/>
          <w:sz w:val="24"/>
          <w:szCs w:val="24"/>
          <w:highlight w:val="none"/>
          <w:lang w:eastAsia="zh-CN"/>
        </w:rPr>
        <w:t>代理机构</w:t>
      </w:r>
      <w:r>
        <w:rPr>
          <w:rFonts w:hint="eastAsia" w:asciiTheme="minorEastAsia" w:hAnsiTheme="minorEastAsia" w:eastAsiaTheme="minorEastAsia" w:cstheme="minorEastAsia"/>
          <w:color w:val="auto"/>
          <w:sz w:val="24"/>
          <w:szCs w:val="24"/>
          <w:highlight w:val="none"/>
        </w:rPr>
        <w:t>应当修改采购文件后重新组织采购活动；发现</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提供虚假材料、串通等违法违规行为的，要及时向</w:t>
      </w:r>
      <w:r>
        <w:rPr>
          <w:rFonts w:hint="eastAsia" w:asciiTheme="minorEastAsia" w:hAnsiTheme="minorEastAsia" w:eastAsiaTheme="minorEastAsia" w:cstheme="minorEastAsia"/>
          <w:color w:val="auto"/>
          <w:sz w:val="24"/>
          <w:szCs w:val="24"/>
          <w:highlight w:val="none"/>
          <w:lang w:val="en-US" w:eastAsia="zh-CN"/>
        </w:rPr>
        <w:t>采购人</w:t>
      </w:r>
      <w:r>
        <w:rPr>
          <w:rFonts w:hint="eastAsia" w:asciiTheme="minorEastAsia" w:hAnsiTheme="minorEastAsia" w:eastAsiaTheme="minorEastAsia" w:cstheme="minorEastAsia"/>
          <w:color w:val="auto"/>
          <w:sz w:val="24"/>
          <w:szCs w:val="24"/>
          <w:highlight w:val="none"/>
        </w:rPr>
        <w:t>或</w:t>
      </w:r>
      <w:r>
        <w:rPr>
          <w:rFonts w:hint="eastAsia" w:asciiTheme="minorEastAsia" w:hAnsiTheme="minorEastAsia" w:eastAsiaTheme="minorEastAsia" w:cstheme="minorEastAsia"/>
          <w:color w:val="auto"/>
          <w:sz w:val="24"/>
          <w:szCs w:val="24"/>
          <w:highlight w:val="none"/>
          <w:lang w:eastAsia="zh-CN"/>
        </w:rPr>
        <w:t>代理机构</w:t>
      </w:r>
      <w:r>
        <w:rPr>
          <w:rFonts w:hint="eastAsia" w:asciiTheme="minorEastAsia" w:hAnsiTheme="minorEastAsia" w:eastAsiaTheme="minorEastAsia" w:cstheme="minorEastAsia"/>
          <w:color w:val="auto"/>
          <w:sz w:val="24"/>
          <w:szCs w:val="24"/>
          <w:highlight w:val="none"/>
        </w:rPr>
        <w:t>报告。</w:t>
      </w:r>
      <w:bookmarkEnd w:id="70"/>
      <w:bookmarkEnd w:id="71"/>
      <w:bookmarkEnd w:id="72"/>
      <w:bookmarkEnd w:id="73"/>
      <w:bookmarkEnd w:id="74"/>
      <w:bookmarkEnd w:id="75"/>
    </w:p>
    <w:p w14:paraId="285AE249">
      <w:pPr>
        <w:pStyle w:val="2"/>
        <w:keepNext w:val="0"/>
        <w:keepLines w:val="0"/>
        <w:pageBreakBefore w:val="0"/>
        <w:widowControl w:val="0"/>
        <w:shd w:val="clear" w:color="auto" w:fill="auto"/>
        <w:tabs>
          <w:tab w:val="left" w:pos="432"/>
        </w:tabs>
        <w:kinsoku w:val="0"/>
        <w:wordWrap w:val="0"/>
        <w:overflowPunct/>
        <w:topLinePunct w:val="0"/>
        <w:autoSpaceDE/>
        <w:autoSpaceDN/>
        <w:bidi w:val="0"/>
        <w:adjustRightInd/>
        <w:snapToGrid/>
        <w:spacing w:line="520" w:lineRule="exact"/>
        <w:textAlignment w:val="auto"/>
        <w:rPr>
          <w:rFonts w:hint="eastAsia" w:asciiTheme="minorEastAsia" w:hAnsiTheme="minorEastAsia" w:eastAsiaTheme="minorEastAsia" w:cstheme="minorEastAsia"/>
          <w:b/>
          <w:color w:val="auto"/>
          <w:sz w:val="24"/>
          <w:szCs w:val="24"/>
          <w:highlight w:val="none"/>
        </w:rPr>
        <w:sectPr>
          <w:footerReference r:id="rId10" w:type="default"/>
          <w:pgSz w:w="11906" w:h="16838"/>
          <w:pgMar w:top="1304" w:right="1304" w:bottom="1304" w:left="1304" w:header="850" w:footer="992" w:gutter="0"/>
          <w:pgNumType w:fmt="decimal" w:start="1"/>
          <w:cols w:space="0" w:num="1"/>
          <w:rtlGutter w:val="0"/>
          <w:docGrid w:type="lines" w:linePitch="314" w:charSpace="0"/>
        </w:sectPr>
      </w:pPr>
    </w:p>
    <w:bookmarkEnd w:id="29"/>
    <w:bookmarkEnd w:id="30"/>
    <w:p w14:paraId="5631B388">
      <w:pPr>
        <w:pStyle w:val="2"/>
        <w:keepNext w:val="0"/>
        <w:keepLines w:val="0"/>
        <w:pageBreakBefore w:val="0"/>
        <w:widowControl w:val="0"/>
        <w:shd w:val="clear" w:color="auto" w:fill="auto"/>
        <w:tabs>
          <w:tab w:val="left" w:pos="360"/>
        </w:tabs>
        <w:kinsoku w:val="0"/>
        <w:wordWrap w:val="0"/>
        <w:bidi w:val="0"/>
        <w:ind w:left="0" w:firstLine="2891" w:firstLineChars="900"/>
        <w:jc w:val="both"/>
        <w:textAlignment w:val="auto"/>
        <w:rPr>
          <w:rFonts w:hint="eastAsia" w:asciiTheme="minorEastAsia" w:hAnsiTheme="minorEastAsia" w:eastAsiaTheme="minorEastAsia" w:cstheme="minorEastAsia"/>
          <w:color w:val="auto"/>
          <w:sz w:val="36"/>
          <w:szCs w:val="36"/>
          <w:highlight w:val="none"/>
          <w:lang w:eastAsia="zh-CN"/>
        </w:rPr>
      </w:pPr>
      <w:bookmarkStart w:id="77" w:name="_Toc31662"/>
      <w:bookmarkStart w:id="78" w:name="_Toc8493"/>
      <w:r>
        <w:rPr>
          <w:rFonts w:hint="eastAsia" w:asciiTheme="minorEastAsia" w:hAnsiTheme="minorEastAsia" w:eastAsiaTheme="minorEastAsia" w:cstheme="minorEastAsia"/>
          <w:color w:val="auto"/>
          <w:sz w:val="32"/>
          <w:szCs w:val="32"/>
          <w:highlight w:val="none"/>
        </w:rPr>
        <w:fldChar w:fldCharType="begin"/>
      </w:r>
      <w:r>
        <w:rPr>
          <w:rFonts w:hint="eastAsia" w:asciiTheme="minorEastAsia" w:hAnsiTheme="minorEastAsia" w:eastAsiaTheme="minorEastAsia" w:cstheme="minorEastAsia"/>
          <w:color w:val="auto"/>
          <w:sz w:val="32"/>
          <w:szCs w:val="32"/>
          <w:highlight w:val="none"/>
        </w:rPr>
        <w:instrText xml:space="preserve"> HYPERLINK \l _Toc26756 </w:instrText>
      </w:r>
      <w:r>
        <w:rPr>
          <w:rFonts w:hint="eastAsia" w:asciiTheme="minorEastAsia" w:hAnsiTheme="minorEastAsia" w:eastAsiaTheme="minorEastAsia" w:cstheme="minorEastAsia"/>
          <w:color w:val="auto"/>
          <w:sz w:val="32"/>
          <w:szCs w:val="32"/>
          <w:highlight w:val="none"/>
        </w:rPr>
        <w:fldChar w:fldCharType="separate"/>
      </w:r>
      <w:r>
        <w:rPr>
          <w:rFonts w:hint="eastAsia" w:asciiTheme="minorEastAsia" w:hAnsiTheme="minorEastAsia" w:eastAsiaTheme="minorEastAsia" w:cstheme="minorEastAsia"/>
          <w:color w:val="auto"/>
          <w:sz w:val="32"/>
          <w:szCs w:val="32"/>
          <w:highlight w:val="none"/>
        </w:rPr>
        <w:t>第四章 采购需求</w:t>
      </w:r>
      <w:r>
        <w:rPr>
          <w:rFonts w:hint="eastAsia" w:asciiTheme="minorEastAsia" w:hAnsiTheme="minorEastAsia" w:eastAsiaTheme="minorEastAsia" w:cstheme="minorEastAsia"/>
          <w:color w:val="auto"/>
          <w:sz w:val="32"/>
          <w:szCs w:val="32"/>
          <w:highlight w:val="none"/>
        </w:rPr>
        <w:fldChar w:fldCharType="end"/>
      </w:r>
      <w:bookmarkEnd w:id="77"/>
    </w:p>
    <w:bookmarkEnd w:id="78"/>
    <w:p w14:paraId="78825751">
      <w:pPr>
        <w:keepNext w:val="0"/>
        <w:keepLines w:val="0"/>
        <w:pageBreakBefore w:val="0"/>
        <w:widowControl w:val="0"/>
        <w:shd w:val="clear" w:color="auto" w:fill="auto"/>
        <w:kinsoku w:val="0"/>
        <w:wordWrap w:val="0"/>
        <w:bidi w:val="0"/>
        <w:spacing w:line="520" w:lineRule="exact"/>
        <w:ind w:firstLine="241" w:firstLineChars="100"/>
        <w:textAlignment w:val="auto"/>
        <w:rPr>
          <w:rFonts w:hint="eastAsia" w:asciiTheme="minorEastAsia" w:hAnsiTheme="minorEastAsia" w:eastAsiaTheme="minorEastAsia" w:cstheme="minorEastAsia"/>
          <w:b/>
          <w:bCs/>
          <w:color w:val="auto"/>
          <w:sz w:val="24"/>
          <w:szCs w:val="24"/>
          <w:highlight w:val="none"/>
        </w:rPr>
      </w:pPr>
      <w:bookmarkStart w:id="79" w:name="_Toc11189"/>
      <w:r>
        <w:rPr>
          <w:rFonts w:hint="eastAsia" w:asciiTheme="minorEastAsia" w:hAnsiTheme="minorEastAsia" w:eastAsiaTheme="minorEastAsia" w:cstheme="minorEastAsia"/>
          <w:b/>
          <w:bCs/>
          <w:color w:val="auto"/>
          <w:sz w:val="24"/>
          <w:szCs w:val="24"/>
          <w:highlight w:val="none"/>
        </w:rPr>
        <w:t>（一）采购标的需实现的功能或者目标，以及为落实政府采购政策需满足的要求:</w:t>
      </w:r>
    </w:p>
    <w:p w14:paraId="7F8D5DDF">
      <w:pPr>
        <w:pStyle w:val="9"/>
        <w:keepNext w:val="0"/>
        <w:keepLines w:val="0"/>
        <w:pageBreakBefore w:val="0"/>
        <w:widowControl w:val="0"/>
        <w:shd w:val="clear" w:color="auto" w:fill="auto"/>
        <w:kinsoku w:val="0"/>
        <w:wordWrap w:val="0"/>
        <w:bidi w:val="0"/>
        <w:spacing w:after="0"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1.采购标的需实现目标</w:t>
      </w:r>
    </w:p>
    <w:p w14:paraId="22046DA8">
      <w:pPr>
        <w:pStyle w:val="9"/>
        <w:keepNext w:val="0"/>
        <w:keepLines w:val="0"/>
        <w:pageBreakBefore w:val="0"/>
        <w:widowControl w:val="0"/>
        <w:shd w:val="clear" w:color="auto" w:fill="auto"/>
        <w:kinsoku w:val="0"/>
        <w:wordWrap w:val="0"/>
        <w:bidi w:val="0"/>
        <w:spacing w:after="0"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为满足学校教育教学需求，保障教育教学工作顺利开展，采购人通过公开招标方式选择本项目的供应商</w:t>
      </w:r>
      <w:r>
        <w:rPr>
          <w:rFonts w:hint="eastAsia" w:asciiTheme="minorEastAsia" w:hAnsiTheme="minorEastAsia" w:eastAsiaTheme="minorEastAsia" w:cstheme="minorEastAsia"/>
          <w:color w:val="auto"/>
          <w:sz w:val="24"/>
          <w:szCs w:val="24"/>
          <w:highlight w:val="none"/>
        </w:rPr>
        <w:t>。</w:t>
      </w:r>
    </w:p>
    <w:p w14:paraId="2E3CA922">
      <w:pPr>
        <w:pStyle w:val="9"/>
        <w:keepNext w:val="0"/>
        <w:keepLines w:val="0"/>
        <w:pageBreakBefore w:val="0"/>
        <w:widowControl w:val="0"/>
        <w:shd w:val="clear" w:color="auto" w:fill="auto"/>
        <w:kinsoku w:val="0"/>
        <w:wordWrap w:val="0"/>
        <w:bidi w:val="0"/>
        <w:spacing w:after="0"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2.为落实政府采购政策需满足的要求</w:t>
      </w:r>
    </w:p>
    <w:p w14:paraId="591F85FC">
      <w:pPr>
        <w:pStyle w:val="9"/>
        <w:keepNext w:val="0"/>
        <w:keepLines w:val="0"/>
        <w:pageBreakBefore w:val="0"/>
        <w:widowControl w:val="0"/>
        <w:shd w:val="clear" w:color="auto" w:fill="auto"/>
        <w:kinsoku w:val="0"/>
        <w:wordWrap w:val="0"/>
        <w:bidi w:val="0"/>
        <w:spacing w:after="0" w:line="520" w:lineRule="exact"/>
        <w:ind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lang w:eastAsia="zh-CN"/>
        </w:rPr>
        <w:t>）满足《中华人民共和国政府采购法》第二十二条规定；</w:t>
      </w:r>
    </w:p>
    <w:p w14:paraId="40FA4BF8">
      <w:pPr>
        <w:pStyle w:val="9"/>
        <w:keepNext w:val="0"/>
        <w:keepLines w:val="0"/>
        <w:pageBreakBefore w:val="0"/>
        <w:widowControl w:val="0"/>
        <w:shd w:val="clear" w:color="auto" w:fill="auto"/>
        <w:kinsoku w:val="0"/>
        <w:wordWrap w:val="0"/>
        <w:bidi w:val="0"/>
        <w:spacing w:after="0" w:line="520" w:lineRule="exact"/>
        <w:ind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lang w:eastAsia="zh-CN"/>
        </w:rPr>
        <w:t>）落实政府采购政策需满足的资格要求：</w:t>
      </w:r>
    </w:p>
    <w:p w14:paraId="03040B2C">
      <w:pPr>
        <w:pStyle w:val="9"/>
        <w:keepNext w:val="0"/>
        <w:keepLines w:val="0"/>
        <w:pageBreakBefore w:val="0"/>
        <w:widowControl w:val="0"/>
        <w:shd w:val="clear" w:color="auto" w:fill="auto"/>
        <w:kinsoku w:val="0"/>
        <w:wordWrap w:val="0"/>
        <w:bidi w:val="0"/>
        <w:spacing w:after="0" w:line="520" w:lineRule="exact"/>
        <w:ind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1）符合《中华人民共和国政府采购法》《中华人民共和国政府采购法实施条例》等有关法律、法规规定。</w:t>
      </w:r>
    </w:p>
    <w:p w14:paraId="46405C10">
      <w:pPr>
        <w:pStyle w:val="9"/>
        <w:keepNext w:val="0"/>
        <w:keepLines w:val="0"/>
        <w:pageBreakBefore w:val="0"/>
        <w:widowControl w:val="0"/>
        <w:shd w:val="clear" w:color="auto" w:fill="auto"/>
        <w:kinsoku w:val="0"/>
        <w:wordWrap w:val="0"/>
        <w:bidi w:val="0"/>
        <w:spacing w:after="0" w:line="520" w:lineRule="exact"/>
        <w:ind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根据《财政部﹤关于调整优化节能产品、环境标志产品政府采购执行机制的通知﹥》（财库〔2019〕9号）要求，对政府采购节能产品、环境标志产品实施品目清单管理，产品属于品目清单范围的，依据品目清单和认证证书实施政府优先采购和强制采购。</w:t>
      </w:r>
    </w:p>
    <w:p w14:paraId="752E2C40">
      <w:pPr>
        <w:pStyle w:val="9"/>
        <w:keepNext w:val="0"/>
        <w:keepLines w:val="0"/>
        <w:pageBreakBefore w:val="0"/>
        <w:widowControl w:val="0"/>
        <w:shd w:val="clear" w:color="auto" w:fill="auto"/>
        <w:kinsoku w:val="0"/>
        <w:wordWrap w:val="0"/>
        <w:bidi w:val="0"/>
        <w:spacing w:after="0" w:line="520" w:lineRule="exact"/>
        <w:ind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lang w:eastAsia="zh-CN"/>
        </w:rPr>
        <w:t>）本项目不属于专门面向中小企业采购的项目。</w:t>
      </w:r>
    </w:p>
    <w:p w14:paraId="43F3F054">
      <w:pPr>
        <w:pStyle w:val="9"/>
        <w:keepNext w:val="0"/>
        <w:keepLines w:val="0"/>
        <w:pageBreakBefore w:val="0"/>
        <w:widowControl w:val="0"/>
        <w:shd w:val="clear" w:color="auto" w:fill="auto"/>
        <w:kinsoku w:val="0"/>
        <w:wordWrap w:val="0"/>
        <w:bidi w:val="0"/>
        <w:spacing w:after="0" w:line="520" w:lineRule="exact"/>
        <w:ind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lang w:eastAsia="zh-CN"/>
        </w:rPr>
        <w:t>）本项目采购标的对应的中小企业划分标准所属行业为：</w:t>
      </w:r>
      <w:r>
        <w:rPr>
          <w:rFonts w:hint="eastAsia" w:asciiTheme="minorEastAsia" w:hAnsiTheme="minorEastAsia" w:eastAsiaTheme="minorEastAsia" w:cstheme="minorEastAsia"/>
          <w:color w:val="auto"/>
          <w:sz w:val="24"/>
          <w:szCs w:val="24"/>
          <w:highlight w:val="none"/>
          <w:lang w:val="en-US" w:eastAsia="zh-CN"/>
        </w:rPr>
        <w:t>工业</w:t>
      </w:r>
      <w:r>
        <w:rPr>
          <w:rFonts w:hint="eastAsia" w:asciiTheme="minorEastAsia" w:hAnsiTheme="minorEastAsia" w:eastAsiaTheme="minorEastAsia" w:cstheme="minorEastAsia"/>
          <w:color w:val="auto"/>
          <w:sz w:val="24"/>
          <w:szCs w:val="24"/>
          <w:highlight w:val="none"/>
          <w:lang w:eastAsia="zh-CN"/>
        </w:rPr>
        <w:t>。</w:t>
      </w:r>
    </w:p>
    <w:p w14:paraId="3260B666">
      <w:pPr>
        <w:pStyle w:val="9"/>
        <w:keepNext w:val="0"/>
        <w:keepLines w:val="0"/>
        <w:pageBreakBefore w:val="0"/>
        <w:widowControl w:val="0"/>
        <w:shd w:val="clear" w:color="auto" w:fill="auto"/>
        <w:kinsoku w:val="0"/>
        <w:wordWrap w:val="0"/>
        <w:bidi w:val="0"/>
        <w:spacing w:after="0" w:line="520" w:lineRule="exact"/>
        <w:ind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lang w:eastAsia="zh-CN"/>
        </w:rPr>
        <w:t>）</w:t>
      </w:r>
      <w:r>
        <w:rPr>
          <w:rFonts w:hint="eastAsia" w:ascii="宋体" w:hAnsi="宋体" w:cs="宋体"/>
          <w:color w:val="auto"/>
          <w:sz w:val="24"/>
          <w:szCs w:val="24"/>
          <w:highlight w:val="none"/>
          <w:lang w:val="en-US" w:eastAsia="zh-CN"/>
        </w:rPr>
        <w:t>根据《关于进一步加大政府采购支持中小企业力度的通知》（财库〔2022〕19号）、《政府采购促进中小企业发展管理办法》（财库〔2020〕46号）、《关于政府采购支持监狱企业发展有关问题的通知》（财库〔2014〕68号）等规定，对小型和微型企业报价给予扣除10%的评审优惠，用扣除后的价格参与评审。监狱企业、残疾人福利性单位视同小型、微型企业，在评审时给予相同的价格扣除。监狱企业、残疾人福利性单位属于小微企业的，不重复享受价格扣除优惠政策；价格扣除比例对小型企业和微型企业同等对待，不作区分。</w:t>
      </w:r>
    </w:p>
    <w:p w14:paraId="71C0190C">
      <w:pPr>
        <w:keepNext w:val="0"/>
        <w:keepLines w:val="0"/>
        <w:pageBreakBefore w:val="0"/>
        <w:widowControl w:val="0"/>
        <w:shd w:val="clear" w:color="auto" w:fill="auto"/>
        <w:kinsoku w:val="0"/>
        <w:wordWrap w:val="0"/>
        <w:bidi w:val="0"/>
        <w:spacing w:line="520" w:lineRule="exact"/>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（二）采购标的需执行的国家相关标准、行业标准、地方标准或者其他标准、规范:</w:t>
      </w:r>
    </w:p>
    <w:p w14:paraId="68C885DE">
      <w:pPr>
        <w:keepNext w:val="0"/>
        <w:keepLines w:val="0"/>
        <w:pageBreakBefore w:val="0"/>
        <w:widowControl w:val="0"/>
        <w:shd w:val="clear" w:color="auto" w:fill="auto"/>
        <w:kinsoku w:val="0"/>
        <w:wordWrap w:val="0"/>
        <w:bidi w:val="0"/>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《中华人民共和国政府采购法》《中华人民共和国政府采购法实施条例》《政府采购货物和服务招标投标管理办法》（财政部令第87号）等法律法规规定。</w:t>
      </w:r>
    </w:p>
    <w:p w14:paraId="605D6015">
      <w:pPr>
        <w:keepNext w:val="0"/>
        <w:keepLines w:val="0"/>
        <w:pageBreakBefore w:val="0"/>
        <w:widowControl w:val="0"/>
        <w:shd w:val="clear" w:color="auto" w:fill="auto"/>
        <w:kinsoku w:val="0"/>
        <w:wordWrap w:val="0"/>
        <w:bidi w:val="0"/>
        <w:spacing w:line="520" w:lineRule="exact"/>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（三）采购标的需满足的质量、安全、技术规格、物理特性等要求:</w:t>
      </w:r>
    </w:p>
    <w:p w14:paraId="0C4CB2EF">
      <w:pPr>
        <w:keepNext w:val="0"/>
        <w:keepLines w:val="0"/>
        <w:pageBreakBefore w:val="0"/>
        <w:widowControl w:val="0"/>
        <w:shd w:val="clear" w:color="auto" w:fill="auto"/>
        <w:kinsoku w:val="0"/>
        <w:wordWrap w:val="0"/>
        <w:bidi w:val="0"/>
        <w:spacing w:line="520" w:lineRule="exact"/>
        <w:ind w:firstLine="480" w:firstLineChars="200"/>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val="en-US" w:eastAsia="zh-CN"/>
        </w:rPr>
        <w:t>质量要求：本项目采购所有设备必须为原装、全新、成套、未被淘汰的设备，保证使用方在使用过程中不受第三方提出侵犯其专利权、商标权和工业设计权的起诉。所有设备质量均须符合国家、行业相关标准以及满足采购人使用需求，并保证一次性验收合格。</w:t>
      </w:r>
    </w:p>
    <w:p w14:paraId="20270A4A">
      <w:pPr>
        <w:keepNext w:val="0"/>
        <w:keepLines w:val="0"/>
        <w:pageBreakBefore w:val="0"/>
        <w:widowControl w:val="0"/>
        <w:shd w:val="clear" w:color="auto" w:fill="auto"/>
        <w:kinsoku w:val="0"/>
        <w:wordWrap w:val="0"/>
        <w:bidi w:val="0"/>
        <w:spacing w:line="520" w:lineRule="exact"/>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（四）采购标的的数量、采购项目交付或者实施的时间和地点；</w:t>
      </w:r>
    </w:p>
    <w:p w14:paraId="4A1C147F">
      <w:pPr>
        <w:keepNext w:val="0"/>
        <w:keepLines w:val="0"/>
        <w:pageBreakBefore w:val="0"/>
        <w:widowControl w:val="0"/>
        <w:shd w:val="clear" w:color="auto" w:fill="auto"/>
        <w:kinsoku w:val="0"/>
        <w:wordWrap w:val="0"/>
        <w:bidi w:val="0"/>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1.采购标的的数量</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计划采购教育信息化及教学设备一批，具体功能、性能、配置要求、产品</w:t>
      </w:r>
      <w:r>
        <w:rPr>
          <w:rFonts w:hint="eastAsia" w:asciiTheme="minorEastAsia" w:hAnsiTheme="minorEastAsia" w:eastAsiaTheme="minorEastAsia" w:cstheme="minorEastAsia"/>
          <w:color w:val="auto"/>
          <w:sz w:val="24"/>
          <w:szCs w:val="24"/>
          <w:highlight w:val="none"/>
        </w:rPr>
        <w:t>技术</w:t>
      </w:r>
      <w:r>
        <w:rPr>
          <w:rFonts w:hint="eastAsia" w:asciiTheme="minorEastAsia" w:hAnsiTheme="minorEastAsia" w:eastAsiaTheme="minorEastAsia" w:cstheme="minorEastAsia"/>
          <w:color w:val="auto"/>
          <w:sz w:val="24"/>
          <w:szCs w:val="24"/>
          <w:highlight w:val="none"/>
          <w:lang w:val="en-US" w:eastAsia="zh-CN"/>
        </w:rPr>
        <w:t>要求详见采购文件第五章“采购清单”。</w:t>
      </w:r>
    </w:p>
    <w:p w14:paraId="0E26B9E6">
      <w:pPr>
        <w:keepNext w:val="0"/>
        <w:keepLines w:val="0"/>
        <w:pageBreakBefore w:val="0"/>
        <w:widowControl w:val="0"/>
        <w:shd w:val="clear" w:color="auto" w:fill="auto"/>
        <w:kinsoku w:val="0"/>
        <w:wordWrap w:val="0"/>
        <w:bidi w:val="0"/>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2.采购项目实施时间</w:t>
      </w:r>
      <w:r>
        <w:rPr>
          <w:rFonts w:hint="eastAsia" w:asciiTheme="minorEastAsia" w:hAnsiTheme="minorEastAsia" w:eastAsiaTheme="minorEastAsia" w:cstheme="minorEastAsia"/>
          <w:color w:val="auto"/>
          <w:sz w:val="24"/>
          <w:szCs w:val="24"/>
          <w:highlight w:val="none"/>
          <w:lang w:eastAsia="zh-CN"/>
        </w:rPr>
        <w:t>：合同签订后30日历天内完成所有设备的交货。满足开学所需基本条件设备（如：学生桌、椅，教师办公设备，教室大屏等）须在合同签订后30日历天内完成安装、调试、验收交付并投入使用，并确保所投入设备均能正常使用并通过验收，满足办学需求，保证学校能正常开学。其余设备的安装、调试、验收交付期限根据实际需要另行确定</w:t>
      </w:r>
      <w:r>
        <w:rPr>
          <w:rFonts w:hint="eastAsia" w:asciiTheme="minorEastAsia" w:hAnsiTheme="minorEastAsia" w:eastAsiaTheme="minorEastAsia" w:cstheme="minorEastAsia"/>
          <w:color w:val="auto"/>
          <w:kern w:val="0"/>
          <w:sz w:val="24"/>
          <w:szCs w:val="24"/>
          <w:highlight w:val="none"/>
        </w:rPr>
        <w:t>。</w:t>
      </w:r>
    </w:p>
    <w:p w14:paraId="54D47A15">
      <w:pPr>
        <w:keepNext w:val="0"/>
        <w:keepLines w:val="0"/>
        <w:pageBreakBefore w:val="0"/>
        <w:widowControl w:val="0"/>
        <w:shd w:val="clear" w:color="auto" w:fill="auto"/>
        <w:kinsoku w:val="0"/>
        <w:wordWrap w:val="0"/>
        <w:bidi w:val="0"/>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3.实施地点</w:t>
      </w:r>
      <w:r>
        <w:rPr>
          <w:rFonts w:hint="eastAsia" w:asciiTheme="minorEastAsia" w:hAnsiTheme="minorEastAsia" w:eastAsiaTheme="minorEastAsia" w:cstheme="minorEastAsia"/>
          <w:color w:val="auto"/>
          <w:sz w:val="24"/>
          <w:szCs w:val="24"/>
          <w:highlight w:val="none"/>
          <w:lang w:eastAsia="zh-CN"/>
        </w:rPr>
        <w:t>：会泽县金钟小学</w:t>
      </w:r>
      <w:r>
        <w:rPr>
          <w:rFonts w:hint="eastAsia" w:asciiTheme="minorEastAsia" w:hAnsiTheme="minorEastAsia" w:eastAsiaTheme="minorEastAsia" w:cstheme="minorEastAsia"/>
          <w:color w:val="auto"/>
          <w:kern w:val="0"/>
          <w:sz w:val="24"/>
          <w:szCs w:val="24"/>
          <w:highlight w:val="none"/>
        </w:rPr>
        <w:t>。</w:t>
      </w:r>
    </w:p>
    <w:p w14:paraId="63726EE0">
      <w:pPr>
        <w:keepNext w:val="0"/>
        <w:keepLines w:val="0"/>
        <w:pageBreakBefore w:val="0"/>
        <w:widowControl w:val="0"/>
        <w:shd w:val="clear" w:color="auto" w:fill="auto"/>
        <w:kinsoku w:val="0"/>
        <w:wordWrap w:val="0"/>
        <w:bidi w:val="0"/>
        <w:spacing w:line="520" w:lineRule="exact"/>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（五）采购标的需满足的服务标准、期限、效率等要求:</w:t>
      </w:r>
    </w:p>
    <w:p w14:paraId="7E5A103E">
      <w:pPr>
        <w:keepNext w:val="0"/>
        <w:keepLines w:val="0"/>
        <w:pageBreakBefore w:val="0"/>
        <w:widowControl w:val="0"/>
        <w:shd w:val="clear" w:color="auto" w:fill="auto"/>
        <w:kinsoku w:val="0"/>
        <w:wordWrap w:val="0"/>
        <w:bidi w:val="0"/>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1.交货安装要求：供应商应按照本项目的采购内容及数量完成所有设备的生产（或采购）、运输、安装、调试、验收、培训及售后服务（质保期内）工作，确保所有设备功能均能满足采购人使用要求，并承担所供设备验收合格前的所有费用</w:t>
      </w:r>
      <w:r>
        <w:rPr>
          <w:rFonts w:hint="eastAsia" w:asciiTheme="minorEastAsia" w:hAnsiTheme="minorEastAsia" w:eastAsiaTheme="minorEastAsia" w:cstheme="minorEastAsia"/>
          <w:color w:val="auto"/>
          <w:sz w:val="24"/>
          <w:szCs w:val="24"/>
          <w:highlight w:val="none"/>
          <w:lang w:eastAsia="zh-CN"/>
        </w:rPr>
        <w:t>。</w:t>
      </w:r>
    </w:p>
    <w:p w14:paraId="242DB8F2">
      <w:pPr>
        <w:keepNext w:val="0"/>
        <w:keepLines w:val="0"/>
        <w:pageBreakBefore w:val="0"/>
        <w:widowControl w:val="0"/>
        <w:shd w:val="clear" w:color="auto" w:fill="auto"/>
        <w:kinsoku w:val="0"/>
        <w:wordWrap w:val="0"/>
        <w:bidi w:val="0"/>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2.</w:t>
      </w:r>
      <w:r>
        <w:rPr>
          <w:rFonts w:hint="eastAsia" w:asciiTheme="minorEastAsia" w:hAnsiTheme="minorEastAsia" w:eastAsiaTheme="minorEastAsia" w:cstheme="minorEastAsia"/>
          <w:color w:val="auto"/>
          <w:sz w:val="24"/>
          <w:szCs w:val="24"/>
          <w:highlight w:val="none"/>
          <w:lang w:val="en-US" w:eastAsia="zh-CN"/>
        </w:rPr>
        <w:t>质保期：国家有质保期要求的设备，其质保期不得低于国家规定，没有质保期要求的不得少于一年（自验收合格次日起计）。</w:t>
      </w:r>
    </w:p>
    <w:p w14:paraId="73B47BB5">
      <w:pPr>
        <w:keepNext w:val="0"/>
        <w:keepLines w:val="0"/>
        <w:pageBreakBefore w:val="0"/>
        <w:widowControl w:val="0"/>
        <w:shd w:val="clear" w:color="auto" w:fill="auto"/>
        <w:kinsoku w:val="0"/>
        <w:wordWrap w:val="0"/>
        <w:bidi w:val="0"/>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rPr>
        <w:t>售后服务</w:t>
      </w:r>
      <w:r>
        <w:rPr>
          <w:rFonts w:hint="eastAsia" w:asciiTheme="minorEastAsia" w:hAnsiTheme="minorEastAsia" w:eastAsiaTheme="minorEastAsia" w:cstheme="minorEastAsia"/>
          <w:color w:val="auto"/>
          <w:sz w:val="24"/>
          <w:szCs w:val="24"/>
          <w:highlight w:val="none"/>
          <w:lang w:val="en-US" w:eastAsia="zh-CN"/>
        </w:rPr>
        <w:t>要求</w:t>
      </w:r>
    </w:p>
    <w:p w14:paraId="607B59C8">
      <w:pPr>
        <w:keepNext w:val="0"/>
        <w:keepLines w:val="0"/>
        <w:pageBreakBefore w:val="0"/>
        <w:widowControl w:val="0"/>
        <w:numPr>
          <w:ilvl w:val="0"/>
          <w:numId w:val="0"/>
        </w:numPr>
        <w:shd w:val="clear" w:color="auto" w:fill="auto"/>
        <w:kinsoku w:val="0"/>
        <w:wordWrap w:val="0"/>
        <w:overflowPunct/>
        <w:topLinePunct w:val="0"/>
        <w:autoSpaceDE/>
        <w:autoSpaceDN w:val="0"/>
        <w:bidi w:val="0"/>
        <w:adjustRightInd/>
        <w:snapToGrid/>
        <w:spacing w:line="480" w:lineRule="exact"/>
        <w:ind w:leftChars="0" w:firstLine="480" w:firstLineChars="200"/>
        <w:textAlignment w:val="auto"/>
        <w:rPr>
          <w:rFonts w:hint="eastAsia"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质保期内，同一设备、同一质量问题出现连续三次维修仍无法正常使用，供应商必须予以更换同品牌、同型号或不低于投标配置的其他全新设备；对设备提供全免费上门维修保养或更换；售后服务人员须在收到故障报告后2小时内响应，12小时到达现场为采购人提供售后服务。质保期结束后，任须供应商提供售后服务的，仅收取维修成本费（自然灾害及人为损坏除外）。</w:t>
      </w:r>
    </w:p>
    <w:p w14:paraId="1A72296A">
      <w:pPr>
        <w:keepNext w:val="0"/>
        <w:keepLines w:val="0"/>
        <w:pageBreakBefore w:val="0"/>
        <w:widowControl w:val="0"/>
        <w:shd w:val="clear" w:color="auto" w:fill="auto"/>
        <w:kinsoku w:val="0"/>
        <w:wordWrap w:val="0"/>
        <w:bidi w:val="0"/>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rPr>
        <w:t>.采购标的需满足的期限、效率</w:t>
      </w:r>
      <w:r>
        <w:rPr>
          <w:rFonts w:hint="eastAsia" w:asciiTheme="minorEastAsia" w:hAnsiTheme="minorEastAsia" w:eastAsiaTheme="minorEastAsia" w:cstheme="minorEastAsia"/>
          <w:color w:val="auto"/>
          <w:kern w:val="0"/>
          <w:sz w:val="24"/>
          <w:szCs w:val="24"/>
          <w:highlight w:val="none"/>
          <w:lang w:val="en-US" w:eastAsia="zh-CN"/>
        </w:rPr>
        <w:t>：合同签订后30日历天内完成所有设备的交货。满足开学所需基本条件设备（如：学生桌、椅，教师办公设备，教室大屏等）须在合同签订后30日历天内完成安装、调试、验收交付并投入使用，并确保所投入设备均能正常使用并通过验收，满足办学需求，保证学校能正常开学。其余设备的安装、调试、验收交付期限根据实际需要另行确定</w:t>
      </w:r>
      <w:r>
        <w:rPr>
          <w:rFonts w:hint="eastAsia" w:ascii="宋体" w:hAnsi="宋体" w:eastAsia="宋体" w:cs="宋体"/>
          <w:b w:val="0"/>
          <w:bCs w:val="0"/>
          <w:color w:val="auto"/>
          <w:kern w:val="0"/>
          <w:sz w:val="24"/>
          <w:szCs w:val="24"/>
          <w:highlight w:val="none"/>
          <w:lang w:val="en-US" w:eastAsia="zh-CN"/>
        </w:rPr>
        <w:t>。</w:t>
      </w:r>
    </w:p>
    <w:p w14:paraId="151CEB52">
      <w:pPr>
        <w:keepNext w:val="0"/>
        <w:keepLines w:val="0"/>
        <w:pageBreakBefore w:val="0"/>
        <w:widowControl w:val="0"/>
        <w:shd w:val="clear" w:color="auto" w:fill="auto"/>
        <w:kinsoku w:val="0"/>
        <w:wordWrap w:val="0"/>
        <w:bidi w:val="0"/>
        <w:spacing w:line="520" w:lineRule="exact"/>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（六）采购标的的验收标准</w:t>
      </w:r>
    </w:p>
    <w:p w14:paraId="03AE028F">
      <w:pPr>
        <w:keepNext w:val="0"/>
        <w:keepLines w:val="0"/>
        <w:pageBreakBefore w:val="0"/>
        <w:widowControl w:val="0"/>
        <w:shd w:val="clear" w:color="auto" w:fill="auto"/>
        <w:kinsoku w:val="0"/>
        <w:wordWrap w:val="0"/>
        <w:bidi w:val="0"/>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（1）所有设备到达现场后，由供应商拟派项目负责人与采购人项目责任人进行初步验收。验收内容包括设备的数量、类别、包装、规格、型号及设备资料等，不符合验收标准的，供应商须免费更换或补增。</w:t>
      </w:r>
    </w:p>
    <w:p w14:paraId="7A385FBF">
      <w:pPr>
        <w:keepNext w:val="0"/>
        <w:keepLines w:val="0"/>
        <w:pageBreakBefore w:val="0"/>
        <w:widowControl w:val="0"/>
        <w:shd w:val="clear" w:color="auto" w:fill="auto"/>
        <w:kinsoku w:val="0"/>
        <w:wordWrap w:val="0"/>
        <w:bidi w:val="0"/>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所有设备安装调试完成后，由供应商拟派项目负责人与采购人项目责任人进行项目交付验收。验收内容包括各项设施设备的运行状况，设备的使用功能是否均能满足采购人需求等。验收不通过的，供应商须严格按采购人要求及行业标准规范进行整改，直至验收合格。</w:t>
      </w:r>
    </w:p>
    <w:p w14:paraId="5815E71E">
      <w:pPr>
        <w:keepNext w:val="0"/>
        <w:keepLines w:val="0"/>
        <w:pageBreakBefore w:val="0"/>
        <w:widowControl w:val="0"/>
        <w:shd w:val="clear" w:color="auto" w:fill="auto"/>
        <w:kinsoku w:val="0"/>
        <w:wordWrap w:val="0"/>
        <w:bidi w:val="0"/>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所有设施设备经采购人验收通过，正常使用1周，确认各项设备使用功能均满足采购人要求后，供应商向采购人提交全套相关技术资料（使用手册或说明书、培训资料、程序安装维护手册等）后，由采购人签发验收合格通知书，并由供应商向采购人提供成套、完整的验收资料。</w:t>
      </w:r>
    </w:p>
    <w:p w14:paraId="67C3FC6A">
      <w:pPr>
        <w:keepNext w:val="0"/>
        <w:keepLines w:val="0"/>
        <w:pageBreakBefore w:val="0"/>
        <w:widowControl w:val="0"/>
        <w:shd w:val="clear" w:color="auto" w:fill="auto"/>
        <w:kinsoku w:val="0"/>
        <w:wordWrap w:val="0"/>
        <w:bidi w:val="0"/>
        <w:spacing w:line="520" w:lineRule="exact"/>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（七）采购标的的其他技术、服务等要求： </w:t>
      </w:r>
    </w:p>
    <w:p w14:paraId="1F1A8790">
      <w:pPr>
        <w:keepNext w:val="0"/>
        <w:keepLines w:val="0"/>
        <w:pageBreakBefore w:val="0"/>
        <w:widowControl w:val="0"/>
        <w:shd w:val="clear" w:color="auto" w:fill="auto"/>
        <w:kinsoku w:val="0"/>
        <w:wordWrap w:val="0"/>
        <w:bidi w:val="0"/>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技术培训要求</w:t>
      </w:r>
      <w:r>
        <w:rPr>
          <w:rFonts w:hint="eastAsia" w:ascii="宋体" w:hAnsi="宋体" w:cs="宋体"/>
          <w:b w:val="0"/>
          <w:bCs w:val="0"/>
          <w:color w:val="auto"/>
          <w:sz w:val="24"/>
          <w:szCs w:val="24"/>
          <w:highlight w:val="none"/>
          <w:lang w:eastAsia="zh-CN"/>
        </w:rPr>
        <w:t>：</w:t>
      </w:r>
      <w:r>
        <w:rPr>
          <w:rFonts w:hint="eastAsia" w:asciiTheme="minorEastAsia" w:hAnsiTheme="minorEastAsia" w:eastAsiaTheme="minorEastAsia" w:cstheme="minorEastAsia"/>
          <w:b w:val="0"/>
          <w:bCs w:val="0"/>
          <w:color w:val="auto"/>
          <w:sz w:val="24"/>
          <w:szCs w:val="24"/>
          <w:highlight w:val="none"/>
          <w:lang w:val="en-US" w:eastAsia="zh-CN"/>
        </w:rPr>
        <w:t>根据采购人需求，供应商应免费对项目所涉人员进行全面技术培训，培训内容包括设备的使用、常规故障解决、维修、维护及保养等，确保培训后的操作人员具备独立操作使用设备的能力。</w:t>
      </w:r>
    </w:p>
    <w:p w14:paraId="1BFE2DF8">
      <w:pPr>
        <w:keepNext w:val="0"/>
        <w:keepLines w:val="0"/>
        <w:pageBreakBefore w:val="0"/>
        <w:widowControl w:val="0"/>
        <w:shd w:val="clear" w:color="auto" w:fill="auto"/>
        <w:kinsoku w:val="0"/>
        <w:wordWrap w:val="0"/>
        <w:bidi w:val="0"/>
        <w:spacing w:line="520" w:lineRule="exact"/>
        <w:ind w:firstLine="480" w:firstLineChars="200"/>
        <w:textAlignment w:val="auto"/>
        <w:rPr>
          <w:rFonts w:hint="eastAsia" w:ascii="宋体" w:hAnsi="宋体" w:eastAsia="宋体" w:cs="宋体"/>
          <w:b w:val="0"/>
          <w:bCs w:val="0"/>
          <w:color w:val="auto"/>
          <w:sz w:val="24"/>
          <w:szCs w:val="24"/>
          <w:highlight w:val="none"/>
          <w:lang w:val="en-US" w:eastAsia="zh-CN"/>
        </w:rPr>
        <w:sectPr>
          <w:pgSz w:w="11906" w:h="16838"/>
          <w:pgMar w:top="1361" w:right="1474" w:bottom="1361" w:left="1587" w:header="850" w:footer="992" w:gutter="0"/>
          <w:pgNumType w:fmt="decimal"/>
          <w:cols w:space="0" w:num="1"/>
          <w:rtlGutter w:val="0"/>
          <w:docGrid w:type="lines" w:linePitch="314" w:charSpace="0"/>
        </w:sectPr>
      </w:pPr>
    </w:p>
    <w:bookmarkEnd w:id="79"/>
    <w:p w14:paraId="72C6935B">
      <w:pPr>
        <w:pStyle w:val="2"/>
        <w:keepNext w:val="0"/>
        <w:keepLines w:val="0"/>
        <w:pageBreakBefore w:val="0"/>
        <w:widowControl w:val="0"/>
        <w:shd w:val="clear" w:color="auto" w:fill="auto"/>
        <w:tabs>
          <w:tab w:val="left" w:pos="360"/>
        </w:tabs>
        <w:kinsoku w:val="0"/>
        <w:wordWrap w:val="0"/>
        <w:bidi w:val="0"/>
        <w:ind w:left="0" w:firstLine="2891" w:firstLineChars="900"/>
        <w:jc w:val="both"/>
        <w:textAlignment w:val="auto"/>
        <w:rPr>
          <w:rFonts w:hint="eastAsia" w:asciiTheme="minorEastAsia" w:hAnsiTheme="minorEastAsia" w:eastAsiaTheme="minorEastAsia" w:cstheme="minorEastAsia"/>
          <w:b/>
          <w:bCs/>
          <w:color w:val="auto"/>
          <w:sz w:val="24"/>
          <w:szCs w:val="24"/>
          <w:highlight w:val="none"/>
          <w:lang w:eastAsia="zh-CN"/>
        </w:rPr>
      </w:pPr>
      <w:bookmarkStart w:id="80" w:name="_Toc26126"/>
      <w:r>
        <w:rPr>
          <w:rFonts w:hint="eastAsia" w:asciiTheme="minorEastAsia" w:hAnsiTheme="minorEastAsia" w:eastAsiaTheme="minorEastAsia" w:cstheme="minorEastAsia"/>
          <w:color w:val="auto"/>
          <w:sz w:val="32"/>
          <w:szCs w:val="32"/>
          <w:highlight w:val="none"/>
          <w:lang w:val="en-US" w:eastAsia="zh-CN"/>
        </w:rPr>
        <w:t>第五章 采购清单</w:t>
      </w:r>
      <w:bookmarkEnd w:id="80"/>
    </w:p>
    <w:tbl>
      <w:tblPr>
        <w:tblStyle w:val="21"/>
        <w:tblW w:w="0" w:type="auto"/>
        <w:tblInd w:w="9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55"/>
        <w:gridCol w:w="1648"/>
        <w:gridCol w:w="1569"/>
        <w:gridCol w:w="4751"/>
      </w:tblGrid>
      <w:tr w14:paraId="25E0D6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0" w:type="auto"/>
            <w:gridSpan w:val="4"/>
            <w:tcBorders>
              <w:top w:val="nil"/>
              <w:left w:val="nil"/>
              <w:bottom w:val="nil"/>
              <w:right w:val="nil"/>
            </w:tcBorders>
            <w:shd w:val="clear" w:color="auto" w:fill="auto"/>
            <w:vAlign w:val="center"/>
          </w:tcPr>
          <w:p w14:paraId="1D02C735">
            <w:pPr>
              <w:keepNext w:val="0"/>
              <w:keepLines w:val="0"/>
              <w:widowControl/>
              <w:suppressLineNumbers w:val="0"/>
              <w:jc w:val="center"/>
              <w:textAlignment w:val="center"/>
              <w:rPr>
                <w:rFonts w:ascii="方正小标宋_GBK" w:hAnsi="方正小标宋_GBK" w:eastAsia="方正小标宋_GBK" w:cs="方正小标宋_GBK"/>
                <w:i w:val="0"/>
                <w:iCs w:val="0"/>
                <w:color w:val="000000"/>
                <w:sz w:val="32"/>
                <w:szCs w:val="32"/>
                <w:u w:val="none"/>
              </w:rPr>
            </w:pPr>
            <w:r>
              <w:rPr>
                <w:rFonts w:hint="eastAsia" w:ascii="方正小标宋_GBK" w:hAnsi="方正小标宋_GBK" w:eastAsia="方正小标宋_GBK" w:cs="方正小标宋_GBK"/>
                <w:i w:val="0"/>
                <w:iCs w:val="0"/>
                <w:color w:val="000000"/>
                <w:kern w:val="0"/>
                <w:sz w:val="32"/>
                <w:szCs w:val="32"/>
                <w:u w:val="none"/>
                <w:lang w:val="en-US" w:eastAsia="zh-CN" w:bidi="ar"/>
              </w:rPr>
              <w:t>一标段：</w:t>
            </w:r>
            <w:r>
              <w:rPr>
                <w:rFonts w:hint="default" w:ascii="方正小标宋_GBK" w:hAnsi="方正小标宋_GBK" w:eastAsia="方正小标宋_GBK" w:cs="方正小标宋_GBK"/>
                <w:i w:val="0"/>
                <w:iCs w:val="0"/>
                <w:color w:val="000000"/>
                <w:kern w:val="0"/>
                <w:sz w:val="32"/>
                <w:szCs w:val="32"/>
                <w:u w:val="none"/>
                <w:lang w:val="en-US" w:eastAsia="zh-CN" w:bidi="ar"/>
              </w:rPr>
              <w:t>功能室及食堂设备</w:t>
            </w:r>
          </w:p>
        </w:tc>
      </w:tr>
      <w:tr w14:paraId="63E0A8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1" w:hRule="atLeast"/>
        </w:trPr>
        <w:tc>
          <w:tcPr>
            <w:tcW w:w="0" w:type="auto"/>
            <w:tcBorders>
              <w:top w:val="single" w:color="000000" w:sz="4" w:space="0"/>
              <w:left w:val="single" w:color="000000" w:sz="4" w:space="0"/>
              <w:bottom w:val="single" w:color="000000" w:sz="4" w:space="0"/>
              <w:right w:val="single" w:color="000000" w:sz="4" w:space="0"/>
            </w:tcBorders>
            <w:shd w:val="clear" w:color="auto" w:fill="D9E1F4"/>
            <w:vAlign w:val="center"/>
          </w:tcPr>
          <w:p w14:paraId="66A45116">
            <w:pPr>
              <w:keepNext w:val="0"/>
              <w:keepLines w:val="0"/>
              <w:widowControl/>
              <w:suppressLineNumbers w:val="0"/>
              <w:jc w:val="center"/>
              <w:textAlignment w:val="center"/>
              <w:rPr>
                <w:rFonts w:ascii="方正黑体_GBK" w:hAnsi="方正黑体_GBK" w:eastAsia="方正黑体_GBK" w:cs="方正黑体_GBK"/>
                <w:i w:val="0"/>
                <w:iCs w:val="0"/>
                <w:color w:val="000000"/>
                <w:sz w:val="18"/>
                <w:szCs w:val="18"/>
                <w:u w:val="none"/>
              </w:rPr>
            </w:pPr>
            <w:r>
              <w:rPr>
                <w:rFonts w:hint="default" w:ascii="方正黑体_GBK" w:hAnsi="方正黑体_GBK" w:eastAsia="方正黑体_GBK" w:cs="方正黑体_GBK"/>
                <w:i w:val="0"/>
                <w:iCs w:val="0"/>
                <w:color w:val="000000"/>
                <w:kern w:val="0"/>
                <w:sz w:val="18"/>
                <w:szCs w:val="18"/>
                <w:u w:val="none"/>
                <w:lang w:val="en-US" w:eastAsia="zh-CN" w:bidi="ar"/>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9E1F4"/>
            <w:vAlign w:val="center"/>
          </w:tcPr>
          <w:p w14:paraId="2C3C0A42">
            <w:pPr>
              <w:keepNext w:val="0"/>
              <w:keepLines w:val="0"/>
              <w:widowControl/>
              <w:suppressLineNumbers w:val="0"/>
              <w:jc w:val="center"/>
              <w:textAlignment w:val="center"/>
              <w:rPr>
                <w:rFonts w:hint="default" w:ascii="方正黑体_GBK" w:hAnsi="方正黑体_GBK" w:eastAsia="方正黑体_GBK" w:cs="方正黑体_GBK"/>
                <w:i w:val="0"/>
                <w:iCs w:val="0"/>
                <w:color w:val="000000"/>
                <w:sz w:val="18"/>
                <w:szCs w:val="18"/>
                <w:u w:val="none"/>
              </w:rPr>
            </w:pPr>
            <w:r>
              <w:rPr>
                <w:rFonts w:hint="default" w:ascii="方正黑体_GBK" w:hAnsi="方正黑体_GBK" w:eastAsia="方正黑体_GBK" w:cs="方正黑体_GBK"/>
                <w:i w:val="0"/>
                <w:iCs w:val="0"/>
                <w:color w:val="000000"/>
                <w:kern w:val="0"/>
                <w:sz w:val="18"/>
                <w:szCs w:val="18"/>
                <w:u w:val="none"/>
                <w:lang w:val="en-US" w:eastAsia="zh-CN" w:bidi="ar"/>
              </w:rPr>
              <w:t>采购货物名称</w:t>
            </w:r>
          </w:p>
        </w:tc>
        <w:tc>
          <w:tcPr>
            <w:tcW w:w="0" w:type="auto"/>
            <w:tcBorders>
              <w:top w:val="single" w:color="000000" w:sz="4" w:space="0"/>
              <w:left w:val="single" w:color="000000" w:sz="4" w:space="0"/>
              <w:bottom w:val="single" w:color="000000" w:sz="4" w:space="0"/>
              <w:right w:val="single" w:color="000000" w:sz="4" w:space="0"/>
            </w:tcBorders>
            <w:shd w:val="clear" w:color="auto" w:fill="D9E1F4"/>
            <w:vAlign w:val="center"/>
          </w:tcPr>
          <w:p w14:paraId="4A7489BE">
            <w:pPr>
              <w:keepNext w:val="0"/>
              <w:keepLines w:val="0"/>
              <w:widowControl/>
              <w:suppressLineNumbers w:val="0"/>
              <w:jc w:val="center"/>
              <w:textAlignment w:val="center"/>
              <w:rPr>
                <w:rFonts w:hint="default" w:ascii="方正黑体_GBK" w:hAnsi="方正黑体_GBK" w:eastAsia="方正黑体_GBK" w:cs="方正黑体_GBK"/>
                <w:i w:val="0"/>
                <w:iCs w:val="0"/>
                <w:color w:val="000000"/>
                <w:sz w:val="18"/>
                <w:szCs w:val="18"/>
                <w:u w:val="none"/>
              </w:rPr>
            </w:pPr>
            <w:r>
              <w:rPr>
                <w:rFonts w:hint="eastAsia" w:ascii="方正黑体_GBK" w:hAnsi="方正黑体_GBK" w:eastAsia="方正黑体_GBK" w:cs="方正黑体_GBK"/>
                <w:i w:val="0"/>
                <w:iCs w:val="0"/>
                <w:color w:val="000000"/>
                <w:kern w:val="0"/>
                <w:sz w:val="18"/>
                <w:szCs w:val="18"/>
                <w:u w:val="none"/>
                <w:lang w:val="en-US" w:eastAsia="zh-CN" w:bidi="ar"/>
              </w:rPr>
              <w:t>规格</w:t>
            </w:r>
          </w:p>
        </w:tc>
        <w:tc>
          <w:tcPr>
            <w:tcW w:w="0" w:type="auto"/>
            <w:tcBorders>
              <w:top w:val="single" w:color="000000" w:sz="4" w:space="0"/>
              <w:left w:val="single" w:color="000000" w:sz="4" w:space="0"/>
              <w:bottom w:val="single" w:color="000000" w:sz="4" w:space="0"/>
              <w:right w:val="single" w:color="000000" w:sz="4" w:space="0"/>
            </w:tcBorders>
            <w:shd w:val="clear" w:color="auto" w:fill="D9E1F4"/>
            <w:vAlign w:val="center"/>
          </w:tcPr>
          <w:p w14:paraId="6FAD4BEA">
            <w:pPr>
              <w:keepNext w:val="0"/>
              <w:keepLines w:val="0"/>
              <w:widowControl/>
              <w:suppressLineNumbers w:val="0"/>
              <w:jc w:val="center"/>
              <w:textAlignment w:val="center"/>
              <w:rPr>
                <w:rFonts w:hint="default" w:ascii="方正黑体_GBK" w:hAnsi="方正黑体_GBK" w:eastAsia="方正黑体_GBK" w:cs="方正黑体_GBK"/>
                <w:i w:val="0"/>
                <w:iCs w:val="0"/>
                <w:color w:val="000000"/>
                <w:sz w:val="18"/>
                <w:szCs w:val="18"/>
                <w:u w:val="none"/>
              </w:rPr>
            </w:pPr>
            <w:r>
              <w:rPr>
                <w:rFonts w:hint="default" w:ascii="方正黑体_GBK" w:hAnsi="方正黑体_GBK" w:eastAsia="方正黑体_GBK" w:cs="方正黑体_GBK"/>
                <w:i w:val="0"/>
                <w:iCs w:val="0"/>
                <w:color w:val="000000"/>
                <w:kern w:val="0"/>
                <w:sz w:val="18"/>
                <w:szCs w:val="18"/>
                <w:u w:val="none"/>
                <w:lang w:val="en-US" w:eastAsia="zh-CN" w:bidi="ar"/>
              </w:rPr>
              <w:t>主要技术参数、配置及配件</w:t>
            </w:r>
          </w:p>
        </w:tc>
      </w:tr>
      <w:tr w14:paraId="55BCA3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1" w:hRule="atLeast"/>
        </w:trPr>
        <w:tc>
          <w:tcPr>
            <w:tcW w:w="0" w:type="auto"/>
            <w:gridSpan w:val="4"/>
            <w:tcBorders>
              <w:top w:val="single" w:color="000000" w:sz="4" w:space="0"/>
              <w:left w:val="single" w:color="000000" w:sz="4" w:space="0"/>
              <w:bottom w:val="single" w:color="000000" w:sz="4" w:space="0"/>
              <w:right w:val="single" w:color="000000" w:sz="4" w:space="0"/>
            </w:tcBorders>
            <w:shd w:val="clear" w:color="auto" w:fill="FFFF00"/>
            <w:vAlign w:val="center"/>
          </w:tcPr>
          <w:p w14:paraId="59964227">
            <w:pPr>
              <w:keepNext w:val="0"/>
              <w:keepLines w:val="0"/>
              <w:widowControl/>
              <w:suppressLineNumbers w:val="0"/>
              <w:jc w:val="center"/>
              <w:textAlignment w:val="center"/>
              <w:rPr>
                <w:rFonts w:hint="default" w:ascii="方正黑体_GBK" w:hAnsi="方正黑体_GBK" w:eastAsia="方正黑体_GBK" w:cs="方正黑体_GBK"/>
                <w:i w:val="0"/>
                <w:iCs w:val="0"/>
                <w:color w:val="000000"/>
                <w:sz w:val="18"/>
                <w:szCs w:val="18"/>
                <w:u w:val="none"/>
              </w:rPr>
            </w:pPr>
            <w:r>
              <w:rPr>
                <w:rFonts w:hint="default" w:ascii="方正黑体_GBK" w:hAnsi="方正黑体_GBK" w:eastAsia="方正黑体_GBK" w:cs="方正黑体_GBK"/>
                <w:i w:val="0"/>
                <w:iCs w:val="0"/>
                <w:color w:val="000000"/>
                <w:kern w:val="0"/>
                <w:sz w:val="18"/>
                <w:szCs w:val="18"/>
                <w:u w:val="none"/>
                <w:lang w:val="en-US" w:eastAsia="zh-CN" w:bidi="ar"/>
              </w:rPr>
              <w:t>科学实验室仪器设备</w:t>
            </w:r>
          </w:p>
        </w:tc>
      </w:tr>
      <w:tr w14:paraId="66057A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6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316AD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2279E5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教师演示台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822A37">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6DC17152">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规格：2400*700*850mm(±0.5)。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1、台面：采用12.7mm(±0.3)实芯理化板制作，周边成型厚度为25.4mm，具有防腐蚀、耐酸碱、耐高温耐磨、耐热、抗老化、无毒、易清洁、耐冲击、抗化学和污染性能。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柜身：主材采用16mm三聚氰胺板；2mmPVC封条，热熔胶封边，耐磨、防水；其结构为内槽式铝合金框架结构，立柱横截面尺寸不小于50mm×47mm方型，立柱正面镶嵌有台面同色装饰条,框架的横梁横截面不小于35mm×35mm，铝型材壁厚≥1.0mm。，铝合金框架采用表面环氧树脂静电喷涂,ABS专用连接件连接，组装接缝严密、牢固无松动现象不变型，美观耐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3、连接件：ABS白色连接件组装，牢固可靠。</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4、脚垫：ABS工程注塑，高2.5cm，可有效防止桌身受潮，延长设备使用寿命。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5、背板及吊板采用国产高档16mm厚三聚氰胺双面贴面刨花板，其截面由1.5mmPVC高温热熔胶封边.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6、抽屉轨道采用国产高档优质两节伸缩式滑轨；铰链：采用国产高档优质铰链。</w:t>
            </w:r>
          </w:p>
        </w:tc>
      </w:tr>
      <w:tr w14:paraId="518E15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8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82D85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4E858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学生实验桌（八边形）</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29CA5B">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7F674D76">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产品说明：每套环形组合桌，八个扇形桌面（可选八种颜色，颜色：红蓝绿黄橙白）；能够根据上课及活动需要，组合成圆形、扇形、方形、S形、C形、X形等十几种排列方式。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钢木材质，木质多层双面漆面板，金属支架，桌面支架采用直径约5厘米圆管 ，桌子外圆直径约180厘米，高约70厘米；根据科学学科上课的专业要求， 组合后圆的内直径约60厘米，色彩丰富，单色色度艳丽无色差，不开裂不变形，耐热耐污耐擦，更加环保；</w:t>
            </w:r>
          </w:p>
        </w:tc>
      </w:tr>
      <w:tr w14:paraId="478871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3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5171B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A97888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学生实验凳</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257372">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464B9620">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1、Ф凳面直径300×高450-500mm(±0.5)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2、凳脚材质：4个凳脚采用≥椭圆管20×40×1.2mm 无缝钢管模具一次成型。全圆满焊接完成，结构牢固，经高温粉体烤漆处理，长时间使用也不会产生表面烤漆剥落现象，螺旋升降式，升降距离为50mm，最高离地距离为500mm。                                                                                                              3、凳面材质：采用聚丙烯共聚级注塑,厚≥4mm。表面细纹咬花，防滑不发光，凳面底部镶嵌4枚铜质螺纹，采用不锈钢螺丝与圆型托盘固定。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4、脚垫材质：采用PP加耐磨纤维质塑料，凳面与凳脚留有一定的空间便于凳子挂在挂凳扣上。方便教室的打扫。</w:t>
            </w:r>
          </w:p>
        </w:tc>
      </w:tr>
      <w:tr w14:paraId="02119F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A69DE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BCD76C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安装及调试</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F1563C">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7F9F2207">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设备安装及调试等，</w:t>
            </w:r>
          </w:p>
        </w:tc>
      </w:tr>
      <w:tr w14:paraId="51F95E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51402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5D8E33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仪器柜</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9FE825">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15983A63">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铝木结构，尺寸：1000*500*2000mm(±0.5)，基本要求如下：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柜体框架：采用模具成型的专用铝合金方管制作，通过ABS专用连接件组装而成，保证连接牢固。前立柱、前横梁外径为28mm×38mm，后立柱、后横梁外径为38mm×38mm，铝合金管材的壁厚≥1.0mm，整体15根铝合金。铝合金型材带凹槽，凹槽的宽度应与柜体衬板相匹配，凹槽的深度应足够，保证柜体衬板与铝型材之间接缝严密，无晃动现象，不发生脱落。铝合金型材表面需经静电粉沫喷涂处理，整体耐腐蚀、防火、防潮、稳固耐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柜体衬板：采用16mm厚防潮三聚氰胺双面贴面板，所有板材外露端面采用高质量PVC封边条，利用机械封边机配以热溶胶高温封边。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柜门：上部为木框对开玻璃门，下部为整体木门，木框和木门材料与衬板相同。</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搁板：上柜设置2块可上下升降调节活动搁板带阶梯架，下柜设置1块活动搁板。搁板所用的板材与柜体板材相同，上柜搁板厚度不小于25mm，下柜搁板厚度不小于16mm。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高度升降条：上部柜体内侧均应安装高度升降条，每侧2根，至少带8个活动支撑座（位置可调）。高度升降条表面应采用纯环氧树脂静电喷涂高温固化，具有较高耐蚀性能。支撑座采用ABS一次注塑成型。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柜脚：采用特制模具ABS注塑脚垫，高度可调.</w:t>
            </w:r>
          </w:p>
        </w:tc>
      </w:tr>
      <w:tr w14:paraId="245E66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8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54F3A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E74646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打孔器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FBF88B">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F7F2A5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1、实验室常用工具，供对胶塞和木塞打孔用。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2、有四支不同孔径带手柄的空芯钻头、顶屑杆（通条）组成。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3、每支空芯管长度为100㎜，管外径分别为6.0±0.1,8.5±0.1，10.5±0.1，13.0±0.1㎜。</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4、钻头用45#无缝钢管制成，刀口经淬火处理，表面镀铬，刀刃无缺口或锯齿状，刃口角度为12°～15°。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5、钻头圆度不大于0.05㎜。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6、钻头直线度不大于0.05㎜。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7、刀刃平面与手柄平行，并与钻头轴线垂直。刀刃平面与轴线的垂直度不大于0.3㎜。</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8、顶屑杆直径φ3.5×105㎜。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9、符合JY0001-2003《教学仪器设备产品一般质量要求》。</w:t>
            </w:r>
          </w:p>
        </w:tc>
      </w:tr>
      <w:tr w14:paraId="0A0873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2AC78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06A161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打气筒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8537F49">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93C987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1、打气筒应符合本标准的规定，并按照一定程序批准的图样及技术文件制造。</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2、工作气压与规格应符合下表的对应要求：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Mpa</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规格 工作气压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T号 0.6上</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1号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2号 0.4以上</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3号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3、打气筒底座、管体、贮气罐、底嘴、胶管各联接部分应有良好的密封性，不漏气。</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4、手柄应有足够的机械强度，在1470N静负荷作用下不应断裂或弯曲。</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5、推杆与手柄的联接应牢固可靠，在施加980N的拉伸负荷作用时，不应脱落。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6、贮气罐型打气筒的单向阀应有良好的逆止性能。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7、贮气罐型打气筒的贮气罐应安装牢固可靠，并有足够的安全保证。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8、外观要求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外观部分不允许有毛刺、锐角、飞边及划伤等缺陷。</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处理的表面不允许有露底、脱落、锈蚀等其它显著缺陷。</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未处理的表面不允许有锈蚀、裂纹等其它显著缺陷。</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标牌（商标）不得有粘贴不牢、打印不清、不整齐等现象。</w:t>
            </w:r>
          </w:p>
        </w:tc>
      </w:tr>
      <w:tr w14:paraId="7E810D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A6A2B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9275D4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放大镜</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D5FDB0">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AC2D57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1、产品有效通光孔径为不小于75mm，放大倍数为5倍的单倍数玻璃放大镜。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2、放大倍数误差不大于5%。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3、成像要求清晰，不变形、不变色，是被观察物体的真实放大，在F550型号焦距仪（利用波罗板测放大镜放大倍率的仪器）上通过放大镜镜片，应能观看到波罗板刻线的像，且能看到不少于3对刻线。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4、透镜表面应低于透镜框所形成的平面。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5、透镜的2/3有效通光孔径范围内，不允许有大于0.5mm的气泡和明显的条纹及划痕。</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6、镜框材质、镜柄材质可选用塑料。</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7、其它要求应符合JY/T0378《手持放大镜》有关规定。</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8、透镜表面用手触摸非常光滑，不会凹凸不平。</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9、透镜中间厚、边缘薄，并与镜框紧密联接，不摇晃、不掉落。</w:t>
            </w:r>
          </w:p>
        </w:tc>
      </w:tr>
      <w:tr w14:paraId="06794D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3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BF34B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AE9256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酒精喷灯</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A32ADD">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806522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一、适用范围：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供小学科学教师自制教具用，结构为座式。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二、技术要求：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1、有壶体、预燃杯、壶咀、喷管、火苗调节杆等部分。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2、壶体容积不得小于300mL，使用时，在预燃杯中倒入约2/3杯的酒精时，预燃杯中酒精燃烧约40秒钟，喷管立即喷火，预燃杯酒精燃烧完毕，喷管喷火不应停止。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3、壶体焊缝紧密，不得漏酒精和漏气。</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4、喷管各焊接处用银铜料焊接，不得因喷火燃烧而溶化焊接处。</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5、喷出口不堵塞。</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6、壶体、壶底表面光滑平整，无凹凸起伏。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7、符合JY0001-2003《教学仪器设备产品一般质量要求》。</w:t>
            </w:r>
          </w:p>
        </w:tc>
      </w:tr>
      <w:tr w14:paraId="32C597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8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B61E15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EE7936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听诊器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2DD4C5">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774FD5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一、适用范围：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供小学科学教学用。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二、技术要求：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1、听诊器导管材料必须用乳胶导管，抗拉强度＞17MPG，伸长率＞700％。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2、听诊器有双用功能：即可听肺音与胎音。</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3、听诊器的两个听诊头及耳测听音头必用铜合金并电镀。耳测听音效果应清晰，无杂音。</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4、医用级。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5、听诊器选择杯式听头，直径在45-50mm之间。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6、听头零件不松动，Y管完好无损不松动。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7、听诊器的材质为重金属。</w:t>
            </w:r>
          </w:p>
        </w:tc>
      </w:tr>
      <w:tr w14:paraId="66B816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8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6D76D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7EF432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水族箱</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B16D625">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1A6EA7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一、适用范围：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小学科学教学学生饲养水生动物用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二、技术要求：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1、规格：800mm×400mm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2、鱼缸配有过滤系统及照明系统，过滤系统集过滤，打氧，循环于一体，长期保持水质清澈，日光照明。</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3、鱼缸是玻璃制品。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4、符合JY0001-2003《教学仪器设备产品一般质量要求》。</w:t>
            </w:r>
          </w:p>
        </w:tc>
      </w:tr>
      <w:tr w14:paraId="253E76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87721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544529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水槽</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3AC94BB">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1A91FE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透明聚丙烯材料制，圆形，直径不小于250mm，高度100mm，壁厚不小于2mm。</w:t>
            </w:r>
          </w:p>
        </w:tc>
      </w:tr>
      <w:tr w14:paraId="3C3B56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6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851B3D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44E9EF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方座支架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49984E">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F610A5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1、用于小学科学分组实验。</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有支架底座、立杆、烧瓶夹一只，大、小铁环各一只，垂直夹二只，平行夹一只方座支架的底座尺寸不小于210×135mm，立杆直径为φ12mm，一端有M10×18毫米螺纹，立杆全长618mm。底座采用铸铁，立杆采用金属实心，并镀铬，与底座连接加底部螺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3、烧瓶夹的夹口闭合间隙应小于0.1mm，最大开口不小于35mm，夹杆直径为φ10±1mm，蝶形螺帽为M5。垂直夹、平行夹的夹体为S形，顶部各有M6紧固螺钉、夹持直径范围为φ6～14mm。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大铁环内径φ90mm柄长105mm。小铁环内径为φ50mm，柄长125mm。圆环120°处有一开口，宽约20mm。所有紧固件应同心对称，螺钉旋动松紧适度。螺纹公差按GB197-63三组精度要求。底座放置平稳，无明显晃动现象，支承夹持可靠。</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5、立杆与方座组装后应垂直，垂直度不大于3mm，铁环组装后与立杆垂直，垂直度不大于4mm。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6、产品除符合本标准要求外，还应符合JY26-79《教学仪器产品一般质量要求（试行）》的有关规定。</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7、应符合原教育部标准《方座支架》JY167-84的规定。</w:t>
            </w:r>
          </w:p>
        </w:tc>
      </w:tr>
      <w:tr w14:paraId="7BDE04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8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DDC8C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DE9545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三脚架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C3D4AC">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5EF947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一、适用范围：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适用于小学科学分组实验。</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二、技术要求：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1、有铁环和三只脚两部分。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2、铁环由铸铁制成，内径75mm，外径100mm，铁环底面有120°、直径15mm的三个圆台，用于加固三只脚。</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3、三只脚用直径φ5mm的圆钢制成。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4、三只脚脚距应相等，脚与环结合应紧固。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5、三只脚脚部应在同一平面内，放在平台上，三角架应平环面在一平面内，平直度应小于0.5mm。</w:t>
            </w:r>
          </w:p>
        </w:tc>
      </w:tr>
      <w:tr w14:paraId="3D81EA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3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082A8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27C28F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试管架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63CE66">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8B0C3E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一、适用范围：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小学科学实验室用具，供放置试管用。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二、技术要求：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1、木材经脱脂干燥处理，透明油漆。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2、木质制成12孔12柱,外形尺寸约445mm×80mm×105mm。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3、上板尺寸约445mm×35mm×5mm；孔径为22±1mm。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4、下板尺寸约445mm×80mm×15mm。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5、连接上下板的立柱为17mm×80mm。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6、含管柱为：直径φ85×80mm。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7、底座上平面与上孔板面应平行，无明显偏斜，塑料底座装有配重，在工作台面上放置应稳定可靠。</w:t>
            </w:r>
          </w:p>
        </w:tc>
      </w:tr>
      <w:tr w14:paraId="3C8C24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3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18385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1AEAC1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旋转架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D889FA3">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58F216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一、适用范围：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小学科学教学作电荷作用及磁铁的性质试验用。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二、技术要求：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1、两种电荷的相互作用实验时支撑，搁置条形磁铁，玻璃棒、胶棒等用。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2、结构形式，可折式，成对配置。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3、产品由旋转体、配重环及支座等组成。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4、旋转体上有嵌放条形磁铁、玻棒、胶棒的凹槽。（可调节、建议用夹子）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5、支座应放置平衡、无晃动。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6、装配后应转动灵活。</w:t>
            </w:r>
          </w:p>
        </w:tc>
      </w:tr>
      <w:tr w14:paraId="2C1EE7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8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F02969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D75646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百叶箱支架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AA0F944">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C61ACF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一、适用范围：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适用于小学科学实验教学。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二、技术要求：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 适应百叶箱尺寸：410mm×350mm×230mm（高、宽、深），百叶箱支架高度为1500mm，宽窄应于百叶箱配套。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 材料选用宽度40mm，厚度为3mm的钢角铁制成，支架稳定牢靠，表面做防锈处理。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 支架与支撑杆之间用螺丝固定（可拆卸）。</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 百叶箱支架牢固的埋入地下，顶端约高出地面1200mm，埋入地下的部分，要涂防锈油漆。</w:t>
            </w:r>
          </w:p>
        </w:tc>
      </w:tr>
      <w:tr w14:paraId="0B3227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5D073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8B8906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百叶箱</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1C2C60">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DFC116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一、适用范围、规格：</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1、小学科学教学使用。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2、箱体内尺寸约460mm×290mm×537mm（高、宽、深）。</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二、技术要求：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1、应选松木并经干燥脱脂处理，百叶为双层，人字形排列。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 箱内外应涂白色漆，箱体榫接成形，应牢固，无变形。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3、箱内应有干湿球湿度计和最高、最低温度计盒的固定架。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 百叶箱顶盖应是横竖两层木板镶合而成，前面高于后面10mm，以保护箱内仪器免受损害。</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5、需有档雨板。</w:t>
            </w:r>
          </w:p>
        </w:tc>
      </w:tr>
      <w:tr w14:paraId="3E9D2B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0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D61A6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3725BE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教学电源</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C7BB02E">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D0D7F7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1、小学科学教学演示实验电源。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输出电压：交流输出，2－12V，每2V一挡；共六档；额定输出电流：5A；</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直流稳压输出，1.5V－12V，分1.5V、3V、4.5V、6V、9V、12V六档；额定输出电流：2A；</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直流大电流短时输出：40A，8秒自动关断；</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2、输出端子采用Φ4mm铜芯插座。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3、交流输出：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a. 各档空载电压应不大于1.05 V标＋0.3V；</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b. 各档满载电压应不小于0.95 V标－0.3V。</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4、直流稳压输出：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a. 电压偏调：±（2％V标＋0.1V）</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b. 电压稳定性：输入电压在198V－242V间变化，在满载时各档输出电压变化量不大于2％V标＋0.1V。</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c. 负载稳定性：输入电压保持220V不变，负载电流在0至满载范围内变化，各档输出电压变化量不大于2％V标＋0.1V。</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d. 纹波电压：电源电压保持220V，满载时各档纹波电压不大于0.1％V标（有效值）。</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5、直流大电流短时输出电流大于10A时，20s±2s自动关断。输出短时电流为40A，8 s自动关断</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6、过载保护：</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a. 电源的交流输出和直流输出电流等于或小于其额定输出电流时，电源应正常工作，当输出电流在额定输出电流值的1.05－1.5倍时，电源应能过载保护。</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b. 各档输出电路短路时应能自动关断。</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7、连续工作时间不少于8h。</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8、其他应符合JY0361-1991教学电源等有关标准条款的规定。</w:t>
            </w:r>
          </w:p>
        </w:tc>
      </w:tr>
      <w:tr w14:paraId="057097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0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0B7E5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50012C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电池盒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D0176E">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770EB8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一、适用范围：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小学科学实验用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二、技术要求：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1、电池盒由塑料盒底、正负极弹簧片、插接件组成。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2、电池盒分1号电池一节1个，为组装式，即可并联 多个也可串联多个，组合方便，接触性好，四个为一组。</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3、可串联并联，带M4铜接线柱。</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4、各接触片使用磷铜片材料，表面镀铬并联采用接触片连接，串联采用嵌扭连接。</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5、盒底由工程塑料制成，表面光洁，色泽均匀，弹簧采用薄锡青铜片制成，表面光洁，无毛刺，并经钝化处理。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6、电流连接件全部采用磷铜材料，盒高等于电池直径。</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7、应符合JY0001-2003《教学仪器设备产品一般质量要求》。</w:t>
            </w:r>
          </w:p>
        </w:tc>
      </w:tr>
      <w:tr w14:paraId="146160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8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C2B0D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4AEC09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直尺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D181CE">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3DFA1D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一、适用范围：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适用于小学科学分组实验。</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二、技术要求：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1、刻度清晰，无形变，坚固耐用。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2、直尺全长500mm。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3、刻度最小分度值为1mm，每厘米处的刻线是毫米刻线长的2倍，并标有相应数字。刻线均匀、清晰。无断线、漏线，线纹采用压印或镌刻形成。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4、尺杆为优质钢制成。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5、产品参考符合JY168-84《演示米尺》的有关规定。</w:t>
            </w:r>
          </w:p>
        </w:tc>
      </w:tr>
      <w:tr w14:paraId="67CB01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8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FEF2F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AC842E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软尺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EBA533">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D0CE90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一、适用范围：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适用于小学科学学生分组实验。</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二、技术要求：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1、软尺全长2500mm。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2、最小刻度值为1mm，每厘米处的刻线是毫米刻线长的2倍，并标有相应数字。刻线均匀、清晰。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3、尺带为优质软皮制成。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4、符合JY0001-2003《教学仪器设备产品一般质量要求》。</w:t>
            </w:r>
          </w:p>
        </w:tc>
      </w:tr>
      <w:tr w14:paraId="35BADB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8C5829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1C953C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托盘天平</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06364A">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57577A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1、产品为有标尺非封闭式天平，主要用于小学科学学生分组实验。</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2、最大称量（max）为500g、分度值0.5g。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3、最大允许误差：天平在空载时已调到零位的条件下，在零与最大称量之间的任一载荷，其最大允许误差：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载荷 最大允许误差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首次检定 使用中</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0～250g ±0.25g ±0.5g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＞250g ±0.5g ±1g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4、天平配备砝码为6级，其质量应能满足天平全量值的要求，组合形式应符合JJG99第4条的要求。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5、天平灵敏度、重复性、最大安全载荷，以及天平的刀子、工艺、硬度等要求，天平的偏载误差，装配，外观的要求应符合《架盘天平》QB/T2087标准的要求。</w:t>
            </w:r>
          </w:p>
        </w:tc>
      </w:tr>
      <w:tr w14:paraId="115ACF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C0C48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BB3E64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金属钩码</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CBCC8B">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778668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一、适用范围：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力学仪器,供小学科学演示实验和分组实验用。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二、技术要求：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1、每套10只，每个50g±0.5g。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2、底部凹槽，凹槽深度大于钩的高度。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3、钩码上下各有一个挂钩，供悬挂用。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4、应符合原教育部标准《钩码》JY105－82的要求。</w:t>
            </w:r>
          </w:p>
        </w:tc>
      </w:tr>
      <w:tr w14:paraId="46E8C7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B8C82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D5FECD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电子停表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2DB91D8">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D2B9BC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1、产品为具有石英谐振器，分辨率为0.1S、标称电压为DC1.5V或DC3.0V的扣式电池为能源的液晶教学式石英电子停表。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2、产品具有计时（含累加计时）、定时闹响及其它附加功能。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3、产品应使用可靠，正常使用条件下不得停走，各功能显示及相互转换正常。零部、组件不得自行脱落，字段显示清晰、无误。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4、其它应符合QB/T1908《液晶数字式石英秒表》等有关要求。</w:t>
            </w:r>
          </w:p>
        </w:tc>
      </w:tr>
      <w:tr w14:paraId="22B30E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B5D6F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26</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8FA0E2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温度计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7BE98E">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BBDBE7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1、感温液体的有机红液的棒式温度计供中小学实验用。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2、温度测量范围红液0℃～100℃，分度值为1℃。</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3、相邻两标度线的间距、有机液体温度计应不小于0.8mm。标度线的宽度应不超过相邻标度间距的1/5。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4、温度计的标度线应与毛细管的中心线垂直。标度线、标度值和其他标志应清晰，涂色应牢固。不应有脱色、污迹和其他影响读数的现象。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5、感温液柱不应中断，不应自流，上升时不应有明显的停滞或跳跃现象。下降时不应在管壁上留有液滴或挂色。</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6、玻璃棒和玻璃套管应光滑透明，无裂痕、斑点、气泡、气线或应力集中等影响读数和强度的缺陷。玻璃套管内应清洁，无明显可见的杂质，无影响读数的朦胧现象。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7、感温泡、中间泡、安全泡等要求应符合JJG130-2004《工作用玻璃液体温度计》标准的有关要求。</w:t>
            </w:r>
          </w:p>
        </w:tc>
      </w:tr>
      <w:tr w14:paraId="717B10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8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0B732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27</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C710C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温度计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B915DB">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883BF0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1、感温液体：水银。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2、测量范围：0℃～100℃；最小分度值：1℃；允许误差±1℃，分度均匀。</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3、玻璃应光洁透明，不得有裂痕。毛细管不得有明显的弯曲现象，其孔径应均匀，管壁内应清洁无杂质。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4、感温液体（水银）必须纯洁、无杂质。液线不得中断。上升时不得有停滞和跳跃现象；下降时不得在管壁上留下液滴。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5、产品应符合《玻璃仪器通用技术要求》</w:t>
            </w:r>
          </w:p>
        </w:tc>
      </w:tr>
      <w:tr w14:paraId="306DD5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9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E757E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C9A704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体温计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F32A71">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0BCE6B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1、棒式，测量部位为口腔，测量范围35℃－42℃。</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2、体温计按国际实用温标刻度，温度最小分度值为0.1℃，分度均匀，两相邻分度中心的距离应不小于0.55mm。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3、标度线、计量数字和标志颜色牢固，不允许有脱色、影响读数、颜色污迹等现象。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4、产品应符合国标1588－89《体温计》的要求</w:t>
            </w:r>
          </w:p>
        </w:tc>
      </w:tr>
      <w:tr w14:paraId="6863BB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8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901AB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793468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寒暑表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42FE41">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7F976F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一、适用范围：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小学科学教学演示实验用。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二、技术要求：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 由木质材料镶嵌玻璃棒芯组成。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 采用摄氏（℃）和华氏（℉）木板双刻度，面板标有：摄氏 -30℃～50℃；华氏 -20℃～120℃的标志。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 玻璃棒芯感温液，正面放大玻璃液读数。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 温度准确度：±1℃（0℃～30℃）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 最小分度值：1℃</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 储藏条件：-30℃～60℃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 尺寸：不小于250mm×49mm×9mm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 性能、结构、外观应符合JY0001第4、6、7的有关要求。</w:t>
            </w:r>
          </w:p>
        </w:tc>
      </w:tr>
      <w:tr w14:paraId="36B230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8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F8BEDA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CE9D3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最高温度表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FE81DC">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2CD204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一、适用范围：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小学科学教学测量空气的最高温度用。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二、技术要求：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最高温度表感应部分内有一玻璃针，伸入毛细管，使感应部分和毛细管之间形成一窄道。当温度升高时，感应部分体积膨胀，挤入毛细管；当温度下降时，毛细管中的水银，由于通道窄，却不能缩回感应部分，因而能指示出调整后的最高温度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2、最高温度计玻璃管上刻有-16℃～+81℃的标志，刻度清晰，字迹清楚。不应有酒精柱中断现象。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3、玻璃管表面平整光洁，无划痕、气泡、结石、条纹等现象。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4、温度计各部位应经良好退火，无严重内应力集中现象。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5、其它应符合ZBY270的有关规定。</w:t>
            </w:r>
          </w:p>
        </w:tc>
      </w:tr>
      <w:tr w14:paraId="2ECAB8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3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892CE8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62CC88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最低温度表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5B031B6">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3757C1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一、适用范围：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小学科学教学测量空气的最低温度用。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二、技术要求：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 最低温度计的毛细管内有一哑铃形游标。当温度下降时，酒精柱便相应下降，由于酒精柱顶端表面张力作用，带动游标下降；当温度上升时，酒精膨胀时，酒精柱经过游标周围慢慢上升，而游标仍停在原来位置，因此它能指示上次调整以来这段时间内的最低温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 最低温度计玻璃管上刻有-52℃～+41℃的标志，刻度清晰，字迹清楚。不应有酒精柱中断现象。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 玻璃管表面平整光洁，无划痕、气泡、结石、条纹等现象。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 温度计各部位应经良好退火，无严重内应力集中现象。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 其它应符合ZBY270的有关规定。</w:t>
            </w:r>
          </w:p>
        </w:tc>
      </w:tr>
      <w:tr w14:paraId="491FB1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1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200B7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B1FD71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条形盒测力计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A6FAD73">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EA96AF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一、适用范围：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1、用于小学科学分组实验。</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二、技术要求：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1、产品为压力量程5.0N的条形盒测力计；产品的分度值为1/20；零点平均示差不大于1/4分度。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2、条形盒测力计任一点的平均示差不大于1/2分度。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3、条形盒测力计任一点的重复称量的最大示差不大于1/4分度。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4、刻度尺长为125±2mm；主、辅刻线宽度为0.25±0.05mm；主刻线长为7±1mm，辅刻线长为4±1mm；刻度线及字迹清晰、均匀、工整。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5、在0刻及量程的1/5、2/5、3/5、4/5及满刻度处应有数字标出刻度值。指针覆盖刻线部分的宽度不大于0.5mm；覆盖刻度线长度的3/4。</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6、外壳：金属制，一次冲压制成。刻度面板固定良好。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7、产品应有零位校准机构。</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8、使用寿命应不少于10000次。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9、产品应符合JY0127-91《教学测力计》的要求。</w:t>
            </w:r>
          </w:p>
        </w:tc>
      </w:tr>
      <w:tr w14:paraId="7B2256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6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71443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B73F21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条形盒测力计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F509FC">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1BC7C8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一、适用范围：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1、用于小学科学分组实验。</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二、技术要求：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1、产品为压力量程2.5N的条形盒测力计。产品的分度值为1/20。零点平均示差不大于1/4分度。条形盒测力计任一点的平均示差不大于1/2分度。条形盒测力计任一点的重复称量的最大示差不大于1/4分度。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2、刻度尺长为125mm±2%。主、辅刻线宽度为0.25±0.05mm。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主刻线长为7±1mm，辅刻线长为4±1mm。刻度线及字迹清晰、均匀、工整。在0刻及量程的1/5、2/5、3/5、4/5及满刻度处应有数字标出刻度值。指针覆盖刻线部分的宽度不大于0.5mm；覆盖刻度线长度的3/4。</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3、外壳：金属制，一次冲压制成。刻度面板固定良好。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4、产品应有零位校准机构。</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5、使用寿命应不少于10000次。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6、其他应符合JY-127-91的规定。</w:t>
            </w:r>
          </w:p>
        </w:tc>
      </w:tr>
      <w:tr w14:paraId="28153C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6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30AA6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0A3409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条形盒测力计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CA8305">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6DBE9A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一、适用范围：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1、用于小学科学分组实验。</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二、技术要求：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1、压力量程1.0N的条形盒测力计。分度值为1/20。零点平均示差不大于1/4分度。条形盒测力计任一点的平均示差不大于1/2分度。条形盒测力计任一点的重复称量的最大元差不大于1/4分度。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2、刻度尺长为125mm±2%。主、辅刻线宽度为0.25±0.05mm。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主刻线长为7±1mm，辅刻线长为4±1mm。刻度线及字迹清晰、均匀、工整。在0刻及量程的1/5、2/5、3/5、4/5及满刻度处应有数字标出刻度值。指针覆盖刻线部分的宽度不大于0.5mm；覆盖刻度线长度的3/4。</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3、外壳：金属制，一次冲压制成。刻度面板固定良好。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4、应有零位校准机构。</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5、使用寿命应不少于10000次。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6、其他应符合JY-127-91的规定。</w:t>
            </w:r>
          </w:p>
        </w:tc>
      </w:tr>
      <w:tr w14:paraId="0F13E8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5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13060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3CE991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多用电表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6EF506D">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73B338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1、多用电表可分别测量交直流电压、交直流电流、电阻。</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2、准确度应不低于模拟式电表的交流5级，直流2.5级，电阻2.5级。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3、刻度盘字迹线条清晰，无间断缺损，面板标示清楚、壳体由胶木制成，成型美观光滑。</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4、带通断测试档（蜂鸣器提示）。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5、正规厂家品牌产品。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6、测量范围：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测量范围 灵敏度及压降 精度基本误差等级  % 基本误差表示法</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直流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电压 0~2.5~10~50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~250~500V 20000Ω/V 2.5 ±2.5 以标度尺工作部份上量限的百分数表示之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2500V 4000Ω/V 5.0 ±5.0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交流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电压 0~10~50~250 4000Ω/V  ±5.0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~500V2500V 4000Ω/V  ±5.0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直流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电流 0~5μA~1~10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~100~500~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1000mA~5A 0.75V 2.5 ±2.5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电阻 0~50Ω~2kΩ~20kΩ~2MΩ~20MΩ  2.5 ±2.5 以标度尺工作部份长度的百分数表示之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交流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电流 0~1~10~100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~500~5A 0.75V 5.0 ±5.0 </w:t>
            </w:r>
          </w:p>
        </w:tc>
      </w:tr>
      <w:tr w14:paraId="2F8524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8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1B4D1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36</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8142D1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湿度计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DE7DA15">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96611A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一、适用范围：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1、仪器用于测量湿度。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二、技术要求：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1、产品的构造应符合教学要求，学生应能观看到湿度计结构，方便教学。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2、双金属片结构，指针式。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3、直径不小于100mm。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4、可测范围：0%RH-100%RH。</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5、测量误差：中间部位≤±2RH、其余≤±5RH。</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6、符合JY0001-2003《教学仪器设备产品一般质量要求》</w:t>
            </w:r>
          </w:p>
        </w:tc>
      </w:tr>
      <w:tr w14:paraId="57C7F5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3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F2107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37</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21978D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指南针</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4C4320">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C84012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一、适用范围：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小学科学教学分组实验用。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二、技术要求：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1、指南针由塑料圆盒、方位盘、小指针、有机塑料盖组合。</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2、塑料圆盒直径不小于50mm，并带有悬挂孔。</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3、塑料圆盒内的方位盘中央印有八方向标志，边缘每50划一短细分度线，划线应均匀，清晰无断线，每150标明不同方位的刻度，字迹清楚。</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4、指针轴承座镶嵌玻璃轴承，小指针印有蓝红两色标志南北极。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5、有机塑料盖透明度良好，表面清洁无划痕，无溶迹、缩迹且无毛刺破边现象。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6、符合JY0001-2003《教学仪器设备产品一般质量要求》。</w:t>
            </w:r>
          </w:p>
        </w:tc>
      </w:tr>
      <w:tr w14:paraId="41364F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8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A6857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38</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4B7D2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肺活量计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D5DCA3">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D37A43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一、适用范围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适用于小学科学教学用。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二、技术要求：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1、量程：0～7000mL。</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2、环境温度范围：-40℃～55℃。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3、环境湿度范围：≤90°RH。</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4、产品表面应细致、光滑，不应有毛刺，接合紧密、牢固。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5、采用医用级。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6、产品还应符合JY0001-2003中第4、5、6、7章的有关要求。</w:t>
            </w:r>
          </w:p>
        </w:tc>
      </w:tr>
      <w:tr w14:paraId="4EBBA0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8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64D2A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39</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8DCDE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雨量器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C74DDB2">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56EF35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一、适用范围：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适用于小学科学实验教学用。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二、技术要求：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1、工作环境： -50℃～+45℃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2、由承水器（漏斗）、储水筒（外筒）、储水瓶组成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3、承水口面积： 314cm2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4、承水口内径： Φ200mm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5、雨量量筒的标准范围： 0.05mm～10mm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6、雨量量筒的最小分度： 0.1mm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7、储水器的容量： 2000ml～2500ml </w:t>
            </w:r>
          </w:p>
        </w:tc>
      </w:tr>
      <w:tr w14:paraId="5205F6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8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AFFAE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98BB25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风杯式风速表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87B548">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09C88C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一、适用范围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用于小学科学实验教学使用。(有直读装置)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二、技术要求：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1、采用低功能耗设计并采用液晶显示，减少仪器的功耗；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2、有直读装置。带有数据锁存功能，便于读数；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3、体积小、重量轻、功能全、耗电省、字符大、显示直观、方便携带。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4、风速测量范围0～30m/s，可显示风向0～360°内12个方位，使用电源DC3V，2节5号干电池，电流小于5mA。</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5、符合JY0001-2003《教学仪器设备产品一般质量要求》。</w:t>
            </w:r>
          </w:p>
        </w:tc>
      </w:tr>
      <w:tr w14:paraId="1EC754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3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AB9D8C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41</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B2A663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斜面</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C2FA50">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431776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Style w:val="55"/>
                <w:lang w:val="en-US" w:eastAsia="zh-CN" w:bidi="ar"/>
              </w:rPr>
              <w:t>一、适用范围：</w:t>
            </w:r>
            <w:r>
              <w:rPr>
                <w:rStyle w:val="55"/>
                <w:lang w:val="en-US" w:eastAsia="zh-CN" w:bidi="ar"/>
              </w:rPr>
              <w:br w:type="textWrapping"/>
            </w:r>
            <w:r>
              <w:rPr>
                <w:rStyle w:val="55"/>
                <w:lang w:val="en-US" w:eastAsia="zh-CN" w:bidi="ar"/>
              </w:rPr>
              <w:t>适用于小学科学实验教学。</w:t>
            </w:r>
            <w:r>
              <w:rPr>
                <w:rStyle w:val="55"/>
                <w:lang w:val="en-US" w:eastAsia="zh-CN" w:bidi="ar"/>
              </w:rPr>
              <w:br w:type="textWrapping"/>
            </w:r>
            <w:r>
              <w:rPr>
                <w:rStyle w:val="55"/>
                <w:lang w:val="en-US" w:eastAsia="zh-CN" w:bidi="ar"/>
              </w:rPr>
              <w:t>二、技术要求：</w:t>
            </w:r>
            <w:r>
              <w:rPr>
                <w:rStyle w:val="55"/>
                <w:lang w:val="en-US" w:eastAsia="zh-CN" w:bidi="ar"/>
              </w:rPr>
              <w:br w:type="textWrapping"/>
            </w:r>
            <w:r>
              <w:rPr>
                <w:rStyle w:val="55"/>
                <w:lang w:val="en-US" w:eastAsia="zh-CN" w:bidi="ar"/>
              </w:rPr>
              <w:t>1、由斜面板、摩擦块、砝码桶、支撑杆等组成。</w:t>
            </w:r>
            <w:r>
              <w:rPr>
                <w:rStyle w:val="55"/>
                <w:lang w:val="en-US" w:eastAsia="zh-CN" w:bidi="ar"/>
              </w:rPr>
              <w:br w:type="textWrapping"/>
            </w:r>
            <w:r>
              <w:rPr>
                <w:rStyle w:val="55"/>
                <w:lang w:val="en-US" w:eastAsia="zh-CN" w:bidi="ar"/>
              </w:rPr>
              <w:t>2、斜面板：尺寸</w:t>
            </w:r>
            <w:r>
              <w:rPr>
                <w:rStyle w:val="50"/>
                <w:lang w:val="en-US" w:eastAsia="zh-CN" w:bidi="ar"/>
              </w:rPr>
              <w:t>≧</w:t>
            </w:r>
            <w:r>
              <w:rPr>
                <w:rStyle w:val="55"/>
                <w:lang w:val="en-US" w:eastAsia="zh-CN" w:bidi="ar"/>
              </w:rPr>
              <w:t>815㎜×100㎜×20㎜，刻度0～80㎝。</w:t>
            </w:r>
            <w:r>
              <w:rPr>
                <w:rStyle w:val="55"/>
                <w:lang w:val="en-US" w:eastAsia="zh-CN" w:bidi="ar"/>
              </w:rPr>
              <w:br w:type="textWrapping"/>
            </w:r>
            <w:r>
              <w:rPr>
                <w:rStyle w:val="55"/>
                <w:lang w:val="en-US" w:eastAsia="zh-CN" w:bidi="ar"/>
              </w:rPr>
              <w:t>3、摩擦块也称滑块：为木制品，尺寸：100㎜×80㎜×40㎜，有二个摩擦面不涂漆，100㎜×80㎜和100㎜×40㎜二个面。二个摩擦面的背面都有砝码槽。</w:t>
            </w:r>
            <w:r>
              <w:rPr>
                <w:rStyle w:val="55"/>
                <w:lang w:val="en-US" w:eastAsia="zh-CN" w:bidi="ar"/>
              </w:rPr>
              <w:br w:type="textWrapping"/>
            </w:r>
            <w:r>
              <w:rPr>
                <w:rStyle w:val="55"/>
                <w:lang w:val="en-US" w:eastAsia="zh-CN" w:bidi="ar"/>
              </w:rPr>
              <w:t>4、砝码桶质量小于6g。</w:t>
            </w:r>
          </w:p>
        </w:tc>
      </w:tr>
      <w:tr w14:paraId="7D1284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1580D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576DCA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压簧</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79A8D4">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085EA6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一、适用范围：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供小学科学教学学生实验用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二、技术要求：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1、探究弹簧受外力作用产生形变的规律。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2、金属制品，总长度约13.8mm,簧片间隙为7mm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3、由单根直径是2mm的弹簧钢丝绕制。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4、表面镀镍，自由长度约85mm。</w:t>
            </w:r>
          </w:p>
        </w:tc>
      </w:tr>
      <w:tr w14:paraId="6DF903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A345F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43</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905495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拉簧</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73AFE1">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84B27E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一、适用范围：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1、供小学科学教学学生实验用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二、技术要求：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1、探究弹簧受外力作用产生形变的规律。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2、金属制品，总长度≧9mm。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3、由单根直径是2mm的弹簧钢丝绕制。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4、表面镀镍，自由长度约25mm。</w:t>
            </w:r>
          </w:p>
        </w:tc>
      </w:tr>
      <w:tr w14:paraId="2A2612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8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F104C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44</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1E1F6B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沉浮块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BC8175">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80461C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一、适用范围：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适用于小学科学实验教学。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二、技术要求：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1、实验套件配备器材如下：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序号 名称 规  格 数量 备注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1 水槽及盖  1套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 立方体块 大小不同，重量相同 5个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 半球体 大小相同，重量不同 4个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4 圆柱筒 φ30×56mm，45g 1个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 浮体 塑料鸡蛋，内空，可打开 1个 可改变质量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 浮筒 带盖 1个 可改变质量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2、其余应符合JY0001第4、5、6、7章要求。</w:t>
            </w:r>
          </w:p>
        </w:tc>
      </w:tr>
      <w:tr w14:paraId="77E2EB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8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928BD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48CD78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杠杆尺及支架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794F19">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5C2E58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一、适用范围：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1、适用于小学科学分组实验。</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二、技术要求：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1、研究杠杆平衡条件，供中学物理学生分组实验用。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2、本仪器由杠杆尺、支撑杆，两个调平装置和四只挂钩组成。杆杆为木质或塑料。支撑为镀锌铁件。两个调平装置为镀锌铁件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3、由杠杆尺、支架、调平装置和4只挂钩等组成。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4、符合教育部标准《杠杆》JY172-84要求。</w:t>
            </w:r>
          </w:p>
        </w:tc>
      </w:tr>
      <w:tr w14:paraId="0D63DF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3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71AB8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46</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43DD63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滑轮组及支架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8630DC0">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D75D74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1、适用于小学科学分组实验。</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2、由滑轮组及支架组成。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3、滑轮组要求：单滑轮2件，二并滑轮2件。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轮盘数量（个） 外径（D）mm 轮缘厚amm 轮毂厚bmm 槽深cmm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单滑轮 1 40 7 10 4.5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二并滑轮 2 40 7 10 4.5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4、框架结构形式均为直边封闭式，上下挂钩互成90°或可转动。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5、允许负荷：2千克（19.6牛顿）。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6、符合JY0001-2003《教学仪器设备产品一般质量要求》。</w:t>
            </w:r>
          </w:p>
        </w:tc>
      </w:tr>
      <w:tr w14:paraId="3BD692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3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371C0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47</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AE0C19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轮轴及支架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B7F53A">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EE58D4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一、适用范围：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适用于小学科学分组实验。</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二、技术要求：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1、符合“义务教育课程标准实验《科学》教科书”的教学要求设计。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2、仪器由手轮、轴及支架组成。要求摇手轮，可看到轴上悬挂的重物上升，手摇要求省力。</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3、由大小圆轮组成的轮轴及支架、带勾细线组成。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4、大圆轮直径60mm，小圆轮直径30mm。</w:t>
            </w:r>
          </w:p>
        </w:tc>
      </w:tr>
      <w:tr w14:paraId="1CC6A5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D1037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48</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82E29A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齿轮组及支架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217270">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0E64FC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一、适用范围：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适用于小学科学实验教学。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二、技术要求：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 学具盒内配备器材如下表：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序号 名称 规格 数量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 立杆 φ11×210 1</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 盒底 280×100×36 1</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 盒盖 285×100×10 1</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 固定螺丝 M4×12 3</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 大齿轮 m=2z=28 1</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 小齿轮 m=2z=14 1</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 摇手  1</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2.各个部件组装后转动顺畅，咬合紧密。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3.符合JY0001-2003《教学仪器设备产品一般质量要求》。</w:t>
            </w:r>
          </w:p>
        </w:tc>
      </w:tr>
      <w:tr w14:paraId="677244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8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41CC4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49</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924F34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弹簧片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ECD802">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5B39A1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一、适用范围：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适用于小学科学分组实验教学。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二、技术要求：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1、结构及外观的一般要求应分别符合JY0001的相关要求。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2、产品性能满足小学科学实验教学的要求。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3、物体弹性振动发声实验</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4、不锈钢片，长不小于100mm，宽不小于15mm，厚不小于0.3mm。</w:t>
            </w:r>
          </w:p>
        </w:tc>
      </w:tr>
      <w:tr w14:paraId="3F5DF7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8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79B77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A1AE3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小车</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674D07">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7A5D29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一、适用范围：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适用于小学科学分组实验。</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二、技术要求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1、外形尺寸100mm×80mm×40mm，允差±1mm。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2、小车一端面中心设置挂钩，另一端设纸带夹。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3、小车轮距≥40mm，轴距≥60mm，车轮直经≥24mm，车轴总质量≤40g，车轴应按教学要求教学设置。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4、小车总质量200g±1g。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5、小车在700mm长平面内，直线运动偏差≤5mm。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6、小车能在1：35斜面上自由下滑。</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7、其余应符合JY0001-2003《教学仪器产品一般质量要求》中相关规定。</w:t>
            </w:r>
          </w:p>
        </w:tc>
      </w:tr>
      <w:tr w14:paraId="0DDBC0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2BD44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51</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66DB99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三球仪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4F816D">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9CE932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一、适用范围：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适用于小学科学演示实验。</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二、技术要求：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1、塑料与金属配件相结合。</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2、具有电动和手动两种功能，使用电源为DC3.0V ~4.5V。</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3、由日球、地球、月球、节气盘、月相盘、月球轨道等部分，月球中心高度和月球中心平均高度应与地球中心高相等。地轴倾斜角度为23.5°。月球绕地球转动应呈25°左右。</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4、各部比例应协调，转动灵活，稳定性好。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5、产品参考执行JY58－80《地球仪技术条件》的要求。</w:t>
            </w:r>
          </w:p>
        </w:tc>
      </w:tr>
      <w:tr w14:paraId="4C7D52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63F36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E40CB1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太阳高度测量器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AF863D">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70C7EC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一、适用范围：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小学科学教学学生测量太阳高度角用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二、技术要求：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1、有角度盘、测角尺、底座、调平装置各部分。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2、角度盘直径不小于100mm，厚度不小于0.8mm，最小刻度为1°，逢5°的倍数处刻有一较长刻线。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3、测角尺厚度不小于0.8mm，测角时转动灵活，但不碰伤角度盘。</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4、吸光屏，受光屏应在同一直线上。</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5、仪器由铝制量角器、测量架、重锤、底座等组成，应能测量太阳在天体座标中高度。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6、仪器底座应装置调平螺丝，并使重锤能对准基尖。</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7、旋转测量架十字孔与投影屏十字线的同轴度≤0.1mm。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8、其余应符合JY0001第4、5、6、7章要求。</w:t>
            </w:r>
          </w:p>
        </w:tc>
      </w:tr>
      <w:tr w14:paraId="5C6C0C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3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27ECB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53</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A9C494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风的形成实验材料</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609955">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4F0291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一、适用范围：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适用于小学科学分组实验。</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二、技术要求：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1、符合“义务教育课程标准科学教科书”的教学要求设计。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2、由箱体、出风管、蜡烛、蜡烛台、燃烟杆等组成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3、由有机玻璃制的风筒、金属制的风叶组件、蜡烛组成。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4、风筒直径不小于50mm,高度150mm，风叶组件可安装在风筒上端。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5、风叶转动轻巧灵活。</w:t>
            </w:r>
          </w:p>
        </w:tc>
      </w:tr>
      <w:tr w14:paraId="275813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8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70B97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54</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B4CFE0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组装风车材料</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C1ECA5D">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F517C1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一、适用范围：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适用于小学科学实验。</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二、技术要求：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1、符合“义务教育课程标准实验教科书”的教学要求设计。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2、纸制风车叶二分和手持柄组成。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3、由风叶、支杆、铆钉、细铁丝组成。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4、风叶为纸质或塑料薄片，尺寸不小于100mm×100mm，支杆为塑料制，直径5mm，长度151mm。</w:t>
            </w:r>
          </w:p>
        </w:tc>
      </w:tr>
      <w:tr w14:paraId="686454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8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10931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55</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BE875B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组装水轮材料</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528327">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8C98F0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一、适用范围：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适用于小学科学实验用。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二、技术要求：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1、水轮（机）元件、部件齐全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2、组装容易，配合良好，无卡滞现象。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3、组装后的水轮（机）能转动灵活、可靠，拆卸容易。</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4、其余应符合JY0001-2003《教学仪器产品一般质量要求》中相关规定。</w:t>
            </w:r>
          </w:p>
        </w:tc>
      </w:tr>
      <w:tr w14:paraId="3B3D70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8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3C95F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56</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036FCB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太阳能的应用材料</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BA0E146">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B9E633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一、适用范围、规格型号：</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小学科学教学演示实验用。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二、技术要求：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1、仪器由太阳能电池板、小电机插件组成。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2、太阳能电池板：最大开路电压约3.4V，最大短路电流约50mA。</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3、小电机插件：工作电压3V，工作电流约30mA。</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4、符合JY0001-2003《教学仪器设备产品一般质量要求》。</w:t>
            </w:r>
          </w:p>
        </w:tc>
      </w:tr>
      <w:tr w14:paraId="11E975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8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B714FD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57</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B76B36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音叉</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F3E15D">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49A205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1、适用于小学科学分组实验。</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2、本音叉的频率为256Hz，频率误差不大于0.5Hz(20℃时)。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3、音叉叉股宽为8.5mm，两叉股内间距为9mm,圆柄φ8mm，音叉全长约200mm。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4、叉股厚5.5mm，两叉股的厚度差不大于0.05mm。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5、两叉股表面平整，叉股内侧平面与底部圆弧光滑相切，表面镀铬，并有F256的频率标志。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6、其余应符合JY227的有关要求。</w:t>
            </w:r>
          </w:p>
        </w:tc>
      </w:tr>
      <w:tr w14:paraId="3747A7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8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28A02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58</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44784B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小鼓</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43BA27">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26E49F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一、适用范围：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适用于小学科学分组实验。</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二、技术要求：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1、两鼓面平整，无气眼、虫注等小孔缺陷。</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2、结构牢固，可靠。</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3、耳环、背带牢固，不容易脱落、断裂。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4、鼓锤与鼓配对、协调。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5、打击鼓声清脆，无杂音。</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6、木制外壳，羊皮纸鼓面。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7、直径不小于150mm。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8、配二根木棒。</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9、符合JY0001-2003《教学仪器设备产品一般质量要求》。</w:t>
            </w:r>
          </w:p>
        </w:tc>
      </w:tr>
      <w:tr w14:paraId="5D27B9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D904B7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59</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298489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组装土电话材料</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4B991A">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526026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一、适用范围：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适用于小学科学教学演示实验。</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二、技术要求：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1、符合“义务教育课程标准实验教科书”的教学要求设计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2、由塑料外套、土电话筒、薄膜、棉线等组成，导线长度可在5-20米之间，以免影响实验效果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3、产品应符合JY0001《教学仪器产品一般质量要求》。</w:t>
            </w:r>
          </w:p>
        </w:tc>
      </w:tr>
      <w:tr w14:paraId="22DC7C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8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F067D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BC1279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热传导实验材料</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D7F4B1">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B78B74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一、适用范围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小学科学教学演示实验用。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二、技术要求：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1、由木片，金属片，塑料片，玻璃片，陶瓷片、棉花、石棉等材料组成，配有塑料盒体。</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2、其中金属片2片，木片、金属片、塑料片、玻璃片、陶瓷片长80mm，宽20mm，厚0.5～4mm.。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3、产品应符合JY0001《教学仪器产品一般质量要求》。</w:t>
            </w:r>
          </w:p>
        </w:tc>
      </w:tr>
      <w:tr w14:paraId="13B926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8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A7124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61</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59DFC2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物体热涨冷缩实验材料</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4328E4">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90D502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一、适用范围：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适用于小学科学分组实验。</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二、技术要求：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1、符合“义务教育课程标准科学教科书”的教学要求设计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2、带吊链手柄的铜球与带手柄的圆环及带柄塑料球组成，演示固体的热胀冷缩之用。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3、手持式，由塑料球、金属球及实验架组成。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4、塑料球、金属球直径不小于25mm。</w:t>
            </w:r>
          </w:p>
        </w:tc>
      </w:tr>
      <w:tr w14:paraId="7B5ED2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8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0BDC2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2DE0CD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灯座及灯泡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C9CA2F">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D89D44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一、适用范围：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适用于小学科学分组实验。</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二、技术要求：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1、《九年义务教育科学课程标准》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2、底板（电木粉）制作，螺丝口由有色金属（铜）制作。正、负由（红、黑）接线柱帽组成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3、由螺口灯座,底部电极,连接片,接线柱和底板组成。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4、底座约75mm×35mm×10mm,工作电压不大于36V,工作电流不大于1A，执行JY116标准。配2.5V小灯泡1个。</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5、符合JY0001-2003《教学仪器设备产品一般质量要求》。</w:t>
            </w:r>
          </w:p>
        </w:tc>
      </w:tr>
      <w:tr w14:paraId="4CBCA6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FCE1F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63</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431408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开关</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76B5E3">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8A3698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一、适用范围：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适用于小学科学分组实验。</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二、技术条件：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1、适用于教学演示实验和学生分组实验用的教学开关</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2、开关的最高工作电压36V，额定工作电流6A。</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3、开关闸刀与接线柱及垫片为铜质，闸刀的宽度小于7mm，闸刀厚度不小于0.7mm.接线柱直线4mm，有效行程不小于4mm。开关应具有足够的强度。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4、由底座，接线柱，闸刀，刀座，刀承和绝缘手柄组成。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5、底座：黑色塑料，75mm×35mm×10mm。闸刀和刀座用厚0.8mm磷青铜片制，闸刀长50mm±1mm，宽8.0±0.2mm。开关接通，电阻不大于0.01Ω，开关断开电阻100MΩ，工作电压不超过36V，工作电流不超过6A，执行JY116标准。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6、抗电强度为500V，寿命应不小于10000次。</w:t>
            </w:r>
          </w:p>
        </w:tc>
      </w:tr>
      <w:tr w14:paraId="099D98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8E871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64</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0C8517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物体导电性实验材料</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D4D64F">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183669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一、适用范围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适用于小学科学分组实验。</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二、技术条件：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1、符合“义务教育课程标准科学教科书”的教学要求设计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2、由线叉、导线、电阻、二极管、电子蜂鸣器、实验板、三极管、电容、电池盒等组成。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3、可试验液体、人体等的导电性。</w:t>
            </w:r>
          </w:p>
        </w:tc>
      </w:tr>
      <w:tr w14:paraId="0999F8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8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D2ECD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65</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42E8A1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条形磁铁</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28EE36">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B8E518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一、适用范围：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适用于小学科学教学演示实验。</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二、技术要求：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1、规格型号：D-CG-LT-180。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2、磁感应强度：大于60×10-3T，磁极端大约可收起50～100颗大头钉。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3、材质：磁钢制品。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4、符合中华人民共和国教育部标准JY0001。</w:t>
            </w:r>
          </w:p>
        </w:tc>
      </w:tr>
      <w:tr w14:paraId="639EDC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3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6F287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66</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F04BBA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条形磁铁</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8273B0">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3186EB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一、适用范围、型号规格：</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适用于小学科学分组实验用条形磁铁。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二、技术要求：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1、学生用，条形。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2、铁氧体材料，磁铁长36㎜，宽9㎜，厚6㎜，成对配置，磁感应强度大于60×10-3T。</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3、材质：磁钢制品。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4、产品符合JY0122-91《小学磁铁性质实验盒》中有关条形磁铁的要求。一对产品有一个纸盒包装。</w:t>
            </w:r>
          </w:p>
        </w:tc>
      </w:tr>
      <w:tr w14:paraId="40F895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6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A459A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67</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546D00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蹄形磁铁</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C120104">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6A9441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一、适用范围、型号规格：</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1、适用于小学科学演示实验用蹄形磁铁。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2、D—CG—LU—80型（D—CG—LU—100型）。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二、技术要求：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1、结构外观应符合JY0001第6、7章的有关规定。</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2、其它技术要求符合JY0057第4章的有关规定。</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3、磁铁经高温老化处理后两磁极磁感应强度平均值应不小于70mT。</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4、铝铁碳、铁氧体材料磁钢的磁特性(室温磁化到饱合后的最小值)应不小于下表规定：</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材料牌号  剩磁 矫顽力 最大磁能积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BrWb/㎡ Hc  KA/m (BH)max  KJ/㎡</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铝铁碳 LTT3.6 0.50 11.2 2.8～3.6</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铁氧体 Y10T 0.20 128～160 6.4～9.6</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Y15 0.28～0.36 128～192 14.3～17.5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5、材质：磁钢制品。</w:t>
            </w:r>
          </w:p>
        </w:tc>
      </w:tr>
      <w:tr w14:paraId="7C4054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8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FDC994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68</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BEFAA0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蹄形磁铁</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600DB4">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8F08C3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一、适用范围：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用于小学科学分组实验。规格型号：学生用。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二、技术要求：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1、电磁学仪器，供中小学演示实验用。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2、型号规格：U082型。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3、磁感应强度大于50×10-3T。</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4、材质：磁钢制品。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5、符合中华人民共和国教育部标准JY0057。</w:t>
            </w:r>
          </w:p>
        </w:tc>
      </w:tr>
      <w:tr w14:paraId="7C4BF5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8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EB919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69</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061780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磁针</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CFD347C">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7A9017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一、适用范围：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用于小学科学教学分组实验用磁针。</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二、技术要求：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1、2405型。翼形磁针，每组2支。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2、针体长140±2.0㎜、宽8±0.7㎜。</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3、座底径71±1.5㎜，总高112±1.7㎜。</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4、针平均剩磁不小于9mT。</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5、应符合JY0012第5章的有关要求。  </w:t>
            </w:r>
          </w:p>
        </w:tc>
      </w:tr>
      <w:tr w14:paraId="5BA1B2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8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A266B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70</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1D2C44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环形磁铁</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B739C0">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072886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一、适用范围：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适用于小学科学分组实验教学。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二、技术要求：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1、由两只厚度为5.5mm，Ф16 mm×5 mm的环形强力磁铁组成。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2、每只磁铁上有红、蓝两面，分别表示N、S两极。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3、材质：磁钢制品。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4、其余应符合JY0012第5章的有关要求。</w:t>
            </w:r>
          </w:p>
        </w:tc>
      </w:tr>
      <w:tr w14:paraId="125C5A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3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071CC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71</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EFF5B5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电磁铁组装材料</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E759FD">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7754F6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一、适用范围：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适用于小学科学分组实验。</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二、技术条件：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1、符合“义务教育课程标准实验教科书”的教学要求设计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2、由U形铁芯、圆柱形铁芯、线圈、指南针、衔铁、联接线、塑料盒、大头针等组成。1.5V电源,线圈有地互助组,每组约200匝,每组线圈配有3个接线柱,可在U形铁芯和圆柱形铁芯上互换使用.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3、产品符合JY0001-2003《教学仪器设备产品一般质量要求》。</w:t>
            </w:r>
          </w:p>
        </w:tc>
      </w:tr>
      <w:tr w14:paraId="13DED3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B6A8A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1151FB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电磁铁</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D6350E1">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CEB87B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一、适用范围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适用于小学科学实验用。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二、技术要求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1、产品由螺线管、铁芯、轭铁、衔铁、铃、接触片、接线弹簧、实验盒等组成。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2、产品共有线圈3只,其中匝数为400±10匝的2只，匝数为200±10匝1只。</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3、2只400匝的螺线管组成Ｕ形电磁铁,当工作电压为3Ｖ时，其磁力不小于5Ｎ。</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4、铁芯截面不小于25ｍｍ,长度不小于100ｍｍ。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5、轭铁厚度不小于1,5ｍｍ，表面镀铬。</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6、衔铁厚度不小于1.5ｍｍ,中间装有挂钩,挂钩长度不小于10ｍｍ。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7、铃的铃壳为黄铜制成，直径不小于20ｍｍ，铃支撑为薄铜片制成,有足够的弹性,音响效果能在2ｍ的范围内声音清晰。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8、接触片由定片、动片组成。两定片触点间距不小于3ｍｍ，动片长度不小于100ｍｍ，有足够的弹性,其上附有1ｍｍ厚的铁片,铜、铁片铆合紧密。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9、实验盒为塑料制成，盒内有固定接触片,铃的凸台及固定Ｕ形电磁铁的卡口。</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10、所有金属件无毛刺，表面镀覆。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11、产品符合JY0001-2003《教学仪器设备产品一般质量要求》。</w:t>
            </w:r>
          </w:p>
        </w:tc>
      </w:tr>
      <w:tr w14:paraId="38FD82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AC6391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73</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214619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手摇发电机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D42486">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998735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一、适用范围：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适用于小学科学演示实验。</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二、技术要求：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1、电学仪器,供中小学演示发电机的构造与工作原理。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2、仪器为旋转磁场式，由底座、电枢、磁块、大、小皮带轮、手柄轴、电路板等组成。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3、仪器为立式结构。发光二极管显示。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4、外观：各部位分布清晰，外壳透明。</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5、应符合原教育部标准《手摇交直流发电机技术条件》JY21－79的要求。</w:t>
            </w:r>
          </w:p>
        </w:tc>
      </w:tr>
      <w:tr w14:paraId="663DA5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298B0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74</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EBE3A0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激光笔</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6B8268">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D8F78A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一、适用范围：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适用于小学科学分组实验。</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二、技术要求：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1、集遥控电脑功能与激光教鞭一体，是配合PC机或手提电脑，结合投影仪，学生学习，开会等使用面广泛用于产品演示，电化教学，会议多功能掌上工具。</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无线发射：带红色激光的遥控控笔杆上有3个按钮（翻页键、退页键、激光开启键）；无线接收：USB1.1及2.0接口（插于电脑USB插座，即插即用，控制POWERPOINT（PPT）的翻页及退页功能）；无线遥控POWERPOINT幻灯片前后翻页。激光指示教鞭，射频技术，范围7-15m，无使用角度，互不干扰，识别码自学习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3、微型激光器，波长630nm，工作电压4.5V，功率不大于5mW，带直流电源输入连接线。</w:t>
            </w:r>
          </w:p>
        </w:tc>
      </w:tr>
      <w:tr w14:paraId="2AF155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3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1B545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75</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373FF5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小孔成像装置</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778E1E">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C04232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一、适用范围：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适用于小学科学分组实验。</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二、技术要求：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1、符合“义务教育课程标准科学教科书”的教学要求设计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2、由于小学光学教学实验，由烟台、小孔板、毛玻璃、投影屏及底座组成。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3、小孔成像效果明显。</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4、产品符合JY0001-2003《教学仪器设备产品一般质量要求》。</w:t>
            </w:r>
          </w:p>
        </w:tc>
      </w:tr>
      <w:tr w14:paraId="130841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3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A3DF0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76</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761445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平面镜及支架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B98343">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B9FEEF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一、适用范围：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适用于小学科学分组实验。</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二、技术要求：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1、符合“义务教育课程标准科学教科书”的教学要求设计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2、由平面镜及座各二组，光屏板及座、蜡烛组成。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3、由平面镜、镜框、支架和镜座各部分组成。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4、镜面大小直径100±2mm。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5、产品符合JY0001-2003《教学仪器设备产品一般质量要求》。</w:t>
            </w:r>
          </w:p>
        </w:tc>
      </w:tr>
      <w:tr w14:paraId="523954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8D26E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77</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02D52D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曲面镜及支架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CCDB81">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64CD4D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一、适用范围、型号规格：</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适用于小学科学分组实验。</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二、技术要求：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1、由固定凹、凸曲面镜的实验平台组成。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2、由凸面镜、凹面镜及支架组成，镜面直径不少于100±2mm。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3、其余应符合JY0012第5章的有关要求。</w:t>
            </w:r>
          </w:p>
        </w:tc>
      </w:tr>
      <w:tr w14:paraId="0A9D14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AF98F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78</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B2C93F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透镜、棱镜及支架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87E374">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A48441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1、供小学科学课分组实验用。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2、由凸透镜、三棱镜等及支架组成。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3、凸透镜部分：由凸透镜、镜框、镜座；凸透镜直径100±2mm，焦距65±10mm。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4、三棱镜部分：有三棱镜体、托架、支柱、底座各部分；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5、镜体外形为正三棱，边长25±0.5mm；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6、玻璃材料要求符合GB903-65《无色光学玻璃》中的规定。</w:t>
            </w:r>
          </w:p>
        </w:tc>
      </w:tr>
      <w:tr w14:paraId="6390BF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FB743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79</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010EDF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成像屏及支架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4A8F60">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65A25D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Style w:val="55"/>
                <w:lang w:val="en-US" w:eastAsia="zh-CN" w:bidi="ar"/>
              </w:rPr>
              <w:t>由白屏、毛玻璃屏、小蜡烛及2个多用插座组成。白屏、毛玻璃屏尺寸</w:t>
            </w:r>
            <w:r>
              <w:rPr>
                <w:rStyle w:val="50"/>
                <w:lang w:val="en-US" w:eastAsia="zh-CN" w:bidi="ar"/>
              </w:rPr>
              <w:t>≧</w:t>
            </w:r>
            <w:r>
              <w:rPr>
                <w:rStyle w:val="55"/>
                <w:lang w:val="en-US" w:eastAsia="zh-CN" w:bidi="ar"/>
              </w:rPr>
              <w:t>59mm×79mm，与多用插座配合松紧适当。插座尺寸≧64×24×21mm。</w:t>
            </w:r>
          </w:p>
        </w:tc>
      </w:tr>
      <w:tr w14:paraId="78980C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8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108E3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80</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B173D6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昆虫观察盒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744FD3">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4CE09E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1、小学科学分组实验用。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2、盒体基本尺寸（长×宽×高）：90mm×90mm×80mm。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3、昆虫盒放大镜直径φ64±1mm，焦跑150±10mm。放大倍数≥3倍。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4、镜片透光性能好，中心φ30mm范围内不允许有明显的条纹、气泡、沙眼等缺陷，镜片边缘不允许有明显的裂碎和崩边现象。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5、塑料件表面光滑透明、无毛刺、裂缝、疤痕和缺角，底盘刻度不允许有变形现象。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6、底部方格不变形。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7、材质：有机玻璃制。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8、产品符合JY0001-2003《教学仪器设备产品一般质量要求》。</w:t>
            </w:r>
          </w:p>
        </w:tc>
      </w:tr>
      <w:tr w14:paraId="00EBBD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FC7E7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81</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A29345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动物饲养笼</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6B19FB">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9E6A20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一、适用范围：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适用于小学科学实验用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二、技术要求：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1、用于小学自然教学中所使用的动物饲养槽。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2、饲养槽长500mm，宽300mm，高200mm，四周用铝合金镶边；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3、饲养槽中间框架用木材制成，油漆层平整、光洁、无毛刺；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4、饲养槽盖用铁丝网制成，以通风透气；槽底用竹席作底垫；</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5、饲养槽正面框架处挖有圆孔，上面上塑料盖片。</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6、、栏栅结构，由金属制成，饲养笼尺寸约440mm×300mm×320mm，总高约370mm，门宽约170mm，高约180mm，笼门开启方便。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7、配有接水盘，尺寸420mm×320mm。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8、产品符合JY0001-2003《教学仪器设备产品一般质量要求》。</w:t>
            </w:r>
          </w:p>
        </w:tc>
      </w:tr>
      <w:tr w14:paraId="2EFC49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D4D6D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F15BC7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塑料注射器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CC9C81">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6BF33F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一、适用范围: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适用于小学科学分组实验。</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二、技术要求：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1、环氧乙烷灭菌，无毒，无热源。仅供一次性使用，用后销毁。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2、规格30mL。</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3、全新塑料注射器。</w:t>
            </w:r>
          </w:p>
        </w:tc>
      </w:tr>
      <w:tr w14:paraId="3AE7E3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0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AE4F9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83</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28E7C4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儿童骨骼模型</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94C5FA">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2A3BE6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1、用于小学科学演示教学。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2、产品结构：产品为男性儿童骨骼模型，串制成正常直立姿势立于支架上。</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颅：由脑颅骨和面颅骨组成，沿眉弓的上方向两侧至颗鳞的上方，向后到人字缝将颅盖横切，颞下颌关节可活动。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脊柱：由七块颈椎，十二块胸椎，五块腰椎，一块骶骨，一块尾骨和椎间盘组成。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胸廓：由一切胸骨，十二对肋与十二个胸椎及椎间盘连接构成。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骨盆：由骶骨，尾骨和两块髋骨组成。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上肢骨：由六十四块骨组成，肩关节可拆装，肩、肘、腕等关节可自由活动。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下肢骨：由六十二块骨组成，髋关节可拆 装，髋、膝、踝等关节均能活动。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J3302-1型，模型高85cm；J3302型，模型高170cm。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技术要求：颅骨与身体的比例应为1：7，颅的各骨的比例，大小应合适。骨缝应清楚，骨性鼻腔，眶及所有孔，管、沟、裂显示应正确自然。两下颌角间距J13302型为115±5mm，J3302-1型为57±5mm，牙咬合应正常，上、下齿共三十二个。</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脊柱：椎骨的各部及椎间盘的结构要准确，应正确表示出脊柱的四个生理弯曲。第一颈椎，第二胸椎前缘，第十二胸椎体前缘和骶胛，应同在一垂直线上。</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软骨与骨在质感上，应有明显的区别。</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骨的形态特征，应正确清晰。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骨、软骨，应有色别，在同一模型上，同一种颜色的零件，不得有目视的色差。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为了防止变形或脆裂，模型应采用硬塑或混合树脂制作，不得采用软塑料。</w:t>
            </w:r>
          </w:p>
        </w:tc>
      </w:tr>
      <w:tr w14:paraId="24512A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D3481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84</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4739CF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儿童牙列模型</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BBE448">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D550E7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1、模型为右则下半之牙列，下颌角至冠突高，保留右半下颈骨及部分牙龈。</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2、示牙列右侧中切牙、侧切牙、尖牙、和一前磨牙、第二前磨牙、第一磨牙、第二磨牙和第三磨牙在齿槽内的形态、位置和结构特点。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3、磨牙在齿槽内的形态、位置和结构特点。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4、第二磨牙做正中矢状物，示牙切面的结构。</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5、并可示动、静脉、神经由下颌孔出入，经牙腔孔至牙颏孔的结构。</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6、磨牙的一侧切面示釉质、牙质、粘合质及牙腔。另一侧切面上示牙髓。</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7、产品的性能应符合JY0001-2003第4章的相关规定。</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8、产品的结构应符合JY0001-2003第6章中的相关规定。</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9、产品的外观应符合JY0001-2003第7章中的相关规定。</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10、产品应符合JY0001-2003第9章中的相关规定。</w:t>
            </w:r>
          </w:p>
        </w:tc>
      </w:tr>
      <w:tr w14:paraId="39DC69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3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80E45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85</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73AFF6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少年人体半身模型</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9041F7">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98A227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供小学科学课演示用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1.产品的结构</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产品为高约85mm之少年男性解剖模型，包括头、颈、躯干部分。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2、示人体内脏器官的正常位置、形态结构及其相互的关系，重点显示呼吸、消化和泌尿三个系统。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头颈部做正中矢状切面，颈部做水平切面。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剥离右侧头面部部分软组织，示部分颅骨，右半脑可取出，眼球固定于眼眶内，头面部左侧示自然外部形态。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头部右侧示颅腔内部结构，脑、脊髓及十二对脑神经根。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示口腔、鼻腔、咽腔、食管、喉腔和气管的纵切面，以及它们之间的通道关系。</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右侧示腮腺、下颌下腺、舌下腺及喉前方的甲状腺。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胸腹部两侧近腋前线切下胸腹壁，在其断面上示肋骨和胸腹壁肌。</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胸腔内显示：肋骨及肋间肌；心脏（可拆下，示心脏及连通心脏的主要动静脉）；两肺（均可拆下，示肺门结构。两肺做额状切，右肺示内部的血管及支气管的分布，左肺示其断面结构）；气管及支气管（可拆下）；食食与胸主动脉（连在一起可拆下）。胸后壁示胸导管，交感干和奇静脉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膈能拆下，并显示出膈穹窿。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3、腹腔内显示：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a.肝、胃、肠、胰和脾（可分别拆下）。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b.胃贲门剥去浆膜，胃壁分层剥离，分别显示其分层结构，幽门部做额状剖面，示幽门括约肌及幽门瓣。</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c.十二指肠、胰、脾相连，胰做剖面示胰腺导管；除去十二指肠前壁，示胰管及胆总管开口于十二指肠大乳头。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d.部分空肠做纵剖面，回盲部做剖面，示其内部结构：直肠于小骨盆处横断。</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e.肝：示镰状韧带、冠状韧带及三角韧带，并示肝门的结构。</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f.腹后壁：示肌肉、左右肾、左右肾上腺、输尿管、腹主动脉及其分支和下腔静脉及其属支；右肾做额状断面，示内部结构。</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4、盆腔内显示；膀胱、输精管和直肠上段；膀胱、输精管和直肠上段；膀胱可取出，上附精裹腺、前列腺和输尿管末端。膀胱及前列腺做剖面，示膀胱三角区和内壁的结构特点以及尿道前列腺部的结构特点。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示男性外生殖器，阴茎中段做横断面示内部结构。</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上肢根部横断，下肢平大腿上1/3横断。</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5、技术要求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内脏各器官应形态正确、比例适当、纹理清晰、连接准确和切面平整。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各部位着色应准确、鲜明，颜色不得溢出外界。</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金属另件或镶嵌件，都应按使用要求做表面处理。镶嵌件定位必须准确牢固，拆装方便，松紧适度，无松动脱落或呆滞现象。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头部：下列各部结构形态位置应显示正确清楚：右侧的腮腺，腮腺导管及下合颌下腺；颅缝、颅骨的板障、额窦及蝶窦；颅盖、颅底的孔管沟裂；口腔和鼻腔、咽腔等侧壁的结构。</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沿第一颈椎下缘横断脊髓，其连接处要吻合。</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脑垂体应悬于下丘脑，呈椭圆形，位于垂体窝内借漏斗连于下丘脑。</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头部左侧矢状断面的结构应与右侧对称，应正确显示硬脑膜、基底动脉及鼻中隔等结构。</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应正确显示颈前部横断面的结构。</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胸腔：心脏的形态位置应正确，心脏的长径约为11~13cm，横径约为8~10cm，前后径约为5~6cm，心尖朝左前下，心底朝右后上方，心长轴与正中矢状面成45°角。</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气管长约为10cm，横径约为1.5cm，矢状径约为1cm。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右主支气管长约2cm，内径1cm，与气管中线延长线尖角为25°~30°；左主支气管长约4cm，与气管中线延长线的夹角为40°~50°。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两肺的斜裂和右肺的水平裂，其起止点的走向应正确，其下界在腋中线处与第八肋相交。</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应显示食管的第二狭窄，位于右主支气管交叉处；第三狭窄在食管穿经膈食管裂孔处。</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膈应为呼气状态的形态特点。示出腔静脉孔、食管裂孔和主动脉裂孔，其形态位置应正确。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腹腔：胃左右动脉、胃网膜左右动脉的走向分布应正确自然。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胃壁上的胃左动脉和腹腔干（腹腔动脉）的断端应相吻合。</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十二指肠的降部长约为6cm，位于第一至第三腰椎右侧，水平部长约2cm，平第三腰椎；升部长约2cm。十二指肠空肠曲应位于第二腰椎左侧。十二指肠各部的走向应正确。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空回肠、盲肠和结肠的肠壁及粘膜的形态结构应正确；盲肠长度约为6cm，结肠应显示结肠带与肠脂垂。直肠末端应显示阑尾。</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肝的大小约为长径×宽径×厚径；20×10×11cm，肝上界与膈穹窿一致，在右锁骨中线处，约平右侧第五肋，肝下缘不超出第十肋。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胆襄、肝左右管、肝总管、胆襄管和胆总管的形态位置应正确；胆总管的走向沿十二指肠降部的背内侧壁下行，开口于十二指肠大乳头。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胰应位于胃的后方，相当于第一、二腰椎的高度，应正确显示胰头、胰体和胰尾三部，以及胰头后方的脾静脉与肠系膜上静脉合成门静脉。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脾动脉应在脾静脉的上方，紧贴腹后壁沿胰的上缘迂曲左行，至脾门分数支入脾。脾应位于左季肋部，与第九和第十一肋相对，脾长轴和第十肋一致，应显示脾前缘下部的2~3处脾切迹。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肾长约为9cm，宽约为4.5cm，右肾上端平第十一胸椎下缘，下端平第二腰椎下缘，右缘上端平第十二胸椎，下端平第三腰椎，肾门距中线约为4cm，两紧上端距中线约3cm，下端距中线约为6cm。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肾上腺应正确显示右为三角形，左为半月形。右肾上腺静脉注入下腔静脉，左肾上腺静脉注入左肾静脉。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输尿管应正确显示在越小骨盆入口处较狭窄。左输尿管应跨骼总动脉末端，右输尿管应跨骼外动脉起端。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膀胱的剖面应显示两输尿管的开口及尿道内口。</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盆腔壁上和膀胱底面输尿管、输精管的断端应相吻合。</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阴茎海绵体、尿道海绵体及阴茎筋膜的形态结构应正确。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6、为了防止变形或脆裂，模型应采用硬塑或混合树脂制作，不得采用软塑料。</w:t>
            </w:r>
          </w:p>
        </w:tc>
      </w:tr>
      <w:tr w14:paraId="441963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6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ADECD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86</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024595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眼构造模型</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81D4A5">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EB9DFC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1、眼构造的血管的粗细、比例、位置、走向以及分支和脂肪的关系，应正确自然，动静脉的管壁应有明显的区别。</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2、该产品为放大三倍之人体眼球构造模型，可拆装，置于底座上。</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眼球壁通过眼球前后极做正中水平切，示眼球壁的三层被膜：外膜、中膜和内膜。外膜：示角膜（可拆装）和巩膜；中膜：示虹膜、睫状和脉洛膜；内膜：示视网膜盲部和视网膜视印，在视网膜部示视神经盘和黄斑。</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4、拆光装置：示晶状体和玻璃体，匀可拆下。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5、眼球肌：示上直肌、下直肌、内直肌、外直肌、上斜肌和下斜肌，眼血管和视神经。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6、眼血管：示眼动脉的分支：肌动脉、视网膜中央动脉；网膜算侧上、下小动脉和视网膜颞侧上、下小动脉；示眼上静脉、眼下静脉及其属支。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7、产品的性能应符合JY0001-2003第4章的相关规定。</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8、产品的结构应符合JY0001-2003第6章中的相关规定。</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9、产品的外观应符合JY0001-2003第7章中的相关规定。</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10、产品应符合JY0001-2003第9章中的相关规定。</w:t>
            </w:r>
          </w:p>
        </w:tc>
      </w:tr>
      <w:tr w14:paraId="61A586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9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DCD55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87</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8918CE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啄木鸟仿真模型</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73BB7B">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87FA6D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1、模型应为自然大小、居于一段树干上，用喙捉虫的仿真模型，整体固定在底盘上。</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2、模型应用羽毛全部覆盖成型的体架，各种羽毛的分布着色应呈自然状，特征鲜明、逼真、形象。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3、应显示喙直坚硬，末端尖锐的特征。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4、模型符合JY0001中的规定。</w:t>
            </w:r>
          </w:p>
        </w:tc>
      </w:tr>
      <w:tr w14:paraId="5EBA80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807C66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88</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5CCA13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猫头鹰仿真模型</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83180C">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EDAA8F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1、模型应为自然大小，栖于一段树干的仿真模型，整体固定在底盘上。</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2、模型应用羽毛全部覆盖成型的体架，各种羽毛的分布与着色应呈自然状，特征鲜明、逼真、形象。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3、应突出眼睛的瞳孔大，喙坚硬，末端尖锐，向下钩曲，趾端有长而锐利的钩爪。</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4、模型符合JY0001中的规定。</w:t>
            </w:r>
          </w:p>
        </w:tc>
      </w:tr>
      <w:tr w14:paraId="0E7048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6C4FE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89</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81E2D9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平面政区地球仪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E869C6">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D4C40F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一、适用范围：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供小学科学演示用。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二、技术要求：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1、由正规地图出版社出版的最新版本。</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2、有球体和支架两部分。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3、球体直径32cm，允差5mm，平面比例尺1/40，000，000，地轴倾角为66.5°。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4、球面有保护膜，支架在10公斤压力下不变形。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4、应符合原教育部标准《地球仪技术条件》JY58-80的规定。</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5、GB/T7705-2008《平版装潢印刷品》的有关规定。</w:t>
            </w:r>
          </w:p>
        </w:tc>
      </w:tr>
      <w:tr w14:paraId="180032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3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DE76C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90</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6FC839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平面地形地球仪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06EAA0">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20B1DB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一、适用范围：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供小学科学教学演示用。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二、技术要求：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1、由正规地图出版社出版的最新版本。</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2、有球体和支架两部分。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3、球体直径32cm,允差5.0mm，平面比例尺为1/40，000，000，地轴倾角为66.5°，并垂直于赤道面。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4、应符合原教育部标准《地球仪技术条件》JY58-80的规定。</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5、符合GB/T7705-2008  《平版装潢印刷品》的有关规定。</w:t>
            </w:r>
          </w:p>
        </w:tc>
      </w:tr>
      <w:tr w14:paraId="047F4E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3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8CADE1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91</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1F8E29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地球构造模型</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A93BC31">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880AE6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1、球体通过地轴连接在底座上可以自由转动，并能停止在任一位置；静止或转动时整个产品都应有足够的稳定度。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2、球体圆度应符合相关的要求，地轴的倾角为66.5°，并垂直与赤道面。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3、图形必须采用地图出版社新版的地球仪图片。</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4、球体不允许出现多处裂纹（不的大于5处），其裂纹长度不得大于5mm。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5、球体表面不的有裂纹、皱纹、气泡和脱落。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6、球体应作防潮处理，表面应涂清漆。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7、产品的性能应符合JY0001-2003第4章的相关规定。</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8、产品的结构应符合JY0001-2003第6章中的相关规定。</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9、产品的外观应符合JY0001-2003第7章中的相关规定。</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10、产品应符合JY0001-2003第9章中的相关规定。</w:t>
            </w:r>
          </w:p>
        </w:tc>
      </w:tr>
      <w:tr w14:paraId="4D3B6C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3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344FB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D409A3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月相变化演示器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D35F3A">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9AD9CE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一、适用范围：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适用于小学科学实验教学。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二、技术要求：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1、模型能演示月亮圆缺的各种形状。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2、产品设置的中心天体是地球，在地球的外围显示月球的公转轨道，并能演示出“新月—娥眉月—上弦月—凸月—满月—凸月—下弦月—娥眉月—新月”的月相周期性更造。</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3、机械结构和产品工艺应符合JY0001《教学仪器产品一般质量要求》的有关规定。</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4、结构及外观的一般要求应分别符合JY0001的相关要求。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5、、产品性能满足小学科学实验教学的要求。</w:t>
            </w:r>
          </w:p>
        </w:tc>
      </w:tr>
      <w:tr w14:paraId="761512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8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F231F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93</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1DAEE7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蟾蜍标本</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AD76574">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087C79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1、材质：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选用大型蟾蜍制作，无影响观察的各种缺陷。标本包埋于安全无毒的透明树脂块中。</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2产品尺寸规格：75×75×30mm（误差±2mm）。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3、检测及认证：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材料的重金属及有害化学物质含量符合GB6675国家玩具安全技术规范相关要求。</w:t>
            </w:r>
          </w:p>
        </w:tc>
      </w:tr>
      <w:tr w14:paraId="146896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8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674AA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94</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8A1E0B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河蚌标本</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B4C93E">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2E0A64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1、材质：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河蚌完整，无影响观察的各种缺陷。标本包埋于安全无毒的透明树脂块中。包埋材料为透明有机树脂，标本边角平滑美观，标本表面打磨平整，无影响观察的气泡、伤痕。</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2、产品尺寸规格：75×75×30mm（误差±2mm）。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3、执行标准：Q/NNQN02—2011《包埋标准》。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4、检测及认证：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包埋材料的重金属及有害化学物质含量符合GB6675国家玩具安全技术规范相关要求。产品经省级卫生检测单位毒性试验检测安全无毒性。产品经教育部教学仪器研究所检测合格。生产企业通过IS09001:2008质量管理体系标准要求认证；GB/T24001-2004/IS014001：2004环境管理体系标准要求认证。</w:t>
            </w:r>
          </w:p>
        </w:tc>
      </w:tr>
      <w:tr w14:paraId="6D04FD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1F6A3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95</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CCE611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爬行动物（水蛇）标本</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F9CF9A4">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2824DC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1、选用水蛇，动物形态完整。标本包埋于安全无毒的透明树脂块中。包埋材料为透明有机树脂，标本边角平滑美观，标本表面打磨平整，无影响观察的气泡、伤痕。</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2、产品尺寸规格：164×78×20mm（误差±2mm）。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3、检测及认证：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材料的重金属及有害化学物质含量符合GB6675国家玩具安全技术规范相关要求。</w:t>
            </w:r>
          </w:p>
        </w:tc>
      </w:tr>
      <w:tr w14:paraId="033C70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8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FB7086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96</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2A868B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爬行动物（蜥蜴）标本</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1B0FE6">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2560F5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1、材质：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选用蜥蜴，蜥蜴全长100mm以上，形态完整，标本包埋于安全无毒的透明树脂块中。包埋材料为透明有机树脂，标本边角平滑美观，标本表面打磨平整，无影响观察的气泡、伤痕。</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2、产品尺寸规格：164×78×24mm（误差±4mm）。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3、检测及认证：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重金属及有害化学物质含量符合GB6675国家玩具安全技术规范相关要求。</w:t>
            </w:r>
          </w:p>
        </w:tc>
      </w:tr>
      <w:tr w14:paraId="365928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8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B0EAA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97</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10273F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蛙发育顺序标本</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A3E5113">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8380B4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1、材质：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由蛙的8个发育阶段组成，标本包埋于安全无毒的透明树脂块中。包埋材料为透明有机树脂，标本边角平滑美观，标本表面打磨平整，无影响观察的气泡、伤痕。</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2、产品尺寸规格：140×64×18mm（误差±2mm）。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3、检测及认证：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材料的重金属及有害化学物质含量符合GB6675国家玩具安全技术规范相关要求。</w:t>
            </w:r>
          </w:p>
        </w:tc>
      </w:tr>
      <w:tr w14:paraId="726F53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3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1F658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98</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98BF16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昆虫标本</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6812A8A">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CFDEF5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1、材质：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由6种益虫和6种害虫组成，标本包埋于安全无毒的透明树脂块中。包埋材料为透明有机树脂，标本边角平滑美观，标本表面打磨平整，无影响观察的气泡、伤痕。</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2、产品尺寸规格：164×78×20mm（误差±2mm）（共2个）。</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3、检测及认证：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包埋材料的重金属及有害化学物质含量符合GB6675国家玩具安全技术规范相关要求。产品经省级卫生检测单位毒性试验检测安全无毒性。产品经教育部教学仪器研究所检测合格。生产企业通过ISO9001：2008质量管理体系标准要求认证；GB/T24001-2004/ISO14001：2004环境管理体系标准要求认证。</w:t>
            </w:r>
          </w:p>
        </w:tc>
      </w:tr>
      <w:tr w14:paraId="77C961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3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5C3BF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99</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FE3BB3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桑蚕生活史标本</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7885B3">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7B3A79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1、材质：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标本由卵、幼虫、蛹、雌雄成虫及茧组成，附蚕丝、丝绸及桑叶。按生活史顺序排列。标本全部包埋于安全无毒的透明树脂块中。包埋材料为透明有机树脂，标本边角平滑美观，标本表面打磨平整，无影响观察的气泡、伤痕。</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2、产品尺寸规格：164×78×20mm（误差±2mm）。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3、检测及认证：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材料的重金属及有害化学物质含量符合GB6675国家玩具安全技术规范相关要求。</w:t>
            </w:r>
          </w:p>
        </w:tc>
      </w:tr>
      <w:tr w14:paraId="6B1812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8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80635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D9264F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免外型标本</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79B585">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700327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1、材质：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选用白色家兔制作，无影响观察的各种缺陷。标本包埋于安全无</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毒的透明树脂块中。包埋材料为透明有机树脂，标本边角平滑美观，标本表面打磨平整，无影响观察的气泡、伤痕。</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2、产品尺寸规格：190×90×90mm（误差±5mm）。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3、检测及认证：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材料的重金属及有害化学物质含量符合GB6675国家玩具安全技术规范相关要求。</w:t>
            </w:r>
          </w:p>
        </w:tc>
      </w:tr>
      <w:tr w14:paraId="27BE16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3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235AF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101</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55B3EE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植物种子传播方式标本</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37DF05">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602DA2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1、材质：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4种植物种子组成，包含4种不同的植物种子传播方式。标本全部包埋于安全无毒的透明树脂块中。包埋材料为透明有机树脂，标本边角平滑美观，标本表面打磨平整，无影响观察的气泡、伤痕。</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2、产品尺寸规格：140×64×18mm（误差±2mm）。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3、检测及认证：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材料的重金属及有害化学物质含量符合GB6675国家玩具安全技术规范相关要求。</w:t>
            </w:r>
          </w:p>
        </w:tc>
      </w:tr>
      <w:tr w14:paraId="08ED17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9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65F8C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4CC815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矿物标本</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428F06">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D07CC4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1、用于小学科学分组实验。</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2、有四种矿物：辉铜矿、磁铁矿、方铅矿、云母。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3、标本经加工后，一定应成块状，表面应清洁无杂质，至少应有一个新鲜断面。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4、应符合中华人民共和国专业标准JY0005-90《矿物岩石标本》的有关规定。</w:t>
            </w:r>
          </w:p>
        </w:tc>
      </w:tr>
      <w:tr w14:paraId="39FC4F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9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256CB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103</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F24F1E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岩石标本</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D2B4471">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351D56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1、用于小学科学分组实验。</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2、岩石应有花冈岩、砂岩、页岩、石炭岩和大理岩5种。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3、标本经加工后，一定应成块状，表面应清洁无杂质，至少应有一个新鲜断面。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4、应符合中华人民共和国专业标准JY0005-90《矿物岩石标本》的有关规定。</w:t>
            </w:r>
          </w:p>
        </w:tc>
      </w:tr>
      <w:tr w14:paraId="409D1C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8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3F3E2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104</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A11C96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金属矿物标本</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DF938D">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8615D5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1、用于小学科学教学使用的金属矿物标本盒。</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2、包括铜、铁、铝、钨、锡；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3、每种标本，都必须按批送到地质等有关部门鉴定，取得样品鉴定报告；</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4、标本的鉴定特征必须显著、清晰、易于辨别；</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5、标本表面应清洁、无尘土或粘附其它杂质。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6、产品符合JY0001-2003《教学仪器设备产品一般质量要求》。</w:t>
            </w:r>
          </w:p>
        </w:tc>
      </w:tr>
      <w:tr w14:paraId="4A4B82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3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0D86B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105</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B0C31B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土壤标本</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A184A8">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8F1CB7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1、产品应符合小学科学课程标准的要求，解决教学中的难点问题，涵盖小学科学教材中涉及的土壤类型，能表现土壤的结构剖面，土壤的分布，形成原理。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2、土壤实物标本由各种土壤、标本平面彩图、塑料盒组成。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3、产品能够反映出土壤的分布概图及土壤的形成过程和各种土壤的物质组成及功能。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4、产品的整体性能应符合JY0001-1988的4.1-4.6、4.8、4.10和4.11的规定。</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5、产品的结构应符合JY0001-1988的5.1、5.3、5.4、5.7、5.9、5.13、5.15、5.17、5.21、5.22、8.1~8.5的规定。</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6、产品的外观应符合JY0001-1988的6.1、6.5和6.9的规定。</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7、高低温试验：产品以-25℃升至40℃再恢复至室温仍满足要求。</w:t>
            </w:r>
          </w:p>
        </w:tc>
      </w:tr>
      <w:tr w14:paraId="5293CE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9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F8E90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106</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D3152F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矿物提炼物标本</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EC287B">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B510B1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1、石油提炼物：合成洗涤剂、塑料、医药、橡胶、合成纤维。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2、铜矿石提炼物：铜；铝矿石提炼物：铝；铁矿石提炼物：铁。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3、标本盒尺寸不小于190mm×120mm×28mm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4、产品应符合JY0001《教学仪器产品一般质量要求》的有关规定。</w:t>
            </w:r>
          </w:p>
        </w:tc>
      </w:tr>
      <w:tr w14:paraId="2633E0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76F34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107</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1DDDDE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洋葱表皮装片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F04729">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45CDC5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1、适用于小学科学教学观察。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2、标本取材为新鲜的洋葱鳞片叶的表皮，每片取材不小于2mm×2mm，四周剪切整齐。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3、标本应平铺装片，不带表皮下的组织，可轻度染色。</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4、标本在80X和200X显微镜下可清楚观察到排列整齐的许多小长方体（小格），同时可观察到细胞壁、细胞膜、细胞质及数个液泡。</w:t>
            </w:r>
          </w:p>
        </w:tc>
      </w:tr>
      <w:tr w14:paraId="209626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3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FE447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108</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9AAFB0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叶片横切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078D6B">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98FD00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1、适用于小学科学教学观察。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2、标本取材为木樨科迎春花的叶片。</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3、切片厚度在20μm以内，每张玻片应放材料不少于二片。标本用番红、固绿染色，使表皮、叶脉呈红色，其他绿色。</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4、在80X和200X镜下可清楚观察叶子的内部结构、排列紧密的叶表，表皮细胞外壁有一层不易透水的角质层。表皮下有保卫细胞组成的气。</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5、产品符合JY0001-2003《教学仪器设备产品一般质量要求》。</w:t>
            </w:r>
          </w:p>
        </w:tc>
      </w:tr>
      <w:tr w14:paraId="316C5A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3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5BAD9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109</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0E9FC6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叶片气孔装片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E1E833">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A7F918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1、适用于小学科学分组观察。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2、标本取材为新鲜的气孔开放蚕豆叶。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3、材料整洁，不附带叶肉等其他组织，保卫细胞不收缩。</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4、标本为平铺装片，每片材料不小于2mm×2mm，四周剪切整齐。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5、显示正常开放的气孔形态和新月形的保卫细胞、细胞核、叶绿体。</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6、标本应在80X和200X学生显微镜下清楚观察叶子表皮和气孔结构。</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7、产品符合JY0001-2003《教学仪器设备产品一般质量要求》。</w:t>
            </w:r>
          </w:p>
        </w:tc>
      </w:tr>
      <w:tr w14:paraId="6B971A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8C640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110</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90FD8F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动物表皮细胞装片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AA6654">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0ED120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1、适用于小学科学教学。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2、标本取材为两栖动物的表皮，每次取材不小于2mm×2mm，四周剪切整齐，标本应平铺装片染色。</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3、标本在80X和200X显微镜下可观察到形状不很规则的呈多角形的细胞膜和着色较深的细胞核。</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4、产品符合JY0001-2003《教学仪器设备产品一般质量要求》。</w:t>
            </w:r>
          </w:p>
        </w:tc>
      </w:tr>
      <w:tr w14:paraId="57B17E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8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1B9B7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111</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15E039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蛙卵细胞切片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260282">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D397BD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一、适用范围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适用于小学科学教学。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二、技术要求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1、标本选自32~64细胞之间的卵裂期。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2、作过动物极和植物极的中部纵切，切片厚度在10μm以内，每张玻片放材料1~2片，动物极向上。</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3、标本由于有自然色素，可不染色或单一染色。</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4、卵黄处有轻微破裂时为二级品。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5、应符合JY67-82《生物玻片标本通用技术条件（试行）》的规定。</w:t>
            </w:r>
          </w:p>
        </w:tc>
      </w:tr>
      <w:tr w14:paraId="5DA23D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8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64E13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5F2D49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骨细胞切片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8F7680">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CAA237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1、适用于小学科学教学实验用。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2、标本在200X和400X显微镜下观察骨细胞的形态结构。</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3、骨细胞是多突起的细胞，核为卵圆形，骨细胞位于骨板内或骨板之间，细胞的突起穿越骨板层。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4、能看清骨细胞、骨基质、骨细胞突起及核仁。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5、标本取材大型哺乳动物的股骨。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6、标本用能显示骨细胞结构但又不退色的方法染色。</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7、切片厚度在10μm以内，材料面积不小于4mm×3mm。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8、染色协调，无杂质，无余色，脱蜡干净。</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9、标本无色变形、收宿、破裂现象。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10、产品符合JY0001-2003《教学仪器设备产品一般质量要求》。</w:t>
            </w:r>
          </w:p>
        </w:tc>
      </w:tr>
      <w:tr w14:paraId="1D7BE6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9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25DF56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113</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CC70B2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口腔粘膜细胞装片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818F9FF">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C87C34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1、适用于小学科学教学观察。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2、标本取材为人的口腔粘膜。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3、标本应平铺装片，用碘液轻染色。</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4、在低倍显微镜下应看到扁平，呈不规则多边形的上皮细胞。</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5、在高倍显微镜下可看到细胞膜黑着色较浅的细胞质和着色较重的细胞核。</w:t>
            </w:r>
          </w:p>
        </w:tc>
      </w:tr>
      <w:tr w14:paraId="1228E4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44952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114</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B849E9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人血细胞装片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AC936E">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92541C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一、适用范围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适用于小学科学课教学。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二、技术要求：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1、标本取材于人的新鲜血液，血细胞变形者，不宜使用。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2、血膜应涂布均匀、无污物；血细胞不重叠、无变形和自溶现象。用苏木精、曙红双重染色。</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3、染色要均匀，白血细胞的胞核和血小板呈兰紫色，白血细胞的胞质和红血细胞呈粉红色，血浆不着色。</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4、标本具有下列一项时为二级品：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a.血浆着色，但不影响观察血细胞形态；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b.红血细胞有变形现象，在400×镜视野内不超过10%；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c.血膜上有少量污物不影响观察。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5、应符合JY67-82《生物玻片标本通用技术条件（试行）》的规定。</w:t>
            </w:r>
          </w:p>
        </w:tc>
      </w:tr>
      <w:tr w14:paraId="5CFED3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9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C8B358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115</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EDDA20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中国政区地图</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9EB287">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2D9C5E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1、印刷质量:符合GB7705-87《平版装潢印刷品标准》。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2、适用教材：人民教育出版社出版。</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3、出版单位应符合教育部标准JY0001-2《教学仪器设备一般质量要求》的有关要求。</w:t>
            </w:r>
          </w:p>
        </w:tc>
      </w:tr>
      <w:tr w14:paraId="48DF75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9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C7E7D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116</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12305D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中国地形地图</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894C989">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E6C15A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1、印刷质量:符合GB7705-87《平版装潢印刷品标准》。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2、适用教材：人民教育出版社出版。</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3、出版单位应符合教育部标准JY0001-2《教学仪器设备一般质量要求》的有关要求。</w:t>
            </w:r>
          </w:p>
        </w:tc>
      </w:tr>
      <w:tr w14:paraId="288A7E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E2A1C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117</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91881E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小学科学安全操作挂图</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64F1A0C">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73FD22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1、40幅、对开（人教版）四色胶印、纸张不低于105克铜板纸。</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2、印刷质量：符合GB7705-87《平版装潢印刷品标准》。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3、适用教材：人民教育出版社出版。</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4、出版单位应符合教育部标准JY0001-2《教学仪器设备一般质量要求》的有关要求。</w:t>
            </w:r>
          </w:p>
        </w:tc>
      </w:tr>
      <w:tr w14:paraId="2BFE0A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9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BBBD1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118</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BD5A56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小学科学生命世界教学挂图</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DD55E8">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5B4F81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1、不少于29幅，每张幅面不小于540mm×780mm，纸张规格不低于128g铜版纸，履膜。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2、印刷：彩色胶印，附光盘一张。</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3、印刷符合GB/T7705-2008  《平版装潢印刷品》。</w:t>
            </w:r>
          </w:p>
        </w:tc>
      </w:tr>
      <w:tr w14:paraId="11C75A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9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57B53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119</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58C5E5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小学科学物质世界教学挂图</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9A992D">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FA7A76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1、不少于22幅，每张幅面不小于540mm×780mm，纸张规格不低于128g铜版纸，履膜。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2、印刷：彩色胶印，附光盘一张。</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3、印刷符合GB/T7705-2008《平版装潢印刷品》</w:t>
            </w:r>
          </w:p>
        </w:tc>
      </w:tr>
      <w:tr w14:paraId="49E600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9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E52DD0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120</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BA8C80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小学科学地球与宇宙教学挂图</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43FEC7">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63093E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1、不少于28幅，每张幅面不小于540mm×780mm，纸张规格不低于128g铜版纸，履膜。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2、印刷：彩色胶印，附光盘一张。</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3、印刷符合GB/T7705-2008《平版装潢印刷品》。</w:t>
            </w:r>
          </w:p>
        </w:tc>
      </w:tr>
      <w:tr w14:paraId="0D6996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61900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121</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C41765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植物分类图谱</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9A10B9">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D4450F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1、大16开128克铜板纸、四色胶印。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2、印刷质量:符合GB7705-87《平版装潢印刷品标准》。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3、适用教材：人民教育出版社出版。</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4、出版单位应符合教育部标准JY0001-2《教学仪器设备一般质量要求》的有关要求。</w:t>
            </w:r>
          </w:p>
        </w:tc>
      </w:tr>
      <w:tr w14:paraId="51A35F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8640F6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93CD54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动物分类图谱</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0EE1EE">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E6F547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1、大16开128克铜板纸、四色胶印。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2、印刷质量：符合GB7705-87《平版装潢印刷品标准》。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3、适用教材：人民教育出版社出版。</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4、出版单位应符合教育部标准JY0001-2《教学仪器设备一般质量要求》的有关要求。</w:t>
            </w:r>
          </w:p>
        </w:tc>
      </w:tr>
      <w:tr w14:paraId="11A447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3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BA8D1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123</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0DD045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测电笔</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C50F87">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773463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一、适用范围、规格型号：</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1、适用于小学科学实验室用。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2、型号规格：75mm×0.6mm×4mm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二、技术要求：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1、旋杆长度采用45#钢，工作部硬度不低于HRC48。</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2、旋杆长度L:75mm，直径D:4mm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3、旋杆应经镀鉻防锈处理。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4、旋柄为硬质塑料制成，表面光洁、无毛刺，无缩迹。与旋杆接合牢固，并有产品标记及标准编号。</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5、产品符合JY0001-2003《教学仪器设备产品一般质量要求》。</w:t>
            </w:r>
          </w:p>
        </w:tc>
      </w:tr>
      <w:tr w14:paraId="1B0BC1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AB3E27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124</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49A418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一字螺丝刀</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6F17D8">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2E3763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一、适用范围、规格型号：</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1、适用于小学科学实验室用。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2、型号规格：75mm×0.6mm×4mm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二、技术要求：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1、旋杆长度采用45#钢，工作部硬度不低于HRC48。</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2、旋杆长度L:75mm，直径D:4mm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3、旋杆应经镀鉻防锈处理。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4、旋柄为硬质塑料制成，表面光洁、无毛刺，无缩迹。与旋杆接合牢固，并有产品标记及标准编号。</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5、产品符合JY0001-2003《教学仪器设备产品一般质量要求》。</w:t>
            </w:r>
          </w:p>
        </w:tc>
      </w:tr>
      <w:tr w14:paraId="478C15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8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78356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125</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C0A80C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十字螺丝刀</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2166FA">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BC4FAA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一、适用范围、规格型号：</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1、适用于小学科学实验室用。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2、型号规格：75mm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二、技术要求：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1、旋杆材料采用45#钢，工作部长度内硬度HRC48～54。</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2、旋杆长度L:75mm，直径D:4mm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3、旋杆应经镀铬防锈处理。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4、旋柄为硬质塑料制成，表面光洁无毛刺，无缩迹，与旋杆接合牢固，并有产品标记和标准编号。</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5、其它技术要求按 GB10635的规定执行。</w:t>
            </w:r>
          </w:p>
        </w:tc>
      </w:tr>
      <w:tr w14:paraId="6909EB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8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305DD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126</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B971C1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尖嘴钳</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591CAE">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5A121D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一、适用范围、规格型号：</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1、小学科学实验室用。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2、型号规格：长160mm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二、技术要求：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1、载荷F≥550N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2、其它技术要求按 GB6290的规定。</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3、尖嘴钳的抗弯强度必须符合GB6293-86。嘴顶缝隙：不小于3mm的区域内，尖嘴钳的嘴顶缝隙最大值就不超过0.08mm.。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4、其他技术要求应符合GB6290-86《夹扭钳和剪切钳通用技术条件》的规定。</w:t>
            </w:r>
          </w:p>
        </w:tc>
      </w:tr>
      <w:tr w14:paraId="19DDF4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7B395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127</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4F4FAE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木工锯</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612E38">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6E4BC9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一、适用范围：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1、小学科学实验室用。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二、技术要求：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1、规格尺寸应符合SG241表格1的有关要求。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2、其它技术要求应符合SG241第2章的技术要求。</w:t>
            </w:r>
          </w:p>
        </w:tc>
      </w:tr>
      <w:tr w14:paraId="29D9E3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8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323DE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128</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ABF865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钢丝钳</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968422">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729F74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一、适用范围、规格型号：</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1、小学科学实验室用。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2、型号规格：180mm。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二、技术要求：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1、规格尺寸应符合GB6295.2表格1的有关要求。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2、技术要求应符合GB6295.2的第2章有关要求。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3、其它技术要求应符合GB6290夹扭钳和剪切钳通用技术条件的规定。</w:t>
            </w:r>
          </w:p>
        </w:tc>
      </w:tr>
      <w:tr w14:paraId="1E1B2D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3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92313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129</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B2E99E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手锤</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D0BEF4">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AE62C8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1、供学生敲击物体的手动工具。</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2、规格：锤体重≧0.44Kg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3、材质：45～55优质碳素结构钢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4、硬度：大头HRC≥48mm～55mm，小头HRC≥40mm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5、锤体孔眼端正，轮廓清晰、表面不应有裂纹、折叠、缺口、凹凸不平、生锈等缺陷。</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6、木柄采用材质坚韧的木材制作，并应平直圆滑，无裂纹、霉变、虫蛀，表面涂清漆。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7、榔头装柄后不得松动摇头。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8、产品符合JY0001-2003《教学仪器设备产品一般质量要求》。</w:t>
            </w:r>
          </w:p>
        </w:tc>
      </w:tr>
      <w:tr w14:paraId="2ACA7C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8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F085F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130</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DEC1B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活扳手</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9E0759">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B896F7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一、适用范围、规格型号：</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1、小学科学实验室用。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2、型号规格：200mm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二、技术要求：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1、活板手的尺寸应符合 GB4440表1的有关要求。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2、技术条件按 GB4440第4章的有关要求。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3、材质：优质碳素结构钢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4、硬度： HRC≥45 </w:t>
            </w:r>
          </w:p>
        </w:tc>
      </w:tr>
      <w:tr w14:paraId="4D34A6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8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438C71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131</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2E91A7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剪刀</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617001B">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BC6B69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一、适用范围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适用于学生实验用。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二、技术要求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1、产品表面处理分电镀剪，发蓝剪。剪刀刃口硬度不低于HRC52，两片刃口对应点硬度差不大于HRC4。</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2、剪刀性能应手感轻松、均匀、剪口锋利、不咬口、崩口、变形。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3、剪刀前端要尖口，经钝化处理。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4、产品符合JY0001-2003《教学仪器设备产品一般质量要求》。</w:t>
            </w:r>
          </w:p>
        </w:tc>
      </w:tr>
      <w:tr w14:paraId="0B501C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0AB48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4DF288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塑料桶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540EEE">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42D553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一、适用范围：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小学科学实验用。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二、技术要求：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1、用环保材料制；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2、产品应符合JY0001《教学仪器产品一般质量要求》。</w:t>
            </w:r>
          </w:p>
        </w:tc>
      </w:tr>
      <w:tr w14:paraId="716131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87C91C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133</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D1D3F4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手摇铃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655D232">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BFE1E8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一、适用范围、规格型号：</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小学科学教学演示实验用。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二、技术要求：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1、金属壳体,木质手柄,银灰色。</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2、产品应符合JY0001《教学仪器产品一般质量要求》。</w:t>
            </w:r>
          </w:p>
        </w:tc>
      </w:tr>
      <w:tr w14:paraId="053111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4BE65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134</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C1BB4B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手持筛子</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0D6A8F">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3A3614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一、适用范围、规格型号：</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小学科学教学演示实验用。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二、技术要求：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1、不锈钢圈及丝网,直径不小于20cm,深不小于5cm。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2、产品应符合JY0001《教学仪器产品一般质量要求》。</w:t>
            </w:r>
          </w:p>
        </w:tc>
      </w:tr>
      <w:tr w14:paraId="2648C7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9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1CFD4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135</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DB3894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喷水壶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8E29C0">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21101C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一、适用范围：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小学科学实验供喷水用。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二、技术要求：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1、喷壶为塑料制产品，壶体形状为圆柱，棱形或动物形状。2、喷壶嘴孔大小一致，出水济流畅，呈莲蓬状。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3、产品应符合JY0001《教学仪器产品一般质量要求》。</w:t>
            </w:r>
          </w:p>
        </w:tc>
      </w:tr>
      <w:tr w14:paraId="5B0939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8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74B3E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136</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DF2B0F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吹风机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813F92">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D7D87D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一、适用范围：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小学科学实验用。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二、技术要求：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1、额定电压220V，50Hz，1000W，应带有防过热保护装置，冷热风双项选择，配缩吹直头。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2、三档控制开关。</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3、符合标准JB/T5880-1991 《日用吹风机》的有关规定。</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4、应符合GB 21746－2008《教学仪器设备安全要求总则》教学仪器设备安全的国家强制性标准的要求。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5、有国家电器3C认证标识。</w:t>
            </w:r>
          </w:p>
        </w:tc>
      </w:tr>
      <w:tr w14:paraId="40AFA3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6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0F515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137</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378299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采集捕捞工具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55A461E">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5ED6F8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1、用于小学科学分组实验。</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2、产品为组合式，必配器件和数量见下表：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序号 器材名称 单位 数量 序号 器材名称 单位 数量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 标本夹 付 1 4 带盖塑料筒 只 1</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 捕虫网 件 1 5 小铁铲 把 1</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 水网 件 1 6 枝剪 把 1</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3、标本夹用木板或胶合板组成，长300mm，宽220mm，捆扎带2根，每根长不小于1000mm。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4、捕虫网由网圈、网袋和网柄组成。网圈用φ4mm镀锌铁丝卷制，直径为300mm；网袋角线罗纹网布或尼龙网眼纱制成；网柄用木料制成，长105mm。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5、水网由网圈、网袋和网杯组成。网圈用φ4mm镀锌铁丝卷制，直径为220mm；网袋为圆台形，中心高200mm，下底用线罗纹网布或尼龙网眼纱制成，直径为120mm，周围用白布制成；网柄用塑料或木料制成，长105mm。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6、带盖塑料筒高16mm，上底内径φ170mm，下底内径φ130mm。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7、小铁铲长290mm，表面作防锈处理，木制手柄。</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8、枝剪总长200mm，柄部应加塑料套。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9、产品符合JY0001-2003《教学仪器设备产品一般质量要求》。</w:t>
            </w:r>
          </w:p>
        </w:tc>
      </w:tr>
      <w:tr w14:paraId="23B4F6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6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2DA67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138</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E28A1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生物显微镜</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B3D64A9">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71CDC5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1、显微镜总放大倍率为40X-640X，机械镜筒长160mm。机身总质量不低于2150克。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2、目镜：惠更斯目镜10X、16X各一只，外壳材质为铝合金，镜片为纯光镜片。</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3、目镜筒为铝合金制造。</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4、三孔转换器，定位准确，无位移现象。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5、物镜为消色差4X、10X、40X各一只，外壳材质为铜制镀锌，镜片为纯光学镜片，外壳附橡皮（防滑落）.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6、齿条为铜制，具有良好的传动性能。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7、有随机可调下限位功能，防止物镜碰坏切片。</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8、平台为铝合金铸造，面积120mmX120mm。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9、弯背为实心铸铝制造。</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10、底座为实心铸铁制造，以增加观察的稳定性。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11、反光镜直径50mm，一面为平面，一面为凹面。.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12、粗调范围≥50mm。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13、微调范围1.8-2.2mm。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14、微调调焦格值0.002mm。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15、木箱包装，显微镜定位于木箱内，箱体表面涂漆。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16、其它应符合中华人民共和国标准《生物显微镜》GB2985-91的规定。</w:t>
            </w:r>
          </w:p>
        </w:tc>
      </w:tr>
      <w:tr w14:paraId="133943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5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225A1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139</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DD4430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生物显微演示装置</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AEA5EC">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0A091A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1、总放大倍率为：40X-1600X，机身总质量不低于2500克。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2、分辨率：480TV线以上，或47万有效像素。</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3、信噪比：≥52dB。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4、图像传感器：CCD摄像机。信号输出：USB2.0数字信号和Video视频信号双输出，可接电视，电脑，投影机。可手动/自动平衡。软件功能；静态拍照，动态录像，标定测量，图像融合。</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5、与显微镜链接方式：C螺纹接口。</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6、相对孔径：1：2。</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7、配电光源显微镜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显微镜要求如下：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7-1．显微镜总放大倍率为：40X-1600X。</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7-2．目镜：H10X、H16X，</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物镜：消色差4X、10X、40X、100X（油）各一只。</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7-3．单目TV头，45。倾斜，360°旋转，可同时进行肉眼观察与TV演示。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7-4．固定单层方平台，110mmX120mm，配XY轴移动尺，范围60mmX30mm。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7-5．粗动行程20mm，微动行程1.3mm。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7-6．聚光镜：阿贝聚光镜NA=1.25，带可变光阑，拨杆升降。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7-7．电源及光源：LED1W可充电，亮度可调，自动充电功能，停电可连续使用100小    时以上。</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8、产品包装：显微镜包装应采用高密度材料泡沫，CCD摄像机单独有防震包装。</w:t>
            </w:r>
          </w:p>
        </w:tc>
      </w:tr>
      <w:tr w14:paraId="0BB76C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76783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140</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B95B34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学生显微镜</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B24EEE">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A4D142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1、供小学科学分组用。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2、技术要求:显微镜总放大倍率为200×，机械镜筒长160mm。机身总质量不低于940克。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3、目镜：惠更斯目镜12.5X，铝合金金属外壳，镜片为纯光学镜片。</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4、物镜：，消色差16X，铝合金金属外壳，镜片为纯光学镜片。</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5、平台：全金属铝合金制，尺寸84mmX84mm。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6、底座：全金属铝合金制。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7、有下限位调焦功能，防止物镜碰坏切片。</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8、切片夹配弹簧，方便拿取切片。</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9、木箱包装，显微镜定位于木箱内，箱体表面涂油漆，防震、防潮。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10、其它符合中华人民共和国标准《生物显微镜》GB2985-99的规定。</w:t>
            </w:r>
          </w:p>
        </w:tc>
      </w:tr>
      <w:tr w14:paraId="1ADDCB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1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B534F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141</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2ECD27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量筒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736B4B">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097133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1、实验用计量仪器  500ｍｌ；量筒全高：360±2ｍｍ。最高刻度线至顶：50ｍｍ。量筒外径：54±1ｍｍ。底座外径：100±3ｍｍ。壁厚（不薄于）：1．7±0．4ｍｍ。最小分度：5ｍｌ。在21℃时量筒允差：量入式：±2ｍｌ。量出式：±4ｍｌ。</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2、理化性能符合下列规定：耐水等级：  1；耐酸等级：  1耐碱等级：  2；内应力：底部在偏光仪中呈兰色，不允许呈黄色。</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3、器身不得有明显扁瘪，冷却印，口光滑圆，器底平稳，厚薄均匀，不允许有破皮泡，积水条纹密集小气泡存在，但允许有不影响计量读数和强度的轻微缺陷。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4、量筒的分度表应符合下列规定：量筒的分度表与计量数字清晰完整、耐久、分度线平直，分格均匀，并垂直量铜的轴心，分度线宽度不超过0．4ｍｍ。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5、量筒应有下列几种耐久性标志：生产厂商标；标准温度20℃；量出式符号Ｅ，量入式符号Ｉｎ；容量单位ｍｌ</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6、符合JY00001—2003《教学仪器产品一般质量要求》中的有关规定。</w:t>
            </w:r>
          </w:p>
        </w:tc>
      </w:tr>
      <w:tr w14:paraId="191315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8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8AB7F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D840FF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量杯</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F81BAE">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CDB55B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1、实验用计量仪器250ml。</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2、玻璃仪器的外形要端正、厚度要均匀，内外表面要光滑、清洁。尺寸在公差范围内(GB1800);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3、玻璃仪器的刻度，字迹应清晰，量值要准确；计量仪器要求有计量合格证；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4、玻璃仪器要充分消除应力，熔接部位要平滑、均匀、无气泡；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5、允许不超过：（1）气泡结面的直径不超过壁厚的1/3，长度里计不超过该器件全长的1/6；（2）横竖条纹长度及分布面不超过该器件的1/3。</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6、符合JY00001—2003《教学仪器产品一般质量要求》中的有关规定。</w:t>
            </w:r>
          </w:p>
        </w:tc>
      </w:tr>
      <w:tr w14:paraId="2465C2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1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DE9C3F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143</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51BE57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甘油注射器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D888162">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8E82CD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1、实验用玻璃仪器：由注射针管和活塞管组成。注射管长：160±0．5ｍｍ。注射针管刻线30ml  全长135±1.5mm。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2、管口外径：38±1ｍｍ。管口内径：30±0．5ｍｍ。管口内下：5ｍｍ内径24±0．2ｍｍ。管口外缘边高：5±0．2ｍｍ。管身内径：24±0．2ｍｍ。管身长：　123±1.5ｍｍ。管下端装注射针头接管外径：大头4．5±0．1ｍｍ。小头4±0．1ｍｍ。接管长：14±1ｍｍ。壁厚：2±0. 2ｍｍ。注射活塞管长：145±1．5ｍｍ。管头外径：23．9±0．1ｍｍ。管手持端长：20±1ｍｍ。外径：20±0．2ｍｍ。管尾外径：28±1ｍｍ。管尾边缘高：4±1ｍｍ。管壁厚：2±0．2ｍｍ。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3、理化性能：耐酸等级：1级热稳定性：耐热温差不低于200℃煮沸不破裂。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4、应力：在偏光仪下观察呈紫红色或部分扩散状兰色。</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5、色泽：无色透明，允许微带黄或绿色。注射管和活塞管厚薄均匀允差在0.1mm，特别是两管之 间具紧又要能活动。活塞管的磨砂要光滑细密，不得有缺陷。活塞管磨砂精细，与注射管密吻光滑、不漏水、不漏气、又能活动。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6、符合JY00001—2003《教学仪器产品一般质量要求》中的有关规定。</w:t>
            </w:r>
          </w:p>
        </w:tc>
      </w:tr>
      <w:tr w14:paraId="780692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255A6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144</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A65DA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试管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186113">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0CA38B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1、实验用玻璃仪器（烧器类）。</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试管高：150±5ｍｍ。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试管外径：15±0．7 ｍｍ。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试管厚：1ｍｍ。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2、理化性能符合下列规定：</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耐水等级：      1级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耐酸等级：      1级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耐碱等级：      2级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3、管口应切割平正烘光，底部圆正，厚薄均匀，不得有刺手现象，底部厚度不薄于0．5ｍｍ。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4、应力：在应力仪下观察呈紫红色为准。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5、应符合JY00001—2003《教学仪器产品一般质量要求》中的有关规定。</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6、材料：GG-17</w:t>
            </w:r>
          </w:p>
        </w:tc>
      </w:tr>
      <w:tr w14:paraId="4FA854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6C876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145</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EABE04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试管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D1EFC5">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186B54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1、实验用玻璃仪器（烧器类）。</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试管长：200±5ｍｍ。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试管外径：20±1ｍｍ。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试管厚：1．5ｍｍ。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2、理化性能符合下列规定：</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耐水等级：      1级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耐酸等级：      1级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耐碱等级：      2级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3、管口应切割平正烘光，底部圆正，厚薄均匀，不得有刺手现象，底部厚度不薄于0．5ｍｍ。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4、应力：在应力仪下观察呈紫红色为准。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5、应符合JY00001—2003《教学仪器产品一般质量要求》中的有关规定。</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6、材料：GG-17</w:t>
            </w:r>
          </w:p>
        </w:tc>
      </w:tr>
      <w:tr w14:paraId="0F0E9A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3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A2352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146</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8C22CE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烧杯</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64F59FC">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D57F00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1、实验用加热玻璃仪器。  50ｍｌ；全高：55±2ｍｍ。杯身直径：45±1ｍｍ。杯口直径：50±1．5ｍｍ。壁厚：1ｍｍ。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2、理化性能：耐水等级：1级；耐酸等级：1级；耐碱等级：      2级；耐热等级：2级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3、产品厚薄均匀，底不外凸，允许内凹，不得有气泡，口部不得存在缺口和未烘光毛边。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4、应力：呈兰色。</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5、色泽：无色透明，微带黄绿色。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6、应符合JY00001—2003《教学仪器产品一般质量要求》中的有关规定。</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7、材料：GG-17</w:t>
            </w:r>
          </w:p>
        </w:tc>
      </w:tr>
      <w:tr w14:paraId="2C6978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8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A2C02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147</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5F7448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烧杯</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7E7335">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A5C08A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1、实验用玻璃仪器（烧器类）。  100ｍｌ；全高：70±2ｍｍ。杯身直径：50±1ｍｍ。杯口直径：56±1．5ｍｍ。壁厚：1．5±0．2ｍｍ。壁量：0．12ｋｇ。</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2、理化性能：耐水等级：1级耐酸等级：1级；耐碱等级：2级；耐热等级：2级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3、产品厚薄均匀，底不外凸，允许内凹，产品在放置平面不得摇晃，底部不得有气泡，口部不得存在缺口和未烘光毛边。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4、应力：在偏光仪中呈兰色。</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5、色泽：无色透明，允许微带黄绿色。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6、符合JY00001—2003《教学仪器产品一般质量要求》中的有关规定。</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7、材料：GG-17</w:t>
            </w:r>
          </w:p>
        </w:tc>
      </w:tr>
      <w:tr w14:paraId="31AC74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9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BC91D6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148</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5E0FF7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烧杯</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7DAD9E">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B1FF00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1、实验用玻璃仪器（烧器类）。  250ｍｌ；全高：95±3ｍｍ。杯身直径：70±1ｍｍ。杯口直径：74±3ｍｍ。壁厚：1．5±0．2ｍｍ。重量：0．16ｋｇ。</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2、理化性能：耐水等级：1级；耐酸等级：1级；耐碱等级：      2级；耐热等级：2级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3、产品外观要求厚薄均匀，底不外凸，允许内凹，产品在放置平面上不得摇晃，底部不得有气泡，透明砂、破皮泡，口部不得存在缺口和未烘光毛边。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4、应力：在偏光仪中呈兰色。</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5、色泽：无色透明，允许微带黄绿色。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6、符合JY00001—2003《教学仪器产品一般质量要求》中的有关规定。</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7、材料：GG-17</w:t>
            </w:r>
          </w:p>
        </w:tc>
      </w:tr>
      <w:tr w14:paraId="1D327D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3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D00F4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149</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86BF56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烧杯</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5739F33">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0CDD87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1、实验用玻璃仪器（烧器类）。  500ｍｌ；全高：117±3ｍｍ。杯身直径：89±1ｍｍ。杯口直径：94±3ｍｍ。壁厚：1．5±0．2ｍｍ。重量：0．24ｋｇ。</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2、理化性能：耐水等级：1级；耐酸等级：1级；耐碱等级：      2级；耐热等级：2级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3、产品外观要求厚薄均匀，底不外凸，允许内凹，产品在放置平面上不得摇晃，底部不得有气泡，透明砂、破皮泡，口部不得存在缺口和未烘光毛边。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4、应力：在偏光仪中呈兰色。</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5、色泽：无色透明，允许微带黄绿色。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6、符合JY00001—2003《教学仪器产品一般质量要求》中的有关规定。</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7、材料：GG-17</w:t>
            </w:r>
          </w:p>
        </w:tc>
      </w:tr>
      <w:tr w14:paraId="2C890C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6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2CE8F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150</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D76E61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烧瓶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07A58F">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7557CD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1、实验用加热玻璃仪器。平、长，250ｍｌ</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全高：176±2ｍｍ。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瓶身外径：88±2ｍｍ。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瓶颈直径：25±1ｍｍ。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瓶长：88±3ｍｍ。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瓶壁厚：1．5～1．6±2ｍｍ。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重量：≧0．26ｋｇ。</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2、理化性能：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耐水等级：      1级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耐酸等级：      1级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耐热等级：      2级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3、应力：在偏光仪中呈紫红色或部分扩散状兰色。</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4、色泽：无色透明，略带微黄色。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5、厚薄均匀，底部平整，放置平稳，口部圆整，颈不歪斜，瓶口不得缺损。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6、符合JY00001—2003《教学仪器产品一般质量要求》中的有关规定。</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7、材料：GG-17</w:t>
            </w:r>
          </w:p>
        </w:tc>
      </w:tr>
      <w:tr w14:paraId="09C60B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6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8D447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151</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05FC09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锥形瓶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C81B23">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364EA7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1、实验用加热玻璃仪器。  100ｍｌ</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瓶全高：92±3ｍｍ。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瓶身高：69±2ｍｍ。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颈高：27±2ｍｍ。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瓶底直径：69±3ｍｍ。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小底径：49±1ｍｍ。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瓶颈内径：26±1ｍｍ。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壁厚：1～1．4ｍｍ。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2、理化性能：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耐水等级：      1级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耐酸等级：      1级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耐热等级：      2级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耐碱等级：      2级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3、应力：应力仪观察下呈紫红色或部分扩散状兰色。</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4、色泽：无色透明，允许微呈黄绿色。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5、瓶口要圆、光滑，不得有缺口现象，瓶身要正，瓶底平稳。</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6、符合JY00001—2003《教学仪器产品一般质量要求》中的有关规定。</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7、材料：GG-17</w:t>
            </w:r>
          </w:p>
        </w:tc>
      </w:tr>
      <w:tr w14:paraId="79D8EF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3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5A8A3C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AB2651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酒精灯</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2A6BAB">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21BBAA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1、加热仪器。150ｍｌ，由灯座、灯塞、灯盖组成。灯身高：56±5ｍｍ。盖高：25ｍｍ。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2、直径：灯肩：82±2ｍｍ。灯底：50±5ｍｍ。灯盖：22±2ｍｍ。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3、厚度：1ｍｍ。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4、应力：应力仪观察下呈紫红色或部分扩散状兰色。</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5、色泽：无色透明，略带微黄色。</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6、厚薄均匀，底部平整，磨砂细密，口应磨平，单重每套0．23ｋｇ。</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7、符合JY00001—2003《教学仪器产品一般质量要求》中的有关规定。</w:t>
            </w:r>
          </w:p>
        </w:tc>
      </w:tr>
      <w:tr w14:paraId="46E429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6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1AC8D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153</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66369E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漏斗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FE438F">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7E1114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1、实验用玻璃仪器。  60ｍｍ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漏斗口径：60±2ｍｍ。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漏斗高：50±1ｍｍ。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斗柄外径：7～8ｍｍ。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斗柄长：60±5ｍｍ。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漏斗角度：60°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厚度：≈1．5ｍｍ。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2、理化性能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耐酸等级：1级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膨胀系数：≈88×10-7</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热稳定性：耐热温差不低于80℃。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3、应力：在应力仪下观察呈紫红色或扩散状兰色。</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口边光滑平整，不允许存在毛边，快口及崩缺，角度正确，口边不得呈椭圆及不规则多边形，斗柄应垂直，下口应磨成45°角，并将斜口边倒角不呈缺口。</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壁厚均匀，内壁光滑，斗柄接头处不允许严重折皱，斗柄垂直偏正不超过3－5ｍｍ。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4、符合JY00001—2003《教学仪器产品一般质量要求》中的有关规定。</w:t>
            </w:r>
          </w:p>
        </w:tc>
      </w:tr>
      <w:tr w14:paraId="10B427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1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75412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154</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03F337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Y形管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98A22C">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0C2612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1、实验用玻璃仪器。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由灯工玻璃制造。</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弯管长：50±5ｍｍ。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支管长：50±5ｍｍ。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管厚：7～8ｍｍ。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全高：100±5ｍｍ。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弯管角度：60°±3°。</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2、理化性能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耐水等级：1级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耐酸等级：1级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耐热等级：2级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3、色泽：无色透明略带微黄色。</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4、应力：呈紫红色或部分扩散状兰色。</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产品厚薄均匀，管口截位齐整，烘烧光平，焊接牢固，两边支管对称。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5、符合JY00001—2003《教学仪器产品一般质量要求》中的有关规定。</w:t>
            </w:r>
          </w:p>
        </w:tc>
      </w:tr>
      <w:tr w14:paraId="054683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7F7EC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155</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865164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滴管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38AA98C">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749A51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1、实验用玻璃仪器。  150ｍｍ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由灯工玻璃制造，由管身及橡皮头组成。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全长：150±5ｍｍ。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管直径：8±0．5ｍｍ。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喇叭口直径：10±0．5ｍｍ。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滴管小头直径：3．5±0．5ｍｍ。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2、理化性能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耐酸性能：1级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膨胀系数：≈51×10-7</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热稳定性：耐热温差不低於200℃。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3、应力：呈紫红色或部分扩散状兰色。</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4、口部切割整齐，烘光，上口喇叭口翻边圆整，应配橡皮头。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5、符合JY00001—2003《教学仪器产品一般质量要求》中的有关规定。</w:t>
            </w:r>
          </w:p>
        </w:tc>
      </w:tr>
      <w:tr w14:paraId="2D84E1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3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E3140B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156</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D3C445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集气瓶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0DF357">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38F57C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1、规格：125ｍｌ。</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由磨口瓶和玻片组成。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2、热稳定性：瓶子在80℃～100℃水中不破裂为准。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3、应力：在偏光仪下观察呈紫红色或部分扩散状兰色。</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4、色泽：白色透明，微带黄或绿色。</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5、磨砂密合性：玻片和瓶磨口配合后旋转，倒立，玻片不掉为准。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瓶身光洁圆整，不得有扁瘪现象，瓶底平稳，不允许旋转缩颈和磨光的小缺口。</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6、符合JY00001—2003《教学仪器产品一般质量要求》中的有关规定。</w:t>
            </w:r>
          </w:p>
        </w:tc>
      </w:tr>
      <w:tr w14:paraId="7C3F85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1A2A8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157</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5E793A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镊子</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58DA9C">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7FCD05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用不锈钢制成。规格为125mm。</w:t>
            </w:r>
          </w:p>
        </w:tc>
      </w:tr>
      <w:tr w14:paraId="63AC44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9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7D517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158</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6C7BC6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试管夹</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AE3ADE">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0E5152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1、供中学化学实验和小学自然教学实验用。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2、本品由木料或竹子制作，由长臂和短臂及弹簧组成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3、外形尺寸180×20×11mm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4、弹簧由Φ1mm的弹簧钢丝制成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5、长短臂、头部，各有一半圆孔约为3mm，并贴上卫层垫子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6、试管夹最大升度约为22mm</w:t>
            </w:r>
          </w:p>
        </w:tc>
      </w:tr>
      <w:tr w14:paraId="2BB7B3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9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30AEE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159</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3F33B9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石棉网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B3569B">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9D4520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1、供中学化学实验和小学自然教学实验用。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2、本品用于化学实验时隔热</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3、石棉网外形尺寸为125×125±1mm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4、铁丝网上涂防锈漆，四边加折不小于5mm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5、石棉膏涂复面积不小于Φ80mm涂复厚度应在1±0.2mm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6、石棉膏表面平整、牢固、均匀，无划痕，无粉尘脱落</w:t>
            </w:r>
          </w:p>
        </w:tc>
      </w:tr>
      <w:tr w14:paraId="418B78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9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FDF4E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160</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E1AE3D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燃烧匙</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9F1E36">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34E143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1、供中学化学实验和小学自然教学实验用。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2、铜勺：材料采用厚度为0.5mm的Ｈ62铜板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3、手柄：材料为直径Φ2mm，长度约为Φ300mm镀锌铁丝或电焊条芯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4、铜勺与手柄用氧焊连接</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5、铜勺成形外圆直径为20mm，窝孔深度不小于3.5mm</w:t>
            </w:r>
          </w:p>
        </w:tc>
      </w:tr>
      <w:tr w14:paraId="7B67EF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8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D3F0D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161</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18A64C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药匙</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48C259">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D8C1BC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1、供中学化学实验和小学自然教学实验用。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2、产品每组由大、中、小三把药匙组成，药匙的两端各有一个药勺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3、药匙材质：塑料</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4、每组药匙规格应符合下面附表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序号  组件名称   规   格       极     限     尺     寸</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    大号药匙 全长147 大勺长48，宽19，深10，小勺Φ9，深2±1</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    中号药匙 全长141 大勺长45，宽18，深 9，小勺Φ9，深2±1</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    小号药匙 全长125 大勺长40，宽17，深 5，小勺Φ9，深2±1</w:t>
            </w:r>
          </w:p>
        </w:tc>
      </w:tr>
      <w:tr w14:paraId="39A3E3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EAA64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9F9C50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玻璃管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D3B98C2">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0FFF37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1、实验用玻璃仪器。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由玻璃管组成。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玻管长：1000mm（或500mm）。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玻管外径φ5～6mm。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玻管壁厚：1～1．2mm。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2、理化性能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耐水等级：1级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耐酸等级：1级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耐碱等级：2级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3、应力：在偏光仪下观察呈紫红色。</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4、色泽：无色透明，允许微带黄绿色。</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5、玻管厚薄均匀，不能出现大小头（粗细不匀）。</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6、符合JY00001—2003《教学仪器产品一般质量要求》中的有关规定。</w:t>
            </w:r>
          </w:p>
        </w:tc>
      </w:tr>
      <w:tr w14:paraId="5F53B2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3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99B25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163</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E907AF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玻璃棒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98C299">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A3B68E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1、实验用玻璃仪器。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玻璃棒组成。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玻璃棒长：500、1000mm。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玻璃棒外径φ5～7±1mm。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2、理化性能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耐水等级：1级           耐酸等级：1级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耐碱等级：2级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3、应力：在偏光仪中呈兰色。</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4、玻璃棒要圆、直径均匀、不能粗细不匀、无气泡。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5、符合JY00001—2003《教学仪器产品一般质量要求》中的有关规定。</w:t>
            </w:r>
          </w:p>
        </w:tc>
      </w:tr>
      <w:tr w14:paraId="5927F9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76C5A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164</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B6099A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橡胶管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3039B2">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AA46AF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1、规格：5×7. 6×9. 8×12. 10×14</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2、材料：橡胶，要求无砂眼，有弹性，厚薄均匀</w:t>
            </w:r>
          </w:p>
        </w:tc>
      </w:tr>
      <w:tr w14:paraId="38FA2B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A88751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165</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FAF132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橡胶塞</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85596A">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A35F94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1、适用于各种试管、烧瓶、试剂瓶等玻璃仪器的封口</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2、规格：1#～10#不等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3、材料：熟料橡胶，表面光滑，弹性好，锥度大。</w:t>
            </w:r>
          </w:p>
        </w:tc>
      </w:tr>
      <w:tr w14:paraId="4344F5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2E169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166</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95167D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试管刷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90FD15">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088086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1、供中学化学实验和小学自然教学实验用。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2、本品由铁丝及猪鬃两部分组成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3、猪鬃均匀，在铁丝上，要求牢固、整齐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4、毛刷长约Φ7×70～Φ40×150mm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5、毛刷柄长10～150mm</w:t>
            </w:r>
          </w:p>
        </w:tc>
      </w:tr>
      <w:tr w14:paraId="7E1884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82CF2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167</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C26B5F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烧瓶刷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BB6CE97">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29D473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1、供中学化学实验和小学自然教学实验用。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2、本品由猪鬃及铁丝两部分组成，猪鬃被铁丝牢牢的夹紧在上面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3、规格：毛刷小头Φ12×18mm，大头Φ34×50mm,小头Φ31×50mm，大头Φ60×90mm</w:t>
            </w:r>
          </w:p>
        </w:tc>
      </w:tr>
      <w:tr w14:paraId="1DA0A4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6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5BB8EB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168</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739B9D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培养皿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BEFA65">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535B2B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1、实验用玻璃仪器。  100ｍｍ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由器盖、器底组成。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底外径：100±5ｍｍ。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盖外径：110±0．5ｍｍ。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底高：22±1ｍｍ。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盖高：20±2ｍｍ。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底盖厚：1．5～2ｍｍ。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底盖单重：0．30～0．35ｋｇ</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2、色泽：无色透明、允许略带微黄色。</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3、理化性能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耐水等级：1级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耐热等级：2级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耐碱等级：1级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耐酸等级：1级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4、应力：呈紫红色或部分扩散状兰色。</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5、产品厚薄均匀，底部平整，口部平磨细密光滑，口应磨平。</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6、符合JY00001—2003《教学仪器产品一般质量要求》中的有关规定。</w:t>
            </w:r>
          </w:p>
        </w:tc>
      </w:tr>
      <w:tr w14:paraId="30484E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8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12059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169</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31B77A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蒸发皿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B41594">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023FC7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1、实验用加热仪器。60ｍｍ。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陶瓷制造。</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2、蒸发皿外径：62～63ｍｍ。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蒸发皿高：≈28～30ｍｍ。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壁厚：≈2～2．5ｍｍ。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蒸发皿底径：≈50ｍｍ。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3、口圆整、光滑，不得有缺口，厚薄均匀，底部平整，不凸凹，放置平面不摇晃，器身不扁瘪。</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4、符合JY00001—2003《教学仪器产品一般质量要求》中的有关规定。</w:t>
            </w:r>
          </w:p>
        </w:tc>
      </w:tr>
      <w:tr w14:paraId="46BA9B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43787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170</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731CAA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塑料量杯</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CE8010">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2263AC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1、规格：500mL。</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2、采用高强度聚丙烯PPR-4912料。</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3、杯体采用双面刻度线，每格分度为50ml。</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4、带手柄，微广口设计带导液嘴，上口直径96mm,下口直径84mm,高105mm。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5、符合JY00001—2003《教学仪器产品一般质量要求》中的有关规定。</w:t>
            </w:r>
          </w:p>
        </w:tc>
      </w:tr>
      <w:tr w14:paraId="5254A5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8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DEDC0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171</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C003EC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载玻片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866646">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DFD1EC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1、实验用玻璃仪器。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载玻片：25．4×76．2mm。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厚度：1－1．2mm。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2、玻片要求平整、无气泡、四边磨砂精细平滑，没有缺口、没有毛边的磨砂边。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3、应力：呈紫色或部份扩散状兰色。</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4、色泽：无色透明。</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5、包装为50片一盒。</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6、符合JY00001—2003《教学仪器产品一般质量要求》中的有关规定。</w:t>
            </w:r>
          </w:p>
        </w:tc>
      </w:tr>
      <w:tr w14:paraId="0F2F4A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3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B054E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10E574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盖玻片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FDBBA4">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C49BF5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1、实验用玻璃仪器。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盖玻片：20×20mm。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厚度：0．2mm。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2、玻片要求平整、无气泡。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3、应力：呈紫色。</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4、色泽：无色透明。</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5、包装为50片一盒。</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6、符合JY00001—2003《教学仪器产品一般质量要求》中的有关规定。</w:t>
            </w:r>
          </w:p>
        </w:tc>
      </w:tr>
      <w:tr w14:paraId="7B6C11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79FE0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173</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E7BC00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方格黑板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C6DF4F">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761D25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教室标准方格黑板，带磁性。</w:t>
            </w:r>
          </w:p>
        </w:tc>
      </w:tr>
      <w:tr w14:paraId="1B7854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9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29904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174</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B546B6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计算器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4D6B06">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71FDFD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小学型计算器，功能：10位数四则混合运算，平方计算、开方计算、分数计算、括号运算、小数与百分数互相转换、分数与小数互相转换、分数与假分数互相转换。使用二节7号电池供电，有自动关机功能。</w:t>
            </w:r>
          </w:p>
        </w:tc>
      </w:tr>
      <w:tr w14:paraId="2F61AA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C2148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175</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E58439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剪刀</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DED913">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A1029A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长 150 mm，圆头，刀刃不锈钢材质，手柄塑料材质，带安全帽</w:t>
            </w:r>
          </w:p>
        </w:tc>
      </w:tr>
      <w:tr w14:paraId="3B71EF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4F21F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176</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60DEFA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刻刀</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0A9479">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5190B3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美工刀，不锈钢，全长 130 mm～160 mm，刀片宽 10 mm</w:t>
            </w:r>
          </w:p>
        </w:tc>
      </w:tr>
      <w:tr w14:paraId="70595C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9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3891C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177</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1C6514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 年级磁性教具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A26ED3">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111AC8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组合教具，带磁性，能实现以下教学用途：万以内数的认识、认识分数、计数、认识计数单位、认识年月日、认识平面的几何图形、长度测量、认识面积单位、长方形和正方形的面积公式、感受平移、旋转、轴对称现象、辨认位置与方向等</w:t>
            </w:r>
          </w:p>
        </w:tc>
      </w:tr>
      <w:tr w14:paraId="0F8F5F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9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DCF08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178</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867886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4～6 年级磁性教具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C94F69">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6A28D8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组合教具，带磁性，能实现以下教学用途：万以上数的认识、理解百分数、比较小数和分数的大小、负数、等式的性质、认识正比例的量和图像、了解平面上两条直线的平行和相交、认识几何图形、认识和使用量角器、估计不规则面积图形、计算长方体、正方体、圆柱表面积、认识轴对称图形和对称轴、观察认识平移和旋转等</w:t>
            </w:r>
          </w:p>
        </w:tc>
      </w:tr>
      <w:tr w14:paraId="3BF1AB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68997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179</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83489A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演示算盘</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AD5BE3">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9A40E8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75 cm×25 cm×3.5 cm；上珠 2 颗，下珠 5 颗，17 档位</w:t>
            </w:r>
          </w:p>
        </w:tc>
      </w:tr>
      <w:tr w14:paraId="7056EA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04C70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180</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92B97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演示算盘</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8B00C8">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796D8A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75 cm×25 cm×3.5 cm；上珠 1 颗，下珠 4 颗，17 档位</w:t>
            </w:r>
          </w:p>
        </w:tc>
      </w:tr>
      <w:tr w14:paraId="52A805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B7A389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181</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7691E6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数字、运算符号贴片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6DED5E">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D506CF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演示用，磁贴；数字 0～9、加号、减号、乘号、除号、大于号、小于号、等号、大于等于号、小于等于号；裸图：高 10 cm；颜色鲜艳，亮黄色底，黑色字。</w:t>
            </w:r>
          </w:p>
        </w:tc>
      </w:tr>
      <w:tr w14:paraId="375556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6734B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C0B789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数字、运算符号贴片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2D9529">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4869FE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学生用；数字 0～9、加号、减号、乘号、除号、大于号、小于号、等号、大于等于号、小于等于号；裸图：高 5 cm；颜色鲜艳，亮黄色底黑色字</w:t>
            </w:r>
          </w:p>
        </w:tc>
      </w:tr>
      <w:tr w14:paraId="5A3FD5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D441D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183</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CDBE43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百数表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577128">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3C2066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演示用；100 cm×100 cm，每行 10 个格，共 10 行；磁贴，可写可擦</w:t>
            </w:r>
          </w:p>
        </w:tc>
      </w:tr>
      <w:tr w14:paraId="04649F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7EBDD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184</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AC1082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大数进位模型</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B27013">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57FCBF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 个千位正方体、10 个百位正方块，10 个十位长方条，100 个正方颗粒；以塑料盒包装，便于收纳</w:t>
            </w:r>
          </w:p>
        </w:tc>
      </w:tr>
      <w:tr w14:paraId="04D015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BC510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185</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5A0B3D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计数片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874BF7">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F14A22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Style w:val="55"/>
                <w:lang w:val="en-US" w:eastAsia="zh-CN" w:bidi="ar"/>
              </w:rPr>
              <w:t>圆形</w:t>
            </w:r>
            <w:r>
              <w:rPr>
                <w:rStyle w:val="51"/>
                <w:lang w:val="en-US" w:eastAsia="zh-CN" w:bidi="ar"/>
              </w:rPr>
              <w:t xml:space="preserve">Φ </w:t>
            </w:r>
            <w:r>
              <w:rPr>
                <w:rStyle w:val="55"/>
                <w:lang w:val="en-US" w:eastAsia="zh-CN" w:bidi="ar"/>
              </w:rPr>
              <w:t>25 mm，正方形25 mm×25 mm，正三角形边长25 mm，各片厚1 mm，每种图形各 20 张</w:t>
            </w:r>
          </w:p>
        </w:tc>
      </w:tr>
      <w:tr w14:paraId="75957D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74154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186</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B629B0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竖式计数器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77B271">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911DCE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演示用；三档，标明“个位”“十位”“百位”</w:t>
            </w:r>
          </w:p>
        </w:tc>
      </w:tr>
      <w:tr w14:paraId="5B6863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63875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187</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D68B57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竖式计数器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B4CDDB0">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716236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演示用；五档，标明“个位”“十位”“百位”“千位”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“万位”</w:t>
            </w:r>
          </w:p>
        </w:tc>
      </w:tr>
      <w:tr w14:paraId="7AFB9E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4BC84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188</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D88816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竖式计数器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8169EC">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72C370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学生用；五档，标明“个位”“十位”“百位”“千位”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“万位”</w:t>
            </w:r>
          </w:p>
        </w:tc>
      </w:tr>
      <w:tr w14:paraId="689A95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5D5FD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189</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3C9584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计数棒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04B8FC">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916DFD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演示用；由 100 根棒组成，五种颜色，每种颜色 20 根；200 mm，截面形状可为正方形，圆形或正多边形，截面积外接圆直径 10 mm</w:t>
            </w:r>
          </w:p>
        </w:tc>
      </w:tr>
      <w:tr w14:paraId="4F5483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A2D97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190</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FC0358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计数棍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2B6255">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1C6A9C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学生用；由 100 根棒组成，五种颜色，每种颜色 20 根；100 mm，截面形状可为正方形，圆形或正多边形，截面积外接圆直径 4 mm</w:t>
            </w:r>
          </w:p>
        </w:tc>
      </w:tr>
      <w:tr w14:paraId="4A76FA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AEBC0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191</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B435C6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计数彩条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08FFAB">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5101C8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Style w:val="55"/>
                <w:lang w:val="en-US" w:eastAsia="zh-CN" w:bidi="ar"/>
              </w:rPr>
              <w:t>由十种木条组成，分别涂上白、红、浅绿、紫、黄、深绿、黑、蓝、棕、橙等颜色；十种木条的截面都是 1 cm</w:t>
            </w:r>
            <w:r>
              <w:rPr>
                <w:rStyle w:val="53"/>
                <w:lang w:val="en-US" w:eastAsia="zh-CN" w:bidi="ar"/>
              </w:rPr>
              <w:t>2</w:t>
            </w:r>
            <w:r>
              <w:rPr>
                <w:rStyle w:val="55"/>
                <w:lang w:val="en-US" w:eastAsia="zh-CN" w:bidi="ar"/>
              </w:rPr>
              <w:t>的正方形、长度分别为 1 cm，2 cm，3 cm，…，10 cm</w:t>
            </w:r>
          </w:p>
        </w:tc>
      </w:tr>
      <w:tr w14:paraId="36C805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1239D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2F91A8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分数片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73308E">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D9BEBC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演示用；由 1 个正方形底板和 12 条全长相同的长方形片组成，底板用塑料或木材制，片用塑料制；12 条长方形片每行颜色不同，分别表示 1，1/2，1/3，1/4，1/5， 1/6，1/7，1/8，1/9，1/10，1/12，1/16，每块上应有相应的分数值，可独立取下贴于黑板上</w:t>
            </w:r>
          </w:p>
        </w:tc>
      </w:tr>
      <w:tr w14:paraId="1C2210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CAD55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193</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C10025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圆形分数模型</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F1E233">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A0D333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演示用；采用直径≥22 cm、厚度≥0.8 mm 的软磁板；包含 15 片未裁切的圆（以不同颜色标示 1～1/20 等分数），15 片裁切的圆（依 1～1/20 等分进行），2 片圆形白软磁板。</w:t>
            </w:r>
          </w:p>
        </w:tc>
      </w:tr>
      <w:tr w14:paraId="09409C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E82A74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194</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594025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立体分数模型</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AF12E7">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C33893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由球体、正方体等几何形体，四分之一球体、八分之一球体、四分之一正方体、八分之一正方体等组成</w:t>
            </w:r>
          </w:p>
        </w:tc>
      </w:tr>
      <w:tr w14:paraId="7B2745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FB3BA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195</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053EC2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口算练习器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AC21A6">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500E98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旋转式，能组成二位数、加、减、乘、除符号和一位数的运算式，没有等号和答案；数字高度≥50 mm</w:t>
            </w:r>
          </w:p>
        </w:tc>
      </w:tr>
      <w:tr w14:paraId="507D30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CEAD5D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196</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45FC02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点子图</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8B17A9">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0BDDAB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演示用：磁贴，630 mm×800mm，每行 14 个点子，12 行，点子直径25mm</w:t>
            </w:r>
          </w:p>
        </w:tc>
      </w:tr>
      <w:tr w14:paraId="7A84FE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9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B9E40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197</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4B9B77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计数多层积木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EC2FE9">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983AE7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学生用；塑料材质；积木块包括 1 个 10 mm×10 mm×10 mm的正方体，90 mm×10 mm×10 mm、90 mm×100 mm×10 mm、 90 mm×100 mm×100 mm 的长方体各 1 个；每个积木块外都应画有 10 mm 的方格；配透明塑料盒</w:t>
            </w:r>
          </w:p>
        </w:tc>
      </w:tr>
      <w:tr w14:paraId="606C44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E2FD8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198</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F5E7CC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沙漏组</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2B1B62">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140EAD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包含 30 秒、1 分钟、3 分钟、5 分钟、10 分钟和 15 分钟的沙漏各 1 个</w:t>
            </w:r>
          </w:p>
        </w:tc>
      </w:tr>
      <w:tr w14:paraId="16CAD7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D8CB2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199</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34EFD2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钟表模型</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444DC8">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37C171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演示用；三针，联动/非联动两用，12h/24h 表示，盘面直径为 250mm，无透明钟面罩</w:t>
            </w:r>
          </w:p>
        </w:tc>
      </w:tr>
      <w:tr w14:paraId="46C8AE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8E580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650CDE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钟表模型</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E33698">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81D701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学生用；两针，非联动，12 h 表示，盘面直径80 mm，无透明钟面罩</w:t>
            </w:r>
          </w:p>
        </w:tc>
      </w:tr>
      <w:tr w14:paraId="1F458C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D65C4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201</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7722A2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钟表模型</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B03CF5">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7734CD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学生用；三针，联动，12 h/24 h 表示，盘面直径80 mm，有透明钟面罩</w:t>
            </w:r>
          </w:p>
        </w:tc>
      </w:tr>
      <w:tr w14:paraId="7376C1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E1034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34E7CD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电子秒表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B1DF056">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C73584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专用型，全时段分辨力 0.01 s；有防震、防水功能，电池更换周期≥1.5 年</w:t>
            </w:r>
          </w:p>
        </w:tc>
      </w:tr>
      <w:tr w14:paraId="6679C7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DA2CD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203</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E881D2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托盘天平</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5FAF4E1">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9E8D3F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演示用，500 g，0.5 g</w:t>
            </w:r>
          </w:p>
        </w:tc>
      </w:tr>
      <w:tr w14:paraId="2E7C24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9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115D0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204</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D2097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简易天平</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4BD1FE">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A3E705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等臂双吊桶非自动天平，最大载荷 200 g，分度值 1 g，槽码用金属制：10 g 16 个，5 g 8 个。允许误差：应分别≤0.5 g 和 0.3 g。吊桶容积应为 200 mL，可称量液体。吊桶应能自动调整方向，保持垂直与水平面</w:t>
            </w:r>
          </w:p>
        </w:tc>
      </w:tr>
      <w:tr w14:paraId="406771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05A4E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205</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A0F6E9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弹簧度盘秤</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E20F25">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03FC21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指针式，最大称量 1 kg，最小称量 50 g，分度值 5 g</w:t>
            </w:r>
          </w:p>
        </w:tc>
      </w:tr>
      <w:tr w14:paraId="21F9F1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A8A89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206</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DBE443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数字天平</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7FF859">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83C748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包含配有 20 个法码和 1 个天平座；能呈现等于、大于、小于的关系式</w:t>
            </w:r>
          </w:p>
        </w:tc>
      </w:tr>
      <w:tr w14:paraId="254A55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B7E39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207</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FE78FF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杠杆平衡器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F348F7">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E0DB4B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学生用；包含杠杆尺、支架及勾码 1 盒</w:t>
            </w:r>
          </w:p>
        </w:tc>
      </w:tr>
      <w:tr w14:paraId="3D0CC9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8A600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208</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246369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几何图形片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D51D66">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C0ACFD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包括正方形（50 mm×50 mm）、长方形（50 mm×100 mm）、直角三角形（直角边长 50mm、100 mm）、等边三角形（边长 100 mm）、等腰三角形（两腰长 100 mm）、平行四边形（底边 200 mm、高 100 mm）、直角梯形(底边长 200 mm、高 100mm）、一般梯形（下底边长 100 mm）、圆形（直径 100 mm）</w:t>
            </w:r>
          </w:p>
        </w:tc>
      </w:tr>
      <w:tr w14:paraId="7ECBFF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442FC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209</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30BCC2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几何形体模型</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6429BF5">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1C92F9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学生用。 一般长方体(60×30×10mm）1个、特殊长方体（60×60×10mm）1个、正方体(边长30mm)1个、实心圆柱体（φ30×60mm）1个、空心圆柱（φ60×60mm）1个、球（直径30mm）、圆锥体（φ60×60mm、φ30×60mm、φ30×50mm）3种各1个组成</w:t>
            </w:r>
          </w:p>
        </w:tc>
      </w:tr>
      <w:tr w14:paraId="7C93FE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AC92E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210</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5F9A4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七巧板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975940">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10C2E1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演示用；磁吸式，七种颜色，所组成的正方形≥400 mm× 400 mm，厚≥4 mm</w:t>
            </w:r>
          </w:p>
        </w:tc>
      </w:tr>
      <w:tr w14:paraId="37E4F4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8033A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211</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067339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七巧板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25D63E">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68DF29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学生用；七种颜色，所组成的正方形≥80 mm×80 mm，厚≥1 mm</w:t>
            </w:r>
          </w:p>
        </w:tc>
      </w:tr>
      <w:tr w14:paraId="23462E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A0E16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84829C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七巧块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AB4FB7">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B1AC75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由 7 块形状不同的模块组成正方体，1 个纸盒装，尺寸65 mm×65 mm×65 mm</w:t>
            </w:r>
          </w:p>
        </w:tc>
      </w:tr>
      <w:tr w14:paraId="63F435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CF942D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213</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4A94FD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百鸟蛋</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FAA052">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9D6169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由 9 块不同形状模块组成蛋形， 尺寸 ≧135 mm× 110 mm×5 mm</w:t>
            </w:r>
          </w:p>
        </w:tc>
      </w:tr>
      <w:tr w14:paraId="7BE649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E8863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214</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8A7B56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长正方体框架模型</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A6374B">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0883A3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直径为 3.5 mm 的红、黄、蓝小棒各 16 根；小棒长分别为150 mm、100 mm、50 mm；白色三通接口 20 个；透明收纳盒，用于收纳上述物品</w:t>
            </w:r>
          </w:p>
        </w:tc>
      </w:tr>
      <w:tr w14:paraId="09B151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E7521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215</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89C1E7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角操作材料</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42F3F4">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A9586E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可变换角的大小， 两边长度可拉伸可收缩， 可在60 mm～100 mm 范围内改变，宽度为 7 mm～10 mm</w:t>
            </w:r>
          </w:p>
        </w:tc>
      </w:tr>
      <w:tr w14:paraId="7F2874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1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884252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216</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D55EF8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钉板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8C4C7F">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AB1E0F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Style w:val="55"/>
                <w:lang w:val="en-US" w:eastAsia="zh-CN" w:bidi="ar"/>
              </w:rPr>
              <w:t>由钉板、橡皮圈等组成，演示板</w:t>
            </w:r>
            <w:r>
              <w:rPr>
                <w:rStyle w:val="56"/>
                <w:rFonts w:eastAsia="宋体"/>
                <w:lang w:val="en-US" w:eastAsia="zh-CN" w:bidi="ar"/>
              </w:rPr>
              <w:t>590mm</w:t>
            </w:r>
            <w:r>
              <w:rPr>
                <w:rStyle w:val="55"/>
                <w:lang w:val="en-US" w:eastAsia="zh-CN" w:bidi="ar"/>
              </w:rPr>
              <w:t>×</w:t>
            </w:r>
            <w:r>
              <w:rPr>
                <w:rStyle w:val="56"/>
                <w:rFonts w:eastAsia="宋体"/>
                <w:lang w:val="en-US" w:eastAsia="zh-CN" w:bidi="ar"/>
              </w:rPr>
              <w:t>390mm</w:t>
            </w:r>
            <w:r>
              <w:rPr>
                <w:rStyle w:val="55"/>
                <w:lang w:val="en-US" w:eastAsia="zh-CN" w:bidi="ar"/>
              </w:rPr>
              <w:t>，用优质高密度板制成，表面平整、挺直、无毛刺、无节疤、裂纹、伤痕等疵病。板正面为复膜印刷贴面，有等分方格，每相邻方格颜色兰白相间，每个方格边长</w:t>
            </w:r>
            <w:r>
              <w:rPr>
                <w:rStyle w:val="56"/>
                <w:rFonts w:eastAsia="宋体"/>
                <w:lang w:val="en-US" w:eastAsia="zh-CN" w:bidi="ar"/>
              </w:rPr>
              <w:t>33mm</w:t>
            </w:r>
            <w:r>
              <w:rPr>
                <w:rStyle w:val="55"/>
                <w:lang w:val="en-US" w:eastAsia="zh-CN" w:bidi="ar"/>
              </w:rPr>
              <w:t>。在各方格的交点处嵌有小钉，钉子排列整齐，钉数共</w:t>
            </w:r>
            <w:r>
              <w:rPr>
                <w:rStyle w:val="56"/>
                <w:rFonts w:eastAsia="宋体"/>
                <w:lang w:val="en-US" w:eastAsia="zh-CN" w:bidi="ar"/>
              </w:rPr>
              <w:t>187</w:t>
            </w:r>
            <w:r>
              <w:rPr>
                <w:rStyle w:val="55"/>
                <w:lang w:val="en-US" w:eastAsia="zh-CN" w:bidi="ar"/>
              </w:rPr>
              <w:t>个。板的背面无钉头露出，为黑色，可当黑板使用。</w:t>
            </w:r>
          </w:p>
        </w:tc>
      </w:tr>
      <w:tr w14:paraId="7A1D8B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9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ACB99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217</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DB1B55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钉板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22F050">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842492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演示用，采用透明塑料制成，外形尺寸：200mm×200mm，配有橡皮筋，板面上划有36个等分方格，在方格的每一交点处嵌有塑钉，塑钉等高，共有49个塑钉，板面塑钉顶部大于塑钉钉体，使用时不至于橡皮筋滑出，板面上绘有的线条清晰、整齐、粗细一致，可与投影机配合使用，用橡皮筋在钉板上围成的几何图形，可直观地计算几何图形的面积。</w:t>
            </w:r>
          </w:p>
        </w:tc>
      </w:tr>
      <w:tr w14:paraId="302676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9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6893E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218</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16BB29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钉板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6ABC91B">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3930B9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学生用，塑料注塑成型，140mm×140mm，正面有49个塑料钉，7排7列，间隔20mm分布。另一面在圆周的24等分点处、圆心处、圆外切正方形的四个顶点处各有一个钉子。应符合JY0344《钉板》的要求。</w:t>
            </w:r>
          </w:p>
        </w:tc>
      </w:tr>
      <w:tr w14:paraId="6810C8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9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B06CF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219</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D80099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条形拼搭条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677C2D">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93EAA1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拼搭条的宽度为 8 mm，长度和颜色分别为 50 mm（红色）， 70.7 mm（黄色），86.6 mm（蓝色），100 mm（紫色），12.2 mm（绿色），14.14 mm（橙色），各 12 条；拼搭条两端分别为公母扣，便于相互拼搭。</w:t>
            </w:r>
          </w:p>
        </w:tc>
      </w:tr>
      <w:tr w14:paraId="0B496D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D9BD2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220</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8FDD7E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 面空间连接模型</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A509B6">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CA7680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包括4种不同长度的杆、4种颜色的积木球组成。杆可插入积木球上的任意小孔内。积木球直径30mm，26个小孔。连接杆长142mm的6根，95mm的18根，60mm的8根，38mm的4根。</w:t>
            </w:r>
          </w:p>
        </w:tc>
      </w:tr>
      <w:tr w14:paraId="6F2D73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BFA66D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221</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00612C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直尺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27E704">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27CCFB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演示用；1 m，最小分度值 1 mm，分别有米、分米、厘米、毫米四种单位，刻度清晰，采用工程塑料制。二节组合，带手柄。</w:t>
            </w:r>
          </w:p>
        </w:tc>
      </w:tr>
      <w:tr w14:paraId="42DEA9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46926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B353BE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软尺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D272A1">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538431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2000 mm，最小分度值为 1 mm，宽度≥13 mm；每厘米处应为长线，每 5 mm 处应为中线，每毫米处应为短线；应按示值线所代表的 m、dm 或cm 值标出</w:t>
            </w:r>
          </w:p>
        </w:tc>
      </w:tr>
      <w:tr w14:paraId="733511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9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B7F09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223</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314747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三角尺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958436">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1CEFB8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演示用；工程塑料或木制，30°、60°直角三角尺和等腰直角三角尺各 1 个，带把手，60°角所对直角边和等腰三角尺的斜角边应有标尺，宜三边都有标尺；标尺长度应≥500 mm，最小分度值应为 0.5 cm，字体高度应≥10 mm，标尺零位前不留空白</w:t>
            </w:r>
          </w:p>
        </w:tc>
      </w:tr>
      <w:tr w14:paraId="4756D1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91F9A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224</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676BBE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圆规</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6D5FD3">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F6677C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演示用；工程塑料或木制，圆规两脚张开松紧应可调，一脚端部可夹普通粉笔，另一脚端部能在黑板定位（采用橡胶摩擦定位）。</w:t>
            </w:r>
          </w:p>
        </w:tc>
      </w:tr>
      <w:tr w14:paraId="656C89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1687D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225</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EFE8B6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量角器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8E4C89D">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D42864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演示用；塑料制，直角度分度线应为 0°～180°和180°～0°双向标度，最小分度值应为 1°，双向角度标度中间有划线槽；在半圆的直径边应有直尺，直尺的最小分度值宜为 1 cm；半圆直径应为 500 mm～510 mm；厚≥8 mm，半圆圆心定位孔的直应在 0°～180°线（X轴）上，在定位孔半圆圆周上应有一短线，标出 Y 轴的位置。半圆孔直径应为 10 mm～12 mm；手柄应安装在直尺与半圆定位孔之间。</w:t>
            </w:r>
          </w:p>
        </w:tc>
      </w:tr>
      <w:tr w14:paraId="25E2BA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2B7E6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226</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49C9A0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面积测量器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59DC5B5">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4DAF6C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非脆性的透明塑料板，面积测量部分为100 mm×100 mm，其中一面印刷边长为 5 mm 的方格，每 10 mm 处用粗线印刷，每 5 mm 处用细线印刷，粗线处标有数字。</w:t>
            </w:r>
          </w:p>
        </w:tc>
      </w:tr>
      <w:tr w14:paraId="3F90DC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9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28A9CB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227</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ABA2C5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探索几何图形面积计算公式材料</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6BF2733">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608183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非脆性的透明塑料板，由 1 个边长 30 mm 的正方形、1个边长 60 mm×30 mm 的长方形、1 个底边边长 60 mm、高 30 mm 的平行四边形，2 个底边边长 60 mm、高 30 mm的直角三角形、2 个底边边长 60 mm、高 30 mm 的锐角三角形、2 个底边边长 60 mm、高 30 mm 的钝角三角形、2个上底 20 mm、下底 40 mm、高 30 mm 的梯形组成</w:t>
            </w:r>
          </w:p>
        </w:tc>
      </w:tr>
      <w:tr w14:paraId="4CBCC6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8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2E053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228</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037DC9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圆周率、圆面积计算公式推导演示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模型</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65501A">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13E8B2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由钢制面板和塑料制成的圆面积演示器1个、圆周率演示器1个组成。产品能推导圆面积、圆周率计算公式；圆面积演示器，直径200mm，由15块1/16扇形块和2块1/32扇形块组成，能拼成较正规的长方形，每块扇形块背面固定有强磁，能吸在钢制面板上；圆周率演示圆，直径100mm，厚度4mm，印有滚动起始点标志，圆周边为齿状，配塑料直尺一根，固定在面板上，刻度长35cm，最小分度1cm，一侧面为齿状，直尺齿的模数和圆周率演示圆轮边齿的模数相同，实验精度好。钢制面板尺寸540mm×240mm×15mm，表面喷涂灰白色，印有扇形围成的圆和扇形组成长方形的图案，面板能放桌面上和吸在黑板上两用，带有支脚，能放在桌面上使用，面板背面装有强磁，能牢固吸在钢制黑板上使用。</w:t>
            </w:r>
          </w:p>
        </w:tc>
      </w:tr>
      <w:tr w14:paraId="21962C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4B348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229</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EA3D92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塑料量杯</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8A5D28">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5FFA19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透明，圆柱形，2 L，标度最小分度值应为 50 mL，塑料量杯的容许误差应≤示值的 2％</w:t>
            </w:r>
          </w:p>
        </w:tc>
      </w:tr>
      <w:tr w14:paraId="3CF88F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D2720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230</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68736D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塑料量杯</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D4A500">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59C8D1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透明，棱柱形，1.5 L，标度最小分度值应为 50 mL，塑料量杯的容许误差应≤示值的 2％</w:t>
            </w:r>
          </w:p>
        </w:tc>
      </w:tr>
      <w:tr w14:paraId="64F527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224E23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231</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CA4421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塑料量杯</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4D3DD1">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67BA45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透明，水杯形，1 L，标度最小分度值应为 50 mL，塑料量杯的容许误差应≤示值的 2％</w:t>
            </w:r>
          </w:p>
        </w:tc>
      </w:tr>
      <w:tr w14:paraId="08E032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9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12D3A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499D60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几何形体表面积展开 模型</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46A68B">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051319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演示用；长方体、正方体、圆柱体各一，三种不同颜色，长方体边长为 60 mm×100 mm×140 mm，正方体边长为 100 mm，圆柱直径为 100 mm、高为 100 mm；几何形体外包有相应颜色的薄塑料制的表面积展开图形。</w:t>
            </w:r>
          </w:p>
        </w:tc>
      </w:tr>
      <w:tr w14:paraId="4AA12F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9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7FB5A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233</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9BFC9E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几何形体表面积展开 模型</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61F0214">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45F88E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学生用；长方体、正方体、圆柱体各一，三种不同颜色，长方体尺寸为 20 mm×40 mm×60 mm，正方体尺寸为 50 mm，圆柱直径为 30 mm、高为 50 mm；几何形体外包有相应颜色的薄塑料制的表面积展开图形。</w:t>
            </w:r>
          </w:p>
        </w:tc>
      </w:tr>
      <w:tr w14:paraId="7D2D38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D66EA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234</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F423E8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立方厘米、立方分米模型</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59305CC">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09FCE7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 mm×100 mm×100 mm 透明正方体容器 1 个，侧面显示刻度线，内含四种规格立方体，规格数量如下：100 mm×100 mm×90 mm 白色长方体 1 个（表面有 1 平方厘米的格子线）100 mm×90 mm×10 mm 黄色长方体 1 个（表面有 1 平方厘米的格子线），90 mm×10 mm×10 mm黄色长方体 1 个（表面有 1 平方厘米的格子线），10 mm×10 mm×10 mm 红色小正方体 1 个。</w:t>
            </w:r>
          </w:p>
        </w:tc>
      </w:tr>
      <w:tr w14:paraId="376C4D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66877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235</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0F1CF3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探索几何形体体积计算公式材料</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5E835F9">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980192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应由三部分组成，如下：长方体体积：由 24个边长 10 mm 的正方体和 1 个长方体容器构成，长方体内部尺寸 41 mm×31 mm×21 mm；圆柱体体积：由 2 个颜色不同、截面为半圆的圆柱组成，每个半圆柱由截面为扇形的柱体构成，不少于 8 块； 圆柱圆锥体积比：由无色透明的圆柱形容器和圆锥形容器组成，圆柱和圆锥均高 100 mm，直径 100 mm，圆柱壁应有三等分的标度线。</w:t>
            </w:r>
          </w:p>
        </w:tc>
      </w:tr>
      <w:tr w14:paraId="1FA453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9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E19EB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236</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2AFF67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图形变换操作材料</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DB5F02">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DCA47A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应有 2 个平行四边形（边长 30 mm，高 20 mm），2 个正方形（边长 30 mm），2 个三角形（底 30 mm，高 20 mm）和 2 个圆（直径 30 mm）组成；彩色透明塑料制；用于平移、旋转、对称等内容。</w:t>
            </w:r>
          </w:p>
        </w:tc>
      </w:tr>
      <w:tr w14:paraId="0ED391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4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22EB3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237</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0D9F16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旋转模型</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8F6187">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7CA110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手动旋转装置，产品由底座、支架、转轴、转盘、卡座组成，包括旋转产生圆柱体、圆锥体、圆台、球的轴截面平面图形，分别为长方形、直角三角形、梯形、半圆形。长方形尺寸70mm×150mm，直角三角形直角边尺寸70mm×150mm，梯形尺寸45mm×70mm×150mm，半圆形直径100mm。</w:t>
            </w:r>
          </w:p>
        </w:tc>
      </w:tr>
      <w:tr w14:paraId="0FE696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EB940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238</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65F339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演示用转盘</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B85D36A">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606716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由转盘和盘面可换的数字、色块、空白盘面组成，盘面直径400 mm，更换盘面时应不需拆下指针，悬挂式，圆盘面应敷设磁性塑料；可换盘面应采用铁片作材料，双面印有符号或颜色；数字盘面应印有 0～10；色块盘面应有三种不同的颜色，每种颜色四块；空白盘面一面应使用白色无光塑料，应可用白板笔书写</w:t>
            </w:r>
          </w:p>
        </w:tc>
      </w:tr>
      <w:tr w14:paraId="016160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0595C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239</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F0703D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数字骰子</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8EF062">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DA019C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边长12 mm×12 mm×12 mm，每个侧面上有不同的数字，数量每套 3 个</w:t>
            </w:r>
          </w:p>
        </w:tc>
      </w:tr>
      <w:tr w14:paraId="67FFA4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883FA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240</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CE4F86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空白骰子</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1E2116">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C82915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边长12 mm×12 mm×12 mm，数量每套 2 个，可用铅笔书写并可擦除</w:t>
            </w:r>
          </w:p>
        </w:tc>
      </w:tr>
      <w:tr w14:paraId="2F4DBB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84069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241</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45881C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塑料球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CC91CD">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D1CC9E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五种颜色，每种颜色各 10 个，球径20 mm，配不透明袋 2 个，袋口有伸、缩拉绳</w:t>
            </w:r>
          </w:p>
        </w:tc>
      </w:tr>
      <w:tr w14:paraId="1F57D3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E11C6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9012BB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活动日历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F1A45FE">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D38746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演示用；边长 10 cm 的正方体 4 块；可写可擦。底座（盒子）405mm×105mm×105mm。</w:t>
            </w:r>
          </w:p>
        </w:tc>
      </w:tr>
      <w:tr w14:paraId="4C324B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E98698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243</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8F0C25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活动日历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25BD6F">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D3EF2F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学生用；边长 5 cm 的正方体 4 块；可写可擦。底座（盒子）205mm×55mm×55mm。</w:t>
            </w:r>
          </w:p>
        </w:tc>
      </w:tr>
      <w:tr w14:paraId="725B39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4835A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244</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60FB82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彩色双面双色纸</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7CA6B1">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30DD52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A4，1 包 100 张；与黑板和白板反差大的彩色</w:t>
            </w:r>
          </w:p>
        </w:tc>
      </w:tr>
      <w:tr w14:paraId="40367D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CC412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245</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140E23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表面涂色的正方体</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2230CB">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5DE8AC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正方体 3 cm×3 cm×3 cm，64 个；其中三面涂红色的 8个，两面涂红色的 24 个，一面涂红色 24 个，六面均不涂红色的 8 个，不涂红色的面均涂白色。</w:t>
            </w:r>
          </w:p>
        </w:tc>
      </w:tr>
      <w:tr w14:paraId="3446CE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1" w:hRule="atLeast"/>
        </w:trPr>
        <w:tc>
          <w:tcPr>
            <w:tcW w:w="0" w:type="auto"/>
            <w:gridSpan w:val="4"/>
            <w:tcBorders>
              <w:top w:val="single" w:color="000000" w:sz="4" w:space="0"/>
              <w:left w:val="single" w:color="000000" w:sz="4" w:space="0"/>
              <w:bottom w:val="single" w:color="000000" w:sz="4" w:space="0"/>
              <w:right w:val="single" w:color="000000" w:sz="4" w:space="0"/>
            </w:tcBorders>
            <w:shd w:val="clear" w:color="auto" w:fill="FFFF00"/>
            <w:vAlign w:val="center"/>
          </w:tcPr>
          <w:p w14:paraId="206CF4CF">
            <w:pPr>
              <w:keepNext w:val="0"/>
              <w:keepLines w:val="0"/>
              <w:widowControl/>
              <w:suppressLineNumbers w:val="0"/>
              <w:jc w:val="center"/>
              <w:textAlignment w:val="center"/>
              <w:rPr>
                <w:rFonts w:hint="default" w:ascii="方正黑体_GBK" w:hAnsi="方正黑体_GBK" w:eastAsia="方正黑体_GBK" w:cs="方正黑体_GBK"/>
                <w:i w:val="0"/>
                <w:iCs w:val="0"/>
                <w:color w:val="000000"/>
                <w:sz w:val="18"/>
                <w:szCs w:val="18"/>
                <w:u w:val="none"/>
              </w:rPr>
            </w:pPr>
            <w:r>
              <w:rPr>
                <w:rFonts w:hint="default" w:ascii="方正黑体_GBK" w:hAnsi="方正黑体_GBK" w:eastAsia="方正黑体_GBK" w:cs="方正黑体_GBK"/>
                <w:i w:val="0"/>
                <w:iCs w:val="0"/>
                <w:color w:val="000000"/>
                <w:kern w:val="0"/>
                <w:sz w:val="18"/>
                <w:szCs w:val="18"/>
                <w:u w:val="none"/>
                <w:lang w:val="en-US" w:eastAsia="zh-CN" w:bidi="ar"/>
              </w:rPr>
              <w:t>音乐教室</w:t>
            </w:r>
          </w:p>
        </w:tc>
      </w:tr>
      <w:tr w14:paraId="5185B4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8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548F41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E3D007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立式钢琴</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B17C98">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6C19E8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1.外壳尺寸（长×宽×高）≧1500×598×1181mm。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2.铁板：采用传统沙铸铁板工艺，音色纯正。</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3.音板：采用进口优质木材制作的加强型实木音板，在各种不同的气候条件下均能保持优良的音色。音板设计非常符合钢琴共鸣系统的发声规律，产生更加优美的琴声和纯正的音质效果。</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4.琴弦：采用德国Roslau原装进口名牌钢线，音色纯净，音准稳定。</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5.弦码：采用色木多层板制作，音频振动响应精确、迅速。</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6.弦轴板：由多层硬木交错拼接而成，为弦轴钉提供稳固的握钉力，保证了音准稳定性。</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7.弦槌：采用优质国产羊毛毡并应用欧洲传统工艺制作的弦槌，音色圆润通透。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8.制音器：采用进口优质羊毛制造，制音效果好。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9.转击器、联动杆、制音杆：采用坚硬细密的优质木材制作，强度高、韧性大、运动灵敏、观感典雅。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10.顶杆：采用高强度ABS材质，不易磨损，自润性能佳，保证了产品的使用寿命。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11.琴键：采用亚光黑键，色彩和质感如同乌木，触感舒适自然。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12.键板：采用进口优质木材制作的实木键板，性能稳定。</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13.脚轮：采用单轮脚轮，具有转动灵活、推行顺畅、噪声低的特点。</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14.外壳标识：压键档粘贴“教学专用琴”标识。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15.外壳涂饰：采用名牌不饱和树脂环保漆，并应用静电喷涂、自动淋油等先进涂饰工艺，令漆面光亮平整</w:t>
            </w:r>
          </w:p>
        </w:tc>
      </w:tr>
      <w:tr w14:paraId="53066B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F4B53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7403BB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琴凳</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16397A">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17A01DF1">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1、优质琴凳，铁、优质皮革、高密度海绵。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2、板面：290*450mm 高度490mm。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3、表面处理工艺：静电喷粉。</w:t>
            </w:r>
          </w:p>
        </w:tc>
      </w:tr>
      <w:tr w14:paraId="76ECA1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1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048C5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CE07E3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手风琴</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D3E4A9">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58636148">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1.琴箱：长402mm,宽185mm。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2.风箱：16折，表面覆盖条两端应一致，折层边棱应平整。风箱伸缩自如，与琴箱结合严密。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3.键盘：34个条形琴键，中心距20mm，琴键宽度19mm, 键盘耐磨防划.黑白键左右不摆动，机械传动稳定灵活，经久耐用不褪色。</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4.键盘音列：3排。</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5.音域：从G到E。高音明亮，中音丰满有力，音质纯净，无杂音无哑音，低音浑厚。音色变化丰富，音域内高低排列和谐。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6.键盘变音器：5个变音+一个总还原，排列整齐，音列组合标志准确、清楚。变音传动装置应灵敏有效，并能保证音孔的充分启闭。</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7.贝斯：60个键钮，5排，排列整齐，运动灵活，硬质合金铝材质，经久耐用，不易掉齿。中心距14mm,行距9mm。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8.贝斯变音器：无变音。</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9.贝斯音列：5排，音域从C#到F#。</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10.琴箱：色泽协调，表面平滑，线条流畅，镀层完整，紧固件没有松动现象。</w:t>
            </w:r>
          </w:p>
        </w:tc>
      </w:tr>
      <w:tr w14:paraId="5FB3EE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8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A3B01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38FA4F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指挥台（含指挥棒）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A43CCA">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40EA21B6">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指挥台，全木制，便携可调/折叠式，结实耐用，无噪音。站台表面铺有红地毯，美观大方，站台内部为钢制结构，结实耐用，抗压力强，站台带有安全护栏，安全性好。谱台和二层板台也都为樟子松纯实木材质，可以自由调节倾斜度数。谱台高度可调节，800-1200mm.任意调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2.谱台板尺寸:650*420mm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3.二层台板尺寸:300*400mm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4.谱台板高度尺寸:800-1200mm 可调</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5.护栏高度尺寸:高900mm 宽:700mm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6.站台尺寸:1000*1200*220mm</w:t>
            </w:r>
          </w:p>
        </w:tc>
      </w:tr>
      <w:tr w14:paraId="1D789C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7F42D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485556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合唱台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F1376A">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6AF31093">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1.材质：采用18mm实木板制作，内衬18mm实木板加固；外观为一体结构，结实耐用，抗压力强；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2.合唱台分三级，长：1200mm，每级宽400mm，高200mm；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3.产品有良好的视觉和听觉效果；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4.产品外形美观、坚固耐用，无噪音适合音乐厅使用，</w:t>
            </w:r>
          </w:p>
        </w:tc>
      </w:tr>
      <w:tr w14:paraId="63C660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4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A209AC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EB69B5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音筒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1F8AC8">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5275D9BF">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1.外观构成：彩色塑料音筒，外部有音符标注；一头有系绳，用于方便手拿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2.规格：筒直径≧43mm，按音符排列，音筒长：C≧610mm、D≧550mm、E≧472mm、F≧450mm、G≧392mm、A≧360mm、B≧310mm、C≧290mm；</w:t>
            </w:r>
          </w:p>
        </w:tc>
      </w:tr>
      <w:tr w14:paraId="3FA20B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8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BF362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943B10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音条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D4C6899">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2F19082B">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1.构成：由实木制木条和铝片构成，带有便携带木盒，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2.组成部分：音条键、发音箱、音条钉、音条锤，产品表面镀层牢固、完整、光亮，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3.规格：铝制17块音块组成，规格：最长音块≧215mm、最短音块≧133mm；音块高≧2mm；音块的铝板琴片厚度≧5mm；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4.音色：音灵敏，主音清晰，悦耳，音色饱满，共鸣好，无杂音；音准符合标准要求。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5.包装：木盒，</w:t>
            </w:r>
          </w:p>
        </w:tc>
      </w:tr>
      <w:tr w14:paraId="23F318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9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746DE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F7ED85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沙蛋</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785C40">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636CEC7B">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1.材质：原木，环保安全漆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2.规格：沙蛋长度≧58mm，直径≧40mm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3.结构：由2个椭圆原木沙蛋组成，内装沙粒，两个为一付；                                                                                                                                                                               4.音色：声音明亮，清脆，可发“沙拉拉”音响效果。</w:t>
            </w:r>
          </w:p>
        </w:tc>
      </w:tr>
      <w:tr w14:paraId="1380C8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27608B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CBFE48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手摇铃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33382F">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6F77C428">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1.材质：塑料皮带、金属铃铛、木制把，外观结构：半圆附塑料皮带由木制把连接，挂有5个小铃铛，铃铛悬挂牢固，2个为一付；</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2.规格：半圆直径≧107mm，高≧74mm，木柄直径≧18mm；铃圈厚≧2mm，皮宽≧17mm，皮长约≧200mm；铃铛规格≧23*23mm；                                                                                                                         3.音色：发音清脆，无杂音；</w:t>
            </w:r>
          </w:p>
        </w:tc>
      </w:tr>
      <w:tr w14:paraId="15887E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9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86970A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A10035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棒铃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ED96292">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159528F4">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1.材质：木制、金属铃铛，结构：木棒上面覆盖红绒布，配有21颗小铃铛组成，边缘排布4排各5颗铃铛，顶部一颗铃铛，手柄处为原木清漆，美观精致；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2.规格：全长≧250mm，手柄把长≧100mm，铃铛直径≧20mm；</w:t>
            </w:r>
          </w:p>
        </w:tc>
      </w:tr>
      <w:tr w14:paraId="422AAB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4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218901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59FEB1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响棒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654483">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4E46D7FF">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1.材质：椿木；                                                                                                                                                                                                                2.结构：由两根圆柱体实木棍构成，材质：椿木，外观打磨光滑，边缘无毛刺，长短一致，粗细均匀，两根为一付；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3.规格：长≧200mm，直径≧20mm；                                                                                                                                                                                                4.音色：发音清脆，悦耳；                                                                                                                                                                                                                                                                                                                                                                                                                 </w:t>
            </w:r>
          </w:p>
        </w:tc>
      </w:tr>
      <w:tr w14:paraId="2B5E1C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6AD4F1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40A145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刮棒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61D3482">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00916AFC">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1.材质：木质；                                                                                                                                                                                                                                                                                  2.结构：由一根粗细一致的实木棒，用机械旋转掏空成均匀大小的螺纹制成，底端圆滑凸起部分为手柄，外观原木清漆，，配敲棒一支；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3.规格：全长≧220mm，刮棱棒长≧145mm，刮棒直径≧25mm，手柄长≧8mm，直径≧17mm，棒长≧145mm，直径≧6mm；                                                                                                                                   4.音色：音质清晰，无杂音；                                                                                                                                                                                                                                                                                                                                                                                                                                                    </w:t>
            </w:r>
          </w:p>
        </w:tc>
      </w:tr>
      <w:tr w14:paraId="12B19B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051F3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EABBD0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鱼蛙筒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96F305">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1B310BC9">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1.材质：木质，发音部位为松木，头尾部为桦木；                                                                                                                                                                                         2.结构：蛙鸣筒，形状似鱼型，腰部均匀加沟，原木清漆，头部和尾部彩漆，附刮棒一根；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3.规格：全长≧200mm，头部长≧67mm；加沟处长≧68mm，直径≧56mm；尾长≧64mm，尾直径≧33mm；敲棒长≧147mm，直径≧12mm；                                                                                                                 4.音色：音质清晰，无杂音；                                                                                                                                                                                                                                </w:t>
            </w:r>
          </w:p>
        </w:tc>
      </w:tr>
      <w:tr w14:paraId="3F8125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863C3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D9FF59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音乐节拍器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F6A2BA">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4E65FF92">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机械节拍器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速度范围：40拍/分钟-208拍/分钟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人声节拍：0,2,3,4,6</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误差：0.08%</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产品尺寸：≧108*100*203mm</w:t>
            </w:r>
          </w:p>
        </w:tc>
      </w:tr>
      <w:tr w14:paraId="47D81A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9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A6D35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6014EF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音叉</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FA4632B">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4A5F2542">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1.材质：钢制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2.规格：总长≧115mm，把手长度≧40mm，叉长≧75mm，叉厚≧3mm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3.结构：呈“Y”形的钢质音叉，手柄上印有A-440钢印，标准音乐音叉，整块钢材经过车床，铣床，磨床等机械加工而成</w:t>
            </w:r>
          </w:p>
        </w:tc>
      </w:tr>
      <w:tr w14:paraId="5CFF6C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52A8C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11A680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乐器储藏柜</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20D9FA">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62DE9899">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1、规格：800×1800×400mm。2.采用冷轧钢板,粉末静电喷涂,焊接牢洗除锈,锌洗磷化后粉末喷涂.防护性好附着力强.采用国际品牌的粉沫使产品真正的环保无毒害。</w:t>
            </w:r>
          </w:p>
        </w:tc>
      </w:tr>
      <w:tr w14:paraId="1FC2BC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FA3D4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4895C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钟琴</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62EFC3">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6F9B2DEE">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1.材质：优质钢铝；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2.规格：琴长≧615mm，琴宽≧342mm，琴片宽≧25mm，琴片厚≧5mm，整体琴片长185mm-75mm组成，琴片根据音阶不同尔长度不同。                                                                                                                                                                                                              3.结构：音板、音锤、支架、琴包组成；由1个32音的裸琴和1副不锈钢制支架组合而成，琴片上刻有音阶，不锈钢制支架的3个分支架底部均有黑色橡胶垫保护，起到稳定、固定的作用；</w:t>
            </w:r>
          </w:p>
        </w:tc>
      </w:tr>
      <w:tr w14:paraId="3B3E0E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8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E17E1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8FF333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木制沙锤</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7B4826">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129E58F2">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1.材质：桦木，沙粒</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2.规格：总长度≧260mm，锤体长度≧130mm，锤球直径≧80mm，手柄长≧134mm，手柄直径≧24mm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结构：由2个椭圆带把红色沙锤组成，内装沙粒，两个为一付。柄由硬质桦木制成；粗细适宜，手感好，牢固，制作精美，光洁，无毛刺。手柄与锤球用环保胶连接牢固，外表喷环保红颜色漆，表面光滑，锤球画花装饰，更为美观。                                                                                                                                        4.音色：声音明亮，清脆，可发“沙拉拉”音响效果。</w:t>
            </w:r>
          </w:p>
        </w:tc>
      </w:tr>
      <w:tr w14:paraId="71BB0A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4FBAD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30A2A7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椰壳沙锤</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9DC3ED">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58241E26">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1.材质：纯天然椰壳</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2.规格：总长度为≧240mm，锤体长度≧120mm，锤球直径≧115mm，手柄长≧152mm，手柄直径≧24mm.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3.结构：由锤球和手柄组成，锤球用椰壳制成，呈空心椭球形，内装铁砂，木制手柄内装沙粒，两个为一付。手柄部分穿有2个小孔，孔中心穿有DIY中国结，粗细适宜，光滑手感好，牢固。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4.音色：声音明亮，清脆，可发“沙拉拉”音响效果。</w:t>
            </w:r>
          </w:p>
        </w:tc>
      </w:tr>
      <w:tr w14:paraId="77A714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8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91465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833D85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卡巴撒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BBAF72">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012562E4">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1.结构：由木制手柄和木制“工”型框架，框架内部有金属包裹，外部由10多条电镀金属串珠构成，珠子表面平整无划痕，无毛刺；手柄表面光滑，无毛刺，安装结实；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2.音质：音质清晰，无杂音、可根据摩擦或摇晃的速度快慢来调整节奏。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3.规格：头部木块直径≧130mm，厚≧8mm，锤头高≧72mm，金属串珠区直径≧76mm，金属串珠区高≧53mm；手柄长≧100mm，手柄直径≧17-24mm；</w:t>
            </w:r>
          </w:p>
        </w:tc>
      </w:tr>
      <w:tr w14:paraId="4B481C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3CDE67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16DDFC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卡巴撒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DC30DE">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6C0F2BBE">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1.结构：由木制手柄和木制“工”型框架，框架内部有金属包裹，外部由10多条电镀金属串珠构成，珠子表面平整无划痕，无毛刺；手柄表面光滑，无毛刺，安装结实； 2.音质：音质清晰，无杂音、可根据摩擦或摇晃的速度快慢来调整节奏。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3.规格：头部木块直径≧65mm，</w:t>
            </w:r>
          </w:p>
        </w:tc>
      </w:tr>
      <w:tr w14:paraId="3BFB6A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4F937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938BED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双响筒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F8218C">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5E505BC4">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1.材质：红木，由筒体、手柄构成，双响筒两端有粗细均匀的的螺纹状更加能体现音型，40-208拍/分；加沟凹槽都是经过紧密处理，使得发声标准清晰； 配敲棒一根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2.规格：筒全长≧184mm，直径≧40mm，握把长≧153mm，握把插孔深≧15mm；敲棒长≧152mm，锤头直径≧11mm； 高音筒长59mm，低音筒长58mm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3.音色：发音清脆，无杂音</w:t>
            </w:r>
          </w:p>
        </w:tc>
      </w:tr>
      <w:tr w14:paraId="05DEF5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C8DC8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02F1EE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响板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47CE85">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4D002EBF">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1.材质：桦木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2.规格：全长≧218mm，响板头直径≧55mm，响板厚度≧31.1mm；手柄厚度≧19mm，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3.结构：由主板及两块盖板连接组成，主板及盖板各有两个孔，主板夹在两盖板中间，用线绳穿过两圆孔串联在一起;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4.音色：发音清脆，悦耳，可发出坚硬“哒，哒哒”声、无杂音；</w:t>
            </w:r>
          </w:p>
        </w:tc>
      </w:tr>
      <w:tr w14:paraId="339171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9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49DF2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D90860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北梆子</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F89AF6">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65D6FB10">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1.材质：梨木；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2.结构：由两根长短不等、粗细不同的实心硬木棒组成，形状为圆柱形；产品表面光滑，完整、光亮；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3.规格：长≧190mm，宽≧43mm，高≧33mm；另一根尺寸≧190mm*25mm；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4.音色：音质清晰，洪亮、悦耳，音色饱满，无杂音.  </w:t>
            </w:r>
          </w:p>
        </w:tc>
      </w:tr>
      <w:tr w14:paraId="478E58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055AC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949D81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南梆子</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35489D">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7062D847">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1.材质：梨木或硬杂木；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2.结构：由木制中空长方体梆子和敲棒构成；中间为一长方形音孔，内腔渐大，音孔镂空高≧8mm，配一支敲棒，表面光滑，完整，光亮。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3.规格：长≧195mm，宽≧38mm，开缝长≧139mm；敲棒长≧200mm，击锤直径≧14mm；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4.音色：音质清晰，宏亮，悦耳，饱满，无杂音；</w:t>
            </w:r>
          </w:p>
        </w:tc>
      </w:tr>
      <w:tr w14:paraId="61020F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8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EB4D9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26</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F7D773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木鱼</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7FF495">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4988A3C5">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1.材质：椿木；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结构：八音一组，正面方形，侧面三角形，手工制作，设有发音孔，附击锤1个；木鱼呈团鱼形，腹部中空，头部正中开口，为发音孔，尾部盘绕，其状昂首缩尾，背部(敲击部位)呈斜坡形，两侧三角形，底部椭圆，外观红色喷漆，金色画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3.规格：尺寸为宽*高≧①95*72mm ②≧88*67mm ③≧86*64mm ④≧78*62mm ⑤≧74*60mm ⑥≧71*54mm ⑦≧63*52mm ⑧≧61*48mm。击槌槌头直径≧24mm，球形，把为圆柱形，直径为≧5mm，敲槌全长≧190mm，敲击不同尺寸的木鱼，出不一同的音调。                                                                                                                                                                                                                                             4.音色：音质清晰，洪亮、悦耳，音色饱满，无杂音. </w:t>
            </w:r>
          </w:p>
        </w:tc>
      </w:tr>
      <w:tr w14:paraId="11D7B4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BC72D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27</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733D22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铃鼓</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BEEFD2">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588A2BE0">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1.材质：鼓圈桦木多层板，鼓面优质单面羊皮，黄铜镲片、羊皮鼓面；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2.结构：由鼓身、鼓面、6组小铃片组成，鼓面与鼓圈连接处用数颗泡钉进行固定，更结实美观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3.规格：铃鼓直径≧200mm，高度≧43mm,木质圈厚度≧6mm，单片铃片直径≧36mm，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4.音色：击鼓，摇鼓发声清晰，无噪音；铃声清脆，古音纯正。 </w:t>
            </w:r>
          </w:p>
        </w:tc>
      </w:tr>
      <w:tr w14:paraId="5EDE99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3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77C86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469F90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三角铁</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3741E1">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247566CD">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1.材质：锰钢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2.结构：由1根敲棒和3个等边三角形的三角铁组成，3个为一套，表面镀铬，镀层均匀，光亮，材质厚实；材质厚实；金属敲击棒的顶端带有软橡胶保护垫，更安全 ，每个三角铁都带有带有软橡胶制作的勾手，方便使用;                                                                                                                                                                                                                                                           3.规格：3件套三角铁的尺寸分别为：243mm ；197mm ；157mm ；金属敲棒的长度130mm ；三角铁的直径8mm ，金属击棒的直径5mm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4.音质：明亮，发音清脆，穿透力强，</w:t>
            </w:r>
          </w:p>
        </w:tc>
      </w:tr>
      <w:tr w14:paraId="389EF2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5C7B0B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55961C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碰钟</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5A59EC">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403BE0F6">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材质为合金，系丝带型，直径≥4.5cm；两个一对，手持碰撞发声，两钟相碰，声音清脆悦耳，发音响亮。</w:t>
            </w:r>
          </w:p>
        </w:tc>
      </w:tr>
      <w:tr w14:paraId="0BCA7B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C6D23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88BAF6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大军鼓</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7D093D">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53C89720">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1、材质:优质聚酯膜鼓皮,多层桦木鼓腔,铝合金压铸鼓圈</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2、规格:直径不低于560mm,鼓高度不低于（250mm22*10）。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3、配件:一副鼓槌、背带。</w:t>
            </w:r>
          </w:p>
        </w:tc>
      </w:tr>
      <w:tr w14:paraId="5B1057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9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DDD30A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56CD2E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小军鼓</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AC1934">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3DC9D152">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1.材质：金属鼓腔贴PVC;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2.结构：鼓膜与压边圈、鼓腔、金属配件鼓背带组成；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3.规格：鼓尺寸14"×4" ，鼓面的直径≧354mm，鼓腔厚度≧1.4mm；鼓高≧100mm，鼓棒长≧400mm，鼓棒直径≧14mm；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4.音质：发音灵敏、清晰、音色可调性强、无杂音、响带（砂带）反应灵敏；</w:t>
            </w:r>
          </w:p>
        </w:tc>
      </w:tr>
      <w:tr w14:paraId="2C179F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0877A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73E54E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（三鼓）多音鼓</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D561FBE">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1F0C326B">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尺寸：10"12"13"</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工艺：喷砂化处理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配件：扳手、鼓棒、鼓钥匙，带鼓架</w:t>
            </w:r>
          </w:p>
        </w:tc>
      </w:tr>
      <w:tr w14:paraId="0586B9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4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984A2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7FBE66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竖笛</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92CD8E">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55C027B0">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1.材质：ABS树脂；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2.结构：由安全无毒环保塑料制成的6孔竖笛一支，内附:一根清洁棒、竖笛说明书（含指法表），PVC袋包装 ，笛身贴有镭射光标</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3.调性：C调</w:t>
            </w:r>
          </w:p>
        </w:tc>
      </w:tr>
      <w:tr w14:paraId="0A2F34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9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6D1AD9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375F3D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口风琴</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66B9CB">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470E95AC">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1.规格：32键，琴体尺寸 420*105*45mm。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2.材质：座板材质不锈钢（分低音区、高音区）；音簧材质磷青铜；琴体外壳ABS无毒树脂。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3.结构：黑白键相间，配短吹嘴1个，长吹嘴1个，含手帕、教材、牛津布软包。</w:t>
            </w:r>
          </w:p>
        </w:tc>
      </w:tr>
      <w:tr w14:paraId="1D7084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21E51F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BECF91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陶笛</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B7D2C9">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4B52D081">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1、材质：ABS树脂材质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2、调性：中音C调</w:t>
            </w:r>
          </w:p>
        </w:tc>
      </w:tr>
      <w:tr w14:paraId="3ABA3D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4A9D80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36</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C593A5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葫芦丝</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4B219D">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313760B6">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1.材质：ABS材质  中音C调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2.规格：葫芦丝全长385mm；葫芦130mm；主音管230mm；主音管直15mm；葫芦丝吹口20mm；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3.音质：采用十二平均律，标准音440Hz，音色优美，圆润，发音流畅。</w:t>
            </w:r>
          </w:p>
        </w:tc>
      </w:tr>
      <w:tr w14:paraId="4FF509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8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5E061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37</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4EA34A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堂鼓</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B0A09F">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17289B8F">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1.材质：牛皮鼓面,鼓腔、鼓锤用硬杂木；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2.结构：由鼓、鼓锤及鼓架组成；鼓面光滑，张力适度，鼓圈与鼓面连接处用锚钉固定，间距均匀，更为结实；鼓圈喷油红色环保油漆，鼓的侧面两端镶有铝制挂钩，配合鼓架使用，配鼓架；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3.规格:鼓面直径≧247mm，高度≧167mm ，鼓锤长度≧245mm，鼓锤直径≧14mm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4.音质：鼓中心发音较低沉、厚实，鼓外圈发音稍短、稍薄，演奏时无杂音； </w:t>
            </w:r>
          </w:p>
        </w:tc>
      </w:tr>
      <w:tr w14:paraId="365BB6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CAC76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38</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C542C4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小锣</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3D383F">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283A84DF">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1.材质：优质铜;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2.结构：小锣身为一圆型弧面，响铜制,中心部稍凸起，锣的内部中心位置印有商标，锣边缘开有两个小孔穿绳，方便使用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3.规格：锣直径为≧215mm，外延厚度≧1.5mm,木片长度≧265mm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4.音质：发音灵敏，主音明显集中，铿锵有力，谐音丰富；无明显转音、颤音；</w:t>
            </w:r>
          </w:p>
        </w:tc>
      </w:tr>
      <w:tr w14:paraId="47F1F3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4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DB272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39</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BAC5B7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钹</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6E85A2">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6B565B5E">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1、材质：响铜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2、规格：直径≧15CM，壁厚≧0.2CM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3、结构：钹体为一圆形金属板，用“响铜”制成，中部隆起的半球形部分称“帽”，顶部钻有小孔，用粗绳栓系，两个为一付</w:t>
            </w:r>
          </w:p>
        </w:tc>
      </w:tr>
      <w:tr w14:paraId="2FCB2D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07CDC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D83A00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乐谱架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1ED70C">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3E53745F">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1、材质：优质铁，磨砂面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2、规格:谱台面直径≧47.5CM，高度≧34CM，最大可升降到1.4-1.5米的高度，加厚金属钢管支架中心钢管直径≧1.9CM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3、结构：由加厚金属谱台面和加厚金属钢管支架组成。加厚金属钢管支架底部有3个支撑杆可收合， 脚底为防滑塑胶材质，所有旋钮为均高级ABS材质结实耐用。</w:t>
            </w:r>
          </w:p>
        </w:tc>
      </w:tr>
      <w:tr w14:paraId="21B432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9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59ECA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41</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5BBAC5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六面体凳</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4359AA">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19A008FC">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1、材质：复合木制板材、带ABS包边材料、硬质包角钉制；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2、规格：300*360*410含护角部分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3、结构：由一正方体凳组成，凳子颜色有3种，3色对称。凳子有8个护角，护角为硬质塑料制成，防滑</w:t>
            </w:r>
          </w:p>
        </w:tc>
      </w:tr>
      <w:tr w14:paraId="1CB52C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7E44C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D3772D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教室装修</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A3D358">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7DF54EE2">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室内吊顶，顶面造型设计及装修施工，石膏板塑形、顶面刮白、灯光改造等。据实结算。</w:t>
            </w:r>
          </w:p>
        </w:tc>
      </w:tr>
      <w:tr w14:paraId="5B62CA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1" w:hRule="atLeast"/>
        </w:trPr>
        <w:tc>
          <w:tcPr>
            <w:tcW w:w="0" w:type="auto"/>
            <w:gridSpan w:val="4"/>
            <w:tcBorders>
              <w:top w:val="single" w:color="000000" w:sz="4" w:space="0"/>
              <w:left w:val="single" w:color="000000" w:sz="4" w:space="0"/>
              <w:bottom w:val="single" w:color="000000" w:sz="4" w:space="0"/>
              <w:right w:val="single" w:color="000000" w:sz="4" w:space="0"/>
            </w:tcBorders>
            <w:shd w:val="clear" w:color="auto" w:fill="FFFF00"/>
            <w:vAlign w:val="center"/>
          </w:tcPr>
          <w:p w14:paraId="0570E53F">
            <w:pPr>
              <w:keepNext w:val="0"/>
              <w:keepLines w:val="0"/>
              <w:widowControl/>
              <w:suppressLineNumbers w:val="0"/>
              <w:jc w:val="center"/>
              <w:textAlignment w:val="center"/>
              <w:rPr>
                <w:rFonts w:hint="default" w:ascii="方正黑体_GBK" w:hAnsi="方正黑体_GBK" w:eastAsia="方正黑体_GBK" w:cs="方正黑体_GBK"/>
                <w:i w:val="0"/>
                <w:iCs w:val="0"/>
                <w:color w:val="000000"/>
                <w:sz w:val="18"/>
                <w:szCs w:val="18"/>
                <w:u w:val="none"/>
              </w:rPr>
            </w:pPr>
            <w:r>
              <w:rPr>
                <w:rFonts w:hint="default" w:ascii="方正黑体_GBK" w:hAnsi="方正黑体_GBK" w:eastAsia="方正黑体_GBK" w:cs="方正黑体_GBK"/>
                <w:i w:val="0"/>
                <w:iCs w:val="0"/>
                <w:color w:val="000000"/>
                <w:kern w:val="0"/>
                <w:sz w:val="18"/>
                <w:szCs w:val="18"/>
                <w:u w:val="none"/>
                <w:lang w:val="en-US" w:eastAsia="zh-CN" w:bidi="ar"/>
              </w:rPr>
              <w:t>体育室</w:t>
            </w:r>
          </w:p>
        </w:tc>
      </w:tr>
      <w:tr w14:paraId="2E79D3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3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EA05A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FFFFFF" w:fill="FFFFFF"/>
            <w:vAlign w:val="center"/>
          </w:tcPr>
          <w:p w14:paraId="723153B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室内标准篮球架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F90F39">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top"/>
          </w:tcPr>
          <w:p w14:paraId="0EB32FC0">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产品参数配置：型号：移动式手摇升降篮球架配安全钢化玻璃篮板 篮板配置：国标1800*1050mm有机钢化玻璃篮板，铝合金包边，玻璃1.0cm厚度完全可以承受灌篮时产生的冲击和其他激烈的运动。篮球架的立柱主杆：采用优质60*120mm方管 厚2.5mm两根方形钢管拼接而成。两根立柱拼接宽27cm   高2.4m篮球架的移动底盒：优质钢板裁板折弯制成，厚度为2.2mm：箱体尺寸为1800*900*400mm，不带轮子高30cm，带轮子40cm，底盘里装负重物，以保证在使用时的安全稳定。横梁与篮板之间的伸臂：采用优质100*150mm方形钢管，保证篮板的稳定。篮　圈：采用优质圆钢制成完全符合国际标准。篮球架的高度：1.6--3.10米。</w:t>
            </w:r>
          </w:p>
        </w:tc>
      </w:tr>
      <w:tr w14:paraId="31AA1F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196E8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DFC97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室内小篮球架（可移动)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70A147">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top"/>
          </w:tcPr>
          <w:p w14:paraId="41AA6C4B">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箱体；1.4米*0.8米</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篮板：1.4*0.9  1篮板铝合金钢化玻璃篮板。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篮筐：弹性篮球匡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横梁40*60钢管前立柱150*100箱体厚2mm   力臂厚2.5mm伸臂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距离地面高1.4M时，到篮板65CM，伸臂距离地面高3.05M时到篮板67CM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升降范围；1.4M---3.05M </w:t>
            </w:r>
          </w:p>
        </w:tc>
      </w:tr>
      <w:tr w14:paraId="170599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0C5CC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978CA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室外小篮球架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5EB554">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top"/>
          </w:tcPr>
          <w:p w14:paraId="585A3D9F">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预埋式165圆管预埋篮球架  钢化玻璃篮板 篮板：180*105*1.0  篮筐距地面高度 2350mm材质：国家标准优质钢材制成 圆管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喷漆：静电喷塑处理</w:t>
            </w:r>
          </w:p>
        </w:tc>
      </w:tr>
      <w:tr w14:paraId="19861D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E135C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BA2FD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羽毛球场地垫</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3FF343">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45EEB836">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PVC、4.5mm、环保碎石纹108平/块</w:t>
            </w:r>
          </w:p>
        </w:tc>
      </w:tr>
      <w:tr w14:paraId="4B98EF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9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E323E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A724A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排球柱</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AF305A2">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top"/>
          </w:tcPr>
          <w:p w14:paraId="65E15329">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箱体：40*60*30cm 可加砂子、石头、水泥配重250kg/副 带移动轮子、立杆外管76cm壁厚2.0mm 调节高度：1.55m、1.9m、2.0m、2.1m、2.24m、2.43m 全部静电喷塑工艺，采用折盖工艺，中间带锁扣</w:t>
            </w:r>
          </w:p>
        </w:tc>
      </w:tr>
      <w:tr w14:paraId="468180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06964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1C134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排球网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FEADD2">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top"/>
          </w:tcPr>
          <w:p w14:paraId="3DA1E3A6">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排球网长度9500mm～10000mm，宽度1000mm±25mm</w:t>
            </w:r>
          </w:p>
        </w:tc>
      </w:tr>
      <w:tr w14:paraId="151540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47B9F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C59F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ABS羽毛球柱</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8B1FDF">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top"/>
          </w:tcPr>
          <w:p w14:paraId="4ACFD277">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规格：立柱1.55米 直径42管 底座采用ABS材质，   适用于15米*7.2米的标准羽毛球场地</w:t>
            </w:r>
          </w:p>
        </w:tc>
      </w:tr>
      <w:tr w14:paraId="7A2628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8DBC32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131E5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羽毛球网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86C008">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top"/>
          </w:tcPr>
          <w:p w14:paraId="6037D3B1">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羽毛球网长度≥6100mm，宽度760mm±25mm</w:t>
            </w:r>
          </w:p>
        </w:tc>
      </w:tr>
      <w:tr w14:paraId="7C009A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3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604C7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DD40F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篮球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3D8656">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top"/>
          </w:tcPr>
          <w:p w14:paraId="22243F4E">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1.规格:7号篮球；圆周长750～770mm；重量560g～650g；圆周差均需≤4.0mm。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2.材质：球体表面选用优质合成革材料。内胆绕线包胶成为一体，绕线应采用一根尼龙线和两根腈纶线合绕，不能用棉纱线，重量不低于55g，含胶量不低于35%。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3.功能：篮球运动涵盖了跑、跳、投等多种身体运动形式，且运动强度较大，因此，它能全面、有效、综合地促进身体素质和人体机能的全面发展。</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4.结构： 由内胆、缠丝、中胆、表皮、球嘴等组合而成。</w:t>
            </w:r>
          </w:p>
        </w:tc>
      </w:tr>
      <w:tr w14:paraId="371382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9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6CFD7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8B7BF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篮球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008739">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top"/>
          </w:tcPr>
          <w:p w14:paraId="05DAD750">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号篮球。2.球体表面选用优质PU材料，厚度不低于1.4mm。内胆绕线包胶成为一体，绕线应采用一根尼龙线和两根腈纶线合绕，不能用棉纱线，重量不低于55g，含胶量不低于35%。中胎用橡胶材料制成，对内胆和表皮之间成支撑结构。3.球嘴朝上，置于球底离回弹高度仪底板（硬质木板）1800mm处，使其自由落下，以球的顶部为基准，测量其回弹高度，需达到1200-1600mm</w:t>
            </w:r>
          </w:p>
        </w:tc>
      </w:tr>
      <w:tr w14:paraId="325969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9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E763E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56EE6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身高体重测试仪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DD9B2A">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top"/>
          </w:tcPr>
          <w:p w14:paraId="109A00FB">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身高：量程：90cm～210cm，分度值0.1cm，允差：±0.2cm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体重：量程：5.0kg～150kg，分度值0.1kg，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允差：±0.1kg  （≤100kg）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±0.15kg （＞100kg）</w:t>
            </w:r>
          </w:p>
        </w:tc>
      </w:tr>
      <w:tr w14:paraId="2B6455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3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5C30C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68A22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肺活量测试仪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99CEB4">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top"/>
          </w:tcPr>
          <w:p w14:paraId="4FCF6E49">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1.测定人体呼吸的最大通气能力，测试数值反映肺的容积和肺的扩展能力。</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2.使用进口高精密传感器，精度高，吹管优化设计与处理，不易产生积水，防补气（防作弊）功能，补气时自动锁定数据。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测试仪采用一体化设计，采用LCD液晶显示屏，视域（W*H)≥39.0*17.0，具备LED高亮背光，读数方便,具有锁定功能。采用内置锂电池供电，Type-C接口充电，低功耗设计，30秒内未使用自动逐级调低亮度直至息屏，带低电量提示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4.采用开关复合功能按键，具备测试开始/结束功能。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5.主要技术参数：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量程：0～9999ml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分度值：1ml</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误差：±2.5%FS</w:t>
            </w:r>
          </w:p>
        </w:tc>
      </w:tr>
      <w:tr w14:paraId="3494F1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8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B8468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85B0B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坐位体前屈测试仪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2F685A">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top"/>
          </w:tcPr>
          <w:p w14:paraId="2D52FC46">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1.自动测量坐位体前屈的数值，从而反映躯干、腰、髋等部位关节、肌肉和韧带的伸展性和柔韧性。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2.整体结构全部采用纯钢板材质，做工精致，外表漆面喷塑处理，光滑无毛刺。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3.采用可折叠设计，方便组装，便于移动测试。</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4.可靠性高、耐疲劳、寿命长，适应频繁、大量人群集中测试。</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5.主要技术参数：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测量范围：－20cm～35cm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分度值：0.1cm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测量精度： ±0.1cm</w:t>
            </w:r>
          </w:p>
        </w:tc>
      </w:tr>
      <w:tr w14:paraId="14D74A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8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DFEFF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DACAE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小跳垫</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CEC2182">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top"/>
          </w:tcPr>
          <w:p w14:paraId="498C4D44">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1.规格:1200×600×50mm。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2.材质：内胆珍珠棉材料，垫套精细帆布，颜色为军绿色；</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3.功能：多功能体操垫，适应各种训练运动，如体操，仰卧起坐等。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4.结构：体操垫的四角为直角，四周仿皮革包角。可在长度方向对半折叠，体操垫宽度方向两侧设提手，带粘扣。表面平整，无皱折。当载荷落至体操垫时，外层不得起皱里外层不得发生相对位移。</w:t>
            </w:r>
          </w:p>
        </w:tc>
      </w:tr>
      <w:tr w14:paraId="5304AA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CAFE1D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D8314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大跳垫</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2898E6">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top"/>
          </w:tcPr>
          <w:p w14:paraId="02F74F3D">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1.规格:2000×1000×100mm。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2.材质：内胆优质珍珠绵；垫套精细帆布，颜色为军绿色。</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3.功能：多功能体操垫，适应各种训练运动，如体操，仰卧起坐等。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4.结构：体操垫的四角为直角，四周仿皮革包角。可在长度方向对半折叠，体操垫长度方向两侧设提手。表面平整，无皱折。当载荷落至体操垫时，外层不得起皱里外层不得发生相对位移。</w:t>
            </w:r>
          </w:p>
        </w:tc>
      </w:tr>
      <w:tr w14:paraId="71628D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1B6AF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551288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实心球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5E6B77">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top"/>
          </w:tcPr>
          <w:p w14:paraId="0CC9E3BB">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圆周长350mm～780mm,质量1000g±30g,采用适宜的软性材料，球体表面应进行防滑处理,不应有颗粒脱落、裂缝等缺陷,经过从10m高处自由落体试验后，应无破裂</w:t>
            </w:r>
          </w:p>
        </w:tc>
      </w:tr>
      <w:tr w14:paraId="5C7201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9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4C626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AC0677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实心球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22B3257">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top"/>
          </w:tcPr>
          <w:p w14:paraId="251A53C8">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1.实心球，圆周长350-780mm，重量2Kg.圆球形，充气式橡胶实心球，有内胆，手感柔软无伤害。球面用不低于4mm厚的天然橡胶整体成形，未使用再生胶，产品没有异味。</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2.性能要求;从10m高处自由落体试验后，应无破裂。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3.外观质量要求:球表面防滑，球上有明显不易脱落的商标、标志。外表面均匀分布乳头状小颗粒，半球结合处没有凹楞。</w:t>
            </w:r>
          </w:p>
        </w:tc>
      </w:tr>
      <w:tr w14:paraId="2B5D94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BF0A7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4F2A2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球车</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C42BE3">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top"/>
          </w:tcPr>
          <w:p w14:paraId="5B4FC94B">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可四轮移动，可折叠。用于装篮球、排球、足球等球类物品，球车四角为圆角</w:t>
            </w:r>
          </w:p>
        </w:tc>
      </w:tr>
      <w:tr w14:paraId="388C5D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01E06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A061CC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三节跳箱</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118797">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top"/>
          </w:tcPr>
          <w:p w14:paraId="739DC640">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PVC夹网革，</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珍珠棉内芯；90cm（长）*60cm（宽）*30cm（顶宽）*90cm（高）,</w:t>
            </w:r>
          </w:p>
        </w:tc>
      </w:tr>
      <w:tr w14:paraId="3D3C4F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C99A1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692DF5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三节圆弧跳箱</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811DAC">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top"/>
          </w:tcPr>
          <w:p w14:paraId="627C74D6">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PVC夹网革，</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珍珠棉内芯；长60*宽60/30*高75cm</w:t>
            </w:r>
          </w:p>
        </w:tc>
      </w:tr>
      <w:tr w14:paraId="03DE9A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A2E4C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E2E8D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四节鞍马跳箱</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F473AF">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top"/>
          </w:tcPr>
          <w:p w14:paraId="4B736543">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PVC夹网革，</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珍珠棉内芯；100*80*40*95</w:t>
            </w:r>
          </w:p>
        </w:tc>
      </w:tr>
      <w:tr w14:paraId="6C7951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39513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1F889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四节跳箱</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BA923C6">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top"/>
          </w:tcPr>
          <w:p w14:paraId="6F757622">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PVC夹网革珍珠棉内芯；120*90*40*120</w:t>
            </w:r>
          </w:p>
        </w:tc>
      </w:tr>
      <w:tr w14:paraId="7FD31D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0D088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FA385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多功能四节跳箱</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A239E67">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top"/>
          </w:tcPr>
          <w:p w14:paraId="4F4F037B">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PVC夹网革，</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珍珠棉内芯；120*80/40*120</w:t>
            </w:r>
          </w:p>
        </w:tc>
      </w:tr>
      <w:tr w14:paraId="795E13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B4DAA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719A6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五阶跳箱</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9E52A2">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top"/>
          </w:tcPr>
          <w:p w14:paraId="64D09747">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PVC夹网革，</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珍珠棉内芯；100*50*40*80</w:t>
            </w:r>
          </w:p>
        </w:tc>
      </w:tr>
      <w:tr w14:paraId="58C8D1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6A66F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D538A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S独木桥</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12C6EC">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top"/>
          </w:tcPr>
          <w:p w14:paraId="4B99BCFF">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PVC夹网革，</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珍珠棉内芯；120*60*30</w:t>
            </w:r>
          </w:p>
        </w:tc>
      </w:tr>
      <w:tr w14:paraId="2AFA00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1F2B2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E91FD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三角拼接</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5EA0A0B">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top"/>
          </w:tcPr>
          <w:p w14:paraId="435B00E7">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PVC夹网革珍珠棉内芯；150*60*60</w:t>
            </w:r>
          </w:p>
        </w:tc>
      </w:tr>
      <w:tr w14:paraId="5FF4C8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8822B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94BCC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可折叠三角斜坡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2641AD">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top"/>
          </w:tcPr>
          <w:p w14:paraId="2EBC6F1A">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PVC夹网革珍珠棉内芯；150*75*35/5</w:t>
            </w:r>
          </w:p>
        </w:tc>
      </w:tr>
      <w:tr w14:paraId="20510A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51914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B6CE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不折叠斜坡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36B2B0">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top"/>
          </w:tcPr>
          <w:p w14:paraId="11025E54">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PVC夹网革珍珠棉内芯；120*60*35</w:t>
            </w:r>
          </w:p>
        </w:tc>
      </w:tr>
      <w:tr w14:paraId="7EED9D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28AE1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679C8E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跨栏组合</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EC7184">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top"/>
          </w:tcPr>
          <w:p w14:paraId="4FB7FB1D">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PVC夹网革珍珠棉内芯；60*20*30</w:t>
            </w:r>
          </w:p>
        </w:tc>
      </w:tr>
      <w:tr w14:paraId="54BFB2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7E80D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F0111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八角滚筒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C7B300">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top"/>
          </w:tcPr>
          <w:p w14:paraId="4F6E4B9F">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PVC夹网革珍珠棉内芯；100*45</w:t>
            </w:r>
          </w:p>
        </w:tc>
      </w:tr>
      <w:tr w14:paraId="0BD6CB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1D8A6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109A7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分体八角柱</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AF839D">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top"/>
          </w:tcPr>
          <w:p w14:paraId="11E284D9">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PVC夹网革珍珠棉内芯；100*45</w:t>
            </w:r>
          </w:p>
        </w:tc>
      </w:tr>
      <w:tr w14:paraId="4F3A69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17208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761F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堆叠垫</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DAC5A0">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top"/>
          </w:tcPr>
          <w:p w14:paraId="441ECA41">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PVC夹网革珍珠棉内芯；120*60*20/60*60*20（2个）/40*60*20（三个）</w:t>
            </w:r>
          </w:p>
        </w:tc>
      </w:tr>
      <w:tr w14:paraId="4D406C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E8652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07189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数字跳垫</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7D7551">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top"/>
          </w:tcPr>
          <w:p w14:paraId="7476EB8F">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PVC+珍珠棉内芯；200*75*5</w:t>
            </w:r>
          </w:p>
        </w:tc>
      </w:tr>
      <w:tr w14:paraId="775F7D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A75B8D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D8F205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儿童数字跳垫</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3466F9">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top"/>
          </w:tcPr>
          <w:p w14:paraId="449FCFE4">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PVC+珍珠棉内芯；共有11块40*40*5厘米的软垫组成</w:t>
            </w:r>
          </w:p>
        </w:tc>
      </w:tr>
      <w:tr w14:paraId="3EB0F8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7B574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A7B9E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三折垫</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7CF2C7">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top"/>
          </w:tcPr>
          <w:p w14:paraId="2A8E06A7">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PVC珍珠棉内芯；180*80*10</w:t>
            </w:r>
          </w:p>
        </w:tc>
      </w:tr>
      <w:tr w14:paraId="0D5205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5599C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E74AE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四折垫</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BD37EA">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top"/>
          </w:tcPr>
          <w:p w14:paraId="2AA9EEAC">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PVC珍珠棉内芯；200*100*10</w:t>
            </w:r>
          </w:p>
        </w:tc>
      </w:tr>
      <w:tr w14:paraId="120C4D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58424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BC2B0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五折垫</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421D29">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top"/>
          </w:tcPr>
          <w:p w14:paraId="7EE27ACC">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PVC珍珠棉内芯；300*120*10㎝</w:t>
            </w:r>
          </w:p>
        </w:tc>
      </w:tr>
      <w:tr w14:paraId="7E0F88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EF456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8FBB2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软体平衡木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A90631">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top"/>
          </w:tcPr>
          <w:p w14:paraId="0DE3CBB1">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PVC夹网革珍珠棉内芯；长度2米，下宽30/上宽20 ， 高度30，（可根据需求定制长度）</w:t>
            </w:r>
          </w:p>
        </w:tc>
      </w:tr>
      <w:tr w14:paraId="273490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27089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39</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AD832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长方体</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E5A0BA">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top"/>
          </w:tcPr>
          <w:p w14:paraId="26C955DF">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PU珍珠棉内芯；60*30*30(尺寸可定制)</w:t>
            </w:r>
          </w:p>
        </w:tc>
      </w:tr>
      <w:tr w14:paraId="098A5A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DA0E2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6901AC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数字方块A</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43B097">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top"/>
          </w:tcPr>
          <w:p w14:paraId="4C255D0A">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PU珍珠棉内芯；30*30*30(尺寸可定制)</w:t>
            </w:r>
          </w:p>
        </w:tc>
      </w:tr>
      <w:tr w14:paraId="3A79AF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C8455A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C53DCF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彩色滚筒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04D68B">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top"/>
          </w:tcPr>
          <w:p w14:paraId="78DC090E">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PU珍珠棉内芯；高80直径70内径40</w:t>
            </w:r>
          </w:p>
        </w:tc>
      </w:tr>
      <w:tr w14:paraId="164CFC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88E1E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1D451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独木桥软体9件套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3A9A55">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top"/>
          </w:tcPr>
          <w:p w14:paraId="79944CBD">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PU珍珠棉内芯；两步台阶*1:40*18*40CM，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三步台阶*1:60*50*30CM，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S独木桥半圆*4个，长90CM，高 40CM，半径45CM，面宽18CM，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骑马柱组合*1套:柱子:80*30CM，U型槽：长50CM*宽15CM，高30CM，</w:t>
            </w:r>
          </w:p>
        </w:tc>
      </w:tr>
      <w:tr w14:paraId="1E76AE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78105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E6EC7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儿童爬行架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E1FFBE">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163E3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长200CM，宽50CM，高50CM，喷涂烤漆钢架防晒防氧化处理</w:t>
            </w:r>
          </w:p>
        </w:tc>
      </w:tr>
      <w:tr w14:paraId="15EAAC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1" w:hRule="atLeast"/>
        </w:trPr>
        <w:tc>
          <w:tcPr>
            <w:tcW w:w="0" w:type="auto"/>
            <w:gridSpan w:val="4"/>
            <w:tcBorders>
              <w:top w:val="single" w:color="000000" w:sz="4" w:space="0"/>
              <w:left w:val="single" w:color="000000" w:sz="4" w:space="0"/>
              <w:bottom w:val="single" w:color="000000" w:sz="4" w:space="0"/>
              <w:right w:val="single" w:color="000000" w:sz="4" w:space="0"/>
            </w:tcBorders>
            <w:shd w:val="clear" w:color="auto" w:fill="FFFF00"/>
            <w:vAlign w:val="center"/>
          </w:tcPr>
          <w:p w14:paraId="0A86E2E8">
            <w:pPr>
              <w:keepNext w:val="0"/>
              <w:keepLines w:val="0"/>
              <w:widowControl/>
              <w:suppressLineNumbers w:val="0"/>
              <w:jc w:val="center"/>
              <w:textAlignment w:val="center"/>
              <w:rPr>
                <w:rFonts w:hint="default" w:ascii="方正黑体_GBK" w:hAnsi="方正黑体_GBK" w:eastAsia="方正黑体_GBK" w:cs="方正黑体_GBK"/>
                <w:i w:val="0"/>
                <w:iCs w:val="0"/>
                <w:color w:val="000000"/>
                <w:sz w:val="18"/>
                <w:szCs w:val="18"/>
                <w:u w:val="none"/>
              </w:rPr>
            </w:pPr>
            <w:r>
              <w:rPr>
                <w:rFonts w:hint="default" w:ascii="方正黑体_GBK" w:hAnsi="方正黑体_GBK" w:eastAsia="方正黑体_GBK" w:cs="方正黑体_GBK"/>
                <w:i w:val="0"/>
                <w:iCs w:val="0"/>
                <w:color w:val="000000"/>
                <w:kern w:val="0"/>
                <w:sz w:val="18"/>
                <w:szCs w:val="18"/>
                <w:u w:val="none"/>
                <w:lang w:val="en-US" w:eastAsia="zh-CN" w:bidi="ar"/>
              </w:rPr>
              <w:t>美术教室</w:t>
            </w:r>
          </w:p>
        </w:tc>
      </w:tr>
      <w:tr w14:paraId="7059B0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9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915DD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71BD2C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教师演示台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FDF726">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11A551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1、产品规格：1600*800*800mm。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2、产品材质：桌面为30mm厚实木板材质，圆角桌角设计，安全防磕碰，桌面配透明垫皮。桌面下设四条实木桌腿，榉木材质，纹理清晰牢固耐用；配置防滑脚垫。</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3、产品结构：双层结构，桌面下设置物层，可放置物品。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4、所有材料均经环保水性漆处理，安全无污染。</w:t>
            </w:r>
          </w:p>
        </w:tc>
      </w:tr>
      <w:tr w14:paraId="318A27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A2165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BA5C96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画架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474E61">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33E525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优质榉木前倾式画架，双重角度可调节，外观尺寸约580*600*1730（2350）mm,最大夹画:125cm。</w:t>
            </w:r>
          </w:p>
        </w:tc>
      </w:tr>
      <w:tr w14:paraId="28A7D7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538AB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70281B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绘画凳</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3A4E54">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B49DF9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1.规格：凳面直径不低于295mm，升降高度480到650mm；2.材质：优质榉木；3.要求：升降式架构，支撑稳定，牢固可靠，工艺精细，表面光洁，环保清漆处理，漆面均匀光亮。</w:t>
            </w:r>
          </w:p>
        </w:tc>
      </w:tr>
      <w:tr w14:paraId="135262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3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6FD8B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28F0F9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书画桌</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6DF080">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6FB58B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规格：1400*700*760mm，面板采用优质三聚氰胺板25mm厚度制作，板面光洁平整，PVC包边，桌面颜色可选。桌面6张拼接为一张，直径为1400mm。架子采用与桌面一致的材质，厚度15mm。带书箱。</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凳面与桌面材质相同，规格：340*240*420mm；凳架采用30mm×30mm方管焊接而成，方管厚度1.0mm，一张桌子配6个凳子。脚套为高密度聚乙烯脚套，防震防滑耐磨专用脚套。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铁件选用优质钢材，经下料，钳工搬弯、造型后，利用CO2保护焊焊接牢固后，经严格打磨无毛刺、无尖角后，进行除油、除锈、清洗、中和、清洗、磷化、钝化后晾干，利用全自动喷塑设备对产品进行EPOXY喷涂，经300℃高温烘烤而成。颜色灰白色。</w:t>
            </w:r>
          </w:p>
        </w:tc>
      </w:tr>
      <w:tr w14:paraId="38E887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3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932CF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D6599F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美术教学用品柜</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06167E">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20C8B4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1、规格：1000*500*1000mm；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2、全木结构：横向放置二层18mm厚E1级双贴面三聚氰胺层板，竖向放置一块16mm厚E1级双贴面三聚氰胺隔板，柜子分为5格，上部为一个大格子，下部4个相同尺寸的小格子；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3、材质：柜身材料采用18mm厚E1级双贴面三聚氰胺板；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板材所有截面均经全自动封边机封边处理，所用封边条分别为优质（0.8-1）mm（内嵌）、（1.5-2）mm（外露）厚PVC封边条,热熔胶一次成型；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4、性能： 绿色环保、美观大方、安全实用、操作方便。</w:t>
            </w:r>
          </w:p>
        </w:tc>
      </w:tr>
      <w:tr w14:paraId="0694EB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9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C6AB19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99FF90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衬布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C3BADA">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0CD8AF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一、适用范围： 适用于小学、初中美术教学使用。二、技术要求：1．规格：长度不小于1500mm，宽度不小于1000mm。 2．材质：衬布材质为平绒或棉布，锁边。3．颜色：灰、淡蓝、红、棕为主。4. 产品易于清洗，耐用，不退色。</w:t>
            </w:r>
          </w:p>
        </w:tc>
      </w:tr>
      <w:tr w14:paraId="42F902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F67AE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C04C6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静物台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43D256">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50200B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优质榉木升降写生台，带背板，台面及背板尺寸约600*900mm，桌面下带抽屉，可放置物品，带轮可移动</w:t>
            </w:r>
          </w:p>
        </w:tc>
      </w:tr>
      <w:tr w14:paraId="2EC136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05ECE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B49AC9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美术教学挂图</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1B62CC">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7000D5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适合中小学美术教学要求的绘画、手工、欣赏内容，不少于48幅，对开，应为国家正式出版物</w:t>
            </w:r>
          </w:p>
        </w:tc>
      </w:tr>
      <w:tr w14:paraId="681E07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D6124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9A48E1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人体结构活动模型</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0520C2">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D953D9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高不低于40cm，木质。</w:t>
            </w:r>
          </w:p>
        </w:tc>
      </w:tr>
      <w:tr w14:paraId="308E0F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5CC847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DD47DD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写生教具（1）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2C7566">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5B6555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石膏像：阿古力巴（切面）、腊空（半面）、太阳神（头像）、海盗（头像）、小大卫（头像）、罗马青年（头像）。木架箱包装</w:t>
            </w:r>
          </w:p>
        </w:tc>
      </w:tr>
      <w:tr w14:paraId="3191E0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61AB4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CAC59F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写生教具（2）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47F483">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B6D5F5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适用范围：适用于小学、初中美术教学使用。二、技术要求：1．材质：优质石膏粉。2.几何形体15件：圆球、四棱锥、正方体、圆锥、长方体、圆柱体、六棱柱、方带方、圆锥带圆、方锥带方、多面体、圆台、六棱锥、圆切、十二面体各一件。纸箱+木架箱包装</w:t>
            </w:r>
          </w:p>
        </w:tc>
      </w:tr>
      <w:tr w14:paraId="646423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67108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43A0AD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民间美术欣赏及写生样本</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F7306B3">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77A853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中国结、京剧脸谱、扎染、蜡染、皮影、年画、木板年画、剪纸、面具、泥塑、玩具、风车、纹样、风筝、唐三彩、彩陶器、瓷器等。</w:t>
            </w:r>
          </w:p>
        </w:tc>
      </w:tr>
      <w:tr w14:paraId="1F0040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9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60E54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83446C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绘图工具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35A5745">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B259C2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适用范围：适用于小学美术教学使用。二、技术要求：1．配置：⑴直尺1件：≥300mm；⑵三角板1付：≥220mm；⑶曲线板1件：≥250mm；⑷圆规1件：≥120mm；⑸蛇形尺1件：≥300mm；共5类5件。2．塑料箱包装，便于携带、存放。</w:t>
            </w:r>
          </w:p>
        </w:tc>
      </w:tr>
      <w:tr w14:paraId="260501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3571D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ACEB63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大圆规</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5729D2">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A57FED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圆规总长不小于380MM,木质或ABS塑料材质;圆心的腿非针状,要求是吸盘或橡皮头;可以夹水笔使用</w:t>
            </w:r>
          </w:p>
        </w:tc>
      </w:tr>
      <w:tr w14:paraId="6797F4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F9279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0E890E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丁字尺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5835E7">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F4E6E0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适用范围：适用于小学美术教学使用。二、技术要求：1．有机玻璃或有机塑料，全长≥1200mm。2．丁字头与丁字成直角固定间。3．直尺边上印有刻线数码，最小刻度直尺为1mm，每10mm的刻度线上标有刻度数码。4．示值全长误差和任一间分度至尺的零点的误差不超过±1mm。5．丁字直尺的刻度线应垂直达到尺边，刻线和数码应清晰、正确，不得有重线断线、缺字。6．符合QB/T1474.4-2005《绘图仪尺丁字尺》的有关规定。</w:t>
            </w:r>
          </w:p>
        </w:tc>
      </w:tr>
      <w:tr w14:paraId="39E7F9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C269A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197464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三角板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24311C">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D767EB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每套2个，45º、60º各一，不小于250mm。有机塑料，边缘整齐，划线清晰，表面平整</w:t>
            </w:r>
          </w:p>
        </w:tc>
      </w:tr>
      <w:tr w14:paraId="20B29F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5226A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9EE8E2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版画工具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9AA9F8">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D1C4EA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适用范围：适用于小学美术教学使用。二、技术要求：1．配置：⑴胶辊3件：大号滚筒≥150mm、手柄≥130mm，号滚筒≥102mm、手柄≥130mm，小号滚筒≥75mm、手柄≥130mm，支架金属镀铬；⑵磨托1件：磨托头直径≥45mm、磨托手柄≥100mm；⑶笔刀1件：合金手柄≥100mm；⑷笔刀刀头3件：猛钢刀头≥35mm；⑸木刻刀5件：木手柄≥100mm、刀头碳钢材质，⑹石刻刀1件：精钢材质，长度≥140mm；⑺油石1件：双面，外观尺寸不小于140*60*25mm；⑻马莲1件：塑料材质，直径≥100mm；（9）底纹笔木柄光滑、无毛刺、色泽均匀，刷头采用优质羊毛制成，毛质应整齐均匀，长≥180mm，毛长≥30mm，宽≥30mm；（10）电烙铁1件：外热式30W，长度≥200mm,外接电源线长度≥900mm；（11）素描铅笔2支；（12）油画刀3把：木质手柄，漆面处理，不锈钢刀头，长度≥160mm。2．空吹塑定位包装，所有产品均有单独卡槽定位于箱子内，不得串动，便于携带、存放。</w:t>
            </w:r>
          </w:p>
        </w:tc>
      </w:tr>
      <w:tr w14:paraId="4CC0C0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4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3F514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B0C059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绘画工具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49BCAD">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1AF1AE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适用范围：适用于小学美术教学使用。二、技术要求：1．配置：⑴调色板1个；⑵毛笔8支：大小提斗、大小白云、花枝俏、小依纹各1支；⑶水粉笔1-12#各1支；⑷油画笔1-12#各1支；⑸24眼调色盒1件；共5类37件。2．所有产品空吹塑定位包装，便于携带、存放。</w:t>
            </w:r>
          </w:p>
        </w:tc>
      </w:tr>
      <w:tr w14:paraId="6BBABC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D6B15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B4EF2C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制作工具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2838D7">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A1FA48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美工刀1把、剪刀2把、木刻刀12把、尖钻1把、篆刻刀1把、油石1块、改锥2把、多用锯1把、锯条5根、推刨1把、木锉1把、尖嘴钳1把、铁锤1把、电烙铁1把、凿子2把、什锦锉1套、切割垫板1块、三用圆规1件、订书器1个、壁纸刀1把、U型锯1把、线锯条10根、手摇钻1个、刨子1把、盒尺1个、角尺1把、砂纸5张、小台钳1台、钢丝钳1把、钢锉1把、钢板尺1把、金属剪1把、铁砧子1件，定位工具箱。</w:t>
            </w:r>
          </w:p>
        </w:tc>
      </w:tr>
      <w:tr w14:paraId="4E8638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8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CA64A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18CB5F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国画和书法工具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A24108">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601C78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国画和书法工具产品配备参数：1、笔洗1件：青花瓷材质，直径约155mm，高度约45mm；2、笔架1件：青花瓷材质，长度约130mm；3、砚台1件：石砚戴盖，直径约120mm，高度不小于25mm；4、印盒1件：青花瓷材质，直径约75mm，带印泥；5、墨1件：金不换；6、毛笔8件：加健毛笔，大、中、小提斗，大、中、小白云，花枝俏，小依纹各1支；7、画毡1件：毛毡尺寸约450mm×600mm；8、调色盘1件：聚丙稀材质，10眼梅花型，直径约130mm；9、笔帘1件：竹制，长宽约295mm×245mm；10、镇尺一副：石质，长宽高不小于200±3mm×40mm×11±3mm,工具箱1件。</w:t>
            </w:r>
          </w:p>
        </w:tc>
      </w:tr>
      <w:tr w14:paraId="700D23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E11D8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06DF00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作品展示墙</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A6504B">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89D0C2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教室后墙上用软木铺装一片作品展示区，不小于5m*1.2M</w:t>
            </w:r>
          </w:p>
        </w:tc>
      </w:tr>
      <w:tr w14:paraId="6B8A69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1" w:hRule="atLeast"/>
        </w:trPr>
        <w:tc>
          <w:tcPr>
            <w:tcW w:w="0" w:type="auto"/>
            <w:gridSpan w:val="4"/>
            <w:tcBorders>
              <w:top w:val="single" w:color="000000" w:sz="4" w:space="0"/>
              <w:left w:val="single" w:color="000000" w:sz="4" w:space="0"/>
              <w:bottom w:val="single" w:color="000000" w:sz="4" w:space="0"/>
              <w:right w:val="single" w:color="000000" w:sz="4" w:space="0"/>
            </w:tcBorders>
            <w:shd w:val="clear" w:color="auto" w:fill="FFFF00"/>
            <w:vAlign w:val="center"/>
          </w:tcPr>
          <w:p w14:paraId="19AFFFD5">
            <w:pPr>
              <w:keepNext w:val="0"/>
              <w:keepLines w:val="0"/>
              <w:widowControl/>
              <w:suppressLineNumbers w:val="0"/>
              <w:jc w:val="center"/>
              <w:textAlignment w:val="center"/>
              <w:rPr>
                <w:rFonts w:hint="default" w:ascii="方正黑体_GBK" w:hAnsi="方正黑体_GBK" w:eastAsia="方正黑体_GBK" w:cs="方正黑体_GBK"/>
                <w:i w:val="0"/>
                <w:iCs w:val="0"/>
                <w:color w:val="000000"/>
                <w:sz w:val="18"/>
                <w:szCs w:val="18"/>
                <w:u w:val="none"/>
              </w:rPr>
            </w:pPr>
            <w:r>
              <w:rPr>
                <w:rFonts w:hint="default" w:ascii="方正黑体_GBK" w:hAnsi="方正黑体_GBK" w:eastAsia="方正黑体_GBK" w:cs="方正黑体_GBK"/>
                <w:i w:val="0"/>
                <w:iCs w:val="0"/>
                <w:color w:val="000000"/>
                <w:kern w:val="0"/>
                <w:sz w:val="18"/>
                <w:szCs w:val="18"/>
                <w:u w:val="none"/>
                <w:lang w:val="en-US" w:eastAsia="zh-CN" w:bidi="ar"/>
              </w:rPr>
              <w:t>舞蹈教室</w:t>
            </w:r>
          </w:p>
        </w:tc>
      </w:tr>
      <w:tr w14:paraId="25E9D3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8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E1F57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7DE8D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钢琴</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ED2141">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9BDC0F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1.外壳尺寸（长×宽×高）≧1500×598×1181mm。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2.铁板：采用传统沙铸铁板工艺，音色纯正。</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3.音板：采用进口优质木材制作的加强型实木音板，在各种不同的气候条件下均能保持优良的音色。音板设计非常符合钢琴共鸣系统的发声规律，产生更加优美的琴声和纯正的音质效果。</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4.琴弦：采用德国Roslau原装进口名牌钢线，音色纯净，音准稳定。</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5.弦码：采用色木多层板制作，音频振动响应精确、迅速。</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6.弦轴板：由多层硬木交错拼接而成，为弦轴钉提供稳固的握钉力，保证了音准稳定性。</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7.弦槌：采用优质国产羊毛毡并应用欧洲传统工艺制作的弦槌，音色圆润通透。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8.制音器：采用进口优质羊毛制造，制音效果好。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9.转击器、联动杆、制音杆：采用坚硬细密的优质木材制作，强度高、韧性大、运动灵敏、观感典雅。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10.顶杆：采用高强度ABS材质，不易磨损，自润性能佳，保证了产品的使用寿命。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11.琴键：采用亚光黑键，色彩和质感如同乌木，触感舒适自然。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12.键板：采用进口优质木材制作的实木键板，性能稳定。</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13.脚轮：采用单轮脚轮，具有转动灵活、推行顺畅、噪声低的特点。</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14.外壳标识：压键档粘贴“教学专用琴”标识。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15.外壳涂饰：采用名牌不饱和树脂环保漆，并应用静电喷涂、自动淋油等先进涂饰工艺，令漆面光亮平整</w:t>
            </w:r>
          </w:p>
        </w:tc>
      </w:tr>
      <w:tr w14:paraId="09EB05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A2BD06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ACB9D8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琴凳</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204344">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FE9342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1、优质琴凳，铁、优质皮革、高密度海绵。</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2、板面：290*450mm 高度490mm。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3、表面处理工艺：静电喷粉。</w:t>
            </w:r>
          </w:p>
        </w:tc>
      </w:tr>
      <w:tr w14:paraId="6CC87B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7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28320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1CB9E4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功率放大器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D1CFEF">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0095039B">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主要功能特点：</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1.拥有四组输出接口，可连接4只4-8Ω音箱；</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2.双声道信号指示灯；</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3.RS232控制接口（订制功能）；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4.带数码显视屏；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5.三路立体声输入，带输入选择切换开关；一路立体声输出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6.四路话筒插口（环保麦克风插口自带DC+6V电源）；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7.采用双声道高保真全分离件、全频带功率放大系统；可实现话筒音量、高低音独立控制及混响调节,线路可进行音量及高低音独立调节；能有效的抑制声反馈，克服“啸叫”；</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8.机架式机箱,主要功能键采用暗藏式设计、有效避免产生误操作，能有效延长扩音系统的使用寿命；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9.全中文界面；</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主要技术参数：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1.额定功率：2×150W/8Ω；</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2.最大功率：2×300W/8Ω；</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3.频率响应：线路输入 20Hz-20KHz、话筒 60Hz-14KHz；</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4.线路音调控制：高音 10KHz±12dB、低音 100Hz±12dB；</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5.话筒音调控制：高音 10KHz±12dB 、低音 100Hz±12dB；</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6.额定输入电平：话筒 15mV（非平衡）、线路 200mV；</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7.额定输出电平：线路 0.775V；</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8.失真度 ≤0.5%；</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9.信噪比：≥80dB(A计权)；</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10.主保险丝：4A；</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11.电源：交流220V±10%/50Hz；</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12.材质及表面处理：铝合金喷沙处理；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13.颜色：银色；</w:t>
            </w:r>
          </w:p>
        </w:tc>
      </w:tr>
      <w:tr w14:paraId="39AD0D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7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7E281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89860F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音箱</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333925">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5A84FC2B">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1.两分频卡包式多媒体音箱；</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2.额定功率：120W；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3.最大输入功率：360W；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4.额定阻抗：8Ω；</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5.频率响应：50Hz-20KHz；</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6.驱动器：1个10寸长冲程低音驱动器、2个3寸前纸盆高音；</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7.灵敏度：93dB/1W/1M；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8.最大声压级：119dB；</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9.分频器：1.8KHz；</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10.指向性覆盖角：140°（H）x100°（V）；</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11.连接器：正负极接线夹；</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12.箱体型式：倒相式；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13.箱体及外饰：高密度中纤板（黑色）箱体，钢网；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14.安装：顶部10CM孔距2个M8吊挂；</w:t>
            </w:r>
          </w:p>
        </w:tc>
      </w:tr>
      <w:tr w14:paraId="3F59BF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0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39592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170A97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无线话筒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98C49C">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65C9C23C">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主要功能特点：</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1.2通道UHF无线系统，每个通道100个频率可选；</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2.LCD液晶显示，实时反馈系统工作状态；</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3.采用数字音码锁定技术，有效阻隔使用环境中杂讯干扰；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4.采用最新红外线自动对频（IR）与自动选频（AFS）技术，设定和操作更简便；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5.每只话筒可互换使用，手持管使用金属材质，可选配手持/领夹式/头戴式话筒。</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主要技术参数：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1.使用电池，两节1.5VV电池；</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2.标准工作电压时正常工作电流(mA)；140mA</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3.标准工作电压时正常工作功率(W0.42W)；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4.最低工作电压(V)2.0V；</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5.使用时间(h3.5/h)；</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6.使用方式（手持式、鹅颈式、头戴式）；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7.载波频段(MHz)UHF640~699.7MHz；</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8.振荡模式PLL锁相环综合控制；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9.频带宽度(MHz)60MHz、；</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10.发射功率(mW18mW/30mW可调)；</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11.拾音器动圈式；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12.拾音器灵敏度(dB-38dB±2dB(0dB=1V/PalKHz))；</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13.指向特性全指向性；</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14.频率调整IR红外线自动；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15.频率响应(hZ)30-18,000 Hz；</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16.输出阻抗(Ω≤600Ω)；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17.操作显示LCD液晶显示；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18.接触发射强度(dB)大于8dB；</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19.旋钮带LED蓝灯背光；</w:t>
            </w:r>
          </w:p>
        </w:tc>
      </w:tr>
      <w:tr w14:paraId="789C43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41B57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9DECE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落地镜</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53E662">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67D9D9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镜面厚度不低于5mm。优质防水镜面含边框。</w:t>
            </w:r>
          </w:p>
        </w:tc>
      </w:tr>
      <w:tr w14:paraId="78F0DE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2544DB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4871C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把杆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EB347FD">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BEC445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要求，水曲柳木直径低于120mm，内穿15mm软钢。升降式，三米一组（包含两个底座）。</w:t>
            </w:r>
          </w:p>
        </w:tc>
      </w:tr>
      <w:tr w14:paraId="7DC813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0119E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9BC34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练功凳</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D191FA8">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8F64BD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简约现代所设计、超纤皮方形、材质：超纤皮，35*35*60cm，颜色随机。</w:t>
            </w:r>
          </w:p>
        </w:tc>
      </w:tr>
      <w:tr w14:paraId="7A20E0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911FB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5A182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压腿凳</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F53A28">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56B7B2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练功凳，长2米*宽24厘米*高30厘米，中间海绵一层，表面采用皮革包裹。</w:t>
            </w:r>
          </w:p>
        </w:tc>
      </w:tr>
      <w:tr w14:paraId="538C15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572EA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0BC5D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压腿砖</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5014DE">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55851D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环保材质，无害物质，防水性强，不易沾水，高密度海绵泡沫砖，尺寸：23*15*7cm。</w:t>
            </w:r>
          </w:p>
        </w:tc>
      </w:tr>
      <w:tr w14:paraId="58560E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2BEA2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830EE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舞蹈垫</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B49FD3E">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B6FABE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尺寸：长185cmX宽80cmX厚15mm，高密度NBR材质。</w:t>
            </w:r>
          </w:p>
        </w:tc>
      </w:tr>
      <w:tr w14:paraId="5C5856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21CA3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6E496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舞蹈练功球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64313C">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D3A6BA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直径：55cm，加厚防爆。</w:t>
            </w:r>
          </w:p>
        </w:tc>
      </w:tr>
      <w:tr w14:paraId="36918E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A45F9C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F9AB0A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舞蹈拉力带</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C83B60">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EF23CF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天然乳胶 1500MM*150MM*0.35MM</w:t>
            </w:r>
          </w:p>
        </w:tc>
      </w:tr>
      <w:tr w14:paraId="2789B0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B4A78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3A691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舞蹈鞋柜</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5291C3">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25682A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实木材质，原木色，尺寸根据教室需要定制。尺寸：120*30*80cm。</w:t>
            </w:r>
          </w:p>
        </w:tc>
      </w:tr>
      <w:tr w14:paraId="7FEE59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E499F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38448A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教室装修</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C616108">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33D022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室内吊顶，顶面造型设计及装修施工，石膏板塑形、顶面刮白、灯光改造。据实结算。</w:t>
            </w:r>
          </w:p>
        </w:tc>
      </w:tr>
      <w:tr w14:paraId="27F44C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1" w:hRule="atLeast"/>
        </w:trPr>
        <w:tc>
          <w:tcPr>
            <w:tcW w:w="0" w:type="auto"/>
            <w:gridSpan w:val="4"/>
            <w:tcBorders>
              <w:top w:val="single" w:color="000000" w:sz="4" w:space="0"/>
              <w:left w:val="single" w:color="000000" w:sz="4" w:space="0"/>
              <w:bottom w:val="single" w:color="000000" w:sz="4" w:space="0"/>
              <w:right w:val="single" w:color="000000" w:sz="4" w:space="0"/>
            </w:tcBorders>
            <w:shd w:val="clear" w:color="auto" w:fill="FFFF00"/>
            <w:vAlign w:val="center"/>
          </w:tcPr>
          <w:p w14:paraId="72840667">
            <w:pPr>
              <w:keepNext w:val="0"/>
              <w:keepLines w:val="0"/>
              <w:widowControl/>
              <w:suppressLineNumbers w:val="0"/>
              <w:jc w:val="center"/>
              <w:textAlignment w:val="center"/>
              <w:rPr>
                <w:rFonts w:hint="default" w:ascii="方正黑体_GBK" w:hAnsi="方正黑体_GBK" w:eastAsia="方正黑体_GBK" w:cs="方正黑体_GBK"/>
                <w:i w:val="0"/>
                <w:iCs w:val="0"/>
                <w:color w:val="000000"/>
                <w:sz w:val="18"/>
                <w:szCs w:val="18"/>
                <w:u w:val="none"/>
              </w:rPr>
            </w:pPr>
            <w:r>
              <w:rPr>
                <w:rFonts w:hint="default" w:ascii="方正黑体_GBK" w:hAnsi="方正黑体_GBK" w:eastAsia="方正黑体_GBK" w:cs="方正黑体_GBK"/>
                <w:i w:val="0"/>
                <w:iCs w:val="0"/>
                <w:color w:val="000000"/>
                <w:kern w:val="0"/>
                <w:sz w:val="18"/>
                <w:szCs w:val="18"/>
                <w:u w:val="none"/>
                <w:lang w:val="en-US" w:eastAsia="zh-CN" w:bidi="ar"/>
              </w:rPr>
              <w:t>心理教室</w:t>
            </w:r>
          </w:p>
        </w:tc>
      </w:tr>
      <w:tr w14:paraId="01D4DD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968AB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B70213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无声挂钟</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F9E3CA">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2DE216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控制咨询时间， 圆形，扫秒机芯，尺寸：≥12寸</w:t>
            </w:r>
          </w:p>
        </w:tc>
      </w:tr>
      <w:tr w14:paraId="4EF262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AEB5B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2C9E72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文件柜</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1BAE4E">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26A6CE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材质：选用优质冷轧钢钢板，表面颜色为灰色，基层：采用静电粉末喷塑，无有机溶液，环保无污染。</w:t>
            </w:r>
          </w:p>
        </w:tc>
      </w:tr>
      <w:tr w14:paraId="32EDA5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933F6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BA7EB5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多人沙发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DAF04F">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832CC7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规格：3人位：174*80*78；材质：面料：棉麻，框架：实木，填充物：高弹海绵，椅脚：镀金脚。</w:t>
            </w:r>
          </w:p>
        </w:tc>
      </w:tr>
      <w:tr w14:paraId="0A2DE0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838FD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DD11D4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茶几</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57B4CFE">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2B79DB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摆放物品,用于心理咨询。规格：120*60*40；材质：木制；形状：长方形，无棱角</w:t>
            </w:r>
          </w:p>
        </w:tc>
      </w:tr>
      <w:tr w14:paraId="5AAC9A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1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586AD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D95965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专业版心理沙盘游戏</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F3772B">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449C6526">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一、2个个体实木心理沙盘，使用尺寸：≥长 720mm×宽 570mm×深70mm，沙盘含架子整体高度≥700mm。专用三底两面环保漆；内侧底与边框、底部为蓝色，外部为实木色。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二、2个实木沙具柜，沙具柜规格：≥1600mm×300mm×1000mm，柜体采用5层8阶设计。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三、1200个沙具（宗教类、风车、灯塔等标志类、公共标识类、交通工具类、公共建筑类、桥栅栏类、日月等自然物类、贝壳山石类、现实中人物类、空想人物类虚拟人物、恐龙怪兽类、家具、日用品类、水生动物、野生动物类、家禽家畜类、草坪类、植物类、军队类）。四、沙盘游戏治疗指导书籍1本。</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五、精选原色水洗砂24公斤。</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六、沙盘游戏治疗技术培训录像资料选辑1套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七、沙具选取框1套 （沙具选取框1个，清理刷1个）。</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八、沙盘游戏档案系统1套（配合心理沙盘进行心理教育、心理咨询、心理辅导的管理软件。该软件可以存储记录来访者在沙盘游戏过程中的图片和视频资料，以完整、详细地呈现其沙盘心理历程。此外，心理工作者针对来访者的沙盘所进行的体验、分析及后续的辅导均可得到记录、输出和转换。）</w:t>
            </w:r>
          </w:p>
        </w:tc>
      </w:tr>
      <w:tr w14:paraId="6191D9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157D0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6478D4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沙盘凳</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A57D56">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A3AA77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材质：实木，颜色：实木色，尺寸：高≥40*宽≥30CM</w:t>
            </w:r>
          </w:p>
        </w:tc>
      </w:tr>
      <w:tr w14:paraId="03B3AF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4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55A2D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51927E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彩色团体活动桌（八色）</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ABCA3D1">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9C824E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木制材质，≥18mm坑倍特材质，高温喷漆桌腿；包含8张扇形桌，≥180cm直径。桌子高≥70cm ，可以拼成圆形，边角圆角处理，可拼接成S型，烤漆桌面，钢管喷塑支持架。粉色、浅蓝、浅绿等多种颜色搭配，配8个折叠椅支架由铁管加烤漆工艺构成。坐面宽大，坐感舒适；人体工程设计。</w:t>
            </w:r>
          </w:p>
        </w:tc>
      </w:tr>
      <w:tr w14:paraId="1B7AD3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3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C47D7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97D4BA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室内团体活动道具包</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33214E">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184FD87E">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一、团体辅导器材：≥4个活动箱，尺寸：长≥46CM×宽≥34CM×厚≥16CM，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二、活动主题：包括环境适应篇、沟通交往篇、竞争合作篇、创新实践篇、自我意识篇、学习管理篇、意志责任篇、心灵成长篇等共8大主题41种游戏，有效帮助开展各种形式的心理训练活动。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三、活动指导书籍：附有更为详细和完整的教材，利于参考。</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四、教学录像：以U盘形式发放，</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以便老师能迅速掌握开展中队员团体训练；</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五、活动器材：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1.团体活动包A包：单元一、环境适应篇：有缘相识、寻人行动、个性名片、“松鼠”搬家、 多元排队、体验放松、 “蜈蚣”翻身、</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单元二、沟通交往篇：“变形虫”、 我说你画、“盲人”旅行、最佳配图、我说你剪、风雨同行、找“领袖”、  人体“拷贝”</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2.团体活动包B包：单元一、竞争合作篇：“啄木鸟”行动、广告设计、圈之魅力、解开“手链”、 同舟共济、巧渡“小河”、 穿越“沼泽地”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单元二、自我意识篇：画“自画像、百花园、音乐与意象、我要、留舍最爱、价值拍卖、背后留言、目标搜索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3.团体活动包C包：单元一、创新实践篇:卖梳子、遵从指导、心中的塔、传球夺秒、比比谁高、高空飞蛋、畅想拼图、平面魔方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单元二、意志责任篇：举手仪式、突出重围、护蛋行动、手指的力量、祝福花篮、接受现实、承担责任、信任后仰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单元三、学习管理篇：时间分割</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单元四、竞争合作篇：造房子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4.团体活动室外D包：单元一、学习管理篇：于无声处、时装秀、 用途无限、资源共享、寻找变化、一分钟价值、集思广益</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单元二、心灵成长篇：走出“舒服圈”、 收获“糖弹”、 看我“走过来”、 规则的意义、寻宝记、心灵电报、感恩父母、命运之牌 </w:t>
            </w:r>
          </w:p>
        </w:tc>
      </w:tr>
      <w:tr w14:paraId="0D1FD6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B3D4DD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1D386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心理挂图</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8E6F75F">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3F3BF1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心理挂图包含：可能图形、两歧图形、错觉图形、心理趣味图形等多种主题;根据应用类型，可划分为心理知识类、心理放松类、心理暗示类、心理大师类、心理错觉类、艺术风景类等多个种类，心理挂图的画质清晰，色彩明丽，色调柔和，有很好的装饰空间的视觉效果;内芯材质: 高清相纸，实木边框，亚克力面板，尺寸：≥40*60。</w:t>
            </w:r>
          </w:p>
        </w:tc>
      </w:tr>
      <w:tr w14:paraId="43BDFE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1" w:hRule="atLeast"/>
        </w:trPr>
        <w:tc>
          <w:tcPr>
            <w:tcW w:w="0" w:type="auto"/>
            <w:gridSpan w:val="4"/>
            <w:tcBorders>
              <w:top w:val="single" w:color="000000" w:sz="4" w:space="0"/>
              <w:left w:val="single" w:color="000000" w:sz="4" w:space="0"/>
              <w:bottom w:val="single" w:color="000000" w:sz="4" w:space="0"/>
              <w:right w:val="single" w:color="000000" w:sz="4" w:space="0"/>
            </w:tcBorders>
            <w:shd w:val="clear" w:color="auto" w:fill="FFFF00"/>
            <w:vAlign w:val="center"/>
          </w:tcPr>
          <w:p w14:paraId="1024B50F">
            <w:pPr>
              <w:keepNext w:val="0"/>
              <w:keepLines w:val="0"/>
              <w:widowControl/>
              <w:suppressLineNumbers w:val="0"/>
              <w:jc w:val="center"/>
              <w:textAlignment w:val="center"/>
              <w:rPr>
                <w:rFonts w:hint="default" w:ascii="方正黑体_GBK" w:hAnsi="方正黑体_GBK" w:eastAsia="方正黑体_GBK" w:cs="方正黑体_GBK"/>
                <w:i w:val="0"/>
                <w:iCs w:val="0"/>
                <w:color w:val="000000"/>
                <w:sz w:val="18"/>
                <w:szCs w:val="18"/>
                <w:u w:val="none"/>
              </w:rPr>
            </w:pPr>
            <w:r>
              <w:rPr>
                <w:rFonts w:hint="default" w:ascii="方正黑体_GBK" w:hAnsi="方正黑体_GBK" w:eastAsia="方正黑体_GBK" w:cs="方正黑体_GBK"/>
                <w:i w:val="0"/>
                <w:iCs w:val="0"/>
                <w:color w:val="000000"/>
                <w:kern w:val="0"/>
                <w:sz w:val="18"/>
                <w:szCs w:val="18"/>
                <w:u w:val="none"/>
                <w:lang w:val="en-US" w:eastAsia="zh-CN" w:bidi="ar"/>
              </w:rPr>
              <w:t>少先队活动室</w:t>
            </w:r>
          </w:p>
        </w:tc>
      </w:tr>
      <w:tr w14:paraId="38C96B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BB3C09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8F583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青年号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C2EAD4">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134192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青年号：总长530mm，号口直径：23mm，喇叭口直径124mm，调性：Bb，表面处理：漆金/镀镍/镀银/各种颜色，黄铜材质。</w:t>
            </w:r>
          </w:p>
        </w:tc>
      </w:tr>
      <w:tr w14:paraId="71AF97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D2E5B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EF993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大军鼓</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9065F4">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AF2296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尺寸：直径22英寸，高度12英寸，鼓腔:内为多层桦木，鼓圈：铝合金压铸。超强压铸合金鼓耳。正品聚酯膜鼓皮。镀锌紧箍件。每个鼓都配有专业木制鼓棒、背带.</w:t>
            </w:r>
          </w:p>
        </w:tc>
      </w:tr>
      <w:tr w14:paraId="7351B1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ADE66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962C4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小军鼓</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488C84">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4B794B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尺寸：直径14英寸，高度4.5英寸，鼓腔:内为多层桦木，鼓圈：铝合金压铸。超强压铸合金鼓耳。正品聚酯膜鼓皮。镀锌紧箍件。每个鼓都配有专业木制鼓棒及背带。</w:t>
            </w:r>
          </w:p>
        </w:tc>
      </w:tr>
      <w:tr w14:paraId="771ABF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DB9752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E6BD5C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大军擦</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068FD1">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7E3BE6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尺寸：40CM  材质：黄铜</w:t>
            </w:r>
          </w:p>
        </w:tc>
      </w:tr>
      <w:tr w14:paraId="568AF9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C6BE7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A5FA7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小军擦</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6DCCDF">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0883E6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尺寸：12寸 （30厘米），材质：黄铜   </w:t>
            </w:r>
          </w:p>
        </w:tc>
      </w:tr>
      <w:tr w14:paraId="030EA3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18263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9B66E2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指挥旗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855863">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AEB126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乐队指挥专用，铜质，两节，长度1.4米左右 ，黄色。</w:t>
            </w:r>
          </w:p>
        </w:tc>
      </w:tr>
      <w:tr w14:paraId="0F8F56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1AB12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AA7BFB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鼓号服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1EADDB">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8998D4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青少年乐队演出用，罗尔尼材质，尺寸根据实际尺码；配备帽子/上衣/裤子/手套。</w:t>
            </w:r>
          </w:p>
        </w:tc>
      </w:tr>
      <w:tr w14:paraId="73860C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25495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EC02A2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升旗手服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1AF4D0">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50548D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青少年乐队演出用，罗尔尼材质，尺寸根据实际尺码配备;配套包含：帽子/上衣/裤子/手套/靴子/腰带。</w:t>
            </w:r>
          </w:p>
        </w:tc>
      </w:tr>
      <w:tr w14:paraId="09F644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BD4A0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E11205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旗架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61B2D4">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EB75F3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材质：不锈钢材质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工艺：机器抛光，外观光滑无毛刺，使用安全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规格：2000mm*1000mm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构成：多根不锈钢管焊接构成，用于收纳旗杆。</w:t>
            </w:r>
          </w:p>
        </w:tc>
      </w:tr>
      <w:tr w14:paraId="4FDE05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29C24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2C1213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号架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3EEB3E">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9D363F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材质：不锈钢材质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工艺：机器抛光，外观光滑无毛刺，使用安全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规格：1500mm*300mm*1300mm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构成：多根不锈钢管及不锈钢板焊接构成，用于存放青年号。</w:t>
            </w:r>
          </w:p>
        </w:tc>
      </w:tr>
      <w:tr w14:paraId="5DAAD8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E458C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641DCA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军鼓架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46EF50F">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B4C364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材质：优质钢材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颜色：白色</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特点：稳固耐用，高度可自由调节</w:t>
            </w:r>
          </w:p>
        </w:tc>
      </w:tr>
      <w:tr w14:paraId="64A5AF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8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3C2F2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4D7BCC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队徽（铝制） 牌</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BA58EF">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ACACCC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1.少先队队徽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2.材质：铝合金材质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3.外观：抛光打磨，外观光滑无毛刺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4.背面：磁铁扣</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5.规格：不小于 25mm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6.外观：具有“中国少先队”标识</w:t>
            </w:r>
          </w:p>
        </w:tc>
      </w:tr>
      <w:tr w14:paraId="7F17F7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DFA956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910ED2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乐器储藏柜</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4C4A17F">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0FE863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隔层可调节</w:t>
            </w:r>
          </w:p>
        </w:tc>
      </w:tr>
      <w:tr w14:paraId="5E70B5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1" w:hRule="atLeast"/>
        </w:trPr>
        <w:tc>
          <w:tcPr>
            <w:tcW w:w="0" w:type="auto"/>
            <w:gridSpan w:val="4"/>
            <w:tcBorders>
              <w:top w:val="single" w:color="000000" w:sz="4" w:space="0"/>
              <w:left w:val="single" w:color="000000" w:sz="4" w:space="0"/>
              <w:bottom w:val="single" w:color="000000" w:sz="4" w:space="0"/>
              <w:right w:val="single" w:color="000000" w:sz="4" w:space="0"/>
            </w:tcBorders>
            <w:shd w:val="clear" w:color="auto" w:fill="FFFF00"/>
            <w:vAlign w:val="center"/>
          </w:tcPr>
          <w:p w14:paraId="316C9563">
            <w:pPr>
              <w:keepNext w:val="0"/>
              <w:keepLines w:val="0"/>
              <w:widowControl/>
              <w:suppressLineNumbers w:val="0"/>
              <w:jc w:val="center"/>
              <w:textAlignment w:val="center"/>
              <w:rPr>
                <w:rFonts w:hint="default" w:ascii="方正黑体_GBK" w:hAnsi="方正黑体_GBK" w:eastAsia="方正黑体_GBK" w:cs="方正黑体_GBK"/>
                <w:i w:val="0"/>
                <w:iCs w:val="0"/>
                <w:color w:val="000000"/>
                <w:sz w:val="18"/>
                <w:szCs w:val="18"/>
                <w:u w:val="none"/>
              </w:rPr>
            </w:pPr>
            <w:r>
              <w:rPr>
                <w:rFonts w:hint="default" w:ascii="方正黑体_GBK" w:hAnsi="方正黑体_GBK" w:eastAsia="方正黑体_GBK" w:cs="方正黑体_GBK"/>
                <w:i w:val="0"/>
                <w:iCs w:val="0"/>
                <w:color w:val="000000"/>
                <w:kern w:val="0"/>
                <w:sz w:val="18"/>
                <w:szCs w:val="18"/>
                <w:u w:val="none"/>
                <w:lang w:val="en-US" w:eastAsia="zh-CN" w:bidi="ar"/>
              </w:rPr>
              <w:t>劳技教室</w:t>
            </w:r>
          </w:p>
        </w:tc>
      </w:tr>
      <w:tr w14:paraId="6F8DC8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9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A10AD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05FE91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学生操作台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D52C8F">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03A482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1200×1400×760mm1、一体化台面，台面为40mm厚橡木齿接板材表面涂环保亚光清漆3遍；桌面铺设水晶防护垫；</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2、台身：立柱76*74mm横梁45*45mm、壁厚1.6mm方形铝合金型材。含有独立的分类工具柜,材质16mm厚环保型三聚氰胺板,截面用优质PVC封边条机械封边；桌脚下配橡胶减震垫，配专用电源插座盒。</w:t>
            </w:r>
          </w:p>
        </w:tc>
      </w:tr>
      <w:tr w14:paraId="011095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120F4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0736CE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教师主</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控电源</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37CA7D">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530EC6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抽屉式，采用教学安全交流总电源，对学生桌荧光灯与220V插座输出进行分组控制，有漏电保护功能、过载保护和复位功能。对学生台分四组控制。</w:t>
            </w:r>
          </w:p>
        </w:tc>
      </w:tr>
      <w:tr w14:paraId="47F88F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25455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C01E38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学生实</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验电源</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4AA53D">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A70876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接收教师送来交流220V/2A，配专用五孔插座。</w:t>
            </w:r>
          </w:p>
        </w:tc>
      </w:tr>
      <w:tr w14:paraId="256BA6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8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2E532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D85CFB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仪器柜</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A83B42">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2D75BE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1050×500×2000mm1、结构：柜体采用仪器柜专用铝合金框架结构，铝合金壁厚不小于1.2mm。所有铝材表面经过环氧树脂粉末喷涂，防酸耐碱，表面喷涂材料耐冲击、耐灰浆、耐盐雾、耐湿热、耐老化。</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2、脚  垫：采用特制ABS模具注塑脚垫，高度为20mm，可有效防止桌身受潮，延长设备的使用寿命。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3、上下木框玻璃对开门；层板用16mm厚三聚氰胺双贴面纤维板，所有截面机器封边，层板底部设有两根20*25mm矩形钢管作为横梁，与矩形钢管配套的是安装在侧面的钢制 立杆，立杆上设有不同高度的可调孔，立杆和横梁组成了活动隔板，钢管和立杆需经环氧树脂高温固化处理。上下共5块活动层板，层高可调。</w:t>
            </w:r>
          </w:p>
        </w:tc>
      </w:tr>
      <w:tr w14:paraId="74DD0E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FA108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6EADCF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知识展板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99A568">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0ADE1A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教室装饰知识展板、采用KT板，永不起泡，版面由专业设计人员设计，美观实用。内容包含：技术教室等相关知识，尺寸900*600mm。</w:t>
            </w:r>
          </w:p>
        </w:tc>
      </w:tr>
      <w:tr w14:paraId="04D3BE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8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D968C0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96D24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泥塑工具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04935E">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E6F75C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适用范围：适用于小学、初中美术教学使用。二、技术要求：1.配置：（1）、拍板1件：木质，长×宽×高≥190mm×65mm×19mm；（2）、泥塑刀6件：黄杨木材质，长度不小于180mm；（3）、环型刀3件：木柄又头环型刀长度≥200mm；⑷刮刀2件：环型刀头、三角刀头各1件，长度分别≥100mm 170mm；（4）、型板1件：黄杨木型板≥110mm×50mm；（5）、切割线1件：木手柄不小于70mm，钢丝线长度不小于400mm；（6）、小转台1件：PVC塑料材质，双面、中间带轴承，直径不小于110mm，高度不小于30mm；（7）喷壶1件；（8）海绵1块；（9）刮板1件 2、中空吹塑定位包装，所有产品均有单独卡槽定位于箱子内，不得串动，便于携带、存放。应符合JY0001-2003的有关规定。</w:t>
            </w:r>
          </w:p>
        </w:tc>
      </w:tr>
      <w:tr w14:paraId="6F3AD2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9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46D82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090838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美工工具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746B32">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FCD1A6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美工工具：产品使用盒装。包括剪纸工具、折纸工具、彩泥工具三部分，其中，剪纸工具含：瓦棱纸1包、安全剪刀一个、花边剪刀1个、双面胶一卷、胶带2卷、胶棒1个、胶水1瓶、套尺1套、圆规一个；折纸工具含：彩色卡纸1包、十八色油画棒1套、十二色铅笔、订书机1个、订书钉1盒、回形针1盒、彩色折纸1包；彩泥工具含：超轻粘土24小包、A4无痕垫板1块、镊子2个。</w:t>
            </w:r>
          </w:p>
        </w:tc>
      </w:tr>
      <w:tr w14:paraId="731005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35DC99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88FEA3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旋转台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20854A">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FC7342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直径11.2，高度3cm，双面，塑料材质</w:t>
            </w:r>
          </w:p>
        </w:tc>
      </w:tr>
      <w:tr w14:paraId="27ABC9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2F164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0F14A7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材料（石膏、石蜡、泥土）</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BD4502B">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0525A2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石膏1包、石蜡1包、泥土2袋</w:t>
            </w:r>
          </w:p>
        </w:tc>
      </w:tr>
      <w:tr w14:paraId="7CA192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930F6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39D09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工具箱</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7AEDA5">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86762C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塑料工具箱 整体尺寸38*20*19cm</w:t>
            </w:r>
          </w:p>
        </w:tc>
      </w:tr>
      <w:tr w14:paraId="61CAD3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C5128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FD18F8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炉具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277EFB">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DA7E0F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电磁炉，额定电压220V 额定频率50Hz 额定功率2200W 产品结构II类</w:t>
            </w:r>
          </w:p>
        </w:tc>
      </w:tr>
      <w:tr w14:paraId="7443C7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BE331C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52EA7D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锅</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4DD7F7">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7C9B4A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不粘锅 直径≥30±0.5cm 塑料手柄长≥14±0.5cm 高度≥9±0.5cm</w:t>
            </w:r>
          </w:p>
        </w:tc>
      </w:tr>
      <w:tr w14:paraId="7A0A7F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65651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1551B5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炒勺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5B752BF">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454EE3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加厚不锈钢材质 塑料手柄 长≥30±0.5cm 宽≥9.5±0.5cm</w:t>
            </w:r>
          </w:p>
        </w:tc>
      </w:tr>
      <w:tr w14:paraId="26FD31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9B426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34F78E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漏勺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57A4DA">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3030EF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加厚不锈钢材质 塑料手柄 长≥32.5±0.5cm 宽≥11.5±0.5cm</w:t>
            </w:r>
          </w:p>
        </w:tc>
      </w:tr>
      <w:tr w14:paraId="04D22B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77335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C1AA3A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铲子</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D8E358">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D5EE8D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加厚不锈钢材质 塑料手柄 长≥32±0.5cm 宽≥9±0.5cm</w:t>
            </w:r>
          </w:p>
        </w:tc>
      </w:tr>
      <w:tr w14:paraId="1EB08E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F26BC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D7C12D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汤勺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38E330">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D819C3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加厚不锈钢材质</w:t>
            </w:r>
          </w:p>
        </w:tc>
      </w:tr>
      <w:tr w14:paraId="05BB31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35EE3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00F964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餐具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FD0ED1">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1B498E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碗、盘子、碟子、餐勺、餐叉、筷子、汤勺、调料盒、竹饭勺、面盆等</w:t>
            </w:r>
          </w:p>
        </w:tc>
      </w:tr>
      <w:tr w14:paraId="17B330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2DEDE4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974259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面盆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16EDE9">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6CF20F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不锈钢材质，盆口直径不小于45cm</w:t>
            </w:r>
          </w:p>
        </w:tc>
      </w:tr>
      <w:tr w14:paraId="2B7E06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1" w:hRule="atLeast"/>
        </w:trPr>
        <w:tc>
          <w:tcPr>
            <w:tcW w:w="0" w:type="auto"/>
            <w:gridSpan w:val="4"/>
            <w:tcBorders>
              <w:top w:val="single" w:color="000000" w:sz="4" w:space="0"/>
              <w:left w:val="single" w:color="000000" w:sz="4" w:space="0"/>
              <w:bottom w:val="single" w:color="000000" w:sz="4" w:space="0"/>
              <w:right w:val="single" w:color="000000" w:sz="4" w:space="0"/>
            </w:tcBorders>
            <w:shd w:val="clear" w:color="auto" w:fill="FFFF00"/>
            <w:vAlign w:val="center"/>
          </w:tcPr>
          <w:p w14:paraId="541238ED">
            <w:pPr>
              <w:keepNext w:val="0"/>
              <w:keepLines w:val="0"/>
              <w:widowControl/>
              <w:suppressLineNumbers w:val="0"/>
              <w:jc w:val="center"/>
              <w:textAlignment w:val="center"/>
              <w:rPr>
                <w:rFonts w:hint="default" w:ascii="方正黑体_GBK" w:hAnsi="方正黑体_GBK" w:eastAsia="方正黑体_GBK" w:cs="方正黑体_GBK"/>
                <w:i w:val="0"/>
                <w:iCs w:val="0"/>
                <w:color w:val="000000"/>
                <w:sz w:val="18"/>
                <w:szCs w:val="18"/>
                <w:u w:val="none"/>
              </w:rPr>
            </w:pPr>
            <w:r>
              <w:rPr>
                <w:rFonts w:hint="default" w:ascii="方正黑体_GBK" w:hAnsi="方正黑体_GBK" w:eastAsia="方正黑体_GBK" w:cs="方正黑体_GBK"/>
                <w:i w:val="0"/>
                <w:iCs w:val="0"/>
                <w:color w:val="000000"/>
                <w:kern w:val="0"/>
                <w:sz w:val="18"/>
                <w:szCs w:val="18"/>
                <w:u w:val="none"/>
                <w:lang w:val="en-US" w:eastAsia="zh-CN" w:bidi="ar"/>
              </w:rPr>
              <w:t>图书室配套设备及装修</w:t>
            </w:r>
          </w:p>
        </w:tc>
      </w:tr>
      <w:tr w14:paraId="19FE5E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C61A9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C30E20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石膏板吊顶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3D9A5CD">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446027CC">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国标轻钢主骨50×300×1.0cm，轻钢副骨50×300×0.5cm，国标0.8cm吊丝，拉爆，螺母等五金件，9mm石膏板造型，局部用木档，石膏板接头处使用接头板拼接，局部铝方通吊顶</w:t>
            </w:r>
          </w:p>
        </w:tc>
      </w:tr>
      <w:tr w14:paraId="1D3547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24EF9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613CE7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电路改造</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853A39">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19B6C4DE">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2.5㎡单股铜芯线、PVC穿管，线缆根据各地方品牌选购，包含空调线布置</w:t>
            </w:r>
          </w:p>
        </w:tc>
      </w:tr>
      <w:tr w14:paraId="2827F3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DAF77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557CBA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乳胶漆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BB3857D">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5CE5E13F">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腻子批腻子两遍找平，打磨平整，立邦涂料两面。</w:t>
            </w:r>
          </w:p>
        </w:tc>
      </w:tr>
      <w:tr w14:paraId="4C663F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DBC5A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2CE354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灯具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1BD6E1">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374BA351">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定制灯具，LED灯珠，亚克力面板，黑色铁艺加工，色温3000-4000K，照度≥300lx,无频闪。根据现场情况定制，包含灯带及配套氛围灯。</w:t>
            </w:r>
          </w:p>
        </w:tc>
      </w:tr>
      <w:tr w14:paraId="564913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AE697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E82141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窗帘盒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11F975">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9A9198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吊顶定制窗帘盒，宽度15-20厘米，铝合金材质，厚度1-1.5毫米，防腐轻便。</w:t>
            </w:r>
          </w:p>
        </w:tc>
      </w:tr>
      <w:tr w14:paraId="240B57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060D2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C2D0A3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窗帘</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734E00">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0A13F761">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定制棉麻窗帘，棉含量高柔软透气，遮光率20%-50%，简约风格。含罗马杆，五金配件</w:t>
            </w:r>
          </w:p>
        </w:tc>
      </w:tr>
      <w:tr w14:paraId="3AA948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9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F1A0E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C68079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周边书柜</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687C7D0">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5D97EF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木质书柜，根据现场条件定制安装；每组规格：900*300*1800mm，材质：采用优质三聚氰胺板PVC封边而成，面板光洁平整无渣粒无气泡易清洁，符合国家环保标准，面板厚度15mm，面板颜色：木纹色。</w:t>
            </w:r>
          </w:p>
        </w:tc>
      </w:tr>
      <w:tr w14:paraId="23413C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C1537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109204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1+1布艺沙发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E49CFD">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1E667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Style w:val="57"/>
                <w:lang w:val="en-US" w:eastAsia="zh-CN" w:bidi="ar"/>
              </w:rPr>
              <w:t>1+1人位休闲沙发及配套茶几,面料: 超柔绒布，实木框架、高密度海绵填充，海绵密度</w:t>
            </w:r>
            <w:r>
              <w:rPr>
                <w:rStyle w:val="58"/>
                <w:rFonts w:eastAsia="宋体"/>
                <w:lang w:val="en-US" w:eastAsia="zh-CN" w:bidi="ar"/>
              </w:rPr>
              <w:t>≥</w:t>
            </w:r>
            <w:r>
              <w:rPr>
                <w:rStyle w:val="57"/>
                <w:lang w:val="en-US" w:eastAsia="zh-CN" w:bidi="ar"/>
              </w:rPr>
              <w:t>35kg/立方米，布艺沙发、颜色可根据现场情况选择颜色，原木色茶几，茶几适合整体风格</w:t>
            </w:r>
          </w:p>
        </w:tc>
      </w:tr>
      <w:tr w14:paraId="6DFB5D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C296C2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E4AB35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1+3布艺沙发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B792AD">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A99585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1+3人位休闲沙发及茶几,面料: 超柔绒布，实木框架、高密度海绵填充，，海绵密度≥35kg/立方米，布艺沙发、颜色可根据现场情况选择颜色，原木色茶几，茶几适合整体风格</w:t>
            </w:r>
          </w:p>
        </w:tc>
      </w:tr>
      <w:tr w14:paraId="66AF68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4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D421D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30D42D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阅览桌椅</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6EA78D">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82645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材质：采用优质三聚氰胺板PVC封边而成，面板光洁平整无渣粒无气泡易清洁，符合国家环保标准，面板厚度25mm加外包25mm假边，总厚度50mm，面板颜色：木纹色。椅子采用钢木结构，椅架采用仿木纹钢架，座板采用软包。桌椅可根据学校图书馆整体装修风格定制，桌椅尺寸按照现场要求定制。</w:t>
            </w:r>
          </w:p>
        </w:tc>
      </w:tr>
      <w:tr w14:paraId="4BB7ED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4A69E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44D019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格栅</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4B5DAC9">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D2A6E5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木质材质，根据现场条件定制安装</w:t>
            </w:r>
          </w:p>
        </w:tc>
      </w:tr>
      <w:tr w14:paraId="08FAC1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F6B46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898F1D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图书馆文化墙</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DFB266">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B1720F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图书馆文化墙展示，内容根据学校需求定制，面积、工艺、使用材料据实结算。</w:t>
            </w:r>
          </w:p>
        </w:tc>
      </w:tr>
      <w:tr w14:paraId="112AD3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E1364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9D11C5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3P吸顶空调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A4F7BC">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F3B83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3P吸顶空调，市面主流品牌机子。制冷量：≥7000W，制热量：≥8000W噪音底。包含空调安装及布放管线。</w:t>
            </w:r>
          </w:p>
        </w:tc>
      </w:tr>
      <w:tr w14:paraId="700947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gridSpan w:val="4"/>
            <w:tcBorders>
              <w:top w:val="single" w:color="000000" w:sz="4" w:space="0"/>
              <w:left w:val="single" w:color="000000" w:sz="4" w:space="0"/>
              <w:bottom w:val="single" w:color="000000" w:sz="4" w:space="0"/>
              <w:right w:val="single" w:color="000000" w:sz="4" w:space="0"/>
            </w:tcBorders>
            <w:shd w:val="clear" w:color="auto" w:fill="FFFF00"/>
            <w:vAlign w:val="center"/>
          </w:tcPr>
          <w:p w14:paraId="6204B04B">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书法教室</w:t>
            </w:r>
          </w:p>
        </w:tc>
      </w:tr>
      <w:tr w14:paraId="7A21B7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8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CD983D">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E48813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双目书法教学仪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A57B720">
            <w:pPr>
              <w:jc w:val="center"/>
              <w:rPr>
                <w:rFonts w:hint="eastAsia" w:ascii="宋体" w:hAnsi="宋体" w:eastAsia="宋体" w:cs="宋体"/>
                <w:b/>
                <w:bCs/>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top"/>
          </w:tcPr>
          <w:p w14:paraId="34272D47">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 书法仪配备双路摄像头；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 主摄像头800万像素，A3拍照幅面，自动对焦；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 采用铝合金伸缩杆，多关节、可折叠、可伸缩、便携式设计；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 支持无级高度调节，镜头视角左右可旋转270度，上下可旋转360度，支持多视角拍摄，支持微距清晰拍摄:</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 内置LED数码补光灯，5级触控亮度调节开关；</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 副摄像头500万像素；</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 金属软管支撑，可以调节任意拍摄角度；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 书法仪USB端口即插即用，方便收纳及移动使用。</w:t>
            </w:r>
          </w:p>
        </w:tc>
      </w:tr>
      <w:tr w14:paraId="325858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5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F907A3">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45CEF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数字临摹学习台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E41457">
            <w:pPr>
              <w:jc w:val="center"/>
              <w:rPr>
                <w:rFonts w:hint="eastAsia" w:ascii="宋体" w:hAnsi="宋体" w:eastAsia="宋体" w:cs="宋体"/>
                <w:b/>
                <w:bCs/>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top"/>
          </w:tcPr>
          <w:p w14:paraId="6E3C43CF">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  数字临摹学习台使用专用操作系统，能独立安装并运行书法应用软件；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  数字临摹学习台开机进入登录界面，每个用户/学生都可提供专属账号；账号终身保留，可以在任意地点使用；支持如下几项功能：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·可具备“我的学习空间”模块，收藏常用课件、书法练习作业；</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·可具备“资源模块”可以浏览系统提供的碑帖、书法知识、字典；</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·可具备“课堂”学习模块，可以浏览学习课本课件、字帖课件、组字课件，自主进行书法学习；</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·可具备综合搜索工具，在任意界面一键调出综合搜索界面，可搜索单字教学、碑帖、课件、练习等；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  数字临摹学习台需采用一体化设计，书法软件及承载硬件产品采用同样品牌，保证使用体验及产品质量；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  数字临摹学习台要求采用DLP技术，LED光源，投射比0.39:1；标准分辨率：1280*720；亮度200ANSI流明；投标时提供数字临摹学习台满足以上参数的省级及以上检测机构出具的带“CNAS”标识的检测报告复印件并加盖生产厂商公章；</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  数字临摹学习台主要部件多媒体投影机指标应不低于：中心对比度大于600:1；亮度均匀值大于80%；芯片尺寸不低于0.3" DMD；具备USB、RJ-45接口，系统主芯片不低于DDR 2GB，EMMC 8G；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 桌面投影尺寸在15"至40"可调；</w:t>
            </w:r>
          </w:p>
        </w:tc>
      </w:tr>
      <w:tr w14:paraId="258A40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8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5B3E67">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1EC2B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教师条案</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1B412F">
            <w:pPr>
              <w:jc w:val="center"/>
              <w:rPr>
                <w:rFonts w:hint="eastAsia" w:ascii="宋体" w:hAnsi="宋体" w:eastAsia="宋体" w:cs="宋体"/>
                <w:b/>
                <w:bCs/>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top"/>
          </w:tcPr>
          <w:p w14:paraId="6644274A">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1）规格：180cm×80cm×75cm；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2）新中式风格书桌设计，烤漆处理；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3）一体化设计，可将教师端相关设备内置其中，方便统一管理；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4）教师桌内部设置多层设备间，由活动挡板隔开，可根据内置设备调整设备间间数及空间大小，安装便利；</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5）桌体内置线槽，桌面设备线缆均可无痕走线，美观整洁；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6）配套新中式风格教师椅1个。</w:t>
            </w:r>
          </w:p>
        </w:tc>
      </w:tr>
      <w:tr w14:paraId="775045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C04898">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3BCFA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学生书法桌（含凳）</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984871">
            <w:pPr>
              <w:jc w:val="center"/>
              <w:rPr>
                <w:rFonts w:hint="eastAsia" w:ascii="宋体" w:hAnsi="宋体" w:eastAsia="宋体" w:cs="宋体"/>
                <w:b/>
                <w:bCs/>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top"/>
          </w:tcPr>
          <w:p w14:paraId="4CBEDFFF">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中式简约书法桌</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1、规格：长*宽*高：140cm*60cm*75cm；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2、桌面采用优质木材制作，采用榫卯结构，结实牢靠。采用环保净味油漆，书法桌简洁大方，纹理通达清晰，边角打磨光滑，外观鲜明光亮，漆面均匀。</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3、配套新中式风格方凳：32cmx35cmx43cm</w:t>
            </w:r>
          </w:p>
        </w:tc>
      </w:tr>
      <w:tr w14:paraId="44C264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CA72EE">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5BFB27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学生镇尺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5C27B70">
            <w:pPr>
              <w:jc w:val="center"/>
              <w:rPr>
                <w:rFonts w:hint="eastAsia" w:ascii="宋体" w:hAnsi="宋体" w:eastAsia="宋体" w:cs="宋体"/>
                <w:b/>
                <w:bCs/>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top"/>
          </w:tcPr>
          <w:p w14:paraId="3EB6100F">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专业镇尺。</w:t>
            </w:r>
          </w:p>
        </w:tc>
      </w:tr>
      <w:tr w14:paraId="65A12D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12453D">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476F0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作品展示墙</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C7289B8">
            <w:pPr>
              <w:jc w:val="center"/>
              <w:rPr>
                <w:rFonts w:hint="eastAsia" w:ascii="宋体" w:hAnsi="宋体" w:eastAsia="宋体" w:cs="宋体"/>
                <w:b/>
                <w:bCs/>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7634E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教室后墙上用软木铺装一片作品展示区，</w:t>
            </w:r>
          </w:p>
        </w:tc>
      </w:tr>
      <w:tr w14:paraId="6A9CFB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gridSpan w:val="4"/>
            <w:tcBorders>
              <w:top w:val="single" w:color="000000" w:sz="4" w:space="0"/>
              <w:left w:val="single" w:color="000000" w:sz="4" w:space="0"/>
              <w:bottom w:val="single" w:color="000000" w:sz="4" w:space="0"/>
              <w:right w:val="single" w:color="000000" w:sz="4" w:space="0"/>
            </w:tcBorders>
            <w:shd w:val="clear" w:color="auto" w:fill="FFFF00"/>
            <w:vAlign w:val="center"/>
          </w:tcPr>
          <w:p w14:paraId="0B086972">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食堂设备</w:t>
            </w:r>
          </w:p>
        </w:tc>
      </w:tr>
      <w:tr w14:paraId="4A8BF6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F2F2F2"/>
            <w:vAlign w:val="center"/>
          </w:tcPr>
          <w:p w14:paraId="70D3A33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A</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3DF7B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更衣间</w:t>
            </w:r>
          </w:p>
        </w:tc>
        <w:tc>
          <w:tcPr>
            <w:tcW w:w="0" w:type="auto"/>
            <w:tcBorders>
              <w:top w:val="single" w:color="000000" w:sz="4" w:space="0"/>
              <w:left w:val="single" w:color="000000" w:sz="4" w:space="0"/>
              <w:bottom w:val="single" w:color="000000" w:sz="4" w:space="0"/>
              <w:right w:val="single" w:color="000000" w:sz="4" w:space="0"/>
            </w:tcBorders>
            <w:shd w:val="clear" w:color="auto" w:fill="F2F2F2"/>
            <w:vAlign w:val="center"/>
          </w:tcPr>
          <w:p w14:paraId="22041553">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2F2F2"/>
            <w:noWrap/>
            <w:vAlign w:val="center"/>
          </w:tcPr>
          <w:p w14:paraId="53C68C26">
            <w:pPr>
              <w:jc w:val="left"/>
              <w:rPr>
                <w:rFonts w:hint="eastAsia" w:ascii="宋体" w:hAnsi="宋体" w:eastAsia="宋体" w:cs="宋体"/>
                <w:i w:val="0"/>
                <w:iCs w:val="0"/>
                <w:color w:val="000000"/>
                <w:sz w:val="20"/>
                <w:szCs w:val="20"/>
                <w:u w:val="none"/>
              </w:rPr>
            </w:pPr>
          </w:p>
        </w:tc>
      </w:tr>
      <w:tr w14:paraId="462768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F2F2F2"/>
            <w:vAlign w:val="center"/>
          </w:tcPr>
          <w:p w14:paraId="3DD05E4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B</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1D589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储藏室</w:t>
            </w:r>
          </w:p>
        </w:tc>
        <w:tc>
          <w:tcPr>
            <w:tcW w:w="0" w:type="auto"/>
            <w:tcBorders>
              <w:top w:val="single" w:color="000000" w:sz="4" w:space="0"/>
              <w:left w:val="single" w:color="000000" w:sz="4" w:space="0"/>
              <w:bottom w:val="single" w:color="000000" w:sz="4" w:space="0"/>
              <w:right w:val="single" w:color="000000" w:sz="4" w:space="0"/>
            </w:tcBorders>
            <w:shd w:val="clear" w:color="auto" w:fill="F2F2F2"/>
            <w:vAlign w:val="center"/>
          </w:tcPr>
          <w:p w14:paraId="5E1FA10F">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2F2F2"/>
            <w:noWrap/>
            <w:vAlign w:val="center"/>
          </w:tcPr>
          <w:p w14:paraId="5493AD78">
            <w:pPr>
              <w:jc w:val="left"/>
              <w:rPr>
                <w:rFonts w:hint="eastAsia" w:ascii="宋体" w:hAnsi="宋体" w:eastAsia="宋体" w:cs="宋体"/>
                <w:i w:val="0"/>
                <w:iCs w:val="0"/>
                <w:color w:val="000000"/>
                <w:sz w:val="20"/>
                <w:szCs w:val="20"/>
                <w:u w:val="none"/>
              </w:rPr>
            </w:pPr>
          </w:p>
        </w:tc>
      </w:tr>
      <w:tr w14:paraId="4197D7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25D31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B01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122E5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四层平板货架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2AF8E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1200*500*1550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A94D6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优质不锈钢层板，厚度1.0mm；不锈钢脚管38*38*1.0mm；不锈钢可调子弹脚。</w:t>
            </w:r>
          </w:p>
        </w:tc>
      </w:tr>
      <w:tr w14:paraId="480DBE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F2F2F2"/>
            <w:vAlign w:val="center"/>
          </w:tcPr>
          <w:p w14:paraId="17B63A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C</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CEE4E2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冷藏间</w:t>
            </w:r>
          </w:p>
        </w:tc>
        <w:tc>
          <w:tcPr>
            <w:tcW w:w="0" w:type="auto"/>
            <w:tcBorders>
              <w:top w:val="single" w:color="000000" w:sz="4" w:space="0"/>
              <w:left w:val="single" w:color="000000" w:sz="4" w:space="0"/>
              <w:bottom w:val="single" w:color="000000" w:sz="4" w:space="0"/>
              <w:right w:val="single" w:color="000000" w:sz="4" w:space="0"/>
            </w:tcBorders>
            <w:shd w:val="clear" w:color="auto" w:fill="F2F2F2"/>
            <w:vAlign w:val="center"/>
          </w:tcPr>
          <w:p w14:paraId="644DF942">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2F2F2"/>
            <w:noWrap/>
            <w:vAlign w:val="center"/>
          </w:tcPr>
          <w:p w14:paraId="2FE5C456">
            <w:pPr>
              <w:jc w:val="left"/>
              <w:rPr>
                <w:rFonts w:hint="eastAsia" w:ascii="宋体" w:hAnsi="宋体" w:eastAsia="宋体" w:cs="宋体"/>
                <w:i w:val="0"/>
                <w:iCs w:val="0"/>
                <w:color w:val="000000"/>
                <w:sz w:val="20"/>
                <w:szCs w:val="20"/>
                <w:u w:val="none"/>
              </w:rPr>
            </w:pPr>
          </w:p>
        </w:tc>
      </w:tr>
      <w:tr w14:paraId="1C1693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4E2F3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C01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DC5B9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四门高身雪柜</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77108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1200*700*1960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top"/>
          </w:tcPr>
          <w:p w14:paraId="74EE28B1">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1.规格：1200mm*700mm*1960mm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2.箱体：内外胆制作采用优质油膜无指纹不锈钢板材质，整体发泡无缝隙、利保温、机构更坚实</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3.压缩机：采用优质品牌优质压缩机，制冷效果强，冷藏温度0℃～10℃，冷冻温度-6℃～-20℃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4.蒸发器为铜管，凝聚器加风机散热。</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5.额定电压/频率：220V/50HZ，耗电量4.5kw.h/24h</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6.温控器：双温，双控，双显。电子温控数字显示，柜内温度一目了然。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7.发泡剂：环戊烷，绝热性强，保温效果更好，并且符合国家节能环保要求。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8.脚链：采用全自动回归门较链系统，使用方便。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9.发泡剂：发泡层厚度大、密度高,环戊烷，绝热性强，保温效果更好，并且符合国家节能环保要求。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10.有效容积：≥850L</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11.冰柜具有:电器电子产品国推RoHS认证证书。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12.冰柜具有商用冷柜高温环境优品认证证书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13.冰柜具有食品接触产品卫生认证证书。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14.冰柜具有商用双温冷柜超节能优品认证证书，实际能效指数34％。符合CVC2075-2021 CVC标志认证实施规则 商用双温冷柜超节能认证的优品星级为1级。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15.冰柜具有中国环境标志（Ⅱ型）产品认证证书</w:t>
            </w:r>
          </w:p>
        </w:tc>
      </w:tr>
      <w:tr w14:paraId="79D41A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F2F2F2"/>
            <w:vAlign w:val="center"/>
          </w:tcPr>
          <w:p w14:paraId="74A9E30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D</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5E7B9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主副食库</w:t>
            </w:r>
          </w:p>
        </w:tc>
        <w:tc>
          <w:tcPr>
            <w:tcW w:w="0" w:type="auto"/>
            <w:tcBorders>
              <w:top w:val="single" w:color="000000" w:sz="4" w:space="0"/>
              <w:left w:val="single" w:color="000000" w:sz="4" w:space="0"/>
              <w:bottom w:val="single" w:color="000000" w:sz="4" w:space="0"/>
              <w:right w:val="single" w:color="000000" w:sz="4" w:space="0"/>
            </w:tcBorders>
            <w:shd w:val="clear" w:color="auto" w:fill="F2F2F2"/>
            <w:vAlign w:val="center"/>
          </w:tcPr>
          <w:p w14:paraId="56463324">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2F2F2"/>
            <w:noWrap/>
            <w:vAlign w:val="center"/>
          </w:tcPr>
          <w:p w14:paraId="64B1305D">
            <w:pPr>
              <w:jc w:val="left"/>
              <w:rPr>
                <w:rFonts w:hint="eastAsia" w:ascii="宋体" w:hAnsi="宋体" w:eastAsia="宋体" w:cs="宋体"/>
                <w:i w:val="0"/>
                <w:iCs w:val="0"/>
                <w:color w:val="000000"/>
                <w:sz w:val="20"/>
                <w:szCs w:val="20"/>
                <w:u w:val="none"/>
              </w:rPr>
            </w:pPr>
          </w:p>
        </w:tc>
      </w:tr>
      <w:tr w14:paraId="506CBF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1B235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D01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ECB95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四层平板货架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8434A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1200*500*1550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8580A5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优质不锈钢层板，厚度1.0mm；不锈钢脚管38*38*1.0mm；不锈钢可调子弹脚。</w:t>
            </w:r>
          </w:p>
        </w:tc>
      </w:tr>
      <w:tr w14:paraId="00CD32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289DF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D02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406CB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米面架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0F1B8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1000*600*200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E23E8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优质不锈钢方管层架38*25，壁厚1.0mm；不锈钢φ38管脚，壁厚1.0mm；不锈钢可调子弹脚。</w:t>
            </w:r>
          </w:p>
        </w:tc>
      </w:tr>
      <w:tr w14:paraId="2F8AF0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F2F2F2"/>
            <w:vAlign w:val="center"/>
          </w:tcPr>
          <w:p w14:paraId="59B8E75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E</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D2E87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粗加工间</w:t>
            </w:r>
          </w:p>
        </w:tc>
        <w:tc>
          <w:tcPr>
            <w:tcW w:w="0" w:type="auto"/>
            <w:tcBorders>
              <w:top w:val="single" w:color="000000" w:sz="4" w:space="0"/>
              <w:left w:val="single" w:color="000000" w:sz="4" w:space="0"/>
              <w:bottom w:val="single" w:color="000000" w:sz="4" w:space="0"/>
              <w:right w:val="single" w:color="000000" w:sz="4" w:space="0"/>
            </w:tcBorders>
            <w:shd w:val="clear" w:color="auto" w:fill="F2F2F2"/>
            <w:vAlign w:val="center"/>
          </w:tcPr>
          <w:p w14:paraId="2F03C7D3">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2F2F2"/>
            <w:noWrap/>
            <w:vAlign w:val="center"/>
          </w:tcPr>
          <w:p w14:paraId="5FC2D0E9">
            <w:pPr>
              <w:jc w:val="left"/>
              <w:rPr>
                <w:rFonts w:hint="eastAsia" w:ascii="宋体" w:hAnsi="宋体" w:eastAsia="宋体" w:cs="宋体"/>
                <w:i w:val="0"/>
                <w:iCs w:val="0"/>
                <w:color w:val="000000"/>
                <w:sz w:val="20"/>
                <w:szCs w:val="20"/>
                <w:u w:val="none"/>
              </w:rPr>
            </w:pPr>
          </w:p>
        </w:tc>
      </w:tr>
      <w:tr w14:paraId="7F0F56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D7D5D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E01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58104F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三星盆台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640706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1800*700*800/150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B838B9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优质不锈钢面板、星盆厚度1.2mm；不锈钢φ51mm管脚，壁厚1.0mm；不锈钢φ38mm支撑管，壁厚1.0mm，不锈钢可调子弹脚；不锈钢加强梁。</w:t>
            </w:r>
          </w:p>
        </w:tc>
      </w:tr>
      <w:tr w14:paraId="0E4B7C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510D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E02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42D01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双层格栅工作台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FCB3C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1800*700*800/150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55E1F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优质不锈钢面板厚度1.2mm；加15mm厚密度板；不锈钢方管层架38*25，壁厚1.0mm；不锈钢φ51管脚，壁厚1.0mm；不锈钢加强梁；不锈钢可调子弹脚。</w:t>
            </w:r>
          </w:p>
        </w:tc>
      </w:tr>
      <w:tr w14:paraId="578575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F265A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E03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2E82C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四层栅格层架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0CEF5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1200*500*1550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B97A01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优质不锈钢脚管38*38*1.0mm，不锈钢横管38*25*1.0mm，支撑架不锈钢方管25*25*1.0mm,可调子弹脚。</w:t>
            </w:r>
          </w:p>
        </w:tc>
      </w:tr>
      <w:tr w14:paraId="438679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28E45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E04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DB68BA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绞切肉机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5E0F09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550*380*750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512A0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机身材质：不锈钢；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功能：绞切两用；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电压（V）：220/380；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功率（Kw）：0.75+0.75；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转速（r/min）：473/425；</w:t>
            </w:r>
          </w:p>
        </w:tc>
      </w:tr>
      <w:tr w14:paraId="799050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EC4EE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E05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DB695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多功能切菜机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AD552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1300*400*1250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2CF22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机身材质：不锈钢；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功能：切丝、切片、切丁；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电压（V）：220/380；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切割规格：1-60mm可调；</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切片规格：2-6mm选配；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切丝规格:2-8mm选配；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切丁规格:8mm、10mm、12mm、15mm、20mm选配。</w:t>
            </w:r>
          </w:p>
        </w:tc>
      </w:tr>
      <w:tr w14:paraId="7671EF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F2F2F2"/>
            <w:vAlign w:val="center"/>
          </w:tcPr>
          <w:p w14:paraId="47D78D5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F</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646DF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主厨房</w:t>
            </w:r>
          </w:p>
        </w:tc>
        <w:tc>
          <w:tcPr>
            <w:tcW w:w="0" w:type="auto"/>
            <w:tcBorders>
              <w:top w:val="single" w:color="000000" w:sz="4" w:space="0"/>
              <w:left w:val="single" w:color="000000" w:sz="4" w:space="0"/>
              <w:bottom w:val="single" w:color="000000" w:sz="4" w:space="0"/>
              <w:right w:val="single" w:color="000000" w:sz="4" w:space="0"/>
            </w:tcBorders>
            <w:shd w:val="clear" w:color="auto" w:fill="F2F2F2"/>
            <w:vAlign w:val="center"/>
          </w:tcPr>
          <w:p w14:paraId="30E6C800">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2F2F2"/>
            <w:noWrap/>
            <w:vAlign w:val="center"/>
          </w:tcPr>
          <w:p w14:paraId="69C1C45D">
            <w:pPr>
              <w:jc w:val="left"/>
              <w:rPr>
                <w:rFonts w:hint="eastAsia" w:ascii="宋体" w:hAnsi="宋体" w:eastAsia="宋体" w:cs="宋体"/>
                <w:i w:val="0"/>
                <w:iCs w:val="0"/>
                <w:color w:val="000000"/>
                <w:sz w:val="20"/>
                <w:szCs w:val="20"/>
                <w:u w:val="none"/>
              </w:rPr>
            </w:pPr>
          </w:p>
        </w:tc>
      </w:tr>
      <w:tr w14:paraId="1FBE98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4402C1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F01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7DAC2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照明滤油一体烟罩</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29106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2800*1300*550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4D60B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优质不锈钢主体，厚度1.2mm，其余不锈钢1.0mm。</w:t>
            </w:r>
          </w:p>
        </w:tc>
      </w:tr>
      <w:tr w14:paraId="597C9B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2695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F02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FF2A9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炉后封板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C201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2800*10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E1F32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优质不锈钢面板1.2mm。</w:t>
            </w:r>
          </w:p>
        </w:tc>
      </w:tr>
      <w:tr w14:paraId="314EC6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208CD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F03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3BD94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电热双门蒸饭柜</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BDEE8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1200*760*1500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top"/>
          </w:tcPr>
          <w:p w14:paraId="0290C501">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豪华电二十四盘蒸饭柜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1、外形尺寸:≥1385mm*540mm*1510mm；功率2*12kw,电压380V；</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蒸饭量:≥96kg（以大米为例）；可供人数:≥360人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柜体采用优质不锈钢板材，使箱体腐蚀率大大降低。</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配24个加厚优质不锈钢蒸托盘（孔盘和无孔盘数量可自行选择）；</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先进发泡设备及环保型环戊烷发泡剂，在保证发泡层厚度的同时，箱体还会继续通过恒温8小时以上保温工艺，使环戊烷充分固化，达到最佳性能， 确保产品隔热效果，使产品更保温、更节能、更环保</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高强度门锁加上硅胶密封条，密封效果佳，经久耐用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内箱背部采用一次拉伸成型工艺，承重力强，便于清洗，且箱体内部有加厚“C”型撑条加固支撑使产品有骨有筋，稳固耐用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安全溢水阀：当水沸腾后的水超过安全水平线，会通过溢水阀流到箱体外面，防止开门热水溢出发生烫伤事件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门体采用高强度渐进式门锁，开关自如方便，大大提高门体气密性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密封条：主要作用是使蒸饭车门子与箱体密封严密，保温效果好、减少尘土的进入，起到减震、隔热、防尘、固定等作用。产品为硅胶材质，质地柔软、有弹性，持久耐用。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门铰链采用硬度较高的不锈钢冲压形成，当门体有轻微漏气现象时， 可通过调节门铰链的螺丝解决漏气现象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泄压阀：要保持出气通畅，严禁堵塞，堵塞会导致内箱压力过大而箱体外涨变形，无法使用。本产品采用耐腐蚀的不锈钢泄压阀，避免发生腐蚀影响箱体。</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出气阀：要保持出气通畅，严禁堵塞，堵塞会导致内箱压力过大而箱体外涨变形，无法使用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嵌入式温度表，探测箱体内部温度，更人性化设计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采用4寸转向脚轮，移动方便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5、蒸饭柜托盘、进水浮球、电热管、水位探针、温度探针、通过检测砷、镉、铅、铬、镍等微量的迁移量，所有检测项目合格，符合GB4806.9-2016《食品安全国家标准 食品接触用金属材料及制品》、GB31604.49-2016《食品安全国家标准 食品接触材料及制品 砷、镉、铬、铅的测定和砷、镉、铬、镍、铅、锑、锌迁移量的测定》国家标准。提供质量检验检测报告证书复印件；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6、智能蒸饭车具有计算机软件著作权登记证书。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7、制造商具有三体系管理证书:职业健康安全管理体系证书、质量管理体系证书、环境管理体系证书；是中国认可国际互认的管理体系；均可提供证书复印件；</w:t>
            </w:r>
          </w:p>
        </w:tc>
      </w:tr>
      <w:tr w14:paraId="646C94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428D6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F04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46BEF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电磁双头大锅灶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B1FB0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2000*1100*800/400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top"/>
          </w:tcPr>
          <w:p w14:paraId="7EA14C17">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1、产品额定电源：380V~50Hz三相四线；功率：20KW*2；</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2、采用304#不锈钢面板厚度1.5mm，前后板、侧板厚度1.2mm；支架方管、圆管厚度1.2mm；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3、电磁炉机芯配置：采用优质特微晶板、高速模块、不锈钢外壳防辐射设计、18重安全保护设置、超静音设计、耐用金属火力调节；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IP×6标准防水设计，四面可直接喷淋；防干烧线圈盘，超温保护更灵敏；高标准防漏电处理加防静电设计，电磁炉机芯配置：采用304#优质机芯，超静音设计炉脚采用304#可调重力脚，每个炉头装有摇摆水龙头，精准八档定位器，电系统由电脑主板控制及具有超温保护、自动故障检测、电压过高过低及缺相保护；提供国家级检测报告；</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5、提供双头大锅灶静电放电抗扰度国家级检测报告满足接触放电±4kV,空气放电±号8kV以外的电压进行试验，应满足标准的A级判据，提供省级或省级以上国家级检测机构出具的检测报告；</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6、提供双头大锅灶灶具具备自诊断功能，出现错误或状态异常时，可自动提醒，保护灶具，延长灶具使用寿命；提供省级或省级以上国家级检测机构出具的检测报告；</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7、提供双头大锅灶灶具自带急停功能，按下急停功能健后，能够停止工作，保护灶具及人员安全；提供省级或省级以上国家级检测机构出具的检测报告；</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8、电磁灶购买产品责任保险</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9、以上所提供保险单、证书需提供扫描件；</w:t>
            </w:r>
          </w:p>
        </w:tc>
      </w:tr>
      <w:tr w14:paraId="559963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0B76A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F05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AFC3F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炉后封板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7BDCC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3550*10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BF173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优质不锈钢面板1.2mm。</w:t>
            </w:r>
          </w:p>
        </w:tc>
      </w:tr>
      <w:tr w14:paraId="54D19B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AAF31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F06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71012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照明滤油一体烟罩</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D5D1D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3550*1300*550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D6301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优质不锈钢主体，厚度1.2mm，其余不锈钢1.0mm。</w:t>
            </w:r>
          </w:p>
        </w:tc>
      </w:tr>
      <w:tr w14:paraId="446E45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59384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F07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3E478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单通工作柜</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8EDFC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1800*800*800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0FBDA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优质不锈钢面板厚度1.2mm；加15mm厚密度板；不锈钢柜门，双层不锈钢板，厚度1.0mm；加强梁厚度1.5mm；不锈钢重力脚。</w:t>
            </w:r>
          </w:p>
        </w:tc>
      </w:tr>
      <w:tr w14:paraId="6F6EEF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68C7C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F08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9CD70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四层栅格层架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18D4B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1200*500*1550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E0168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优质不锈钢脚管38*38*1.0mm，不锈钢横管38*25*1.0mm，支撑架不锈钢方管25*25*1.0mm,可调子弹脚。</w:t>
            </w:r>
          </w:p>
        </w:tc>
      </w:tr>
      <w:tr w14:paraId="47C820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5A6AD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F09</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8E53D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调料台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B6D62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450*1100*800/450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CE02C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优质不锈钢面板，厚度1.2mm；不锈钢前板，厚度1.0mm；不锈钢加强梁；不锈钢φ38管脚，厚度1.0mm；不锈钢φ38可调脚。</w:t>
            </w:r>
          </w:p>
        </w:tc>
      </w:tr>
      <w:tr w14:paraId="77AFE6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5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AF684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F11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5BBEB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电磁单头大锅灶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CF4D8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1100*1100*800/450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top"/>
          </w:tcPr>
          <w:p w14:paraId="33703D0D">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1、额定电源：380V~50Hz；功率20kW；3mm厚大锅直径800mm，采用框架式承重结构，整机全SUS201不锈钢，炉面板厚度1.5mm，前面板、侧面板、背板、后封板、底板厚度1.0mm；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2、具有高标准防漏电处理加防静电设计，电磁炉机芯配置：采用优质机芯，超静音设计炉脚 采用可调重力脚，每个炉头装有摇摆水龙头，精准八档定位器，电系统由电脑主板 控制及具有超温保护、自动故障检测、电压过高过低及缺相保护；</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3、提供具有符合 GB/T 26572-2011 《电子电气产品中限用物质的限量要求》、GB/T 26125-2011《电子电气产品六种限用物质（铅、汞、镉、  六价铬、多溴联苯和多溴二苯醚）的测定》，检测要求包括护套-黑色橡胶、护垫-黑色橡胶、插片-银色金属、铜线均符合合格要求。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4、大锅通过GB/T24170.1-2009表面抗菌不锈钢和GB/T21510-2008 纳米无机材料抗菌性能检测方法；对（大肠杆菌 ATCC25922、金黄色葡萄球菌 ATCC6538）进行抗菌效果试验，试验后抗菌率＞99.9%（评级为A级）。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5、提供核心部件“机芯 ”具有 CMA 或 CNAS 认证资质的检测机构出具符合 GB/T2423.2-2008《电工电子产品环境试验第2部分：试验方式 试验 B:高温》检测依据，检测内容：高温贮存试验，高温老化试验。GB/T2423.16-2008《电工电子产品环境试验第2部分：试验方式试验J及导则：长霉》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6、火力开关采用合金钢材质，人机工程学设计，硅胶防滑垫，火力控制，档位清晰手感好，连续测试25万次无故障，全密闭防水设计。</w:t>
            </w:r>
          </w:p>
        </w:tc>
      </w:tr>
      <w:tr w14:paraId="7DA7EA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7445F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F12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1F62F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双层格栅工作台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B9B78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1800*800*800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2FF25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优质不锈钢面板厚度1.2mm；加15mm厚密度板；不锈钢方管层架38*25，壁厚1.0mm；不锈钢φ51管脚，壁厚1.0mm；不锈钢加强梁；不锈钢可调子弹脚。</w:t>
            </w:r>
          </w:p>
        </w:tc>
      </w:tr>
      <w:tr w14:paraId="0D6ABB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2406B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F15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23A27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调料台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07374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700*600*800/450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3A3E8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优质不锈钢面板，厚度1.2mm；不锈钢前板，厚度1.0mm；不锈钢加强梁；不锈钢φ38管脚，厚度1.0mm；不锈钢φ38可调脚。</w:t>
            </w:r>
          </w:p>
        </w:tc>
      </w:tr>
      <w:tr w14:paraId="0C8CD6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5EF34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F16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8F7B7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炉后封板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69C26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2950*10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F3705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优质不锈钢面板1.2mm。</w:t>
            </w:r>
          </w:p>
        </w:tc>
      </w:tr>
      <w:tr w14:paraId="6F4497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65CFC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F17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750AC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照明滤油一体烟罩</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3F3BD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2950*1300*550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FF8C3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优质不锈钢主体，厚度1.2mm，其余不锈钢1.0mm。</w:t>
            </w:r>
          </w:p>
        </w:tc>
      </w:tr>
      <w:tr w14:paraId="3FEBE4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5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F2BE4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F18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F55EE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电磁双头矮汤炉</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CFEA4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1300*750*1200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top"/>
          </w:tcPr>
          <w:p w14:paraId="22CF8692">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1、额定电源：380V~50Hz；功率：15kW*2，采用框架式承重结构，整机全SUS201不锈钢，炉面板厚度1.5mm，前面板、侧面板、背板、后封板、底板厚度1.0mm；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2、具有GB/T5080.1-2012《可靠性试验 第1部分：试验条件和统计检验原理线盘符合平均无故障时间（MTBF)验证试验》电磁炉线盘运营550小时均未出现故障，且由阿伦尼斯模型计算平均无故障时间不小于43800小时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3、汤桶通过GB/T24170.1-2009表面抗菌不锈钢和GB/T21510-2008 纳米无机材料抗菌性能检测方法；对（大肠杆菌 ATCC25922、金黄色葡萄球菌 ATCC6538）进行抗菌效果试验，试验后抗菌率＞99.9%（评级为A级）。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4、汤炉具有省级或国家级权威质检单位（检测报告具有合格认可标识：CMA、CNAS）根据国标GB4706.1-2005中（耐潮湿、泄露电路和电气强度）检测项目的检测报告；。</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5、提供核心部件“机芯 ”具有 CMA 或 CNAS 认证资质的检测机构出具符合 GB/T2423.2-2008《电工电子产品环境试验 第 2 部分：试验方式 试验 B:高温》检测依据，检测内容：高温贮存试验，</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高温老化试验。GB/T2423.16-2008《电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工电子产品环境试验 第 2 部分：试验方式 试验J及导则：长霉》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6、火力开关采用合金钢材质，人机工程学设计，硅胶防滑垫，火力控制，档位清晰手感好，连续测试25万次无故障，全密闭防水设计。</w:t>
            </w:r>
          </w:p>
        </w:tc>
      </w:tr>
      <w:tr w14:paraId="3C433E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8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140AF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F19</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5598A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刀具消毒柜</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E3BD3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1200*650*1650mm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top"/>
          </w:tcPr>
          <w:p w14:paraId="73FE3A9F">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Style w:val="55"/>
                <w:lang w:val="en-US" w:eastAsia="zh-CN" w:bidi="ar"/>
              </w:rPr>
              <w:t>1.尺寸：1200*650*1650mm；</w:t>
            </w:r>
            <w:r>
              <w:rPr>
                <w:rStyle w:val="55"/>
                <w:lang w:val="en-US" w:eastAsia="zh-CN" w:bidi="ar"/>
              </w:rPr>
              <w:br w:type="textWrapping"/>
            </w:r>
            <w:r>
              <w:rPr>
                <w:rStyle w:val="55"/>
                <w:lang w:val="en-US" w:eastAsia="zh-CN" w:bidi="ar"/>
              </w:rPr>
              <w:t>2.功率：220v/2kw；</w:t>
            </w:r>
            <w:r>
              <w:rPr>
                <w:rStyle w:val="55"/>
                <w:lang w:val="en-US" w:eastAsia="zh-CN" w:bidi="ar"/>
              </w:rPr>
              <w:br w:type="textWrapping"/>
            </w:r>
            <w:r>
              <w:rPr>
                <w:rStyle w:val="55"/>
                <w:lang w:val="en-US" w:eastAsia="zh-CN" w:bidi="ar"/>
              </w:rPr>
              <w:t>3.容积：上层</w:t>
            </w:r>
            <w:r>
              <w:rPr>
                <w:rStyle w:val="48"/>
                <w:rFonts w:eastAsia="宋体"/>
                <w:lang w:val="en-US" w:eastAsia="zh-CN" w:bidi="ar"/>
              </w:rPr>
              <w:t>≥</w:t>
            </w:r>
            <w:r>
              <w:rPr>
                <w:rStyle w:val="55"/>
                <w:lang w:val="en-US" w:eastAsia="zh-CN" w:bidi="ar"/>
              </w:rPr>
              <w:t>245L+下层≥435L</w:t>
            </w:r>
            <w:r>
              <w:rPr>
                <w:rStyle w:val="55"/>
                <w:lang w:val="en-US" w:eastAsia="zh-CN" w:bidi="ar"/>
              </w:rPr>
              <w:br w:type="textWrapping"/>
            </w:r>
            <w:r>
              <w:rPr>
                <w:rStyle w:val="55"/>
                <w:lang w:val="en-US" w:eastAsia="zh-CN" w:bidi="ar"/>
              </w:rPr>
              <w:t>4.配置：主要针对厨房用具(刀类、砧板类、锅铲、勺子、清洁用的擦巾等)进行专业消毒的机械。中温热 循环紫外线+臭氧，消毒后的餐具、器皿干爽洁净，随用随取，绝不会烫伤手。高强度不锈钢管载物架，独特的制造工艺采用名厂电器元件，使产品工作更稳定，效果更显著，使用寿命更长。</w:t>
            </w:r>
            <w:r>
              <w:rPr>
                <w:rStyle w:val="55"/>
                <w:lang w:val="en-US" w:eastAsia="zh-CN" w:bidi="ar"/>
              </w:rPr>
              <w:br w:type="textWrapping"/>
            </w:r>
            <w:r>
              <w:rPr>
                <w:rStyle w:val="55"/>
                <w:lang w:val="en-US" w:eastAsia="zh-CN" w:bidi="ar"/>
              </w:rPr>
              <w:t>5.防腐蚀符合GB/T 10125-2021 标准，防腐蚀等级：户内1级。</w:t>
            </w:r>
            <w:r>
              <w:rPr>
                <w:rStyle w:val="55"/>
                <w:lang w:val="en-US" w:eastAsia="zh-CN" w:bidi="ar"/>
              </w:rPr>
              <w:br w:type="textWrapping"/>
            </w:r>
            <w:r>
              <w:rPr>
                <w:rStyle w:val="55"/>
                <w:lang w:val="en-US" w:eastAsia="zh-CN" w:bidi="ar"/>
              </w:rPr>
              <w:t>6.阻燃符合GB  8624-2012标准，阻燃等级：A（A1）。</w:t>
            </w:r>
            <w:r>
              <w:rPr>
                <w:rStyle w:val="55"/>
                <w:lang w:val="en-US" w:eastAsia="zh-CN" w:bidi="ar"/>
              </w:rPr>
              <w:br w:type="textWrapping"/>
            </w:r>
            <w:r>
              <w:rPr>
                <w:rStyle w:val="55"/>
                <w:lang w:val="en-US" w:eastAsia="zh-CN" w:bidi="ar"/>
              </w:rPr>
              <w:t>7.提供食品接触产品安全认证符合GB4806.1-2016；GB4806.9-2016标准</w:t>
            </w:r>
          </w:p>
        </w:tc>
      </w:tr>
      <w:tr w14:paraId="05A2AA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F2F2F2"/>
            <w:vAlign w:val="center"/>
          </w:tcPr>
          <w:p w14:paraId="71CA2A0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G</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96D28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备餐间</w:t>
            </w:r>
          </w:p>
        </w:tc>
        <w:tc>
          <w:tcPr>
            <w:tcW w:w="0" w:type="auto"/>
            <w:tcBorders>
              <w:top w:val="single" w:color="000000" w:sz="4" w:space="0"/>
              <w:left w:val="single" w:color="000000" w:sz="4" w:space="0"/>
              <w:bottom w:val="single" w:color="000000" w:sz="4" w:space="0"/>
              <w:right w:val="single" w:color="000000" w:sz="4" w:space="0"/>
            </w:tcBorders>
            <w:shd w:val="clear" w:color="auto" w:fill="F2F2F2"/>
            <w:vAlign w:val="center"/>
          </w:tcPr>
          <w:p w14:paraId="39360402">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2F2F2"/>
            <w:noWrap/>
            <w:vAlign w:val="center"/>
          </w:tcPr>
          <w:p w14:paraId="1DE72479">
            <w:pPr>
              <w:jc w:val="left"/>
              <w:rPr>
                <w:rFonts w:hint="eastAsia" w:ascii="宋体" w:hAnsi="宋体" w:eastAsia="宋体" w:cs="宋体"/>
                <w:i w:val="0"/>
                <w:iCs w:val="0"/>
                <w:color w:val="000000"/>
                <w:sz w:val="20"/>
                <w:szCs w:val="20"/>
                <w:u w:val="none"/>
              </w:rPr>
            </w:pPr>
          </w:p>
        </w:tc>
      </w:tr>
      <w:tr w14:paraId="7D50F7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7105B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G01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05E1C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洗手星</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3F0AA8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450*450*280/40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4BBA1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优质不锈钢面板、星盆厚度1.2mm。</w:t>
            </w:r>
          </w:p>
        </w:tc>
      </w:tr>
      <w:tr w14:paraId="304A55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641EA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G02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E80CA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双层格栅工作台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3CDE34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1500*700*800/150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F2CD0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优质不锈钢面板厚度1.2mm；加15mm厚密度板；不锈钢方管层架38*25，壁厚1.0mm；不锈钢φ51管脚，壁厚1.0mm；不锈钢加强梁；不锈钢可调子弹脚。</w:t>
            </w:r>
          </w:p>
        </w:tc>
      </w:tr>
      <w:tr w14:paraId="753A9E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DF002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G03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F3C9E2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活动工作台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E2C90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1800*800*800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0FC83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优质不锈钢面板厚度1.2mm；加15mm厚密度板；不锈钢方管层板厚度1.0mm；不锈钢φ51管脚，壁厚1.0mm；不锈钢加强梁；配置活动静音轮4个。</w:t>
            </w:r>
          </w:p>
        </w:tc>
      </w:tr>
      <w:tr w14:paraId="3F4A19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8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67BD26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G04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7226B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双门留样柜</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098B2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1200*610*1850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6671A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温度控制：采用微电脑控温系统，温度范围在0 - 8℃或2 - 8℃；</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材质：柜体采用优质不锈钢材质，柜门采用双层透明玻璃，具有良好的隔热效果，且方便观察内部样本；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内部设计：设有多层可调节的置物架，方便分类存放不同的食品样本；</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制冷系统：采用高效压缩机和优质制冷部件，制冷速度快，且能保持温度均匀性；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安全性能：具备门锁装置，确保样本安全；有的还带有超温报警、断电报警等功能</w:t>
            </w:r>
          </w:p>
        </w:tc>
      </w:tr>
      <w:tr w14:paraId="656C93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F2F2F2"/>
            <w:vAlign w:val="center"/>
          </w:tcPr>
          <w:p w14:paraId="1BBF9DA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H</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2C66E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售卖间</w:t>
            </w:r>
          </w:p>
        </w:tc>
        <w:tc>
          <w:tcPr>
            <w:tcW w:w="0" w:type="auto"/>
            <w:tcBorders>
              <w:top w:val="single" w:color="000000" w:sz="4" w:space="0"/>
              <w:left w:val="single" w:color="000000" w:sz="4" w:space="0"/>
              <w:bottom w:val="single" w:color="000000" w:sz="4" w:space="0"/>
              <w:right w:val="single" w:color="000000" w:sz="4" w:space="0"/>
            </w:tcBorders>
            <w:shd w:val="clear" w:color="auto" w:fill="F2F2F2"/>
            <w:vAlign w:val="center"/>
          </w:tcPr>
          <w:p w14:paraId="4532BDB6">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2F2F2"/>
            <w:noWrap/>
            <w:vAlign w:val="center"/>
          </w:tcPr>
          <w:p w14:paraId="61FF2862">
            <w:pPr>
              <w:jc w:val="left"/>
              <w:rPr>
                <w:rFonts w:hint="eastAsia" w:ascii="宋体" w:hAnsi="宋体" w:eastAsia="宋体" w:cs="宋体"/>
                <w:i w:val="0"/>
                <w:iCs w:val="0"/>
                <w:color w:val="000000"/>
                <w:sz w:val="20"/>
                <w:szCs w:val="20"/>
                <w:u w:val="none"/>
              </w:rPr>
            </w:pPr>
          </w:p>
        </w:tc>
      </w:tr>
      <w:tr w14:paraId="1D122F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E639A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H01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D5AD81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双层格栅工作台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6F81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1200*800*800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4874B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优质不锈钢面板厚度1.2mm；加15mm厚密度板；不锈钢方管层架38*25，壁厚1.0mm；不锈钢φ51管脚，壁厚1.0mm；不锈钢加强梁；不锈钢可调子弹脚。</w:t>
            </w:r>
          </w:p>
        </w:tc>
      </w:tr>
      <w:tr w14:paraId="77B841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910BF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H06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05AF9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双层格栅工作台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62F944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1200*700*800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EE939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优质不锈钢面板厚度1.2mm；加15mm厚密度板；不锈钢方管层架38*25，壁厚1.0mm；不锈钢φ51管脚，壁厚1.0mm；不锈钢加强梁；不锈钢可调子弹脚。</w:t>
            </w:r>
          </w:p>
        </w:tc>
      </w:tr>
      <w:tr w14:paraId="6F606C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02087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H08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C6400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五格保温售饭台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CA546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1800*700*800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CAF4F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优质不锈钢面板厚度1.2mm；不锈钢水箱，厚度1.2mm；不锈钢方管层架38*25，壁厚1.0mm；不锈钢φ51管脚，壁厚1.0mm；不锈钢加强梁；配置：两组2KW/220V发热管。</w:t>
            </w:r>
          </w:p>
        </w:tc>
      </w:tr>
      <w:tr w14:paraId="212C1A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3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B23E45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H09</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E2317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双门消毒柜</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D85B56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1160*500*1800mm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top"/>
          </w:tcPr>
          <w:p w14:paraId="4CC48178">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1.尺寸：1160*500*1800mm；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2.功率：220v/1.8kw；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3.容积≥700L；</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4.配置：125℃高温消毒，消毒等级2星。全无磁不锈钢柜体外观结构，豪华、坚固、耐用;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高温工作室采用整体全发泡结构，柜内装优质远红外线发热管，高温杀菌，热风循环对餐具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中危害人体健康的大肠杆菌等细菌进行高效灭杀，同时对餐具进行烘干保温，安全节能。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5.防腐蚀符合GB/T 10125-2021 标准，防腐蚀等级：户内1级。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6.阻燃符合GB  8624-2012标准，阻燃等级：A（A1）。</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7.提供食品接触产品安全认证符合GB4806.1-2016；GB4806.9-2016标准</w:t>
            </w:r>
          </w:p>
        </w:tc>
      </w:tr>
      <w:tr w14:paraId="27F5D9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92ACC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H10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9292D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双层格栅工作台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8B660A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1000*700*800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FA8798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优质不锈钢面板厚度1.2mm；加15mm厚密度板；不锈钢方管层架38*25，壁厚1.0mm；不锈钢φ51管脚，壁厚1.0mm；不锈钢加强梁；不锈钢可调子弹脚。</w:t>
            </w:r>
          </w:p>
        </w:tc>
      </w:tr>
      <w:tr w14:paraId="68B5ED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F2F2F2"/>
            <w:vAlign w:val="center"/>
          </w:tcPr>
          <w:p w14:paraId="31294FE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I</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AE275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洗消间1</w:t>
            </w:r>
          </w:p>
        </w:tc>
        <w:tc>
          <w:tcPr>
            <w:tcW w:w="0" w:type="auto"/>
            <w:tcBorders>
              <w:top w:val="single" w:color="000000" w:sz="4" w:space="0"/>
              <w:left w:val="single" w:color="000000" w:sz="4" w:space="0"/>
              <w:bottom w:val="single" w:color="000000" w:sz="4" w:space="0"/>
              <w:right w:val="single" w:color="000000" w:sz="4" w:space="0"/>
            </w:tcBorders>
            <w:shd w:val="clear" w:color="auto" w:fill="F2F2F2"/>
            <w:vAlign w:val="center"/>
          </w:tcPr>
          <w:p w14:paraId="3B07185D">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2F2F2"/>
            <w:noWrap/>
            <w:vAlign w:val="center"/>
          </w:tcPr>
          <w:p w14:paraId="63C7B42E">
            <w:pPr>
              <w:jc w:val="left"/>
              <w:rPr>
                <w:rFonts w:hint="eastAsia" w:ascii="宋体" w:hAnsi="宋体" w:eastAsia="宋体" w:cs="宋体"/>
                <w:i w:val="0"/>
                <w:iCs w:val="0"/>
                <w:color w:val="000000"/>
                <w:sz w:val="20"/>
                <w:szCs w:val="20"/>
                <w:u w:val="none"/>
              </w:rPr>
            </w:pPr>
          </w:p>
        </w:tc>
      </w:tr>
      <w:tr w14:paraId="6C7D43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680F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I04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F2773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活动工作台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DEE74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1800*800*800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FADF1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优质不锈钢面板厚度1.2mm；加15mm厚密度板；不锈钢方管层板厚度1.0mm；不锈钢φ51管脚，壁厚1.0mm；不锈钢加强梁；配置活动静音轮4个。</w:t>
            </w:r>
          </w:p>
        </w:tc>
      </w:tr>
      <w:tr w14:paraId="2C2DF1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1E485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I05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B11508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大单星盆台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8F7A7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1200*700*800/150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9484D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优质不锈钢面板、星盆厚度1.2mm；不锈钢φ51mm管脚，壁厚1.0mm；不锈钢φ38mm支撑管，壁厚1.0mm，不锈钢可调子弹脚；不锈钢加强梁。</w:t>
            </w:r>
          </w:p>
        </w:tc>
      </w:tr>
      <w:tr w14:paraId="610761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29CA8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I07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436EE9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四层栅格层架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914F2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1200*500*1550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38DBC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优质不锈钢脚管38*38*1.0mm，不锈钢横管38*25*1.0mm，支撑架不锈钢方管25*25*1.0mm,可调子弹脚。</w:t>
            </w:r>
          </w:p>
        </w:tc>
      </w:tr>
      <w:tr w14:paraId="66E6E5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F2F2F2"/>
            <w:vAlign w:val="center"/>
          </w:tcPr>
          <w:p w14:paraId="1B87D6D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J</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14065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洗消间2</w:t>
            </w:r>
          </w:p>
        </w:tc>
        <w:tc>
          <w:tcPr>
            <w:tcW w:w="0" w:type="auto"/>
            <w:tcBorders>
              <w:top w:val="single" w:color="000000" w:sz="4" w:space="0"/>
              <w:left w:val="single" w:color="000000" w:sz="4" w:space="0"/>
              <w:bottom w:val="single" w:color="000000" w:sz="4" w:space="0"/>
              <w:right w:val="single" w:color="000000" w:sz="4" w:space="0"/>
            </w:tcBorders>
            <w:shd w:val="clear" w:color="auto" w:fill="F2F2F2"/>
            <w:vAlign w:val="center"/>
          </w:tcPr>
          <w:p w14:paraId="18FA876C">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2F2F2"/>
            <w:noWrap/>
            <w:vAlign w:val="center"/>
          </w:tcPr>
          <w:p w14:paraId="20D26964">
            <w:pPr>
              <w:jc w:val="left"/>
              <w:rPr>
                <w:rFonts w:hint="eastAsia" w:ascii="宋体" w:hAnsi="宋体" w:eastAsia="宋体" w:cs="宋体"/>
                <w:i w:val="0"/>
                <w:iCs w:val="0"/>
                <w:color w:val="000000"/>
                <w:sz w:val="20"/>
                <w:szCs w:val="20"/>
                <w:u w:val="none"/>
              </w:rPr>
            </w:pPr>
          </w:p>
        </w:tc>
      </w:tr>
      <w:tr w14:paraId="769B55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F905B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J01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A25F5E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双层格栅工作台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23364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1800*700*800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91C34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优质不锈钢面板厚度1.2mm；加15mm厚密度板；不锈钢方管层架38*25，壁厚1.0mm；不锈钢φ51管脚，壁厚1.0mm；不锈钢加强梁；不锈钢可调子弹脚。</w:t>
            </w:r>
          </w:p>
        </w:tc>
      </w:tr>
      <w:tr w14:paraId="0BFBF1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25D3A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J02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87D672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单孔污碟柜连车</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58C8FB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700*700*800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FB810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优质不锈钢面板厚度1.2mm；加15mm厚密度板；不锈钢柜体，双层不锈钢板，厚度1.0mm；加强梁厚度1.5mm；不锈钢重力脚，配置嵌入式收糠车一台。</w:t>
            </w:r>
          </w:p>
        </w:tc>
      </w:tr>
      <w:tr w14:paraId="65BF41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7E0A0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J04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E99FE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大单星盆台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D918A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1200*700*800/150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85186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优质不锈钢面板、星盆厚度1.2mm；不锈钢φ51mm管脚，壁厚1.0mm；不锈钢φ38mm支撑管，壁厚1.0mm，不锈钢可调子弹脚；不锈钢加强梁。</w:t>
            </w:r>
          </w:p>
        </w:tc>
      </w:tr>
      <w:tr w14:paraId="0CB35C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34E42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J05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A62E4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双层格栅工作台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6F23BD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1200*700*800/150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E3412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优质不锈钢面板厚度1.2mm；加15mm厚密度板；不锈钢方管层架38*25，壁厚1.0mm；不锈钢φ51管脚，壁厚1.0mm；不锈钢加强梁；不锈钢可调子弹脚。</w:t>
            </w:r>
          </w:p>
        </w:tc>
      </w:tr>
      <w:tr w14:paraId="6AE7FA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3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67F29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J06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1D0AB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双门消毒柜</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FAED0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1160*500*1800mm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top"/>
          </w:tcPr>
          <w:p w14:paraId="6C57242C">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1.尺寸：1160*500*1800mm；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2.功率：220v/1.8kw；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3.容积≥700L；</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4.配置：125℃高温消毒，消毒等级2星。全无磁不锈钢柜体外观结构，豪华、坚固、耐用;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高温工作室采用整体全发泡结构，柜内装优质远红外线发热管，高温杀菌，热风循环对餐具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中危害人体健康的大肠杆菌等细菌进行高效灭杀，同时对餐具进行烘干保温，安全节能。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5.防腐蚀符合GB/T 10125-2021 标准，防腐蚀等级：户内1级。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6.阻燃符合GB  8624-2012标准，阻燃等级：A（A1）。</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7.提供食品接触产品安全认证符合GB4806.1-2016；GB4806.9-2016标准</w:t>
            </w:r>
          </w:p>
        </w:tc>
      </w:tr>
      <w:tr w14:paraId="3BF294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3A0EA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J07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80AB59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单孔污碟台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B2BAA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700*700*800/150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D85A9C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优质不锈钢面板厚度1.2mm；加15mm厚密度板；不锈钢方管层架38*25，壁厚1.0mm；不锈钢φ51管脚，壁厚1.0mm；不锈钢加强梁；不锈钢可调子弹脚。</w:t>
            </w:r>
          </w:p>
        </w:tc>
      </w:tr>
      <w:tr w14:paraId="3AFEED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8BE9D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J08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150D4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大单星盆台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F0205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1500*700*800/150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16D0D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优质不锈钢面板、星盆厚度1.2mm；不锈钢φ51mm管脚，壁厚1.0mm；不锈钢φ38mm支撑管，壁厚1.0mm，不锈钢可调子弹脚；不锈钢加强梁。</w:t>
            </w:r>
          </w:p>
        </w:tc>
      </w:tr>
      <w:tr w14:paraId="12BCB4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5377A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J09</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40898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单门长龙式洗碗机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41328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2800*850*1450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top"/>
          </w:tcPr>
          <w:p w14:paraId="068D67EC">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1、洗涤量约2000碟/小时，最大清洗高度400mm，网带宽度530mm，耗水量≤400L/小时，额定功率≤48KW，供电要求：380V 50Hz。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2、外形尺寸2800X900X1600mm，主要由进口端，主洗模块，漂洗模块，出口端组成。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3、传送网带采用斜插式履带，可根据洗涤量自行调节运行速度。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4、出口设有限位和过载保护开关，防止餐具掉落，保护传动电机。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5、控制面板采用机械式按钮，数显温度并可手动调节洗涤温度，操作简单维修成本低。</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6、所投洗碗机提供依据GB/T 5750.4-2023标准对洗碗机中水质色度、浑浊度、臭和味、pH、耗氧量、挥发酚类、溶解性总固体所做的检测报告，以及依据GB/T 5750.6-2023标准对洗碗机中水质的铬(六价)、铝、锰、铁、铜、锌、砷、镉、汞、铅、银、氟化物、硝酸盐(以N计)、三氯甲烷、四氯化碳指标的检测报告，且报告上有CNAS,CMA标识。                                                                                                                                           7、所投洗碗机提供依据GB/T 2423.10-2019标准所做的振动试验报告，试验条件是整机在环境温度:18℃~28℃，环境湿度:25%RH-75%RH，频率: 5Hz~50Hz,位移0.15mm，峰值加速度:20m/S²，扫描时间:10min，扫频循环次数10次，扫频速度:loct/min，试验方向:XYZ方向，试验后,样品外观无异常,电气设备无异常,通电运行正常，且报告上有CMA、CNAS标识。                                                                                                                                       8、所投洗碗机控制器提供依据GB/T 4343.2-2020标准所做的“静电放电抗干扰、电快速瞬变脉冲群抗干扰、注入电流抗干扰、射频电磁场抗干扰、浪涌抗干扰、电压暂降和中断抗干扰”六项内容的检测报告，且报告上有CNAS标识。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9、以上标所要求提供的检测报告须提供在国家市场监督管理总局网站的查询截图佐证。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10、所投产品需配置分配器1套、洗涤及催干药水1套。</w:t>
            </w:r>
          </w:p>
        </w:tc>
      </w:tr>
      <w:tr w14:paraId="233665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3F1CC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J10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C30D5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照明滤油一体烟罩</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45555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3000*1300*550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9E122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优质不锈钢主体，厚度1.2mm，其余不锈钢1.0mm。</w:t>
            </w:r>
          </w:p>
        </w:tc>
      </w:tr>
      <w:tr w14:paraId="7507DD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C52E2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J11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F395D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活动工作台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CD2C2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1500*800*800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21337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优质不锈钢面板厚度1.2mm；加15mm厚密度板；不锈钢方管层板厚度1.0mm；不锈钢φ51管脚，壁厚1.0mm；不锈钢加强梁；配置活动静音轮4个。</w:t>
            </w:r>
          </w:p>
        </w:tc>
      </w:tr>
      <w:tr w14:paraId="6120AE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F2F2F2"/>
            <w:vAlign w:val="center"/>
          </w:tcPr>
          <w:p w14:paraId="3A1584A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K</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65140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2层备餐间</w:t>
            </w:r>
          </w:p>
        </w:tc>
        <w:tc>
          <w:tcPr>
            <w:tcW w:w="0" w:type="auto"/>
            <w:tcBorders>
              <w:top w:val="single" w:color="000000" w:sz="4" w:space="0"/>
              <w:left w:val="single" w:color="000000" w:sz="4" w:space="0"/>
              <w:bottom w:val="single" w:color="000000" w:sz="4" w:space="0"/>
              <w:right w:val="single" w:color="000000" w:sz="4" w:space="0"/>
            </w:tcBorders>
            <w:shd w:val="clear" w:color="auto" w:fill="F2F2F2"/>
            <w:vAlign w:val="center"/>
          </w:tcPr>
          <w:p w14:paraId="5C787E76">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2F2F2"/>
            <w:noWrap/>
            <w:vAlign w:val="center"/>
          </w:tcPr>
          <w:p w14:paraId="40DD78C0">
            <w:pPr>
              <w:jc w:val="left"/>
              <w:rPr>
                <w:rFonts w:hint="eastAsia" w:ascii="宋体" w:hAnsi="宋体" w:eastAsia="宋体" w:cs="宋体"/>
                <w:i w:val="0"/>
                <w:iCs w:val="0"/>
                <w:color w:val="000000"/>
                <w:sz w:val="20"/>
                <w:szCs w:val="20"/>
                <w:u w:val="none"/>
              </w:rPr>
            </w:pPr>
          </w:p>
        </w:tc>
      </w:tr>
      <w:tr w14:paraId="4AC64E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81E2D3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K01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BA450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餐具回收车</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C311F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900*500*800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509AC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优质不锈钢板，厚度1.2mm，不锈钢加强梁，配置万向/定向静音脚轮。</w:t>
            </w:r>
          </w:p>
        </w:tc>
      </w:tr>
      <w:tr w14:paraId="720392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11FD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K02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30091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三层餐车</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86D7B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1040*500*930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9F399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优质不锈钢板，厚度1.2mm，不锈钢加强梁，配置万向/定向静音脚轮。</w:t>
            </w:r>
          </w:p>
        </w:tc>
      </w:tr>
      <w:tr w14:paraId="3CB629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5E15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K04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C3274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双层格栅工作台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2D537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1500*700*800/150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FFE10C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优质不锈钢面板厚度1.2mm；加15mm厚密度板；不锈钢方管层架38*25，壁厚1.0mm；不锈钢φ51管脚，壁厚1.0mm；不锈钢加强梁；不锈钢可调子弹脚。</w:t>
            </w:r>
          </w:p>
        </w:tc>
      </w:tr>
      <w:tr w14:paraId="3F3730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F2F2F2"/>
            <w:vAlign w:val="center"/>
          </w:tcPr>
          <w:p w14:paraId="6DDB194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FFFF7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2层洗消间</w:t>
            </w:r>
          </w:p>
        </w:tc>
        <w:tc>
          <w:tcPr>
            <w:tcW w:w="0" w:type="auto"/>
            <w:tcBorders>
              <w:top w:val="single" w:color="000000" w:sz="4" w:space="0"/>
              <w:left w:val="single" w:color="000000" w:sz="4" w:space="0"/>
              <w:bottom w:val="single" w:color="000000" w:sz="4" w:space="0"/>
              <w:right w:val="single" w:color="000000" w:sz="4" w:space="0"/>
            </w:tcBorders>
            <w:shd w:val="clear" w:color="auto" w:fill="F2F2F2"/>
            <w:vAlign w:val="center"/>
          </w:tcPr>
          <w:p w14:paraId="163BEA71">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2F2F2"/>
            <w:noWrap/>
            <w:vAlign w:val="center"/>
          </w:tcPr>
          <w:p w14:paraId="1241E29F">
            <w:pPr>
              <w:jc w:val="left"/>
              <w:rPr>
                <w:rFonts w:hint="eastAsia" w:ascii="宋体" w:hAnsi="宋体" w:eastAsia="宋体" w:cs="宋体"/>
                <w:i w:val="0"/>
                <w:iCs w:val="0"/>
                <w:color w:val="000000"/>
                <w:sz w:val="20"/>
                <w:szCs w:val="20"/>
                <w:u w:val="none"/>
              </w:rPr>
            </w:pPr>
          </w:p>
        </w:tc>
      </w:tr>
      <w:tr w14:paraId="5DFF87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69183E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A20AD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双层格栅工作台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D96F3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1800*700*800/150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BAE23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优质不锈钢面板厚度1.2mm；加15mm厚密度板；不锈钢方管层架38*25，壁厚1.0mm；不锈钢φ51管脚，壁厚1.0mm；不锈钢加强梁；不锈钢可调子弹脚。</w:t>
            </w:r>
          </w:p>
        </w:tc>
      </w:tr>
      <w:tr w14:paraId="1D9CED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66D432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F9606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三星盆台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E08B8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1800*700*800/150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F83BE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优质不锈钢面板、星盆厚度1.2mm；不锈钢φ51mm管脚，壁厚1.0mm；不锈钢φ38mm支撑管，壁厚1.0mm，不锈钢可调子弹脚；不锈钢加强梁。</w:t>
            </w:r>
          </w:p>
        </w:tc>
      </w:tr>
      <w:tr w14:paraId="47CFEE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268F4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AF4C1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消毒柜</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C3AF1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1200*500*1800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B23AF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优质不锈钢面板厚度1.2mm；不锈钢柜门，双层不锈钢板，厚度1.0mm；加强梁厚度1.5mm；不锈钢重力脚。</w:t>
            </w:r>
          </w:p>
        </w:tc>
      </w:tr>
      <w:tr w14:paraId="7FC4F4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9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77297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D39C7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开水器连底座</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A0333E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560*450*1090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2804A5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加热方式：采用微电脑控制步进式逐层加热技术，底部进水；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材质：内胆采用食品级304不锈钢制造，确保水质达到国家饮用水标准，夹层为全发泡机身，保温性能好；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底座：通常采用不锈钢材质，结实耐用。</w:t>
            </w:r>
          </w:p>
        </w:tc>
      </w:tr>
      <w:tr w14:paraId="7AADDE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F2F2F2"/>
            <w:vAlign w:val="center"/>
          </w:tcPr>
          <w:p w14:paraId="489502D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N</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2F400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2层餐厅</w:t>
            </w:r>
          </w:p>
        </w:tc>
        <w:tc>
          <w:tcPr>
            <w:tcW w:w="0" w:type="auto"/>
            <w:tcBorders>
              <w:top w:val="single" w:color="000000" w:sz="4" w:space="0"/>
              <w:left w:val="single" w:color="000000" w:sz="4" w:space="0"/>
              <w:bottom w:val="single" w:color="000000" w:sz="4" w:space="0"/>
              <w:right w:val="single" w:color="000000" w:sz="4" w:space="0"/>
            </w:tcBorders>
            <w:shd w:val="clear" w:color="auto" w:fill="F2F2F2"/>
            <w:vAlign w:val="center"/>
          </w:tcPr>
          <w:p w14:paraId="3ADCAF38">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2F2F2"/>
            <w:noWrap/>
            <w:vAlign w:val="center"/>
          </w:tcPr>
          <w:p w14:paraId="5CADAF0C">
            <w:pPr>
              <w:jc w:val="left"/>
              <w:rPr>
                <w:rFonts w:hint="eastAsia" w:ascii="宋体" w:hAnsi="宋体" w:eastAsia="宋体" w:cs="宋体"/>
                <w:i w:val="0"/>
                <w:iCs w:val="0"/>
                <w:color w:val="000000"/>
                <w:sz w:val="20"/>
                <w:szCs w:val="20"/>
                <w:u w:val="none"/>
              </w:rPr>
            </w:pPr>
          </w:p>
        </w:tc>
      </w:tr>
      <w:tr w14:paraId="786093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9A79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N01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22E66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单孔污碟柜连车</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83685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700*700*800/150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A373DC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优质不锈钢面板厚度1.2mm；加15mm厚密度板；不锈钢柜体，双层不锈钢板，厚度1.0mm；加强梁厚度1.5mm；不锈钢重力脚，配置嵌入式收糠车一台。</w:t>
            </w:r>
          </w:p>
        </w:tc>
      </w:tr>
      <w:tr w14:paraId="3E1451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3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6599C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N02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9FB22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双门消毒柜</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7437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1160*500*1800mm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top"/>
          </w:tcPr>
          <w:p w14:paraId="32F73C30">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1.尺寸：1160*500*1800mm；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2.功率：220v/1.8kw；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3.容积≥700L；</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4.配置：125℃高温消毒，消毒等级2星。全无磁不锈钢柜体外观结构，豪华、坚固、耐用;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高温工作室采用整体全发泡结构，柜内装优质远红外线发热管，高温杀菌，热风循环对餐具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中危害人体健康的大肠杆菌等细菌进行高效灭杀，同时对餐具进行烘干保温，安全节能。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5.防腐蚀符合GB/T 10125-2021 标准，防腐蚀等级：户内1级。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6.阻燃符合GB  8624-2012标准，阻燃等级：A（A1）。</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7.提供食品接触产品安全认证符合GB4806.1-2016；GB4806.9-2016标准</w:t>
            </w:r>
          </w:p>
        </w:tc>
      </w:tr>
      <w:tr w14:paraId="6D65F1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F2F2F2"/>
            <w:vAlign w:val="center"/>
          </w:tcPr>
          <w:p w14:paraId="03BDA2A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B6046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排烟系统</w:t>
            </w:r>
          </w:p>
        </w:tc>
        <w:tc>
          <w:tcPr>
            <w:tcW w:w="0" w:type="auto"/>
            <w:tcBorders>
              <w:top w:val="single" w:color="000000" w:sz="4" w:space="0"/>
              <w:left w:val="single" w:color="000000" w:sz="4" w:space="0"/>
              <w:bottom w:val="single" w:color="000000" w:sz="4" w:space="0"/>
              <w:right w:val="single" w:color="000000" w:sz="4" w:space="0"/>
            </w:tcBorders>
            <w:shd w:val="clear" w:color="auto" w:fill="F2F2F2"/>
            <w:vAlign w:val="center"/>
          </w:tcPr>
          <w:p w14:paraId="414097A6">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2F2F2"/>
            <w:noWrap/>
            <w:vAlign w:val="center"/>
          </w:tcPr>
          <w:p w14:paraId="6B6BE4FE">
            <w:pPr>
              <w:jc w:val="left"/>
              <w:rPr>
                <w:rFonts w:hint="eastAsia" w:ascii="宋体" w:hAnsi="宋体" w:eastAsia="宋体" w:cs="宋体"/>
                <w:i w:val="0"/>
                <w:iCs w:val="0"/>
                <w:color w:val="000000"/>
                <w:sz w:val="20"/>
                <w:szCs w:val="20"/>
                <w:u w:val="none"/>
              </w:rPr>
            </w:pPr>
          </w:p>
        </w:tc>
      </w:tr>
      <w:tr w14:paraId="7BE99D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125F0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M01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D40D6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不锈钢排烟烟管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8ED06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400*400-900*600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F83B8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不锈钢厚度：1.0-1.2mm，弯头、变径、三通、之字等异形管1个按2米计算。</w:t>
            </w:r>
          </w:p>
        </w:tc>
      </w:tr>
      <w:tr w14:paraId="324EA3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7C51A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M02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14684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后倾风柜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43011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35000m³/h</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top"/>
          </w:tcPr>
          <w:p w14:paraId="765E37E3">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电压：380v，功率：15kw，风量：25000-38000m³/h，全压：520-700pa。</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1、优质碳钢板厚度：1.0mm外壳，外壳做喷涂防锈处理；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2、配笼式扇芯，偏芯活动轴承座，环保型双层隔音装置，内壁配蜂巢板并填充隔</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3、音棉进行消声，钢结构柜架，外观平整无翘曲现象，放置平稳无晃动；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所投风机符合CQC31-439311-20221认证规则要求，具有中国质量认证中心颁发的《中国节能认证证书》，依据GB19761-2020《通风机能效限定值及能效等级》，依据GB/T1236-2017试验安装方法为A型，节能评价值≥64%，实测值为65%，试验结果符合要求，需提供三方检测机构出具《中国节能产品认证试验报告》。</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5、所投通风机按照GB 19761-2020《通风机能效限定值及能效等级》，通风机按照GB19761-2020的相关要求进行检测，所捡项目均为合格，其能效等级为1级，提供第三方检测机构出具的检测报告。</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6、所投风机通过GB19761-2020《通风机能效限定值及能效等级》，能源效率等级评定为1级，提供有效期范围内检测报告、1级能效标识。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 所投风机皮带通过GB/T 1171-2017、GB/T 10715-2002标准检测，检测结果符合：11.基准长度极限偏差- 13mm～+27mm，2.中心距变化量≤1.6mm，3.拉伸强度≥9.0KN，4.参考力伸长率（3.9KN）≤7.0%，5.最大电阻值≤2.0MΩ，。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 所投风机符合ZRGF-CP-48要求，依据GB 8624-2012产品标准和技术参数，阻燃等级到达A（A1）；</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 所投风机检测依据JB/T 8689-2014《通风机振动检测及其限值》;JB/9101-2014《通风机转子平衡》；JB/T6445-2017《通风机叶轮超速试验》标准；</w:t>
            </w:r>
          </w:p>
        </w:tc>
      </w:tr>
      <w:tr w14:paraId="4F70D3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9FC3C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M03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FD6E4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低空油烟净化器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40909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35000m³/h</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top"/>
          </w:tcPr>
          <w:p w14:paraId="20D3ED8F">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1、设备外壳全部为1.0mm以上厚度的碳钢冷板设备外壳喷涂工艺上采用的是热固性纯聚醋粉末涂料，预处理工艺要脱脂除锈、中和、表调、磷化和烘干等工艺。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2、油烟污染物排放达到环保检测要求，净化率≥95%以上，排放标准浓度小于1.0mg/m3。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 所投油烟净化器的高压电场：双区板线电场的安装结构。设备为双区板线电场安装结构高低压静电原理，电场电离段用电离钨丝放电，收集段为板线结构，电场极板间间距满足≤8MM，材质为优质铝合金，结构为铝制板线式电场结构结合不锈钢框架，单个电场不得小于 17KG。机体内部联接处的密封条能把电离和收集组伴与内部结构隔离开以防止组件周围的污染。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4. 所投净化器电源可靠性实验项目要求 ：在60℃±2℃高温环境中，运行500h无故障。提供相关检测证明（带CMA或CNAS)并加盖公章。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5. 所投产品检测通过依据GB 4343.1-2018《家用电器、电动工具和类似器具电磁要求 第1部分：发射》 GB/T 17626.2-2018《电磁兼容 试验和测量技术-静电放电抗扰度试验》 GB/T 17626.4-2018《电磁兼容 试验和测量技术-电快速瞬变脉冲群抗扰度试验》 GB/T 17626.5-2019《电磁兼容 试验和测量技术-浪涌（冲击）抗扰度试验》要求：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①传导连续骚扰 0.15MHz-30MHz 合格；</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②功率骚扰  30MHz-300MHz 合格；</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③，辐射连续骚扰 30MHz-1000MH合格；</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④，静电放电抗扰度试验 合格；</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⑤电快速瞬变脉冲群抗扰度试验 合格；</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⑥浪涌（冲击）抗扰度试验  合格。提供复印件加盖原厂公章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6. 所投油烟净化器所使用绝缘子是聚四氟乙烯材质，检测依据；GB/T11547-2008《塑料耐液体化学试剂性能的测定》；GB/T1040.2-2006《塑料拉伸性能的测定第2部分：模塑和挤塑塑料的试验条件》，GB/T1033.1-2008《塑料非泡沫塑料密度的测定第1部分：浸渍法、液体比重瓶法和滴定法》，GB/T2411-2008《塑料和硬橡胶使用硬度计测定压痕硬度(邵氏硬度)》，GB/T4207-2012《固体绝缘材料耐电痕化指数和相比电痕化指数的测定方法》，GB/T1034-2008《塑料吸水性的测定》标准，拉伸强度 20.4 MPa、断裂伸长率 243%、密度 2.176 g/cm3、邵氏硬度 63、吸水率 0.013%、相比电痕化指数 225、耐酸碱：4%乙酸溶液 质量变化0.010%、10%氢氧化钠溶液 质量变化0.011%，并提供相关检测证明（带CMA或CNAS)并加盖公章。                      </w:t>
            </w:r>
          </w:p>
        </w:tc>
      </w:tr>
      <w:tr w14:paraId="792BA2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218BD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M04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ADF49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抽风柜支架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0755E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配抽风柜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45484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6#国标槽钢，两遍防锈漆。</w:t>
            </w:r>
          </w:p>
        </w:tc>
      </w:tr>
      <w:tr w14:paraId="2E17E8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0D377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M05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F3FD1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油烟净化器支架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48CED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配油烟净化器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F1837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6#国标槽钢，两遍防锈漆。</w:t>
            </w:r>
          </w:p>
        </w:tc>
      </w:tr>
      <w:tr w14:paraId="010470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15218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M06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1F9FE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减震器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0A1C0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配抽风柜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BBFEC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配抽风柜</w:t>
            </w:r>
          </w:p>
        </w:tc>
      </w:tr>
      <w:tr w14:paraId="7ACBA1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FF1CE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M07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59D13A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变频控制箱</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2CB45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定制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83738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国内优质电器元件，电机保护装置。</w:t>
            </w:r>
          </w:p>
        </w:tc>
      </w:tr>
      <w:tr w14:paraId="448082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B811C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M08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F7E68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软连接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570CB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配抽风柜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9529F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双层耐火帆布</w:t>
            </w:r>
          </w:p>
        </w:tc>
      </w:tr>
      <w:tr w14:paraId="3B6EBB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EBCC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M09</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A55518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不锈钢百叶窗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DC070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500*500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C89CC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优质不锈钢厚度1.2mm。</w:t>
            </w:r>
          </w:p>
        </w:tc>
      </w:tr>
      <w:tr w14:paraId="4A8F85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433C9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DB191C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蜗牛风机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D3A43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8000m³/h</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ADA4D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电压：380v，功率：2.2kw，风量：8000m³/h。</w:t>
            </w:r>
          </w:p>
        </w:tc>
      </w:tr>
      <w:tr w14:paraId="76B06D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12E75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M11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C2589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蜗牛风机支架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D5D6C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配蜗牛风机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90368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4#国标角钢，两遍防锈漆。</w:t>
            </w:r>
          </w:p>
        </w:tc>
      </w:tr>
      <w:tr w14:paraId="7ADE81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E0982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M12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B1ABA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蜗牛风机控制箱</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C1E15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定制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8F69E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国内优质电器元件，电机保护装置。</w:t>
            </w:r>
          </w:p>
        </w:tc>
      </w:tr>
      <w:tr w14:paraId="725F60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CBD95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70441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自助取餐台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C126C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5200*1200*700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71445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优质不锈钢板，厚度1.2mm， </w:t>
            </w:r>
          </w:p>
        </w:tc>
      </w:tr>
      <w:tr w14:paraId="287003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8124A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8D77D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自助餐炉</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26461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3A3C2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优质不锈钢厚度1.2mm，容积：≥11L。</w:t>
            </w:r>
          </w:p>
        </w:tc>
      </w:tr>
      <w:tr w14:paraId="5CF64E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5A77E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5014E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汤粥炉</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A88A6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B2106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优质不锈钢厚度1.2mm，容积：≥10L。</w:t>
            </w:r>
          </w:p>
        </w:tc>
      </w:tr>
      <w:tr w14:paraId="16CE8E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13B86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7E755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四人餐桌椅</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AB954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BA4A4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面板采用多层实木板制作，实木支架，配置四张实木椅子。</w:t>
            </w:r>
          </w:p>
        </w:tc>
      </w:tr>
      <w:tr w14:paraId="44ADDA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A2944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8B548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8人不锈钢餐桌椅一体</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AC70A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2200*600*750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526A1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优质不锈钢板，厚度1.2mm，不锈钢加强梁 。</w:t>
            </w:r>
          </w:p>
        </w:tc>
      </w:tr>
      <w:tr w14:paraId="09F9D5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D6D17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AC009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保温送餐桶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9818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709E3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优质不锈钢板制作，厚度1.2mm。</w:t>
            </w:r>
          </w:p>
        </w:tc>
      </w:tr>
      <w:tr w14:paraId="46D8F0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DD3E8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D7523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打菜勺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190D3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中号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ACEE3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优质不锈钢板制作。</w:t>
            </w:r>
          </w:p>
        </w:tc>
      </w:tr>
      <w:tr w14:paraId="1C6586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86EBA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048C0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灭蝇灯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EF441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壁挂式</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DD754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有效面积：40㎡。</w:t>
            </w:r>
          </w:p>
        </w:tc>
      </w:tr>
      <w:tr w14:paraId="3FAFF5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A52ED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842CA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消毒灯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39E61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L900mm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A2469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w:t>
            </w:r>
          </w:p>
        </w:tc>
      </w:tr>
      <w:tr w14:paraId="4BB261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09B44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25871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风幕机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FA5AD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L900mm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0B7FC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风量≥1200m3/h；风口风速≥11m/s；噪音≤54db；功率≤135W。</w:t>
            </w:r>
          </w:p>
        </w:tc>
      </w:tr>
      <w:tr w14:paraId="7D3E6F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EFB3D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34F69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风幕机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6FF14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L1200mm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E1800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风量≥1500m3/h；风口风速≥11m/s；噪音≤54db；功率≤135W。</w:t>
            </w:r>
          </w:p>
        </w:tc>
      </w:tr>
      <w:tr w14:paraId="218683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98029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5241E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加厚无磁不锈钢汤桶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64158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φ550*H550mm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B13B6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优质不锈钢厚度1.2mm，电磁炉专用。</w:t>
            </w:r>
          </w:p>
        </w:tc>
      </w:tr>
      <w:tr w14:paraId="0F155C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5087D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B08C6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加厚无磁不锈钢汤桶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A67F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φ450*H450mm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0FE17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优质不锈钢厚度1.2mm，电磁炉专用。</w:t>
            </w:r>
          </w:p>
        </w:tc>
      </w:tr>
      <w:tr w14:paraId="1C425A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4EAA1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B6A3B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加厚无磁不锈钢汤桶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5DE9F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φ350*H350mm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3F0C8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优质不锈钢厚度1.2mm，电磁炉专用。</w:t>
            </w:r>
          </w:p>
        </w:tc>
      </w:tr>
      <w:tr w14:paraId="3A574C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794B8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4DC1C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大锅铲</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547F4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口径135mm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A4B4F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柄长400mm；重量0.36kg；不锈钢厚度1.5mm。</w:t>
            </w:r>
          </w:p>
        </w:tc>
      </w:tr>
      <w:tr w14:paraId="17D6A1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0BDA6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B9094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鹰咀炒勺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76959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中号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3CB0B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不锈钢锻打或精制而成，永不生锈；加厚不锈钢，质感突出，一体成型；隔热防烫手柄；整体镜面抛光，易清洗。</w:t>
            </w:r>
          </w:p>
        </w:tc>
      </w:tr>
      <w:tr w14:paraId="766867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8F12F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5CB8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加厚加长打菜勺</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297CF1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6两</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317D8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不锈钢锻打或精制而成，永不生锈；加厚不锈钢，质感突出，一体成型；隔热防烫手柄；整体镜面抛光，易清洗。</w:t>
            </w:r>
          </w:p>
        </w:tc>
      </w:tr>
      <w:tr w14:paraId="74D8BD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C3204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ACB7B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全柄钢漏壳</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116683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φ300mm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E63DA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柄长210mm；重量0.68kg；精工漏孔避免食物损坏；不锈钢手柄；无缝焊接；精工打磨。</w:t>
            </w:r>
          </w:p>
        </w:tc>
      </w:tr>
      <w:tr w14:paraId="76145E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1FE7C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E82B1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不锈钢油格</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4EA819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φ280mm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810E20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柄长340mm；碳化手柄；无磁不锈钢。</w:t>
            </w:r>
          </w:p>
        </w:tc>
      </w:tr>
      <w:tr w14:paraId="42296E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B3D56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C6671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油盆</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A38A26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11寸</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5C7D4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优质不锈钢厚度1.0mm。</w:t>
            </w:r>
          </w:p>
        </w:tc>
      </w:tr>
      <w:tr w14:paraId="407D29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3BFA1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47493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味盅</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64C616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φ180mm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93D35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优质不锈钢厚度1.0mm。</w:t>
            </w:r>
          </w:p>
        </w:tc>
      </w:tr>
      <w:tr w14:paraId="047E12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0FACD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B8292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味盅</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B0475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φ200mm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BB2FE1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优质不锈钢厚度1.0mm。</w:t>
            </w:r>
          </w:p>
        </w:tc>
      </w:tr>
      <w:tr w14:paraId="52028D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E657C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116F8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味盅</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EB2902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φ220mm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A6076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优质不锈钢厚度1.0mm。</w:t>
            </w:r>
          </w:p>
        </w:tc>
      </w:tr>
      <w:tr w14:paraId="48538C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F574F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7FBB9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厨师刀</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0750F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6831E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锻打桑刀。</w:t>
            </w:r>
          </w:p>
        </w:tc>
      </w:tr>
      <w:tr w14:paraId="0BAEFD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019F0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D5346D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厨师刀</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C970F5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BD8A5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锻打桑刀。</w:t>
            </w:r>
          </w:p>
        </w:tc>
      </w:tr>
      <w:tr w14:paraId="79D37C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7EFB2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8340C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砍刀</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9F98CB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991B5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大骨刀。</w:t>
            </w:r>
          </w:p>
        </w:tc>
      </w:tr>
      <w:tr w14:paraId="5550C2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80C87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C57D7D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圆砧板</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33709A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40cm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272EB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实木材质。</w:t>
            </w:r>
          </w:p>
        </w:tc>
      </w:tr>
      <w:tr w14:paraId="28ACC1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90BAC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DAD8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方砧板</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C0F20C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中号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26F86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实木材质。</w:t>
            </w:r>
          </w:p>
        </w:tc>
      </w:tr>
      <w:tr w14:paraId="37768E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426EA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29</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43DED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港式腰斗</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0AD328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中号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D895E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优质不锈钢。</w:t>
            </w:r>
          </w:p>
        </w:tc>
      </w:tr>
      <w:tr w14:paraId="08CF98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0B00C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BB4E22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码斗</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F6595D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20cm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B8771C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优质不锈钢厚度1.0mm。</w:t>
            </w:r>
          </w:p>
        </w:tc>
      </w:tr>
      <w:tr w14:paraId="00562A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805E2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AA85E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码斗</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CA674A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22cm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09AFB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优质不锈钢厚度1.0mm。</w:t>
            </w:r>
          </w:p>
        </w:tc>
      </w:tr>
      <w:tr w14:paraId="426726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1374E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6331C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不锈钢盆</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6EFCAE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36cm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61D53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优质不锈钢厚度1.0mm。</w:t>
            </w:r>
          </w:p>
        </w:tc>
      </w:tr>
      <w:tr w14:paraId="09311D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1FDEA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F32B5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不锈钢盆</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D757EA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50cm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3A3C9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优质不锈钢厚度1.2mm。</w:t>
            </w:r>
          </w:p>
        </w:tc>
      </w:tr>
      <w:tr w14:paraId="6BFA77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D81CE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26D44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不锈钢盆</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D9F871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60cm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ACF505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优质不锈钢厚度1.2mm。</w:t>
            </w:r>
          </w:p>
        </w:tc>
      </w:tr>
      <w:tr w14:paraId="7087A2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45A8E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CA0984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不锈钢盆</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8A04E3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80cm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17D10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优质不锈钢厚度1.2mm。</w:t>
            </w:r>
          </w:p>
        </w:tc>
      </w:tr>
      <w:tr w14:paraId="6C9C73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21E7B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E6F33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1/1GN盆连盖</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B68FD7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530*325*100mm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02431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优质不锈钢厚度1.2mm。</w:t>
            </w:r>
          </w:p>
        </w:tc>
      </w:tr>
      <w:tr w14:paraId="29A4C7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7703B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7F904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不锈钢方盘</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01661A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300*450*28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05913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优质不锈钢厚度1.0mm。</w:t>
            </w:r>
          </w:p>
        </w:tc>
      </w:tr>
      <w:tr w14:paraId="40C9B6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F9E4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B5704E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带扣保鲜盒</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6265E8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B7920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PP材质。</w:t>
            </w:r>
          </w:p>
        </w:tc>
      </w:tr>
      <w:tr w14:paraId="21672B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2500F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39</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8533DA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带扣保鲜盒</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D66536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中号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35F2C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PP材质。</w:t>
            </w:r>
          </w:p>
        </w:tc>
      </w:tr>
      <w:tr w14:paraId="2A45CF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31CA2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C818C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带扣保鲜盒</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20C2AE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小号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834649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PP材质。</w:t>
            </w:r>
          </w:p>
        </w:tc>
      </w:tr>
      <w:tr w14:paraId="5813BA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5888E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6C6A3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留样盒</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7187A06">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38741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不锈钢材质。</w:t>
            </w:r>
          </w:p>
        </w:tc>
      </w:tr>
      <w:tr w14:paraId="3A27D7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AD9A7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6C6CB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周转筐</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09E4F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602*425*115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4B68E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PE材质。</w:t>
            </w:r>
          </w:p>
        </w:tc>
      </w:tr>
      <w:tr w14:paraId="1757EF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5AC1C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8AE48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菜筐（蓝色）</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F235D5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小号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7B791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PP材质。</w:t>
            </w:r>
          </w:p>
        </w:tc>
      </w:tr>
      <w:tr w14:paraId="541CD4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7F286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C84C4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菜筐（蓝色）</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CF6222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中号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AECFC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PP材质。</w:t>
            </w:r>
          </w:p>
        </w:tc>
      </w:tr>
      <w:tr w14:paraId="061877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1398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E32B4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菜筐（蓝色）</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11AB7D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3FF12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PP材质。</w:t>
            </w:r>
          </w:p>
        </w:tc>
      </w:tr>
      <w:tr w14:paraId="62F907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60C70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D3CF6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菜筐（白色）</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404C92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小号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1CBAA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PP材质。</w:t>
            </w:r>
          </w:p>
        </w:tc>
      </w:tr>
      <w:tr w14:paraId="1AB673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BDFB0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884B05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菜筐（白色）</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E255DE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中号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D39A8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PP材质。</w:t>
            </w:r>
          </w:p>
        </w:tc>
      </w:tr>
      <w:tr w14:paraId="3DEBE5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CBAC6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91C15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菜筐（白色）</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6ED2F5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6D422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PP材质。</w:t>
            </w:r>
          </w:p>
        </w:tc>
      </w:tr>
      <w:tr w14:paraId="7A803A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4A4A8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49</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28D35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菜筐（红色）</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50A4E5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小号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B05A3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PP材质。</w:t>
            </w:r>
          </w:p>
        </w:tc>
      </w:tr>
      <w:tr w14:paraId="7D52FA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29109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CD364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菜筐（红色）</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0AE899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中号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CE780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PP材质。</w:t>
            </w:r>
          </w:p>
        </w:tc>
      </w:tr>
      <w:tr w14:paraId="41ACC5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21D6E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50CCD3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菜筐（红色）</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3F03C8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84042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PP材质。</w:t>
            </w:r>
          </w:p>
        </w:tc>
      </w:tr>
      <w:tr w14:paraId="54D715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56506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9E73C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带轮垃圾桶</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789D2E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φ50L</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9F901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优质塑料。</w:t>
            </w:r>
          </w:p>
        </w:tc>
      </w:tr>
      <w:tr w14:paraId="4B754E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647C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D2AB3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带轮垃圾桶</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94F675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120L</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9773B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优质塑料。</w:t>
            </w:r>
          </w:p>
        </w:tc>
      </w:tr>
      <w:tr w14:paraId="0D5A05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E204B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23D7A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不锈钢汤碗</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7E8F59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φ12CM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8EEC39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允许偏差值不超过2cm；参考重量≥150g；304不锈钢。</w:t>
            </w:r>
          </w:p>
        </w:tc>
      </w:tr>
      <w:tr w14:paraId="2B2C50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FD888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FE01F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不锈钢面碗</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A77D5B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φ18CM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57ABC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允许偏差值不超过2cm；双层不锈钢，中空，隔热防烫；304不锈钢；参考重量≥200g。</w:t>
            </w:r>
          </w:p>
        </w:tc>
      </w:tr>
      <w:tr w14:paraId="2452AF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gridSpan w:val="4"/>
            <w:tcBorders>
              <w:top w:val="single" w:color="000000" w:sz="4" w:space="0"/>
              <w:left w:val="single" w:color="000000" w:sz="4" w:space="0"/>
              <w:bottom w:val="single" w:color="000000" w:sz="4" w:space="0"/>
              <w:right w:val="single" w:color="000000" w:sz="4" w:space="0"/>
            </w:tcBorders>
            <w:shd w:val="clear" w:color="auto" w:fill="FFFF00"/>
            <w:vAlign w:val="center"/>
          </w:tcPr>
          <w:p w14:paraId="473ACE2E">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科技教室</w:t>
            </w:r>
          </w:p>
        </w:tc>
      </w:tr>
      <w:tr w14:paraId="73D019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9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54315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571757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创意智造基础课程学习套装（初级）</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21D016">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2B025B19">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特点：</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1）套件包含四种模块类型，输入、输出、功能及电源模块；</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2）可以学习相关传感器及电路知识；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3）多结构连接，可通过磁吸、乐高积木、螺丝、魔术贴等方式固定。也可以与木、纸等身边常见材料结合；</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4）帮助学生锻炼逻辑思维能力，为编程学习奠定基础；创作出创意互动作品，提高创造力，培养动手能力。</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技术性能：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 套件是学生的逻辑思维、创新思维、动手能力和解决问题能力；</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主要功能模块：包含信号终端 *2、AA-镍氢电池电源 *1、发白光二极管 *1、锁存器 *1、蜂鸣器 *1、按钮 *1、旋转电位器 *1、声音感知 *1、光敏传感器 *1、连接线 *1、电机*1、触摸感应 *1、编程板 *1、4位数码管 *1、交通灯 *1、超声波测距 *1、温湿度感知 *1、压力感知 *1；</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 套件使用糖果色区分不同类型模块，白色为编程模块、红色为电源模块、黄色为输入模块、蓝色为输出模块、绿色为辅助模块，</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 材质：模块外壳采用玩具级别ABS材质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 连接方式：模块之间采用磁吸式链接，排斥反接短路，可堆叠模块设计，模块直连无需连线焊接，统一的标准接口</w:t>
            </w:r>
          </w:p>
        </w:tc>
      </w:tr>
      <w:tr w14:paraId="5CD7C4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A37D40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FA2A03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《创意智造基础课程》（初级）学习手册</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B96766">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6A2793F4">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创意智造基础课程》（初级）简介：掌握最基础的电路知识，了解压力传感、触摸感应等传感器的功能，学习电源模块、输入输出模块喝连接模块的作用及连接方式。学习编程知识，通过软硬件的结合，在模拟的情境中，初步尝试创造科技小作品，建立简单的编程思维。</w:t>
            </w:r>
          </w:p>
        </w:tc>
      </w:tr>
      <w:tr w14:paraId="61D74D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E7853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4F8824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创意智造基础课程学习资源（初级）</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5AF344">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7F2AF586">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提供不少于16课时的教案、学案、PPT和教学视频等</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课程资源目录:</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第一章 建造一所游乐园</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第1节：欢乐大转盘；第2节：惊喜摩天轮；第3节：旋转木马；第4节：小小启动器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第二章 小小运动员</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第5节：挥舞着闪光棒入场；第6节：一声令下，开跑！第7节：滴滴，运动员跑到终点！第8节：点亮领奖台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第三章 电子交通系统</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第9节：红灯、绿灯，该谁亮？第10节：灯光提醒：保持车距；第11节：车来了，道闸开启；第12节：司机朋友，欢迎回家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第四章 智能的家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第13节：触摸，灯就开！第14节：累了，在摇椅上入睡；第15节：自动排风，空气时时清新；第16节：天黑了，把灯光叫醒</w:t>
            </w:r>
          </w:p>
        </w:tc>
      </w:tr>
      <w:tr w14:paraId="6E78D2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1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B1469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224071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图形化编程软件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49A5EF">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453CDDAC">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1、交互式图形化编程软件；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2、自动识别硬件接入COM端口，提供软件监视器实时监测硬件接入的传感器信息及状态；</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3、能实现图形模块与Arduino指令的转换，支持S4A协议。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4、集成Arduino编程环境。</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5、软件支持外部库导入、导出和管理功能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6、支持使用python/c/c++等高级编程语言进行控制，同时，软件支持Arduino和micro:bit等市面上最为常用的开源硬件平台。其融合了几十种传感模块和执行模块，帮助用户降低编程难度，从而简单轻松的实现创意</w:t>
            </w:r>
          </w:p>
        </w:tc>
      </w:tr>
      <w:tr w14:paraId="74E567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1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E6DF7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198B92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人工智能活动课程学习套装（小学版）</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947CA2">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7BFF3191">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人工智能活动课程学习套装（小学版）配合乐高以及图形化编程软件进行教学，采用4P排插线连接功能模块，不需要焊接，配有生动的使用课程,课程由浅入深。</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1.内置经过安全监测的电路板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2.辅材：配备4p传感器连线，一包拼接件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3.连接方式：杜邦或4p排插线，防反接</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电子元件包含：红绿双色灯、白色LED灯、全彩灯灯块、按钮指示灯、有源蜂鸣器、无源蜂鸣器、轴流式风扇、温湿度传感器、超声波传感器、四位数码管、声音传感器、小车上、下板、电源、bit主控板（Nano）、USB连接线、10cm连接线、20cm连接线、避障传感器、红外线收发(IR-TX/RX)含遥控器、TT电机、TT马达、电机固定件、轮子、万向轮、电池、电池盒、充电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5.结构件包含：</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螺丝刀、六角铜柱管 、平头螺杆、圆头带垫片螺杆、螺母、1*3杆、1*5杆、1*7杆、1*9杆、1*11杆、1*13杆、1*15杆、3*5弯樑、1*12轴、1*8轴、小轮子、5*7方框梁、7*11方框梁、1*3蓝销、1*2黑销、1单位轴套</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6.主控：开源Atmel ATmega328P 8位单片机、与 Arduino UNO 控制器模块兼容，采用7.4V或USB供电，具有6个模拟端口、14个数字接口</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7.编程软件：同时支持Mixly和Scratch图形化编程软件，实现图形编程模块到Arduino C语言程序的转换，能编译，上传图形编程内容到开源Arduino硬件，能自动识别硬件接入COM口</w:t>
            </w:r>
          </w:p>
        </w:tc>
      </w:tr>
      <w:tr w14:paraId="161F9E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31A5E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D16615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《人工智能实操活动课程》（小学版）学习手册</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F06AC0D">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66F3A41A">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《人工智能实操活动课程》（小学版3册）教材简介：教材分初级、中级、高级三个部分，共计48节课程</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（1）初级课程</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初级课程以普及编程基础、培养学习兴趣为目的，主要学习编程基础知 识、基本逻辑（顺序、循环、条件），应用基础知识和思维能力创造一 个个小作品。</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（2）中级课程</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运用传感器以及操作元件集成在一起的畅玩板，在巩固强化初级所学内 容的基础上，融入更多算法思维。以软硬结合的方式学习设计综合项目。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（3）高级课程</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建立产品意识，形成“开源造物”思想。结合自主研发的硬件套装，通过解决实际情境问题，提升问题解决能力，培养计算思维。</w:t>
            </w:r>
          </w:p>
        </w:tc>
      </w:tr>
      <w:tr w14:paraId="34433C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1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4CC7D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487390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人工智能实操活动课程（小学版）课程资源</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8587FD">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0F02C6AE">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含人工智能实操活动课程（小学版）初级，中级，高级共48课时的教案、学案、PPT和教学视频等课程资源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人工智能实操活动课程（小学版）课程资源目录：</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初级部分：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第1节：变魔术的小迪；第2节：来画画吧；第3节：控制小车转弯；第4节：哪条路更近；第5节：猜猜我是谁；第6节：耶！进球啦；第7节：小猫吃哪样；第8节：发射倒计时；第9节：无线电通讯；第10节：勇闯迷宫；第11节：穿越峡谷；第12节：苹果落下来；第13节：造句游戏；第14节：演奏音乐吧；第15节：猜猜我想的是几；第16节：帮助超市做分类</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中级部分：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第1节：认识畅玩板；第2节：感应自动门；第3节：超炫舞台；第4节：蝙蝠觅食记；第5节：智能楼道灯；第6节：饥饿的鲨鱼；第7节：剪刀石头布；第8节：鸡蛋孵化中；第9节：破壳而出；第10节：弹力小球；第11节：水果射手；第12节：飞机大战；第13节：极速飞车；第14节：森林大冒险；第15节：捕鱼达人；第16节：保卫家园</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高级部分：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第1节：点亮一盏灯；第2节：交通信号灯；第3节：随机游戏盒；第4节：入园计数器；第5节：智能饮水杯；第6节：降噪提示灯；第7节：迪乐小车动起来；第8节：迪乐小车听我话；第9节：迪乐小车巡线啦（一）；第10节：迪乐小车巡线啦（二）；第11节：迪乐小车走迷宫；第12节：智能小风扇；第13节：彩虹空气琴；第14节：幸运大转盘；第15节：倒车提示器；第16节：居家双控灯</w:t>
            </w:r>
          </w:p>
        </w:tc>
      </w:tr>
      <w:tr w14:paraId="796954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0238E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507C33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人工智能活动课程图形化软件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031716">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695B619D">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（1）使用纯图形化编程软件进行编程；</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（2）兼容Arduino软硬件开发平台，兼容ArduinoIDE软件编程，兼容Scratch软件编程；封装相应电子模块的C语言库。</w:t>
            </w:r>
          </w:p>
        </w:tc>
      </w:tr>
      <w:tr w14:paraId="257B1A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7B16A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BD99FE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AR编程机器人套装</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55557F">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289B1135">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1、通过AR实物编程的学习，结合智能小车过渡到图形化编程的学习，基本掌握了程序的结构以及应用。通过对小车的深度学习，对一些智能硬件的认识、学习、应用，最终达到创意设计的目的。</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2、主控：处理器：ATmega168（NANO 2.x）和ATmega328（NANO 3.0），同时具有14路数字输入/输出口（其中6路可作为PWM输出），8路模拟输入，一个16MHz晶体振荡器，一个mini-B USB口，一个ICSP header和一个复位按钮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3、输入模块：颜色传感器、陀螺仪模块、电机驱动板、按键模块、温湿度模块、超声波模块、电位器模块、光敏模块、倾斜开关模块、声音模块、红外遥控套件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4、输出模块：紫外灯LED、LED模块、0.96"OLED液晶屏、RGB模块</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5、配件包：步进电机、9g舵机、3.7V锂电池、短接帽、连接线、万向轮、螺丝螺帽、钣金件</w:t>
            </w:r>
          </w:p>
        </w:tc>
      </w:tr>
      <w:tr w14:paraId="71A7A8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9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016EC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CEE609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智能编程机器人套装</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B78746B">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54FE9C6A">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产品介绍：智能编程机器人套装基于ESP32主控，专为人工智能和物联网教学设计。产品包含核心主控板、超声波传感器、颜色传感器、四路巡线传感器、TT电机×2和舵机×3，功能丰富，适合多种编程与实践应用。主控板支持蓝牙和WiFi通信，内置WIFI模块使小车能够实现物联网及局域网功能。该小车配备LED灯阵、液晶显示屏、蜂鸣器及陀螺仪，能够进行视觉与音效反馈，并支持通过MicroBlocks进行图形化编程。通过简单的编程，可实现超声波避障、自动巡线等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1、主控：核心主控板专为人工智能和物联网教学设计，兼容ESP-32芯片，处理器主频高达240MHz。集成≥448KB ROM和≥520KB SRAM，搭载Xtensa 32-bit LX6双核处理器，支持多线程操作。扩展存储使用≥8MB的SPI Flash，满足丰富的应用需求。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2、主控外观与接口：核心主控自带全透亚克力外壳，具备幻彩LED灯阵和液晶显示屏，并集成可编程按键、IIC接口及多个数字/模拟传感器接口，方便扩展更多功能。同时，支持无线蓝牙编程。</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3、通信功能：支持蓝牙和WiFi通信，内置WiFi模块，可实现物联网和局域网功能，支持通过局域网创建互动小游戏等应用，贴近实际生活。</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4、传感器与功能：主板集成陀螺仪和蜂鸣器，并支持外接超声波传感器、颜色传感器及四路巡线传感器，适应多样化的传感任务。</w:t>
            </w:r>
          </w:p>
        </w:tc>
      </w:tr>
      <w:tr w14:paraId="20722A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0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64B50A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122402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初级训练无人机学习套装</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763C36">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413C37C4">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1、通信频段:2.400MHZ-2.525MHZ；</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2、空中速率：250k~2Mbps；</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3、发射功率：20dBm；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4、机架：PC+碳纤维材质；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5、重量：&lt;75g（含电池、桨叶、保护罩）；</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6、轴距：135mm-140mm；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7、桨叶：65mm双叶桨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8、电机：空心杯电机；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9、电池：800mah以上/3.7v/1S/Lipo</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10、桨叶保护罩：快拆式保护罩；</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11、活动半径：&lt;50米；</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12、留空时间：8分钟以上；</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13、飞行环境：室内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包含但不限于：无人机主机1架、遥控器1个、无人机电池2块、5号电池3节、USB充电线1根、备用保护罩2个、备用桨叶2片（1正1反）、手提箱1个等，</w:t>
            </w:r>
          </w:p>
        </w:tc>
      </w:tr>
      <w:tr w14:paraId="62DD50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B58769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528414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初级训练无人机配件包</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B44A7FC">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4F678A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1、电池*1：3.7Vv-800mah，30C</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2、桨叶*2对：正反桨叶各2片，65MM双叶桨，PC材质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3、保护罩*4 ，PP材质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4、电机*2：正反电机各1个，1s-8620定制大扭力电机                                                  </w:t>
            </w:r>
          </w:p>
        </w:tc>
      </w:tr>
      <w:tr w14:paraId="1FB71C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71615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2A74F9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课程资源</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AB4802">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C1AD32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须提供不少于16课时的课程资源，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课程简介：本系列课程以航空理念为内核，以无人机为载体，以STEAM教育理念为模式。学生可以系统的学习无人机相关知识，并通过实验室场景模拟行业应用的场景，方便学生学习和了解前沿的无人机知识。从安全法规、知识学习、DIY动手、飞行操控、智能编程等多个维度，全面提升学生动手能力、操控能力、空间判断能力、团队协作能力、科学认知能力、工程实践能力、解决问题能力、智能化水平及科学艺术素养。学习优异可参加全国青少年无人机大赛等白名单赛事。</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本套课程为系列课程中的“遥控无人机”部分，包含3个主题，共16课时(6+5+5)：主题1.飞将小知识：了解飞机的历史文化、无人机飞行的重要法规等内容，保证安全守法飞行；还包括飞机的动力来源等相关物理等知识，为更好的入门无人机，进行实操打下良好基础；主题2.飞行初体验：了解无人机的基本结构和遥控方法，并进行初步的飞行体验；主题3.飞将训练场：完成不同的飞行任务，熟练遥控无人机的操作方法，提升飞行技巧与能力。</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课程内容包含：1、飞天梦想；2、飞将“身份证”；3、空中警告；4、飞将能量；5、自由飞翔；6、螺旋桨转起来；7、认识小飞将；8、飞将听我的；9、雏鹰飞翔；10、随形飞舞；11、空中漫步；12、飞行小能手1；13、飞行小能手2；14、飞行小能手3；15、飞将大比拼1；16、飞将大比拼2</w:t>
            </w:r>
          </w:p>
        </w:tc>
      </w:tr>
      <w:tr w14:paraId="68CE70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4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B94D1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93CA1F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竞赛无人机学习套装</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03ECF6">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4D009921">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1、机架：PC+碳纤维材质；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2、重量：重量（裸机）≤95g；重量（含保护罩与电池）≤130g；</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3、额定电压、电流：额定电压：5V，额定电流：1A；</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4、轴距：190mm-240mm；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5、电池：1000mah/3.7v/1So</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6、留空时间：10分钟以上；</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7、飞行环境：室内；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8、桨叶保护罩：快拆式保护罩；</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9、无人机遥控：遥控外壳采用同尺寸橡胶材质外包封装（非3D打印材质封装），并且须与无人机机体为同一品牌；</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10、定位方式：视觉、光流</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11、支持地面站修改通道及密码；</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12、支持外接设备：红外发射、舵机、电磁铁等；</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13、支持Mind+实时模式编程；</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14、遥控器可实时显示飞机电池电压和各类传感器状态；</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15、支持二维码识别功能：可通过图形化编程进行二维码识别功能的演示；并且遥控器上可实时显示识别到二维码的数据；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16、支持选择性色块定位，支持定自定义标志定位；</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17、标尺功能：可以用无人机测量两个点之间的距离，桌子的长度等。</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18、高度限定：无人机可以通过地面站软件设置最高高度。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包含但不限于：无人机主机1架、遥控器1个、无人机电池2块、解码器1个、USB数据线1根、USB充电线1根、备用保护罩4个、备用桨叶4片（2正2反）、手提箱1个，</w:t>
            </w:r>
          </w:p>
        </w:tc>
      </w:tr>
      <w:tr w14:paraId="7E88D3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01FBD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3E97C0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竞赛无人机配件包</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CECB45">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400E6077">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含：桨叶*12、快拆保护罩*12、空心杯电机*4、电池*2、主轴*6、电机固定座*6、机舱盖*6、碳纤维轴杆*6、中心支架*6、高速充电器*1、手提盒*1</w:t>
            </w:r>
          </w:p>
        </w:tc>
      </w:tr>
      <w:tr w14:paraId="591D76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D7BD23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4E1431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搬运赛事套装</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3A22CE">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457C9AF1">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含：芯片驱动板*1、双舵机机械手*1、定位卡*6、搬运物品*4、舵机*1、舵机卡座*1、抬高支架*5、手提盒*1、红外接收设备*1</w:t>
            </w:r>
          </w:p>
        </w:tc>
      </w:tr>
      <w:tr w14:paraId="6A52C5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0BB51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17</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F0BCC8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比赛场地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5E0812">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6E9541B1">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含：电教赛事C类可编程控制飞行器专用场地套装（含场地地图与障碍物）</w:t>
            </w:r>
          </w:p>
        </w:tc>
      </w:tr>
      <w:tr w14:paraId="1CDE49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1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A520B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9EC198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课程资源</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DCC04E9">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53DD591E">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须提供不少于10课时的课程资源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课程简介：本套课程为系列课程中的“竞赛无人机”部分，包含3个主题，共10课时：主题1-飞将探秘：了解空降和坐标系的概念，以及飞机定位的相关理论知识，为后续的竞赛任务奠定知识基础；主题2-定位之舞：结合坐标系的概念，运用视觉模块的二维码识别、颜色识别功能，实现不同的定位效果；主题3-飞将新境界：配合搬运赛事套装、 激光赛事套装，和具体的任务，进行竞赛任务练习。</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课程内容包含：1、蔚蓝空间；2、天际导航；3、二维码之谜；4、色彩指南；5、坐标交响曲；6、天际航标；7、机械臂飞将；8、红外之眼；9、光束之力；10、超越未来</w:t>
            </w:r>
          </w:p>
        </w:tc>
      </w:tr>
      <w:tr w14:paraId="6C8B99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6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6FD35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A84A6E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物联网机器人竞赛套装</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241524">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651D6EE1">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适用于全国青少年人工智能创新挑战赛省级与全国赛，考察学生的创新思维，编程能力，以及智能硬件的综合应用能力。套装含主控模块，图形化编程软件，智能电子传感器硬件、机械结构件和相关配件，学生可根据比赛主题自行设计制作作品，要求创意新颖，完成竞赛任务，具有良好的互动体验。</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1、主控器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内置可编程彩灯、蜂鸣器、6按键、蓝牙、WIFI</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支持互联网、多机互联</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可存储多个编程程序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外观：ABS塑料外壳，</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2、电子模块包含：扩展板、五路颜色巡线传感器、避障传感器、2000毫安充电电池、马达、舵机等。</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3、金属结构件及配件---金属小车车体，高强度铝合金材质，预留丰富组装拓展孔位，实现超声波避障、循迹、遥控等功能，含配套组装螺丝、螺母、车轮、铜柱等。板孔适配积木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4、工具及耗材---多种常用加工工具和耗材，方便动手制作，含十字螺丝刀、六角扳手、铆钉起子、数据线等。</w:t>
            </w:r>
          </w:p>
        </w:tc>
      </w:tr>
      <w:tr w14:paraId="1A1BC2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8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D3324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929350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物联网机器人竞赛场地及道具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802A272">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59CE2108">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项目场地由地图和边框组成，场地边框内尺寸为:2317mm * 2317mm，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场地外边框尺寸为：2347mm * 2347mm。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比赛地图分为自动任务区1151mm*2317mm 和手动任务区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1151mm*2317mm两个部分，主要包括启动区、火星启动区区、矿石采集区、矿石存储区、样本检测区等区域。</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轨迹线：轨迹线为25±1mm宽的黑线，不规则分布在场地中。</w:t>
            </w:r>
          </w:p>
        </w:tc>
      </w:tr>
      <w:tr w14:paraId="0EF222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77703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21</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EE4117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物联网机器人课程资源</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E93385">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3726EE44">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须提供不少于12课时基础课程的教案、PPT等教学资源；不少于10课时竞赛课程的教案、PPT等教学资源</w:t>
            </w:r>
          </w:p>
        </w:tc>
      </w:tr>
      <w:tr w14:paraId="7A107F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8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512F9A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63A8B0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物联网竞赛编程软件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511CB2">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57156836">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1、支持模块化编程、Python编程方式，可一键切换。</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模块化编程模块包含所有端口功能，支持子程序功能等可视化编程。含有事件、无线、视觉、时间、蜂鸣器、操控、传感器、动力、控制、运算、变量、自制积木等12大功能模块；可适用于Windows、Mac等操作系统。</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3、模块化编程所得程序可以转化为python语言，适用于学生对高级编程语言的学习，方便学生日后进行更高阶段的学习。Python是一款被广泛应用于AI、数据分析等前沿领域的编程语言。</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4、支持用户在线保存程序作品。</w:t>
            </w:r>
          </w:p>
        </w:tc>
      </w:tr>
      <w:tr w14:paraId="0E7DFC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DB7D3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23</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CD1AE6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智慧城市竞赛套装</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DD55C09">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07655F93">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产品参数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1、整车尺寸：长度275mm*宽度180mm*高度40mm（不含扩展件）。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2、外壳材料：铝合金。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3、驱动方式：四轮麦克纳姆轮驱动，轮胎直径60mm。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4、电源：11.1V3000mAh锂电池、含充电器、18650锂电池、带保护板、能有效防止过充/过放/短路/过流。</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5、控制模块：高性能处理器，兼容Arduino主控板。自带4颗RGB灯珠，可通过编程控制亮度及颜色。</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6、传感器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（1）超声波传感器：1路AI信号、测量范围5-50cm、配有4pin防反接接头；</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（2）灰度传感器：1路I2C信号，4路灰度检测，可控制补光灯亮灭情况，配有4pin防反接接头；</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（3）陀螺仪：6轴陀螺仪，可检测XYZ轴加速度以及XYZ角速度；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7、执行器：130减速电机，额定电压12V，减速比1:90，额定转速175rpm，自带霍尔编码器，4枚。</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8、编程环境：控制编程采用Mixly0.98版本及以上，图形化编程界面，兼容arduino IDE，建议在Windows系统上使用；计算板编程，Python。</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9、大扭力编程投掷套件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（1）投掷装载尺寸：75mm×75mm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（2）材料：铝合金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（3）结构铝合金厚度：2mm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（4）投掷长度：120mm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（5）大扭力直流减速电机：555电机，额定电压12V，空载转速500rpm/mins</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（6）电机驱动板：输入电压≤12.6v，可接入1枚12V电机，电源接口为XH2.54防反接接口，2路PH2.0防反接信号接口</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10、编程机械爪套件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（1）爪子张开尺寸：≥105mm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（2）爪子抓合包围尺寸：50mm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（3）材料：铝合金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（4）结构铝合金厚度：2mm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（5）爪子铝合金厚度：2.5mm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（6）自由度：2轴</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（7）翻转舵机：额定电压7.4v，扭矩20kg.cm，自由度180°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（8）爪子舵机：额定电压5v，扭矩13kg.cm，自由度180°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（9）舵机驱动板：额定电压5v，输入电压≤12.6v，最多可接入2枚5V舵机、4枚7.4v舵机，自带舵机过载保护，1路I2C接口，电源接口为XH2.54防反接接口，其余接口均为PH2.0防反接接口</w:t>
            </w:r>
          </w:p>
        </w:tc>
      </w:tr>
      <w:tr w14:paraId="384F25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5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95037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B3AADD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智慧城市竞赛配件包</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76CDF8">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4608A897">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1、外形尺寸：长度113mm*宽度52mm*高度35mm±5mm。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2、外壳材料：铝合金。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视觉模块：内置高性能四核处理器，高速神经网络处理器，3W扬声器，串口1个，USB接口1个，可实现双车道识别，颜色识别，颜色跟踪，交通标志识别，数字识别，图像识别，开放神经网络分类器，可自定义识别图像内容。</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4、摄像头：100万像素，水平视觉105°±5°，垂直视角76°±5°，对角线视角120°±5°</w:t>
            </w:r>
          </w:p>
        </w:tc>
      </w:tr>
      <w:tr w14:paraId="2E9BF5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6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07240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A3A73E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智慧城市竞赛场地及道具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927C9E">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40D30C27">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一、产品参数：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1.场地总尺寸：长度2900mm*宽度2900mm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2.场地材质：可拼接EVA赛道模块，共计24块</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3.模块规格：长度440mm宽度440mm，厚度10mm，数量19块。长度440mm宽度240mm，厚度10mm，数量5块。</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4.车道规格：车道宽度200mm，引导线宽度20mm。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5.任务场景：环保卫士，智慧餐厅，超级工厂，神奇出租车，道路工程队，自动咖啡机，建筑工地。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6.任务模型：垃圾桶模型红色1个，垃圾桶模型蓝色1个，咖啡机模型1个，指示牌模型6个，工程装置模型2个，纸杯3个，存放框1个，EVA方块3个，投放盒2个，超级工厂模型1个，沙包货物道具4个。</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7.纸杯规格：高度8.5cm，长口径7.5cm，下口径5cm，颜色红色、绿色各1个，蓝色2个</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8.EVA方块：尺寸5cm×5cm×5cm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9.沙包货物道具：尺寸4cm×4cm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10.投放盒：尺寸28.8*22*8 cm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11.识别图像：公园贴纸，办公区贴纸，左转路标贴纸，右转路标贴纸，数字1贴纸，数字2贴纸，数字3贴纸 </w:t>
            </w:r>
          </w:p>
        </w:tc>
      </w:tr>
      <w:tr w14:paraId="5825F8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FD18E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26</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3CEC93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创客教育云平台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F17ED8">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5EED3757">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1、系统采用云端的方式进行部署，方便进行维护和更新。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2、系统基于 B/S 架构，用户通过浏览器即可访问，无需下载或安装单独的客户端软件。系统支持 IE、Google Chrome、Firefox 等主流浏览器访问；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3、系统支持不同类型的课程资源的在线预览，包括 doc、xls、ppt、pdf 等文档类资源 png、jpg 等图片类资源，rmv、mp4等视频类资源，并且无需单独安装插件，即可在线访问所有资源；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4、教师端：</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1）数据统计当前班级数、学生数、上课数、作品数；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2）了解学生基本信息，支持添加班级所有作品视频及评分、查看学生课后知识点测评情况；</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3）平台支持以班级为维度记录学生每课时作品情况、测评情况、课程表现并汇总；</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4）平台支持教师管理班级学生，新增/编辑/删除等操作；</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5）平台支持教师线上批改学生作业，可从编程技术、创意表达、计算思维、艺术审美、创新思维多维度评测；</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5、学生端：</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1）平台可全面覆盖查询自己的学习课程，提交自己的作品，回顾学习还支持再编辑；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2）平台支持知晓当前课程学习进度，方便学生进入快速学习；</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3）平台支持同一页面进行视频，教案，讲义文档学习；</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4）平台支持随堂测评；</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5）平台支持学生自己作品创作视频永久保存，随时复习时可查看；</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6、家长端：</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1）支持获取学生学情报告，协助家长合理规划学生学习，快速掌握学生学习情况；</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7、课程资源模块</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1）为适应中小学 STEAM/创客教育/人工智能教育，使学生操作更加简便方便教师应用，课程资源系统以模块化内容展示，首页即可对所有主题课程进行预览；</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2）课程资源包含人工智能、编程、机器人、竞赛、3D打印等主题课程，</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3）课程资源包含教学设计、教学PPT、学生用书、作品视频、搭建图、参考程序等；</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4）课程资源以思维型教学理论为支撑进行开发，教学设计包含：教学内容分析，核心问题分解体系，教学目标，教学资源与准备和教学流程与提示5个环节；</w:t>
            </w:r>
          </w:p>
        </w:tc>
      </w:tr>
      <w:tr w14:paraId="5111CE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3406A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27</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D7FFDA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吊顶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7B40A5">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2692D375">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国标轻钢主骨50×300×1.0cm，轻钢副骨50×300×0.5cm，国标0.8cm吊丝，拉爆，螺母等五金件，9mm石膏板造型，局部用木档，石膏板接头处使用接头板拼接，局部铝方通吊顶</w:t>
            </w:r>
          </w:p>
        </w:tc>
      </w:tr>
      <w:tr w14:paraId="110ECB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C8772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28</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02E878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顶面灯具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AFC690">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3C194A45">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定制灯具，LED灯珠，亚克力面板，黑色铁艺加工。</w:t>
            </w:r>
          </w:p>
        </w:tc>
      </w:tr>
      <w:tr w14:paraId="268069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9291D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29</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F22E1E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顶面乳胶漆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0E5B61">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2156E0D5">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腻子批腻子两遍找平，打磨平整，立邦涂料两面。</w:t>
            </w:r>
          </w:p>
        </w:tc>
      </w:tr>
      <w:tr w14:paraId="493260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D3DDB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FD3700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顶面喷乳胶漆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68F9FF">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2301EE53">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修补平整，喷涂黑色乳胶漆两遍</w:t>
            </w:r>
          </w:p>
        </w:tc>
      </w:tr>
      <w:tr w14:paraId="5652A8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AED8BC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31</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5BF297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墙面乳胶漆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707D55">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118711B2">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腻子批腻子两遍找平，打磨平整，立邦涂料两面。</w:t>
            </w:r>
          </w:p>
        </w:tc>
      </w:tr>
      <w:tr w14:paraId="43002A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F3783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5EC596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开关，插座线路布置</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C0245D">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2F4024E7">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2.5㎡单股铜芯线、PVC穿管，线缆根据各地方品牌选购，包含空调线布置</w:t>
            </w:r>
          </w:p>
        </w:tc>
      </w:tr>
      <w:tr w14:paraId="49E960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96BBE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33</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493B55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筒灯</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E27DD8">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426952D9">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规格：直径100mm，颜色：白色，功率：15W，光源：正白光，原装LED芯片，亮度稳定，铝材散热，无频闪舒适护眼，散热设计，寿命更长久，烤漆工艺，高效节能</w:t>
            </w:r>
          </w:p>
        </w:tc>
      </w:tr>
      <w:tr w14:paraId="44B3A6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80064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34</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58EE05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射灯</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396803">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0758D3C9">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轨道射灯，颜色：白色，功率：10W，光源：正白光，原装LED芯片，亮度稳定，铝材散热，无频闪舒适护眼，散热设计，寿命更长久，烤漆工艺，高效节能</w:t>
            </w:r>
          </w:p>
        </w:tc>
      </w:tr>
      <w:tr w14:paraId="08549C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FBB5D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35</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53989B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定制圆型喷绘灯箱</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97C9F6">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1CC7D023">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外径2800mm*100*100,光源4000K，内置驱动器，外壳精加工，颜色可选，LED灯珠平铺，现场组装安装</w:t>
            </w:r>
          </w:p>
        </w:tc>
      </w:tr>
      <w:tr w14:paraId="1BE2EF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57CDA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36</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0852DE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线形灯条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045150">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7B21D09A">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定制线性灯，四周圈顶线形灯带，暗装，凸显现代科技氛围</w:t>
            </w:r>
          </w:p>
        </w:tc>
      </w:tr>
      <w:tr w14:paraId="58F2F1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2F18A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37</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6C8938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灯带</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68E63BA">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34C2651E">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LED灯带，2835芯片，108珠，9瓦，精选材料配置，透光率高，柔韧性强，PVC柔软材料；质保期1年；</w:t>
            </w:r>
          </w:p>
        </w:tc>
      </w:tr>
      <w:tr w14:paraId="7C731A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23777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38</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89EF00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面板开关</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275B07">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63BD352B">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电工开关,86型底盒，三重防雷技术，新型保护门设计，抗电磁干扰设计，</w:t>
            </w:r>
          </w:p>
        </w:tc>
      </w:tr>
      <w:tr w14:paraId="470DE2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ACBB1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39</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09159E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插座开关</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323354">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5EABDA1D">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五孔插座,86型底盒，面板颜色：白色：额定电流：10A面板材质：PC,电压：220V，额定功率：2500W。</w:t>
            </w:r>
          </w:p>
        </w:tc>
      </w:tr>
      <w:tr w14:paraId="50D8BD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B5AC0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40</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8E2C63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镂空雕刻字及展板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D18E9B">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2616F982">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专业排版设计，专用广告部粘贴，定制</w:t>
            </w:r>
          </w:p>
        </w:tc>
      </w:tr>
      <w:tr w14:paraId="257C12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71967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41</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985645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背景墙装饰墙</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52F86D">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6B4B7BCC">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采用木龙骨基础，九厘板封面，符合国家质量检测标准，外敷泰山牌石膏板，底层宣绒布喷绘粘贴</w:t>
            </w:r>
          </w:p>
        </w:tc>
      </w:tr>
      <w:tr w14:paraId="274E91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981D6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74ED36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窗帘</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02F3FC">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146CC4E6">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定制高级布艺窗帘，含罗马杆，五金配件</w:t>
            </w:r>
          </w:p>
        </w:tc>
      </w:tr>
      <w:tr w14:paraId="08BB37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gridSpan w:val="4"/>
            <w:tcBorders>
              <w:top w:val="single" w:color="000000" w:sz="4" w:space="0"/>
              <w:left w:val="single" w:color="000000" w:sz="4" w:space="0"/>
              <w:bottom w:val="single" w:color="000000" w:sz="4" w:space="0"/>
              <w:right w:val="single" w:color="000000" w:sz="4" w:space="0"/>
            </w:tcBorders>
            <w:shd w:val="clear" w:color="auto" w:fill="FFFF00"/>
            <w:vAlign w:val="center"/>
          </w:tcPr>
          <w:p w14:paraId="5F62DDDD">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窗帘</w:t>
            </w:r>
          </w:p>
        </w:tc>
      </w:tr>
      <w:tr w14:paraId="475BE7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A07140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CE9439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窗帘</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67BB10">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4CB34D58">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教室及办公室窗帘，包含静音窗帘及轨道及遮光布；布料颜色提供样品由学校选择。</w:t>
            </w:r>
          </w:p>
        </w:tc>
      </w:tr>
    </w:tbl>
    <w:p w14:paraId="0D088B08">
      <w:pPr>
        <w:keepNext w:val="0"/>
        <w:keepLines w:val="0"/>
        <w:pageBreakBefore w:val="0"/>
        <w:widowControl w:val="0"/>
        <w:shd w:val="clear" w:color="auto" w:fill="auto"/>
        <w:kinsoku w:val="0"/>
        <w:wordWrap w:val="0"/>
        <w:bidi w:val="0"/>
        <w:spacing w:line="520" w:lineRule="exact"/>
        <w:ind w:firstLine="482" w:firstLineChars="200"/>
        <w:jc w:val="center"/>
        <w:textAlignment w:val="auto"/>
        <w:rPr>
          <w:rFonts w:hint="eastAsia" w:asciiTheme="minorEastAsia" w:hAnsiTheme="minorEastAsia" w:eastAsiaTheme="minorEastAsia" w:cstheme="minorEastAsia"/>
          <w:b/>
          <w:bCs/>
          <w:color w:val="auto"/>
          <w:sz w:val="24"/>
          <w:szCs w:val="24"/>
          <w:highlight w:val="none"/>
          <w:lang w:eastAsia="zh-CN"/>
        </w:rPr>
      </w:pPr>
    </w:p>
    <w:tbl>
      <w:tblPr>
        <w:tblStyle w:val="21"/>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69"/>
        <w:gridCol w:w="1389"/>
        <w:gridCol w:w="416"/>
        <w:gridCol w:w="6248"/>
      </w:tblGrid>
      <w:tr w14:paraId="37D939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0" w:type="auto"/>
            <w:gridSpan w:val="4"/>
            <w:tcBorders>
              <w:top w:val="nil"/>
              <w:left w:val="nil"/>
              <w:bottom w:val="nil"/>
              <w:right w:val="nil"/>
            </w:tcBorders>
            <w:shd w:val="clear" w:color="auto" w:fill="auto"/>
            <w:vAlign w:val="center"/>
          </w:tcPr>
          <w:p w14:paraId="2A021A6B">
            <w:pPr>
              <w:keepNext w:val="0"/>
              <w:keepLines w:val="0"/>
              <w:widowControl/>
              <w:suppressLineNumbers w:val="0"/>
              <w:jc w:val="center"/>
              <w:textAlignment w:val="center"/>
              <w:rPr>
                <w:rFonts w:ascii="方正小标宋_GBK" w:hAnsi="方正小标宋_GBK" w:eastAsia="方正小标宋_GBK" w:cs="方正小标宋_GBK"/>
                <w:i w:val="0"/>
                <w:iCs w:val="0"/>
                <w:color w:val="000000"/>
                <w:sz w:val="32"/>
                <w:szCs w:val="32"/>
                <w:u w:val="none"/>
              </w:rPr>
            </w:pPr>
            <w:r>
              <w:rPr>
                <w:rFonts w:hint="eastAsia" w:ascii="方正小标宋_GBK" w:hAnsi="方正小标宋_GBK" w:eastAsia="方正小标宋_GBK" w:cs="方正小标宋_GBK"/>
                <w:i w:val="0"/>
                <w:iCs w:val="0"/>
                <w:color w:val="000000"/>
                <w:kern w:val="0"/>
                <w:sz w:val="32"/>
                <w:szCs w:val="32"/>
                <w:u w:val="none"/>
                <w:lang w:val="en-US" w:eastAsia="zh-CN" w:bidi="ar"/>
              </w:rPr>
              <w:t>二标段：</w:t>
            </w:r>
            <w:r>
              <w:rPr>
                <w:rFonts w:hint="default" w:ascii="方正小标宋_GBK" w:hAnsi="方正小标宋_GBK" w:eastAsia="方正小标宋_GBK" w:cs="方正小标宋_GBK"/>
                <w:i w:val="0"/>
                <w:iCs w:val="0"/>
                <w:color w:val="000000"/>
                <w:kern w:val="0"/>
                <w:sz w:val="32"/>
                <w:szCs w:val="32"/>
                <w:u w:val="none"/>
                <w:lang w:val="en-US" w:eastAsia="zh-CN" w:bidi="ar"/>
              </w:rPr>
              <w:t>信息化设备</w:t>
            </w:r>
          </w:p>
        </w:tc>
      </w:tr>
      <w:tr w14:paraId="39EFE1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3" w:hRule="atLeast"/>
        </w:trPr>
        <w:tc>
          <w:tcPr>
            <w:tcW w:w="0" w:type="auto"/>
            <w:tcBorders>
              <w:top w:val="single" w:color="000000" w:sz="4" w:space="0"/>
              <w:left w:val="single" w:color="000000" w:sz="4" w:space="0"/>
              <w:bottom w:val="single" w:color="000000" w:sz="4" w:space="0"/>
              <w:right w:val="single" w:color="000000" w:sz="4" w:space="0"/>
            </w:tcBorders>
            <w:shd w:val="clear" w:color="auto" w:fill="D9E1F4"/>
            <w:vAlign w:val="center"/>
          </w:tcPr>
          <w:p w14:paraId="2A50CD28">
            <w:pPr>
              <w:keepNext w:val="0"/>
              <w:keepLines w:val="0"/>
              <w:widowControl/>
              <w:suppressLineNumbers w:val="0"/>
              <w:jc w:val="center"/>
              <w:textAlignment w:val="center"/>
              <w:rPr>
                <w:rFonts w:ascii="方正黑体_GBK" w:hAnsi="方正黑体_GBK" w:eastAsia="方正黑体_GBK" w:cs="方正黑体_GBK"/>
                <w:i w:val="0"/>
                <w:iCs w:val="0"/>
                <w:color w:val="000000"/>
                <w:sz w:val="18"/>
                <w:szCs w:val="18"/>
                <w:u w:val="none"/>
              </w:rPr>
            </w:pPr>
            <w:r>
              <w:rPr>
                <w:rFonts w:hint="default" w:ascii="方正黑体_GBK" w:hAnsi="方正黑体_GBK" w:eastAsia="方正黑体_GBK" w:cs="方正黑体_GBK"/>
                <w:i w:val="0"/>
                <w:iCs w:val="0"/>
                <w:color w:val="000000"/>
                <w:kern w:val="0"/>
                <w:sz w:val="18"/>
                <w:szCs w:val="18"/>
                <w:u w:val="none"/>
                <w:lang w:val="en-US" w:eastAsia="zh-CN" w:bidi="ar"/>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9E1F4"/>
            <w:vAlign w:val="center"/>
          </w:tcPr>
          <w:p w14:paraId="06A795B7">
            <w:pPr>
              <w:keepNext w:val="0"/>
              <w:keepLines w:val="0"/>
              <w:widowControl/>
              <w:suppressLineNumbers w:val="0"/>
              <w:jc w:val="center"/>
              <w:textAlignment w:val="center"/>
              <w:rPr>
                <w:rFonts w:hint="default" w:ascii="方正黑体_GBK" w:hAnsi="方正黑体_GBK" w:eastAsia="方正黑体_GBK" w:cs="方正黑体_GBK"/>
                <w:i w:val="0"/>
                <w:iCs w:val="0"/>
                <w:color w:val="000000"/>
                <w:sz w:val="18"/>
                <w:szCs w:val="18"/>
                <w:u w:val="none"/>
              </w:rPr>
            </w:pPr>
            <w:r>
              <w:rPr>
                <w:rFonts w:hint="default" w:ascii="方正黑体_GBK" w:hAnsi="方正黑体_GBK" w:eastAsia="方正黑体_GBK" w:cs="方正黑体_GBK"/>
                <w:i w:val="0"/>
                <w:iCs w:val="0"/>
                <w:color w:val="000000"/>
                <w:kern w:val="0"/>
                <w:sz w:val="18"/>
                <w:szCs w:val="18"/>
                <w:u w:val="none"/>
                <w:lang w:val="en-US" w:eastAsia="zh-CN" w:bidi="ar"/>
              </w:rPr>
              <w:t>采购货物名称</w:t>
            </w:r>
          </w:p>
        </w:tc>
        <w:tc>
          <w:tcPr>
            <w:tcW w:w="0" w:type="auto"/>
            <w:tcBorders>
              <w:top w:val="single" w:color="000000" w:sz="4" w:space="0"/>
              <w:left w:val="single" w:color="000000" w:sz="4" w:space="0"/>
              <w:bottom w:val="single" w:color="000000" w:sz="4" w:space="0"/>
              <w:right w:val="single" w:color="000000" w:sz="4" w:space="0"/>
            </w:tcBorders>
            <w:shd w:val="clear" w:color="auto" w:fill="D9E1F4"/>
            <w:vAlign w:val="center"/>
          </w:tcPr>
          <w:p w14:paraId="4EE19F57">
            <w:pPr>
              <w:keepNext w:val="0"/>
              <w:keepLines w:val="0"/>
              <w:widowControl/>
              <w:suppressLineNumbers w:val="0"/>
              <w:jc w:val="center"/>
              <w:textAlignment w:val="center"/>
              <w:rPr>
                <w:rFonts w:hint="default" w:ascii="方正黑体_GBK" w:hAnsi="方正黑体_GBK" w:eastAsia="方正黑体_GBK" w:cs="方正黑体_GBK"/>
                <w:i w:val="0"/>
                <w:iCs w:val="0"/>
                <w:color w:val="000000"/>
                <w:sz w:val="18"/>
                <w:szCs w:val="18"/>
                <w:u w:val="none"/>
              </w:rPr>
            </w:pPr>
            <w:r>
              <w:rPr>
                <w:rFonts w:hint="eastAsia" w:ascii="方正黑体_GBK" w:hAnsi="方正黑体_GBK" w:eastAsia="方正黑体_GBK" w:cs="方正黑体_GBK"/>
                <w:i w:val="0"/>
                <w:iCs w:val="0"/>
                <w:color w:val="000000"/>
                <w:kern w:val="0"/>
                <w:sz w:val="18"/>
                <w:szCs w:val="18"/>
                <w:u w:val="none"/>
                <w:lang w:val="en-US" w:eastAsia="zh-CN" w:bidi="ar"/>
              </w:rPr>
              <w:t>规格</w:t>
            </w:r>
          </w:p>
        </w:tc>
        <w:tc>
          <w:tcPr>
            <w:tcW w:w="0" w:type="auto"/>
            <w:tcBorders>
              <w:top w:val="single" w:color="000000" w:sz="4" w:space="0"/>
              <w:left w:val="single" w:color="000000" w:sz="4" w:space="0"/>
              <w:bottom w:val="single" w:color="000000" w:sz="4" w:space="0"/>
              <w:right w:val="single" w:color="000000" w:sz="4" w:space="0"/>
            </w:tcBorders>
            <w:shd w:val="clear" w:color="auto" w:fill="D9E1F4"/>
            <w:vAlign w:val="center"/>
          </w:tcPr>
          <w:p w14:paraId="656DC340">
            <w:pPr>
              <w:keepNext w:val="0"/>
              <w:keepLines w:val="0"/>
              <w:widowControl/>
              <w:suppressLineNumbers w:val="0"/>
              <w:jc w:val="center"/>
              <w:textAlignment w:val="center"/>
              <w:rPr>
                <w:rFonts w:hint="default" w:ascii="方正黑体_GBK" w:hAnsi="方正黑体_GBK" w:eastAsia="方正黑体_GBK" w:cs="方正黑体_GBK"/>
                <w:i w:val="0"/>
                <w:iCs w:val="0"/>
                <w:color w:val="000000"/>
                <w:sz w:val="18"/>
                <w:szCs w:val="18"/>
                <w:u w:val="none"/>
              </w:rPr>
            </w:pPr>
            <w:r>
              <w:rPr>
                <w:rFonts w:hint="default" w:ascii="方正黑体_GBK" w:hAnsi="方正黑体_GBK" w:eastAsia="方正黑体_GBK" w:cs="方正黑体_GBK"/>
                <w:i w:val="0"/>
                <w:iCs w:val="0"/>
                <w:color w:val="000000"/>
                <w:kern w:val="0"/>
                <w:sz w:val="18"/>
                <w:szCs w:val="18"/>
                <w:u w:val="none"/>
                <w:lang w:val="en-US" w:eastAsia="zh-CN" w:bidi="ar"/>
              </w:rPr>
              <w:t>主要技术参数、配置及配件</w:t>
            </w:r>
          </w:p>
        </w:tc>
      </w:tr>
      <w:tr w14:paraId="4C0E81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0" w:type="auto"/>
            <w:gridSpan w:val="4"/>
            <w:tcBorders>
              <w:top w:val="single" w:color="000000" w:sz="4" w:space="0"/>
              <w:left w:val="nil"/>
              <w:bottom w:val="single" w:color="000000" w:sz="4" w:space="0"/>
              <w:right w:val="nil"/>
            </w:tcBorders>
            <w:shd w:val="clear" w:color="auto" w:fill="FFFF00"/>
            <w:vAlign w:val="center"/>
          </w:tcPr>
          <w:p w14:paraId="0ABECB6A">
            <w:pPr>
              <w:keepNext w:val="0"/>
              <w:keepLines w:val="0"/>
              <w:widowControl/>
              <w:suppressLineNumbers w:val="0"/>
              <w:jc w:val="center"/>
              <w:textAlignment w:val="center"/>
              <w:rPr>
                <w:rFonts w:hint="default" w:ascii="方正黑体_GBK" w:hAnsi="方正黑体_GBK" w:eastAsia="方正黑体_GBK" w:cs="方正黑体_GBK"/>
                <w:i w:val="0"/>
                <w:iCs w:val="0"/>
                <w:color w:val="000000"/>
                <w:sz w:val="18"/>
                <w:szCs w:val="18"/>
                <w:u w:val="none"/>
              </w:rPr>
            </w:pPr>
            <w:r>
              <w:rPr>
                <w:rFonts w:hint="default" w:ascii="方正黑体_GBK" w:hAnsi="方正黑体_GBK" w:eastAsia="方正黑体_GBK" w:cs="方正黑体_GBK"/>
                <w:i w:val="0"/>
                <w:iCs w:val="0"/>
                <w:color w:val="000000"/>
                <w:kern w:val="0"/>
                <w:sz w:val="18"/>
                <w:szCs w:val="18"/>
                <w:u w:val="none"/>
                <w:lang w:val="en-US" w:eastAsia="zh-CN" w:bidi="ar"/>
              </w:rPr>
              <w:t>校园网络</w:t>
            </w:r>
          </w:p>
        </w:tc>
      </w:tr>
      <w:tr w14:paraId="43E537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7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3C352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7C7657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出口网关</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6A77F8">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65E9B2FF">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1、支持固化千兆电口≥8个，固化千兆光口≥1个，固化万兆光口≥1个；</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2、标准1U机箱，多核非X86架构；支持1个硬盘，硬盘容量≥1T；</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3、支持1个电源，整机功耗低于25W；支持内存≥2GB；</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4、支持静态路由、RIP(V1/V2)、RIPng、OSPFv2等多种路由协议；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5、支持智能DNS，无需内部服务器做任何修改情况下；</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6、本地认证支持微信认证、短信认证、二维码授权认证、二维码自助认证、LADP认证，支持与域认证联动实现单点登陆；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7、要求所投产品内置多种流控模型，包括娱乐模版，办公模版，专家模板等，支持一键开启智能流量控制；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8、支持VPN内流量的可视化监控；支持VPN内流量流量控制；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9、所投产品URL数据库、应用分类库、地址库、内容审计特征库、支持在产品维保期内免费升级，另外URL数据库和应用特征库支持远程HTTP自动升级；</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10、要求所投产品IM聊天可支持基于聊天内容关键字的策略控制，通过插件可以实现QQ聊天内容的审计；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11、实配千兆模块2个，万兆模块2个。</w:t>
            </w:r>
          </w:p>
        </w:tc>
      </w:tr>
      <w:tr w14:paraId="29F695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CA2A0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D0B176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防火墙</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914744">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7B84B77A">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1、要求固化千兆电口数量≥8个；固化千兆光口数量≥2个；固化万兆光口数量≥4个；实配可插拔1TB企业级硬盘 ；配置冗余电源；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2、三层网络吞吐≥3Gbps ，最大可支持扩展三层网络吞吐≥10Gbps ；IPS吞吐量≥1.2Gbps，最大可支持扩展IPS吞吐量≥2.3Gbps，</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3、最大并发连接≥100万；每秒新建连接≥5万，最大可支持新建连接≥10万；</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4、支持基于流量学习的方式对网内资产的互访关系进行梳理，可视化展示目标资产的端口的访问关系，包括：访问源IP、命中策略、阻断次数、最近一次阻断时间等信息；</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5、要求支持显示策略来源、首次创建时间、源安全区域、源地址、目的安全区域、目的地址、服务、应用、首次匹配时间、命中次数统计；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6、支持创建IP地址对象、IP地址对象组，同时支持查看IP地址对象或IP地址对象组被策略引用的情况；</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7、支持通过扫描二维码方式将设备添加到云平台进行管理，可实现把防火墙的系统状态在云平台进行监控和展示，用户可通过登录各自的云平台账号后对纳管的防火墙进行远程管理；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支持一站式故障排查向导，按照客户端访问目标资源的路径，自动化执行排查动作，定位因防火墙自身故障、网络配置、功能模块、策略模板、流量是否到达等配置面与转发面造成的网络故障问题，提供产品功能界面截图；</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9、支持静态地址、DHCP、PPPoE等网络连接类型；支持静态路由、子接口、安全域、NAT等基础网络功能；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10、支持对HTTP、TCP、UDP、DNS、TLS等常用协议及应用的攻击检测和防御；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11、支持对欺骗攻击、注入攻击、中间人攻击、跨站请求伪造、跨站脚本攻击、代码执行、释放重利用等多种类别的威胁进行检测和防御；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12、配置不少于三年的入侵防御、防病毒、应用识别特征库三合一授权；设备要求至少三年原厂质保；</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13、配置万兆模块不少于2个。</w:t>
            </w:r>
          </w:p>
        </w:tc>
      </w:tr>
      <w:tr w14:paraId="23982C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1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6D615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0773C0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核心交换机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D7F6C8F">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1BD111A5">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1、整机主控引擎插槽≥2个，独立业务插槽≥3个，电源槽位≥2个；</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2、交换容量≥49T，包转发性能≥38000Mpps；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3、1：N虚拟化：可将一台物理设备虚拟化为多台逻辑设备，各虚拟交换机间具备独立的转发表项及配置界面，各虚拟交换机的配置/重启互不影响；</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4、支持IPv6静态路由、RIPng、OSPF v3、BGP4+ 等路由协议；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5、支持手动隧道，自动隧道，ISATAP；</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6、支持专门针对CPU的保护机制，能够针对发往CPU处理的各种报文进行流量控制和优先级处理，保护交换机在各种环境下稳定工作；</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7、要求所投产品支持防雷等级≥6KV；</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8、支持专门基础网络保护机制的NFPP功能，支持多种类型的防护，如ARP防护，当ARP速率超过攻击水线，对有攻击行为的用户进行隔离，保证设备和整网的安全稳定运行，需提供第三方权威机构测试报告证明；</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设备自带云管理功能，支持一键设备发现，并在线生成交付验收报告；支持一键全网巡检操作，随时随地掌握网络健康状况，并自动生成巡检报告；支持短信认证、微信认证、web认证，支持认证页面自定义；支持一键升级、定时升级网络中的网络设备；支持分级分权功能，实现分布区域，统一管理等，需提供第三方权威机构测试报告证明；</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10、配置：双引擎，双电源；配置千兆光口≥24个，千兆电口≥24个，万兆光口≥4个；</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11、配置支持工作波长在1271nm~1571nm范围内的光模块与线卡，且各波长之间相互隔离，互不干扰；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12、配置千兆模块≥8，单芯，可同时支持8种不同波长（8台接入设备、），单模，10KM，LC</w:t>
            </w:r>
          </w:p>
        </w:tc>
      </w:tr>
      <w:tr w14:paraId="578A57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7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180C4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46BAD5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AC控制器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09623F">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64AC741C">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1、支持≥4口PoE，支持4G扩展槽；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2、为方便安装，整机尺寸≤200mm×110mm×25mm便于安装在弱电箱；</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3、整机供电≤65W；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4、支持5口千兆，其中1个千兆WAN口，4个千兆LAN口；</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5、支持1个USB扩展槽，便于系统更新和升级；</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6、支持AC功能，可支持本地转发和集中转发；支持管理64个面板或放装AP</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7、支持流量控制、上网行为管理、上网内容审计、实名审计等功能；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8、支持IPSEC VPN、SSL VPN、PPTP VPN、L2TP VPN；</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9、支持PPPOE、DHCP、NAT上网功能；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10、支持静态路由功能；CAPWAP可穿透NAT；</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11、支持802.1X、WEB、短信、微信、无感知、访客二维码、白名单认证；</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12、设备自带64个AP授权。</w:t>
            </w:r>
          </w:p>
        </w:tc>
      </w:tr>
      <w:tr w14:paraId="19001C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8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24678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767E87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认证平台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99A083">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22FF7E04">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1、1U高度硬件化产品，提供6个GE电口，1个RJ-45配置口，USB口≥2个，硬盘≥1T，DDR2内存≥2G，支持Linux操作平台；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2、认证页面支持多种认证方式，且认证页面合并：普通用户、短信、二维码、微信web认证合并；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3、支持与第三方Radius联动，将认证信息转发给第三方Radius服务器进行认证，即实现统一身份源；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4、支持与WindowsAD域联动，实现与WindowsAD的整合认证，一次登陆完成802.1X认证和WindowsAD认证；</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5、首次登陆账号激活，并强制修改密码，首次进行认证时，强制要求用户设置密保：手机号、邮箱账号、私密问答作为密保凭据任选其一。</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6、支持对在线用户进行管理，可下发实时和离线短消息、查看在线用户、下发实时和离线修复程序、强制在线用户下线以及重认证、实时进程信息获取以及远程协助的功能；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7、支持禁止已认证用户给未认证用户提供代理服务；禁止已认证用户启用拨号服务，进行非法外连；支持设置用户密码输错的次数上限，防暴力破解；</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8、支持直接获取用户网卡的物理MAC地址，防止篡改MAC地址。</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9、支持禁止用户非法外连互联网，一旦访问则进行日志记录，并禁用所有网络连接；支持基于网络设备ACL、设备VLAN、主机ACL的网络权限控制；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10、支持根据业务规划，设置网络隔离安全域，并将安全域规划下发到交换机、客户端、防火墙、防火墙卡、路由器上执行；</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11、配置≥500个并发在线数授权许可</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12、提供三年维保；</w:t>
            </w:r>
          </w:p>
        </w:tc>
      </w:tr>
      <w:tr w14:paraId="537D63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8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33DCD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828F8F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汇聚交换机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5F0375">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29CBD846">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1、汇聚产品固化端口数≥8</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2、汇聚设备的各光链路通道应实现物理隔离，无分光，带宽1：1独享；提供截图证明</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3、汇聚设备支持集中机柜安装、壁挂等安装方式；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4、汇聚器件完全无源，无需插电即可正常工作；</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5、汇聚外框≥2个，包含6个槽位，可插入汇聚设备或裂变器，支持上架或贴墙安装</w:t>
            </w:r>
          </w:p>
        </w:tc>
      </w:tr>
      <w:tr w14:paraId="2E6546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EDC54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036AAA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千兆光模块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5D37F9">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6C2DDE07">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高功率千兆模块，包含8个不同波长光模块，单模，10KM，LC</w:t>
            </w:r>
          </w:p>
        </w:tc>
      </w:tr>
      <w:tr w14:paraId="6C74C1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1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A6FDA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D6D253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教室用8口POE交换机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0067EA">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311EB252">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1、固化10/100/1000M以太网电口≥8个，1G/2.5G SFP光接口≥1个，产品支持POE和POE+远程供电，POE供电功率为125W；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2、交换容量≥430Gbps，包转发率≥80Mpps；</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3、要求设备采用静音设计，噪声值＜20dB；</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4、要求设备采用金属外壳和金属网口设计；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5、支持专门针对CPU的保护机制，能够针对发往CPU处理的各种报文进行流区分和优先级队列分级处理，保护交换机在各种环境下稳定工作；</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6、支持端口浪涌抗扰度≥8KV（即具备8KV的防雷能力）</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7、要求所投产品支持交换机即插即用，支持按功能区域零配置上线，支持图形化界面划分端口业务；</w:t>
            </w:r>
          </w:p>
        </w:tc>
      </w:tr>
      <w:tr w14:paraId="206977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0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B17DC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F07146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AP主机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954DBE">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1B7F3DA9">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 ≥24端口千兆以太网光口，≥8个复用千兆电口，≥8端口万兆以太网光口，交换容量≥880Gbps，包转发率≥426Mpps；</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整机采用绿色环保设计，满负荷情况下功耗≤77W；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 支持RIPv2，OSPFv2/v3，BGP4/4+，IS-ISv4/v6；</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 支持IGMP v1/v2/v3，PIM-SM等组播协议；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 支持基于IPv4/IPv6五元组、基于源/目的MAC、基于VLAN、基于802.1P优先级的ACL；</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 支持特有的CPU保护策略，对发往CPU的数据流，进行流区分和优先级队列分级处理，并根据需要实施带宽限速，充分保护CPU不被非法流量占用、恶意攻击和资源消耗；</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 支持基础网络保护策略，限制用户向网络中发送ARP报文、ICMP请求报文、DHCP请求报文的数率，对超过限速阈值的报文进行丢弃处理，能够识别攻击行为，对有攻击行为的用户进行隔离；</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8、支持虚拟化功能，可将多台物理设备虚拟化为一台逻辑设备统一管理，并且链路故障的收敛时间达到毫秒级；</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9、配置双电源。</w:t>
            </w:r>
          </w:p>
        </w:tc>
      </w:tr>
      <w:tr w14:paraId="723D13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C79C1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B50E9B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光口面板AP</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632C15">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656B0C95">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1、支持802.11ax标准，采用双射频设计，整机4条空间流；</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2、支持多种形态安装，可壁挂、吸顶或86盒安装；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3、整机最大接入速率≥2.9Gbps，5GHz单射频支持2×2 MU-MIMO，且单射频最大接入速率≥2.4Gbps；2.4GHz单射频支持2×2 MU-MIMO，且单射频最大接入速率≥0.575Gbps；</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4、支持蓝牙5.1；</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5、支持≥1个1G/2.5G以太网光口上联，4个10/100/1000Base-T自适应以太网接口下联；</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6、支持1个Micro USB的Console接口，提供官网截图及链接证明；</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8、支持DC直流供电（DC 输入电压电流：48V/0.5A）；</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9、支持即插即用，更换微AP后，无需做任何配置，即可替换使用；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10、具有非法AP的精确反制和模糊反制功能，能够主动识别非法设备并令非法设备不能使用；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11、配置DC电源适配器，带凤凰头，满足本地供电场景。</w:t>
            </w:r>
          </w:p>
        </w:tc>
      </w:tr>
      <w:tr w14:paraId="63A687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7351B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CCC294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面板AP</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8CF1D5">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0FEED2F8">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1、支持802.11ax标准，采用双射频设计，整机空间流≥4条。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2、整机最大接入速率≥2.975Gbps；</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3、5GHz单射频支持2*2 MU-MIMO，且单射频最大接入速率≥2.4Gbps；</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4、1G以太网上联口≥1个，1G以太网下联口≥4个；</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 面板型AP，支持嵌入86面板安装方式；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6、考虑安装后的美观度，面板AP厚度≤43mm，外露墙体部分尺寸≤86mm×120mm×24.1mm（宽×高×深）；</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7、整机功耗&lt;10W，提供官网截图和链接证明；</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8、为保证用电安全与电源的易获得性，同时支持802.3af和本地DC12V电源供电模式；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9、支持SSID隐藏，每个SSID可配置单独的认证方式、加密机制，VLAN属性；</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10、支持基于SSID、射频卡的用户数限制；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11、支持基于终端数或流量的智能负载均衡；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12、支持带宽限制，支持基于STA/SSID/AP的限速；</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13、持Fat/Fit模式切换。当工作在Fit（瘦）模式时，可通过AC系列无线控制器切换为Fat模式；当工作在Fat（胖）模式时，可通过本地控制口、Telnet方式切换为Fit模式。</w:t>
            </w:r>
          </w:p>
        </w:tc>
      </w:tr>
      <w:tr w14:paraId="699011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7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8185F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519BBA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放装AP</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194864">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33B28ACC">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 支持802.11ax协议；整机支持≥4条空间流；整机最大无线速率≥2.97Gbps。</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2、室内无线接入点符合国标GB/T20138-2006即《电器设备外壳对外界机械碰撞的防护等级（IK代码）》标准，至少达到防护等级IK08;</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 至少支持1个1000M自适应以太网端口；至少支持1个2.5G SFP光口；</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5、支持实现AP虚拟化功能，实现一台AP虚拟为多台AP，分别受不同AC设备独立管理，不同虚拟AP之间数据隔离，虚拟AP在AC上不占用AP License;</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7、AP整机最大终端接入数≥128个;</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8、具有WLAN自动网优功能，通过AP配置进行无线网络优化;</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9、支持1024QAM调制解调方式;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10、支持SSID隐藏，支持为每个SSID配置单独的认证方式、加密机制，VLAN属性;</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11、支持边缘智能感知（RIPT）。</w:t>
            </w:r>
          </w:p>
        </w:tc>
      </w:tr>
      <w:tr w14:paraId="49BB06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2779D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EDF060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千兆光模块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CDD030">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3BB2E6D4">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单口1000BASE-LX mini GBIC转换模块（LC接口）</w:t>
            </w:r>
          </w:p>
        </w:tc>
      </w:tr>
      <w:tr w14:paraId="09F902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0" w:type="auto"/>
            <w:gridSpan w:val="4"/>
            <w:tcBorders>
              <w:top w:val="single" w:color="000000" w:sz="4" w:space="0"/>
              <w:left w:val="nil"/>
              <w:bottom w:val="single" w:color="000000" w:sz="4" w:space="0"/>
              <w:right w:val="nil"/>
            </w:tcBorders>
            <w:shd w:val="clear" w:color="auto" w:fill="FFFF00"/>
            <w:vAlign w:val="center"/>
          </w:tcPr>
          <w:p w14:paraId="4DECA9EE">
            <w:pPr>
              <w:keepNext w:val="0"/>
              <w:keepLines w:val="0"/>
              <w:widowControl/>
              <w:suppressLineNumbers w:val="0"/>
              <w:jc w:val="center"/>
              <w:textAlignment w:val="center"/>
              <w:rPr>
                <w:rFonts w:hint="default" w:ascii="方正黑体_GBK" w:hAnsi="方正黑体_GBK" w:eastAsia="方正黑体_GBK" w:cs="方正黑体_GBK"/>
                <w:i w:val="0"/>
                <w:iCs w:val="0"/>
                <w:color w:val="000000"/>
                <w:sz w:val="18"/>
                <w:szCs w:val="18"/>
                <w:u w:val="none"/>
              </w:rPr>
            </w:pPr>
            <w:r>
              <w:rPr>
                <w:rFonts w:hint="default" w:ascii="方正黑体_GBK" w:hAnsi="方正黑体_GBK" w:eastAsia="方正黑体_GBK" w:cs="方正黑体_GBK"/>
                <w:i w:val="0"/>
                <w:iCs w:val="0"/>
                <w:color w:val="000000"/>
                <w:kern w:val="0"/>
                <w:sz w:val="18"/>
                <w:szCs w:val="18"/>
                <w:u w:val="none"/>
                <w:lang w:val="en-US" w:eastAsia="zh-CN" w:bidi="ar"/>
              </w:rPr>
              <w:t>综合布线系统</w:t>
            </w:r>
          </w:p>
        </w:tc>
      </w:tr>
      <w:tr w14:paraId="306E23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1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2EF7D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9A11FD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4芯皮线光纤</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61BB17">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51C88D52">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室内皮线光缆 GJXH</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产品材质:G657A1纤芯，PVC、LSZH护套</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产品规格：4芯</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光缆尺寸：2.0*3.0mm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执行标准: 符合YD/T 1997-2009标准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允许拉伸力：长期：40N；短期：80N</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允许压力：长期：500N；短期：1000N</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最小静态弯曲半径：20mm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最小动态弯曲半径：40mm</w:t>
            </w:r>
          </w:p>
        </w:tc>
      </w:tr>
      <w:tr w14:paraId="569D2B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8A055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45F86A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熔纤盘</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D5662F">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76A837DC">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4芯皮线光纤熔纤盘</w:t>
            </w:r>
          </w:p>
        </w:tc>
      </w:tr>
      <w:tr w14:paraId="1D9E1A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1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B0D2C0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345FF4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144ODF单元箱（满配288芯LC）</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D6769FA">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5109D0E2">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产品名称：ODF单元箱</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配件: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a.熔纤盘: 12组</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b.喉箍卡圈: 12个</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C.热缩管: 12x12根</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d.裸纤保护管: 12米</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产品颜色：米白色</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产品材质：SPCC,米白色</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材质厚度：1.2mm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产品尺寸：354mm*482.6mm*254mm</w:t>
            </w:r>
          </w:p>
        </w:tc>
      </w:tr>
      <w:tr w14:paraId="078210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538BB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4FD449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网络音箱预留信息点</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E5FF6C">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5CD865C3">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信息插座与面板采用90度安装方式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组合式结构，前后双层面板设计，外形美观，避免固定螺丝孔外露</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网络端口带弹簧式自动回弹防尘门设计，防止灰尘等异物侵入</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带有标识纸和标识盖，方便维护和使用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具有风格统一的单口网络规格</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面板尺寸：高度:86×宽度:86mm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颜色：白色</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材料：ABS</w:t>
            </w:r>
          </w:p>
        </w:tc>
      </w:tr>
      <w:tr w14:paraId="12C777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4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A7799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C15A2D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六类非屏蔽网线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4AE39F">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482D43A6">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产品参数：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产品合格证标准：GB/T18015.5，产品合格证型号：HSYV-6；</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通过标准最高传输频率250MHz测试；</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单根导体直流电阻：≤9.5Ω/100m；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导体规格：4×2×24AWG，导体名称：软圆铜线，绝缘：HDPE；</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屏蔽方式：U/UTP，线对采用“十”字骨架隔离；</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护套材料：PVC，护套外径：6.0±0.3mm，护套颜色：灰色；</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最小内弯曲半径：安装时：8倍电缆外径，安装后：4倍电缆外径，敷设方式：钢管或阻燃硬质PVC管内；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包装方式：305米/易拉箱，2易拉箱/外箱；</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使用场景：室内；</w:t>
            </w:r>
          </w:p>
        </w:tc>
      </w:tr>
      <w:tr w14:paraId="763ADE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8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C8A02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2CAE1F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电源线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1B9629">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578C7F3C">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轻型聚氯乙烯护套软线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标准：GB/T5023.5</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型号规格：60227 IEC 52(RVV3*1.5)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额定电压：300/300V</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导体工作温度：≤70℃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导体：GB/T3956第五种导体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绝缘：PVC，绝缘工艺：挤压式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护套：PVC，护套工艺：半挤压式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静态最小弯曲半径：6D</w:t>
            </w:r>
          </w:p>
        </w:tc>
      </w:tr>
      <w:tr w14:paraId="0CB9C4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8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D09EFF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AC7FAB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电源线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DDE964">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411C08DF">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轻型聚氯乙烯护套软线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标准：GB/T5023.5</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型号规格：60227 IEC 52(RVV2*1.5)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额定电压：300/300V</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导体工作温度：≤70℃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导体：GB/T3956第五种导体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绝缘：PVC，绝缘工艺：挤压式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护套：PVC，护套工艺：半挤压式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静态最小弯曲半径：6D</w:t>
            </w:r>
          </w:p>
        </w:tc>
      </w:tr>
      <w:tr w14:paraId="3B6EE1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8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94366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5A19BF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电源线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69A049">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71096E67">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轻型聚氯乙烯护套软线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标准：GB/T5023.5</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型号规格：60227 IEC 52(RVV2*0.75)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额定电压：300/300V</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导体工作温度：≤70℃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导体：GB/T3956第五种导体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绝缘：PVC，绝缘工艺：挤压式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护套：PVC，护套工艺：半挤压式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静态最小弯曲半径：6D</w:t>
            </w:r>
          </w:p>
        </w:tc>
      </w:tr>
      <w:tr w14:paraId="0655F7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997B4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4270D0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广播信号线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F739CC">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1D3FB09D">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轻型聚氯乙烯护套软线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标准：GB/T5023.5</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型号规格：60227 IEC 52(RVV2*1.5)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额定电压：300/300V</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导体工作温度：≤70℃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导体：GB/T3956第五种导体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绝缘：PVC，绝缘工艺：挤压式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护套：PVC，护套工艺：半挤压式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静态最小弯曲半径：6D</w:t>
            </w:r>
          </w:p>
        </w:tc>
      </w:tr>
      <w:tr w14:paraId="306422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1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AF058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829E9B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12口光纤配线架（LC）</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82E785A">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545AD1FF">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产品名称：机架式光纤终端盒</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产品类型：机架式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产品规格：通用12口</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厚度：1.0mm，SPSS，黑色（RAL 9005</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机箱重量：1.6Kg</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箱体颜色：黑色</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质感：光滑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箱体尺寸：44mm*482mm*201mm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材质：SPSS，黑色（RAL 9005）</w:t>
            </w:r>
          </w:p>
        </w:tc>
      </w:tr>
      <w:tr w14:paraId="59DB4A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7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D03F3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9E129F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机柜PDU</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F912CE">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48BDCA53">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产品材质：铜导体，磷青铜插接件，PC，铝合金外壳</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产品特点：一条铜点焊工艺，插孔内置安全门，电源开关</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产品类型：10A插头，8位10A五孔插座</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执行标准：YD/T 2063-2009</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电缆长度：1.8米</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最大电流：输入电流10A，输出电流10A</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最大功率：2500W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阻燃等级：UL94 V1</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电线横截面积：1.0mm^2</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产品尺寸：标准1U配线架，长宽高：484.2mm*45mm*45mm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质量保证：5年包换</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包装数量：10个/箱</w:t>
            </w:r>
          </w:p>
        </w:tc>
      </w:tr>
      <w:tr w14:paraId="476E81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6BBAB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F0AA96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LC－LC光纤跳线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D803F7">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26788DE2">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单模双芯光纤跳线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执行标准：YD/T 1258.2-2009；</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产品材质：氧化锆套管，环保阻燃PC防尘帽、锌合金金属外壳、G652D纤芯、全新环保LSZH低烟无卤外被;</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插芯：高品质陶瓷插芯；</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插入损耗：≤0.28dB；回波损耗：≥50dB；重复性≤0.1dB；</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光纤直径：9μm/125（±1）μm ，光缆外径：2.0mm；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光纤长度：3米（其他长度均可定制）;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应用环境：光纤传输网络、光纤设备间跳线、光学测试设备；</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接口类型：LC/FC,LC/SC,LC/ST;</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拔插次数：&gt;1000次；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研磨工序：4道；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使用温度：-20℃~85℃；</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阻燃等级：OFCG级。</w:t>
            </w:r>
          </w:p>
        </w:tc>
      </w:tr>
      <w:tr w14:paraId="093AE9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1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66CF36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B12220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落地网络机柜</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68E2D3">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33795E9D">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规格：600宽*1000深2000高</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颜色：黑色</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容量: 42U</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标准19英寸国际标准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门及门锁前门:蓝边钢化前门/网孔门带锁；后门:单开网孔后门带锁；侧门:全钢侧门，可快速装卸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材料及工艺材料采用Q235冷轧钢板，钢板厚度0.9，横梁1.2，立柱2.0，台板0.9。表面处理采用脱脂、酸洗磷化静电喷塑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附加功能角规:42U镀锌4根，固定托盘2个；承重500kg；散热风扇2个；PDU1个；安装螺丝:40套</w:t>
            </w:r>
          </w:p>
        </w:tc>
      </w:tr>
      <w:tr w14:paraId="493405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7ACC2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FD867B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PVC材料及配件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0B3E5A">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37890976">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20穿线管、线卡、配件</w:t>
            </w:r>
          </w:p>
        </w:tc>
      </w:tr>
      <w:tr w14:paraId="41EC95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7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C66E2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77B969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单口信息面板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D7A90A">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2CF5705B">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采用阻燃及耐燃高品质ABS材料制造，满足UL94V-0阻燃等级；</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具有标签框及语音数据标识符，可供用户识别语音、数据等不同用途；</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三层模块化结构设计，嵌入组合式，配合86底盒，安装方便，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表面隐藏螺钉孔，美观大方,各孔均配有专门的防尘门。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信息插座与面板采用90度安装方式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组合式结构，前后双层面板设计，外形美观，避免固定螺丝孔外露</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网络端口带弹簧式自动回弹防尘门设计，防止灰尘等异物侵入</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带有标识纸和标识盖，方便维护和使用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具有风格统一的单口网络规格</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面板尺寸：高度:86×宽度:86mm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颜色：白色</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材料：ABS</w:t>
            </w:r>
          </w:p>
        </w:tc>
      </w:tr>
      <w:tr w14:paraId="438155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7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4749B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3DC135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六类非屏蔽网络模块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682F35">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58F050B6">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采用PCB设计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可选择专用工具，一次性完成4对线的卡入及多余线缆的裁剪</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卡线槽与走线的方向呈45度，使施工更便捷，性能更优越</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每对打线槽中间有凸尖的机构，无需分开头部绞对，即可分线卡入线槽，从而有效控制开绞长度不破坏绞距</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标准：YD/T 926.3，ISO/IEC 11801；ANSI/TIA-568-C.2</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IDC：磷青铜</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防尘盖：PC材料</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插头与插座插合次数：≥1000次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导线端接次数：≥250次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打线方式：T568A/T568B</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IDC与金针方向：90度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卡接导体规格：单股、0.5mm～0.65mm、24AWG~22AWG</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最高传输频率：250MHz</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额定电流：0.75A</w:t>
            </w:r>
          </w:p>
        </w:tc>
      </w:tr>
      <w:tr w14:paraId="2672C4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7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E948F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879B21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单口TV面板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C037AD">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117465A6">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86×86，TV插座面板，带标示纸及标识盖，带弹簧式防尘门，90度模块安装，单口</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产品参数：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组合式结构，前后双层面板设计，外形美观，避免固定螺丝孔外露，面板与模块采用90度安装方式；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RJ45\RJ11端口带弹簧式自动回弹防尘门设计，防止灰尘等异物侵入，防尘门为白色、与面板整体风格协调统一，防尘门向上开启、便于操作、有效保护水晶头弹片，模块卡装接口为“梯形”接口、具有较好的兼容性、不得采用特殊专用卡装接口；</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带有可更换标识纸和标识盖，方便维护和使用；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具有风格统一的单口、双口、三口、四口网络，单口TV、TV加网络规格；</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面板尺寸：高度:86×宽度:86mm；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颜色：白色；</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材料：ABS。</w:t>
            </w:r>
          </w:p>
        </w:tc>
      </w:tr>
      <w:tr w14:paraId="41BB89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8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097BF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FF50EB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电源线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BA09329">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21A1F123">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轻型聚氯乙烯护套软线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标准：GB/T5023.5</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型号规格：60227 IEC 52(RVV3*1.5)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额定电压：300/300V</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导体工作温度：≤70℃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导体：GB/T3956第五种导体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绝缘：PVC，绝缘工艺：挤压式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护套：PVC，护套工艺：半挤压式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静态最小弯曲半径：6D</w:t>
            </w:r>
          </w:p>
        </w:tc>
      </w:tr>
      <w:tr w14:paraId="0C9243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8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C0A38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5A0882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电源线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21419A">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06EAC31F">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轻型聚氯乙烯护套软线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标准：GB/T5023.5</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型号规格：60227 IEC 52(RVV2*1.5)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额定电压：300/300V</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导体工作温度：≤70℃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导体：GB/T3956第五种导体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绝缘：PVC，绝缘工艺：挤压式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护套：PVC，护套工艺：半挤压式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静态最小弯曲半径：6D</w:t>
            </w:r>
          </w:p>
        </w:tc>
      </w:tr>
      <w:tr w14:paraId="3247E7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8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CA0D33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848B73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广播信号线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84FCED">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25E0AE95">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轻型聚氯乙烯护套软线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标准：GB/T5023.5</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型号规格：60227 IEC 52(RVV2*1.5)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额定电压：300/300V</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导体工作温度：≤70℃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导体：GB/T3956第五种导体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绝缘：PVC，绝缘工艺：挤压式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护套：PVC，护套工艺：半挤压式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静态最小弯曲半径：6D</w:t>
            </w:r>
          </w:p>
        </w:tc>
      </w:tr>
      <w:tr w14:paraId="08AF66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1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A30DA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54D005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12口光纤配线架（LC）</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75BC4F">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2525B88B">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产品名称：机架式光纤终端盒</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产品类型：机架式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产品规格：通用12口</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厚度：1.0mm，SPSS，黑色（RAL 9005</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机箱重量：1.6Kg</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箱体颜色：黑色</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质感：光滑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箱体尺寸：44mm*482mm*201mm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材质：SPSS，黑色（RAL 9005）</w:t>
            </w:r>
          </w:p>
        </w:tc>
      </w:tr>
      <w:tr w14:paraId="1A6AEC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8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D17AD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5528C3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理线器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F75FF6">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2AF95E25">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标准19英寸机架式安装，高度：1U</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材料及厚度：SPCC冷轧钢板表面脱脂、磷化、静电喷塑处理，架体1.2，盖板1.0mm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带有盖板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理线档位：上下各24档</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标准19英寸机架式安装，高度：1U</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材料及厚度：SPCC冷轧钢板表面脱脂、磷化、静电喷塑处理，架体1.2，盖板1.0mm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带有盖板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理线档位：上下各24档</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带有贯穿孔，便于前后走线和冗余线缆的存放</w:t>
            </w:r>
          </w:p>
        </w:tc>
      </w:tr>
      <w:tr w14:paraId="49A790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7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E40DD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DDBADC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机柜PDU</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852D4B">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225622F8">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产品材质：铜导体，磷青铜插接件，PC，铝合金外壳</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产品特点：一条铜点焊工艺，插孔内置安全门，电源开关</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产品类型：10A插头，8位10A五孔插座</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执行标准：YD/T 2063-2009</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电缆长度：1.8米</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最大电流：输入电流10A，输出电流10A</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最大功率：2500W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阻燃等级：UL94 V1</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电线横截面积：1.0mm^2</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产品尺寸：标准1U配线架，长宽高：484.2mm*45mm*45mm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质量保证：5年包换</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包装数量：10个/箱</w:t>
            </w:r>
          </w:p>
        </w:tc>
      </w:tr>
      <w:tr w14:paraId="382824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DD348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2D33C9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LC－LC光纤跳线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CA31C0">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7F4526C9">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单模双芯光纤跳线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执行标准：YD/T 1258.2-2009；</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产品材质：氧化锆套管，环保阻燃PC防尘帽、锌合金金属外壳、G652D纤芯、全新环保LSZH低烟无卤外被;</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插芯：高品质陶瓷插芯；</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插入损耗：≤0.28dB；回波损耗：≥50dB；重复性≤0.1dB；</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光纤直径：9μm/125（±1）μm ，光缆外径：2.0mm；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光纤长度：3米（其他长度均可定制）;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应用环境：光纤传输网络、光纤设备间跳线、光学测试设备；</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接口类型：LC/FC,LC/SC,LC/ST;</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拔插次数：&gt;1000次；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研磨工序：4道；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使用温度：-20℃~85℃；</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阻燃等级：OFCG级</w:t>
            </w:r>
          </w:p>
        </w:tc>
      </w:tr>
      <w:tr w14:paraId="1B7176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1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CE860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FCEE98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落地网络机柜</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B28304">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5E35BE78">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规格：600宽*1000深1200高</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颜色：黑色</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容量: 22U</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标准19英寸国际标准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门及门锁前门:蓝边钢化前门/网孔门带锁；后门:单开网孔后门带锁；侧门:全钢侧门，可快速装卸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材料及工艺材料采用Q235冷轧钢板，钢板厚度0.9，横梁1.2，立柱2.0，台板0.9。表面处理采用脱脂、酸洗磷化静电喷塑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附加功能角规:22U镀锌4根，固定托盘1个；承重500kg；散热风扇2个；PDU1个；安装螺丝:40套</w:t>
            </w:r>
          </w:p>
        </w:tc>
      </w:tr>
      <w:tr w14:paraId="2D38B1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F4858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26</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E3DD00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PVC材料及配件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890AE7">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33664F9A">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20穿线管、线卡、配件</w:t>
            </w:r>
          </w:p>
        </w:tc>
      </w:tr>
      <w:tr w14:paraId="3EEE45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5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714A0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27</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084803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单口信息面板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C5B495">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7677AD59">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信息插座与面板采用90度安装方式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组合式结构，前后双层面板设计，外形美观，避免固定螺丝孔外露</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网络端口带弹簧式自动回弹防尘门设计，防止灰尘等异物侵入</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带有标识纸和标识盖，方便维护和使用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具有风格统一的单口网络规格</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面板尺寸：高度:86×宽度:86mm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颜色：白色</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材料：ABS</w:t>
            </w:r>
          </w:p>
        </w:tc>
      </w:tr>
      <w:tr w14:paraId="228065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7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67183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6B9B2C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六类非屏蔽网络模块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C93D48">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23DCFBDC">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采用PCB设计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可选择专用工具，一次性完成4对线的卡入及多余线缆的裁剪</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卡线槽与走线的方向呈45度，使施工更便捷，性能更优越</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每对打线槽中间有凸尖的机构，无需分开头部绞对，即可分线卡入线槽，从而有效控制开绞长度不破坏绞距</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标准：YD/T 926.3，ISO/IEC 11801；ANSI/TIA-568-C.2</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IDC：磷青铜</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防尘盖：PC材料</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插头与插座插合次数：≥1000次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导线端接次数：≥250次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打线方式：T568A/T568B</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IDC与金针方向：90度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卡接导体规格：单股、0.5mm～0.65mm、24AWG~22AWG</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最高传输频率：250MHz</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额定电流：0.75A</w:t>
            </w:r>
          </w:p>
        </w:tc>
      </w:tr>
      <w:tr w14:paraId="37CF20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9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61FAE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A0D2C4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单口TV面板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D0F327">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3668A5AF">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86×86，TV插座面板，带标示纸及标识盖，带弹簧式防尘门，90度模块安装，单口</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产品参数：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组合式结构，前后双层面板设计，外形美观，避免固定螺丝孔外露，面板与模块采用90度安装方式；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RJ45\RJ11端口带弹簧式自动回弹防尘门设计，防止灰尘等异物侵入，防尘门为白色、与面板整体风格协调统一，防尘门向上开启、便于操作、有效保护水晶头弹片，模块卡装接口为“梯形”接口、具有较好的兼容性、不得采用特殊专用卡装接口；</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带有可更换标识纸和标识盖，方便维护和使用；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具有风格统一的单口、双口、三口、四口网络，单口TV、TV加网络规格；</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面板尺寸：高度:86×宽度:86mm；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颜色：白色；</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材料：ABS；</w:t>
            </w:r>
          </w:p>
        </w:tc>
      </w:tr>
      <w:tr w14:paraId="20EEB9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1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83AD20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C787D0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电源线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A05D7EE">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1640E166">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轻型聚氯乙烯护套软线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标准：GB/T5023.5</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型号规格：60227 IEC 52(RVV3*1.5)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额定电压：300/300V</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导体工作温度：≤70℃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导体：GB/T3956第五种导体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绝缘：PVC，绝缘工艺：挤压式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护套：PVC，护套工艺：半挤压式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静态最小弯曲半径：6D</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安装温度：0℃~+50℃，工作温度：-15℃~+59℃</w:t>
            </w:r>
          </w:p>
        </w:tc>
      </w:tr>
      <w:tr w14:paraId="5B15FA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1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766A7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2CD741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电源线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72CC6C">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1F548DDA">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轻型聚氯乙烯护套软线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标准：GB/T5023.5</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型号规格：60227 IEC 52(RVV2*1.5)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额定电压：300/300V</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导体工作温度：≤70℃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导体：GB/T3956第五种导体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绝缘：PVC，绝缘工艺：挤压式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护套：PVC，护套工艺：半挤压式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静态最小弯曲半径：6D</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安装温度：0℃~+50℃，工作温度：-15℃~+59℃</w:t>
            </w:r>
          </w:p>
        </w:tc>
      </w:tr>
      <w:tr w14:paraId="2EB6E4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1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C744BC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A4CEFE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电源线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B3AC759">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0265C8B4">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轻型聚氯乙烯护套软线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标准：GB/T5023.5</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型号规格：60227 IEC 52(RVV2*0.75)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额定电压：300/300V</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导体工作温度：≤70℃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导体：GB/T3956第五种导体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绝缘：PVC，绝缘工艺：挤压式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护套：PVC，护套工艺：半挤压式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静态最小弯曲半径：6D</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安装温度：0℃~+50℃，工作温度：-15℃~+59℃</w:t>
            </w:r>
          </w:p>
        </w:tc>
      </w:tr>
      <w:tr w14:paraId="15D983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1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E0A41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5013DF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广播信号线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2712D4">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1994614E">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轻型聚氯乙烯护套软线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标准：GB/T5023.5</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型号规格：60227 IEC 52(RVV2*1.5)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额定电压：300/300V</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导体工作温度：≤70℃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导体：GB/T3956第五种导体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绝缘：PVC，绝缘工艺：挤压式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护套：PVC，护套工艺：半挤压式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静态最小弯曲半径：6D</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安装温度：0℃~+50℃，工作温度：-15℃~+59℃</w:t>
            </w:r>
          </w:p>
        </w:tc>
      </w:tr>
      <w:tr w14:paraId="6FA84C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D9F48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5F627B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电视信号线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949F86">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5FFBE086">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有线电视系统物理发泡聚乙烯绝缘聚乙烯护套同轴电缆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设备类型 ：有线电视线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适用范围 ：1GHz以下模拟信号和调制解调器数字信号传输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应用场景 ：电视、广播信号传输，公共天线，闭路电视监控系统</w:t>
            </w:r>
          </w:p>
        </w:tc>
      </w:tr>
      <w:tr w14:paraId="12872F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7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A81F4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4FD963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六类非屏蔽配线架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48BCB5">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6BD3912E">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标准19英寸机架式安装，高度：1U， 端口数量：24口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采用全塑料面板，金属底板结构，外形美观，机械强度高</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卡线座印有色标，方便施工和检验</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标准：YD/T 926.3，ISO/IEC 11801，TIA /EIA- 568-C.2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标识管理：自带标识纸和标识盖，标识盖带指扣方便拆卸，端口带序号标识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IDC：磷青铜</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金针：磷青铜表面镀金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线缆保护盖：PC 材料</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进线方式：180°进线，IDC：45°</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卡接导体规格：单股、0.5mm～0.65mm、24AWG~22AWG</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打线方式：T568A/T568B</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插头与插座插合次数：≥1000次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导线端接次数：≥250次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最高传输频率：100MHz</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工作温度：-10℃～+60℃</w:t>
            </w:r>
          </w:p>
        </w:tc>
      </w:tr>
      <w:tr w14:paraId="4A1163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4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A72C3F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36</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B12F78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12口光纤配线架（LC）</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B18DF1">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1F020EB4">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产品名称：机架式光纤终端盒</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产品类型：机架式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产品规格：通用12口</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厚度：1.0mm，SPSS，黑色（RAL 9005</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机箱重量：1.6Kg</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箱体颜色：黑色</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质感：光滑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箱体尺寸：44mm*482mm*201mm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材质：SPSS，黑色（RAL 9005）</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工作温度：-20℃--+70℃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存储温度：-20℃--+70℃</w:t>
            </w:r>
          </w:p>
        </w:tc>
      </w:tr>
      <w:tr w14:paraId="68EF14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65DEB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37</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468FC4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理线器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A3A06C">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7083AA9F">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标准19英寸机架式安装，高度：1U</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材料及厚度：SPCC冷轧钢板表面脱脂、磷化、静电喷塑处理，架体1.2，盖板1.0mm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带有盖板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理线档位：上下各24档</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带有贯穿孔，便于前后走线和冗余线缆的存放</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颜色：黑色</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尺寸：482×44×80mm</w:t>
            </w:r>
          </w:p>
        </w:tc>
      </w:tr>
      <w:tr w14:paraId="0CA0E3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7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F44E0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38</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A36007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机柜PDU</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01AD02">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289D4CCC">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产品材质：铜导体，磷青铜插接件，PC，铝合金外壳</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产品特点：一条铜点焊工艺，插孔内置安全门，电源开关</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产品类型：10A插头，8位10A五孔插座</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执行标准：YD/T 2063-2009</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电缆长度：1.8米</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最大电流：输入电流10A，输出电流10A</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最大功率：2500W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阻燃等级：UL94 V1</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电线横截面积：1.0mm^2</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产品尺寸：标准1U配线架，长宽高：484.2mm*45mm*45mm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质量保证：5年包换</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包装数量：10个/箱</w:t>
            </w:r>
          </w:p>
        </w:tc>
      </w:tr>
      <w:tr w14:paraId="3C11EA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6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DB113B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39</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067CDB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六类非屏蔽网络跳线（3米）</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20AC57">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4B87182E">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产品材质：395无氧铜芯，中心十字骨架，HDPE绝缘层，环保阻燃PVC外皮（CM级），PC，黄铜叉片</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适用系统：通常用于Cat6系统，传输1000Mbps流量；10GBASE-T，5GBASE-T，2.5GBASE-T，1000BASE-T，100BASE-T，10BASE-T</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屏蔽类型：U/UTP 非屏蔽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执行标准：ANSI/TIA568.2-D，ISO/IEC11801-1:2017，YD/T926.3-2024</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导线尺寸：（n*n*AWG）2*4*24AWG，铜芯直径 0.2mm±0.008mm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整线外径：6.0mm±0.3mm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线      序：T568B</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工艺特点：多股线设计（7*8股）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插拔次数：≥1000次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质检要求：Fluke Patch Cord 测试</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颜      色：红色</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PoE支持：Poe Type1/2/3/4</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使用温度：-20~60℃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阻燃等级：UL1581，CM级，IEC60332-1-2，GB/T18380.12-2022</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产品规格：3.0m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质量保证：5年包换</w:t>
            </w:r>
          </w:p>
        </w:tc>
      </w:tr>
      <w:tr w14:paraId="350F2B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B4BD09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209694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LC－LC光纤跳线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DCCE45">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345B7B3A">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单模双芯光纤跳线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执行标准：YD/T 1258.2-2009；</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产品材质：氧化锆套管，环保阻燃PC防尘帽、锌合金金属外壳、G652D纤芯、全新环保LSZH低烟无卤外被;</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插芯：高品质陶瓷插芯；</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插入损耗：≤0.28dB；回波损耗：≥50dB；重复性≤0.1dB；</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光纤直径：9μm/125（±1）μm ，光缆外径：2.0mm；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光纤长度：3米（其他长度均可定制）;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应用环境：光纤传输网络、光纤设备间跳线、光学测试设备；</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接口类型：LC/FC,LC/SC,LC/ST;</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拔插次数：&gt;1000次；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研磨工序：4道；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使用温度：-20℃~85℃；</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阻燃等级：OFCG级；</w:t>
            </w:r>
          </w:p>
        </w:tc>
      </w:tr>
      <w:tr w14:paraId="0F343B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1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BB48C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41</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190393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落地网络机柜</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3B0D66">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23F1C270">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规格：600宽*1000深1200高</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颜色：黑色</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容量: 22U</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标准19英寸国际标准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门及门锁前门:蓝边钢化前门/网孔门带锁；后门:单开网孔后门带锁；侧门:全钢侧门，可快速装卸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材料及工艺材料采用Q235冷轧钢板，钢板厚度0.9，横梁1.2，立柱2.0，台板0.9。表面处理采用脱脂、酸洗磷化静电喷塑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附加功能角规:22U镀锌4根，固定托盘1个；承重500kg；散热风扇2个；PDU1个；安装螺丝:40套</w:t>
            </w:r>
          </w:p>
        </w:tc>
      </w:tr>
      <w:tr w14:paraId="27A4E8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13F99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461448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PVC材料及配件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455BBA">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0ABB2F37">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20穿线管、线卡、配件</w:t>
            </w:r>
          </w:p>
        </w:tc>
      </w:tr>
      <w:tr w14:paraId="3C5C11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5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CC290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43</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CE5DAD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单口信息面板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173458">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66905258">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信息插座与面板采用90度安装方式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组合式结构，前后双层面板设计，外形美观，避免固定螺丝孔外露</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网络端口带弹簧式自动回弹防尘门设计，防止灰尘等异物侵入</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带有标识纸和标识盖，方便维护和使用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具有风格统一的单口网络规格</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面板尺寸：高度:86×宽度:86mm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颜色：白色</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材料：ABS</w:t>
            </w:r>
          </w:p>
        </w:tc>
      </w:tr>
      <w:tr w14:paraId="278709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AEBD2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44</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FC9FFA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六类非屏蔽网络模块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16F63D">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7ED548EE">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采用PCB设计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可选择专用工具，一次性完成4对线的卡入及多余线缆的裁剪</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卡线槽与走线的方向呈45度，使施工更便捷，性能更优越</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每对打线槽中间有凸尖的机构，无需分开头部绞对，即可分线卡入线槽，从而有效控制开绞长度不破坏绞距</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标准：YD/T 926.3，ISO/IEC 11801；ANSI/TIA-568-C.2</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IDC：磷青铜</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防尘盖：PC材料</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插头与插座插合次数：≥1000次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导线端接次数：≥250次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打线方式：T568A/T568B</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IDC与金针方向：90度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卡接导体规格：单股、0.5mm～0.65mm、24AWG~22AWG</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最高传输频率：250MHz</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额定电流：0.75A</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工作温度：-10℃～+60℃</w:t>
            </w:r>
          </w:p>
        </w:tc>
      </w:tr>
      <w:tr w14:paraId="05A477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1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280FE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9958EC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电源线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B35621">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3A180B96">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轻型聚氯乙烯护套软线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标准：GB/T5023.5</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型号规格：60227 IEC 52(RVV3*1.5)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额定电压：300/300V</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导体工作温度：≤70℃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导体：GB/T3956第五种导体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绝缘：PVC，绝缘工艺：挤压式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护套：PVC，护套工艺：半挤压式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静态最小弯曲半径：6D</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安装温度：0℃~+50℃，工作温度：-15℃~+59℃</w:t>
            </w:r>
          </w:p>
        </w:tc>
      </w:tr>
      <w:tr w14:paraId="462B0A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1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F1FDE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46</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7AB2EC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电源线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DE83AA">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79E7A164">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轻型聚氯乙烯护套软线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标准：GB/T5023.5</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型号规格：60227 IEC 52(RVV2*0.75)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额定电压：300/300V</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导体工作温度：≤70℃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导体：GB/T3956第五种导体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绝缘：PVC，绝缘工艺：挤压式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护套：PVC，护套工艺：半挤压式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静态最小弯曲半径：6D</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安装温度：0℃~+50℃，工作温度：-15℃~+59℃</w:t>
            </w:r>
          </w:p>
        </w:tc>
      </w:tr>
      <w:tr w14:paraId="4F5A1C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4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C797A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47</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66A9BE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广播信号线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F30F20">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1DB92700">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轻型聚氯乙烯护套软线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标准：GB/T5023.5</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型号规格：60227 IEC 52(RVV2*1.5)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额定电压：300/300V</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导体工作温度：≤70℃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导体：GB/T3956第五种导体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绝缘：PVC，绝缘工艺：挤压式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护套：PVC，护套工艺：半挤压式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静态最小弯曲半径：6D</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安装温度：0℃~+50℃，工作温度：-15℃~+59℃</w:t>
            </w:r>
          </w:p>
        </w:tc>
      </w:tr>
      <w:tr w14:paraId="3AF2D9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8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8A4A7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48</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23E69D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12口光纤配线架（LC）</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67F764">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08A29EAE">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产品名称：机架式光纤终端盒</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产品类型：机架式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产品规格：通用12口</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厚度：1.0mm，SPSS，黑色（RAL 9005</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机箱重量：1.6Kg</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箱体颜色：黑色</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质感：光滑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箱体尺寸：44mm*482mm*201mm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材质：SPSS，黑色（RAL 9005）</w:t>
            </w:r>
          </w:p>
        </w:tc>
      </w:tr>
      <w:tr w14:paraId="5CF793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7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7A73A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49</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71ED54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机柜PDU</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C99B24">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35D06BED">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产品材质：铜导体，磷青铜插接件，PC，铝合金外壳</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产品特点：一条铜点焊工艺，插孔内置安全门，电源开关</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产品类型：10A插头，8位10A五孔插座</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执行标准：YD/T 2063-2009</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电缆长度：1.8米</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最大电流：输入电流10A，输出电流10A</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最大功率：2500W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阻燃等级：UL94 V1</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电线横截面积：1.0mm^2</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产品尺寸：标准1U配线架，长宽高：484.2mm*45mm*45mm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质量保证：5年包换</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包装数量：10个/箱</w:t>
            </w:r>
          </w:p>
        </w:tc>
      </w:tr>
      <w:tr w14:paraId="6F4074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3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84EC5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D51DA5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六类非屏蔽网络跳线（3米）</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97619E">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4211B51D">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产品材质：395无氧铜芯，中心十字骨架，HDPE绝缘层，环保阻燃PVC外皮（CM级），PC，黄铜叉片</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适用系统：通常用于Cat6系统，传输1000Mbps流量；10GBASE-T，5GBASE-T，2.5GBASE-T，1000BASE-T，100BASE-T，10BASE-T</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屏蔽类型：U/UTP 非屏蔽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执行标准：ANSI/TIA568.2-D，ISO/IEC11801-1:2017，YD/T926.3-2024</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导线尺寸：（n*n*AWG）2*4*24AWG，铜芯直径 0.2mm±0.008mm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整线外径：6.0mm±0.3mm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线      序：T568B</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工艺特点：多股线设计（7*8股）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插拔次数：≥1000次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质检要求：Fluke Patch Cord 测试</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颜      色：红色</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PoE支持：Poe Type1/2/3/4</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使用温度：-20~60℃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阻燃等级：UL1581，CM级，IEC60332-1-2，GB/T18380.12-2022</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产品规格：3.0m</w:t>
            </w:r>
          </w:p>
        </w:tc>
      </w:tr>
      <w:tr w14:paraId="24279A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2B5B1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51</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C5197B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LC－LC光纤跳线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3E6306">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587A7E2A">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单模双芯光纤跳线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执行标准：YD/T 1258.2-2009；</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产品材质：氧化锆套管，环保阻燃PC防尘帽、锌合金金属外壳、G652D纤芯、全新环保LSZH低烟无卤外被;</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插芯：高品质陶瓷插芯；</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插入损耗：≤0.28dB；回波损耗：≥50dB；重复性≤0.1dB；</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光纤直径：9μm/125（±1）μm ，光缆外径：2.0mm；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光纤长度：3米（其他长度均可定制）;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应用环境：光纤传输网络、光纤设备间跳线、光学测试设备；</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接口类型：LC/FC,LC/SC,LC/ST;</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拔插次数：&gt;1000次；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研磨工序：4道；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使用温度：-20℃~85℃；</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阻燃等级：OFCG级；</w:t>
            </w:r>
          </w:p>
        </w:tc>
      </w:tr>
      <w:tr w14:paraId="257DE3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1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3F084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355971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落地网络机柜</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DFD556">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5E209819">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规格：600宽*1000深1200高</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颜色：黑色</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容量: 22U</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标准19英寸国际标准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门及门锁前门:蓝边钢化前门/网孔门带锁；后门:单开网孔后门带锁；侧门:全钢侧门，可快速装卸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材料及工艺材料采用Q235冷轧钢板，钢板厚度0.9，横梁1.2，立柱2.0，台板0.9。表面处理采用脱脂、酸洗磷化静电喷塑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附加功能角规:22U镀锌4根，固定托盘1个；承重500kg；散热风扇2个；PDU1个；安装螺丝:40套</w:t>
            </w:r>
          </w:p>
        </w:tc>
      </w:tr>
      <w:tr w14:paraId="12126C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F6A88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53</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9EC185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PVC材料及配件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8EB398">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6F619A49">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20穿线管、线卡、配件</w:t>
            </w:r>
          </w:p>
        </w:tc>
      </w:tr>
      <w:tr w14:paraId="7E7348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E4FD8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54</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D27C26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铝合金梯型桥架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CB46F0">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232A058D">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铝合金梯型桥架</w:t>
            </w:r>
          </w:p>
        </w:tc>
      </w:tr>
      <w:tr w14:paraId="45DBDF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40A0B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55</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A52067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服务器机柜</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F94071">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3E1F73BC">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①产品特性：SPCC优质冷轧钢板,前后焊接框架拼装机柜(可拆卸):前门：配高密度单开平板扁六角网孔门，后门：配高密度单开平板扁六角网孔门；具有良好的通风散热性能通风率&gt;75%;两块可拆卸侧板;钢材厚度(角规2.0mm,框架1.2mm,其他1.2mm);负载(动态1000kg，静态1300kg);表面脱脂、清洗、陶化、纯水清洗、静电喷塑处理;最大开启角度＞180度;防护等级IP20 ②出厂标配：8位10A国标PDU1套,固定托盘3块（32U及以下配1块),风扇部件1套(600深机柜配2只风扇外,其余配4只风扇),2"重型脚轮4只,M12支脚4只,M6方螺母螺钉40套（32U及以下配20套）,内六角扳手1只</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1、外形尺寸：机柜尺寸为600×1200×2000（单位：mm，宽×深×高），容量≥42U，外形方正不歪斜，整体防护等级不低于IP20。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2、机柜表面颜色为黑色（色号为RAL9003、RAL9004或RAL9005），喷塑厚度不少于60-80µm，机柜塑粉耐中性盐雾性能的测定，。</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3、机柜板材采用高强度优质碳素冷轧钢板或镀锌板，内立柱等主要称重部件板材厚度不低于2.0mm，主框架和侧安装梁等的板材厚度不低于1.2mm。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4、机柜内部4根方孔条，用于安装设备和固定层板，方孔条有清晰U数标识，方孔条侧面有安装孔。</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5、机柜静态承载能力达到1000kg，。</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6、前后门为高密度单开平板扁六角网孔门，前后门开启角度不低于110°。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7、机柜内至少含有2套2位风扇单元、3块托盘和1个PDU，PDU规格至少为8位电源插座PDU和机柜同一品牌。（800宽机柜含2条垂直走线槽、600宽不含）。</w:t>
            </w:r>
          </w:p>
        </w:tc>
      </w:tr>
      <w:tr w14:paraId="0FD244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7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21F15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56</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96DBD0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96芯ODF架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3C2679">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64368703">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产品名称：ODF单元箱</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配件: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a.熔纤盘: 8组</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b.喉箍卡圈: 8个</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C.热缩管: 12x8根</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d.裸纤保护管: 8米</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产品颜色：米白色</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产品材质：SPCC,米白色</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材质厚度：1.2mm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产品尺寸：265mm*482.6mm*254mm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产品重量：7.7Kg</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工作温度：-20℃--+70℃</w:t>
            </w:r>
          </w:p>
        </w:tc>
      </w:tr>
      <w:tr w14:paraId="5D793F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7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3A36F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57</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69E79B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机柜PDU</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AB8F1F">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507F6D5A">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产品材质：铜导体，磷青铜插接件，PC，铝合金外壳</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产品特点：一条铜点焊工艺，插孔内置安全门，电源开关</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产品类型：10A插头，8位10A五孔插座</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执行标准：YD/T 2063-2009</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电缆长度：1.8米</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最大电流：输入电流10A，输出电流10A</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最大功率：2500W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阻燃等级：UL94 V1</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电线横截面积：1.0mm^2</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产品尺寸：标准1U配线架，长宽高：484.2mm*45mm*45mm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质量保证：5年包换</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包装数量：10个/箱</w:t>
            </w:r>
          </w:p>
        </w:tc>
      </w:tr>
      <w:tr w14:paraId="2884CF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2A698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58</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C11421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落地室外不锈钢防水机柜</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39624C">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6E1707EB">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600*600*1200mm</w:t>
            </w:r>
          </w:p>
        </w:tc>
      </w:tr>
      <w:tr w14:paraId="58418D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5180D6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59</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3468B0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防水箱</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A4203D">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7B8A4804">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400*300*180 不锈钢   防水箱（带锁）</w:t>
            </w:r>
          </w:p>
        </w:tc>
      </w:tr>
      <w:tr w14:paraId="42D00B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7A5EF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347A8F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24芯室外光缆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F2F06D">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56FEFD0F">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松套层绞式光缆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产品材质:G652D纤芯，PE护套</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包层直径：125.0±0.7um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包层不圆度：≤1.0%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涂层直径：245±10um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涂层/包层同心度误差：≤12um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衰减系数：1310nm≤0.36dB/km；1550nm≤0.22dB/km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执行标准: YD/T 901-2009标准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光缆直径：9.0mm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拉力：长期：300N;短期：1000N；</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压扁力：长期：300N;短期：1000N</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安装温度：-10℃--+40℃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运行温度：-40℃--+60℃</w:t>
            </w:r>
          </w:p>
        </w:tc>
      </w:tr>
      <w:tr w14:paraId="56D926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4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AF2B6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61</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6AF90B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12芯室外光缆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B4ECF11">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1FFE9C0D">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中心束管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产品材质:G652D纤芯，PE护套</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产品规格：LF-GYXTW12芯</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套管直径：2.0mm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磷化钢丝直径：0.80mm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光缆直径：8.0mm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执行标准: YD/T 769-2010标准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拉力：长期：300N;短期：1000N；</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压扁力：长期：300N;短期：1000N</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安装温度：-10℃--+40℃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运行温度：-40℃--+70℃</w:t>
            </w:r>
          </w:p>
        </w:tc>
      </w:tr>
      <w:tr w14:paraId="5C1D38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1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4CC96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D44B80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4芯室外光缆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B63513">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2B7BD629">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中心束管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产品材质:G652D纤芯，PE护套</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套管直径：2.0mm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磷化钢丝直径：0.80mm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光缆直径：8.0mm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执行标准: YD/T 769-2010标准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拉力：长期：300N;短期：1000N；</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压扁力：长期：300N;短期：1000N</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安装温度：-10℃--+40℃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运行温度：-40℃--+70℃</w:t>
            </w:r>
          </w:p>
        </w:tc>
      </w:tr>
      <w:tr w14:paraId="2D33AF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7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FF7EE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63</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3C9846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12口光纤配线架（LC）</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543EA1">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298488BA">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产品名称：机架式光纤终端盒</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产品类型：机架式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产品规格：通用12口</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厚度：1.0mm，SPSS，黑色（RAL 9005</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机箱重量：1.6Kg</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箱体颜色：黑色</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质感：光滑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箱体尺寸：44mm*482mm*201mm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材质：SPSS，黑色（RAL 9005）</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工作温度：-20℃--+70℃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存储温度：-20℃--+70℃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执行标准：YD/T 925-2009</w:t>
            </w:r>
          </w:p>
        </w:tc>
      </w:tr>
      <w:tr w14:paraId="61B675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ABD70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64</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1B2666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4芯光纤终端盒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069348">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1D54296D">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产品名称：桌面式光纤终端盒</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产品类型：桌面式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产品规格：通用4口</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厚度：1.0mm，SPSS，黑色（RAL 9005</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机箱重量：0.5Kg</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箱体颜色：黑色</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质感：光滑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箱体尺寸：35mm*200mm*110mm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材质：SPSS，黑色（RAL 9005）</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工作温度：-20℃--+70℃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存储温度：-20℃--+70℃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执行标准：YD/T 925-2009</w:t>
            </w:r>
          </w:p>
        </w:tc>
      </w:tr>
      <w:tr w14:paraId="5830A0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1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8404E7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65</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4D9ADF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电源线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8924AD">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6048B923">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轻型聚氯乙烯护套软线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标准：GB/T5023.5</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型号规格：60227 IEC 52(RVV3*1.5)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额定电压：300/300V</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导体工作温度：≤70℃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导体：GB/T3956第五种导体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绝缘：PVC，绝缘工艺：挤压式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护套：PVC，护套工艺：半挤压式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静态最小弯曲半径：6D</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安装温度：0℃~+50℃，工作温度：-15℃~+59℃</w:t>
            </w:r>
          </w:p>
        </w:tc>
      </w:tr>
      <w:tr w14:paraId="2DBE21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1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BCA15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66</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FC91D6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电源线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93C9FC">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7D827643">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轻型聚氯乙烯护套软线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标准：GB/T5023.5</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型号规格：60227 IEC 52(RVV2*1.5)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额定电压：300/300V</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导体工作温度：≤70℃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导体：GB/T3956第五种导体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绝缘：PVC，绝缘工艺：挤压式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护套：PVC，护套工艺：半挤压式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静态最小弯曲半径：6D</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安装温度：0℃~+50℃，工作温度：-15℃~+59℃</w:t>
            </w:r>
          </w:p>
        </w:tc>
      </w:tr>
      <w:tr w14:paraId="20F679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1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556AAD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67</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4C826A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电源线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288D88">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343C72B3">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轻型聚氯乙烯护套软线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标准：GB/T5023.5</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型号规格：60227 IEC 52(RVV2*0.75)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额定电压：300/300V</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导体工作温度：≤70℃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导体：GB/T3956第五种导体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绝缘：PVC，绝缘工艺：挤压式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护套：PVC，护套工艺：半挤压式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静态最小弯曲半径：6D</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安装温度：0℃~+50℃，工作温度：-15℃~+59℃</w:t>
            </w:r>
          </w:p>
        </w:tc>
      </w:tr>
      <w:tr w14:paraId="6726E7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1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101B1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68</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CEDCA3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室外广播线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835BABB">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5326FDF8">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轻型聚氯乙烯护套软线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标准：GB/T5023.5</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型号规格：60227 IEC 52(RVV2*2.0)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额定电压：300/300V</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导体工作温度：≤70℃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导体：GB/T3956第五种导体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绝缘：PVC，绝缘工艺：挤压式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护套：PVC，护套工艺：半挤压式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静态最小弯曲半径：6D</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安装温度：0℃~+50℃，工作温度：-15℃~+59℃</w:t>
            </w:r>
          </w:p>
        </w:tc>
      </w:tr>
      <w:tr w14:paraId="0A654D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36BD0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69</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8B53AC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弱电空井</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216DCE7">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3B487DC3">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弱电空井汇聚处理</w:t>
            </w:r>
          </w:p>
        </w:tc>
      </w:tr>
      <w:tr w14:paraId="53CFB3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B2A04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70</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6303DD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PVC材料及配件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F88F21E">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1B6C0569">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20穿线管、线卡、配件</w:t>
            </w:r>
          </w:p>
        </w:tc>
      </w:tr>
      <w:tr w14:paraId="5168B9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2B86A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71</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9E4089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系统集成费</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64E609">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6075E96D">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根据现场安装调试系统集成．线路测试，及安装管材转接头，扎带、胶布，线路标识标签，过线铁丝等，投标商所集成的系统方案应具备先进性、安全性、可靠、稳定、经济适用性及未来具备良好的扩展性及兼容性，为确保系统的可靠性及稳定性，为了保证售后服务质量，要求供应商能提供优质服务。</w:t>
            </w:r>
          </w:p>
        </w:tc>
      </w:tr>
      <w:tr w14:paraId="079250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0" w:type="auto"/>
            <w:gridSpan w:val="4"/>
            <w:tcBorders>
              <w:top w:val="single" w:color="000000" w:sz="4" w:space="0"/>
              <w:left w:val="nil"/>
              <w:bottom w:val="single" w:color="000000" w:sz="4" w:space="0"/>
              <w:right w:val="nil"/>
            </w:tcBorders>
            <w:shd w:val="clear" w:color="auto" w:fill="FFFF00"/>
            <w:vAlign w:val="center"/>
          </w:tcPr>
          <w:p w14:paraId="160EF801">
            <w:pPr>
              <w:keepNext w:val="0"/>
              <w:keepLines w:val="0"/>
              <w:widowControl/>
              <w:suppressLineNumbers w:val="0"/>
              <w:jc w:val="center"/>
              <w:textAlignment w:val="center"/>
              <w:rPr>
                <w:rFonts w:hint="default" w:ascii="方正黑体_GBK" w:hAnsi="方正黑体_GBK" w:eastAsia="方正黑体_GBK" w:cs="方正黑体_GBK"/>
                <w:i w:val="0"/>
                <w:iCs w:val="0"/>
                <w:color w:val="000000"/>
                <w:sz w:val="18"/>
                <w:szCs w:val="18"/>
                <w:u w:val="none"/>
              </w:rPr>
            </w:pPr>
            <w:r>
              <w:rPr>
                <w:rFonts w:hint="default" w:ascii="方正黑体_GBK" w:hAnsi="方正黑体_GBK" w:eastAsia="方正黑体_GBK" w:cs="方正黑体_GBK"/>
                <w:i w:val="0"/>
                <w:iCs w:val="0"/>
                <w:color w:val="000000"/>
                <w:kern w:val="0"/>
                <w:sz w:val="18"/>
                <w:szCs w:val="18"/>
                <w:u w:val="none"/>
                <w:lang w:val="en-US" w:eastAsia="zh-CN" w:bidi="ar"/>
              </w:rPr>
              <w:t>校园监控</w:t>
            </w:r>
          </w:p>
        </w:tc>
      </w:tr>
      <w:tr w14:paraId="37A49C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89" w:hRule="atLeast"/>
        </w:trPr>
        <w:tc>
          <w:tcPr>
            <w:tcW w:w="0" w:type="auto"/>
            <w:tcBorders>
              <w:top w:val="nil"/>
              <w:left w:val="single" w:color="000000" w:sz="4" w:space="0"/>
              <w:bottom w:val="single" w:color="000000" w:sz="4" w:space="0"/>
              <w:right w:val="single" w:color="000000" w:sz="4" w:space="0"/>
            </w:tcBorders>
            <w:shd w:val="clear" w:color="auto" w:fill="auto"/>
            <w:vAlign w:val="center"/>
          </w:tcPr>
          <w:p w14:paraId="717AD53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0" w:type="auto"/>
            <w:tcBorders>
              <w:top w:val="nil"/>
              <w:left w:val="single" w:color="000000" w:sz="4" w:space="0"/>
              <w:bottom w:val="single" w:color="000000" w:sz="4" w:space="0"/>
              <w:right w:val="single" w:color="000000" w:sz="4" w:space="0"/>
            </w:tcBorders>
            <w:shd w:val="clear" w:color="auto" w:fill="FFFFFF"/>
            <w:vAlign w:val="center"/>
          </w:tcPr>
          <w:p w14:paraId="2AC442A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400万全彩半球</w:t>
            </w:r>
          </w:p>
        </w:tc>
        <w:tc>
          <w:tcPr>
            <w:tcW w:w="0" w:type="auto"/>
            <w:tcBorders>
              <w:top w:val="nil"/>
              <w:left w:val="single" w:color="000000" w:sz="4" w:space="0"/>
              <w:bottom w:val="single" w:color="000000" w:sz="4" w:space="0"/>
              <w:right w:val="single" w:color="000000" w:sz="4" w:space="0"/>
            </w:tcBorders>
            <w:shd w:val="clear" w:color="auto" w:fill="auto"/>
            <w:vAlign w:val="center"/>
          </w:tcPr>
          <w:p w14:paraId="6A4DEEAC">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1D9BA132">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1、图像尺寸≥2688x1520、帧率≥25fps</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2、靶面尺寸为1/3英寸；</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3、需支持IP66防尘防水；</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4、摄像机应能在DC（12±25%）V范围内正常工作，支持POE供电；</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5、内置1个麦克风，1个RJ45网络接口；</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6、红外（激光）摄像机在30米距离下应能探测到目标。</w:t>
            </w:r>
          </w:p>
        </w:tc>
      </w:tr>
      <w:tr w14:paraId="5E136A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89" w:hRule="atLeast"/>
        </w:trPr>
        <w:tc>
          <w:tcPr>
            <w:tcW w:w="0" w:type="auto"/>
            <w:tcBorders>
              <w:top w:val="nil"/>
              <w:left w:val="single" w:color="000000" w:sz="4" w:space="0"/>
              <w:bottom w:val="single" w:color="000000" w:sz="4" w:space="0"/>
              <w:right w:val="single" w:color="000000" w:sz="4" w:space="0"/>
            </w:tcBorders>
            <w:shd w:val="clear" w:color="auto" w:fill="auto"/>
            <w:vAlign w:val="center"/>
          </w:tcPr>
          <w:p w14:paraId="17D5D45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482A53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400万全彩半球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145718">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098DC179">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1、图像尺寸≥2688x1520、帧率25fps</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2、靶面尺寸为1/3英寸；</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3、需支持IP66防尘防水；</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4、摄像机应能在DC（12±25%）V范围内正常工作，支持POE供电；</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5、内置1个麦克风，1个RJ45网络接口；</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6、红外（激光）摄像机在30米距离下应能探测到目标。</w:t>
            </w:r>
          </w:p>
        </w:tc>
      </w:tr>
      <w:tr w14:paraId="6C28FF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77" w:hRule="atLeast"/>
        </w:trPr>
        <w:tc>
          <w:tcPr>
            <w:tcW w:w="0" w:type="auto"/>
            <w:tcBorders>
              <w:top w:val="nil"/>
              <w:left w:val="single" w:color="000000" w:sz="4" w:space="0"/>
              <w:bottom w:val="single" w:color="000000" w:sz="4" w:space="0"/>
              <w:right w:val="single" w:color="000000" w:sz="4" w:space="0"/>
            </w:tcBorders>
            <w:shd w:val="clear" w:color="auto" w:fill="auto"/>
            <w:vAlign w:val="center"/>
          </w:tcPr>
          <w:p w14:paraId="6F9C9BD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060217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400枪球球机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52B9AE">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6A980B03">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1、全景视频图像分辨率不小于3680 × 1656，细节摄像机分辨率不低于2688 × 1520；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2、全景视频图像内置1个镜头，光圈不小于F1.0，具有不小于1/1.0靶面尺寸，内置4颗补光灯。细节视频图像内置1个镜头，内置10颗红外补光灯及1颗白光灯；</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3、内置不少于2个GPU芯片，全景画面水平视场角190°，垂直视场角80°；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4、支持水平旋转范围360°连续旋转，垂直旋转范围-20°~90°，全景通道可进行垂直旋转，旋转范围不低于12°；</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5、设备smart 事件上报的抓图支持叠加规则区域和目标框：可配置报警抓图叠加目标信息及规则信息，支持开启及关闭；支持设置告警区域最大可包含整个监控画面；支持设置预览画面是否叠加显示规则区域框及告警提示信息；</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6、设备支持可从诊断信息中导出云台控制历史记录，包括：手动键控PTZ、3D定位、手动调用预置点、手动调用花扫、手动调用巡航。</w:t>
            </w:r>
          </w:p>
        </w:tc>
      </w:tr>
      <w:tr w14:paraId="60949C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89" w:hRule="atLeast"/>
        </w:trPr>
        <w:tc>
          <w:tcPr>
            <w:tcW w:w="0" w:type="auto"/>
            <w:tcBorders>
              <w:top w:val="nil"/>
              <w:left w:val="single" w:color="000000" w:sz="4" w:space="0"/>
              <w:bottom w:val="single" w:color="000000" w:sz="4" w:space="0"/>
              <w:right w:val="single" w:color="000000" w:sz="4" w:space="0"/>
            </w:tcBorders>
            <w:shd w:val="clear" w:color="auto" w:fill="auto"/>
            <w:vAlign w:val="center"/>
          </w:tcPr>
          <w:p w14:paraId="1FC17F9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A454E8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400万全彩半球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835855">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4C4E7388">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1、图像尺寸≥2688x1520、帧率25fps</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2、靶面尺寸为1/3英寸；</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3、需支持IP66防尘防水；</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4、摄像机应能在DC（12±25%）V范围内正常工作，支持POE供电；</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5、内置1个麦克风，1个RJ45网络接口；</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6、红外（激光）摄像机在30米距离下应能探测到目标。</w:t>
            </w:r>
          </w:p>
        </w:tc>
      </w:tr>
      <w:tr w14:paraId="255CE8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77" w:hRule="atLeast"/>
        </w:trPr>
        <w:tc>
          <w:tcPr>
            <w:tcW w:w="0" w:type="auto"/>
            <w:tcBorders>
              <w:top w:val="nil"/>
              <w:left w:val="single" w:color="000000" w:sz="4" w:space="0"/>
              <w:bottom w:val="single" w:color="000000" w:sz="4" w:space="0"/>
              <w:right w:val="single" w:color="000000" w:sz="4" w:space="0"/>
            </w:tcBorders>
            <w:shd w:val="clear" w:color="auto" w:fill="auto"/>
            <w:vAlign w:val="center"/>
          </w:tcPr>
          <w:p w14:paraId="51A5747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DA788F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600万全彩枪机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BC2BBF">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7ECEF151">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1、最大分辨率3200 × 1800，水平分辨率不低于1800线。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2、最低照度彩色：0.005 lx。</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3、靶面尺寸1/1.8英寸，内置1个麦克风，1个RJ45网络接口。</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4、红外，白光补光可识别不小于30米处的人体。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5、具备区域入侵、越界、进入区域、离开区域、人员聚集、快速移动、徘徊、物品移除、物品遗留、停车智能分析功能，当以上智能分析行为达到设定的阈值时，可通过客户端软件或IE浏览器给出报警提示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6、相机可听清距离10m处声级不小于70dB的声音。</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7、同一静止场景相同图像质量下，设备在H.264或H.265编码方式时，开启智能编码功能和不开启智能编码相比，码率节约80%。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8、不低于IP66防尘防水等级。</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9、支持DC12V和PoE供电，任何一路供电停止后，设备均可连续工作。</w:t>
            </w:r>
          </w:p>
        </w:tc>
      </w:tr>
      <w:tr w14:paraId="320258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40" w:hRule="atLeast"/>
        </w:trPr>
        <w:tc>
          <w:tcPr>
            <w:tcW w:w="0" w:type="auto"/>
            <w:tcBorders>
              <w:top w:val="nil"/>
              <w:left w:val="single" w:color="000000" w:sz="4" w:space="0"/>
              <w:bottom w:val="single" w:color="000000" w:sz="4" w:space="0"/>
              <w:right w:val="single" w:color="000000" w:sz="4" w:space="0"/>
            </w:tcBorders>
            <w:shd w:val="clear" w:color="auto" w:fill="auto"/>
            <w:vAlign w:val="center"/>
          </w:tcPr>
          <w:p w14:paraId="5FD8598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03178E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视频存储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D63071">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0D0C2BED">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1、标配≥3个千兆网口，1个千兆管理口，1个eSATA接口，2个USB2.0接口，2个USB3.0接口。</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2、单设备配置≥64位多核处理器，标配8GB内存，内存支持扩展到≥64GB，内置SSD固态硬盘和IoT企业级硬盘。内含360T硬盘。</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3、可通过IE浏览器设置RAID组为RAID0、RAID1、RAID5、RAID6、RAID10、RAID50模式。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4、应能在RAID内丢失2块（含）以上硬盘但至少有8块正常磁盘时，无需等待丢失盘恢复，保留的硬盘中的数据可正常读出，且新数据可正常写入。</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5、可对视图片、视频进行混合直存，无须存储服务器和图片服务器的参与，平台服务器宕机时，存储业务正常。</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6、应能接入并存储总码流不超过1600Mbps的800路2Mbps码流的视（音）频图像；同时下载总码流不超过160Mbps带宽的80路2Mbps码流的视（音）频图像；同时回放总码流不超过160Mbps的80路2Mbps码流的视（音）频图像。</w:t>
            </w:r>
          </w:p>
        </w:tc>
      </w:tr>
      <w:tr w14:paraId="09841C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40" w:hRule="atLeast"/>
        </w:trPr>
        <w:tc>
          <w:tcPr>
            <w:tcW w:w="0" w:type="auto"/>
            <w:tcBorders>
              <w:top w:val="nil"/>
              <w:left w:val="single" w:color="000000" w:sz="4" w:space="0"/>
              <w:bottom w:val="single" w:color="000000" w:sz="4" w:space="0"/>
              <w:right w:val="single" w:color="000000" w:sz="4" w:space="0"/>
            </w:tcBorders>
            <w:shd w:val="clear" w:color="auto" w:fill="auto"/>
            <w:vAlign w:val="center"/>
          </w:tcPr>
          <w:p w14:paraId="5BB7DFF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E5C972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LCD</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38AB17">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45D30AC0">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1、LCD显示单元尺寸为≥55；超窄边液晶屏；单元物理拼缝≤3.5mm，物理分辨率达到1920×1080，对比度达到1000：1。</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2、LCD显示单元响应时间≤8ms，显示色彩达到16.7M，亮度达到500cd/㎡，图像显示清晰度达到1000TVL。</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3、内置MPEG、JPEG和 Real media解码器，支持点播U盘、移动硬盘中的视频、图片、音频或文本资源。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4、屏幕支持防灼烧功能，能够有效改善液晶长时间显示静态画面时造成的残影现象。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5、拼接屏具备智能温控功能，当屏幕温度在55-60℃之间时，会提醒用户温度过高，请及时通风；当温度超过60℃，屏幕会立即进入休眠状态；等温度降至50℃以下会被唤醒或者通过遥控器主动唤醒。</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6、支持4比3、16比9、点对点等比例显示。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7、内置智能系统，可快速读取显示屏信息，包括屏幕背光源、亮度、对比度、分辨率等基本信息。</w:t>
            </w:r>
          </w:p>
        </w:tc>
      </w:tr>
      <w:tr w14:paraId="431D94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4" w:space="0"/>
              <w:bottom w:val="single" w:color="000000" w:sz="4" w:space="0"/>
              <w:right w:val="single" w:color="000000" w:sz="4" w:space="0"/>
            </w:tcBorders>
            <w:shd w:val="clear" w:color="auto" w:fill="auto"/>
            <w:vAlign w:val="center"/>
          </w:tcPr>
          <w:p w14:paraId="54C5505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02361C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支架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53244BF">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5BCE155D">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55英寸-模块化支架</w:t>
            </w:r>
          </w:p>
        </w:tc>
      </w:tr>
      <w:tr w14:paraId="326560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34" w:hRule="atLeast"/>
        </w:trPr>
        <w:tc>
          <w:tcPr>
            <w:tcW w:w="0" w:type="auto"/>
            <w:tcBorders>
              <w:top w:val="nil"/>
              <w:left w:val="single" w:color="000000" w:sz="4" w:space="0"/>
              <w:bottom w:val="single" w:color="000000" w:sz="4" w:space="0"/>
              <w:right w:val="single" w:color="000000" w:sz="4" w:space="0"/>
            </w:tcBorders>
            <w:shd w:val="clear" w:color="auto" w:fill="auto"/>
            <w:vAlign w:val="center"/>
          </w:tcPr>
          <w:p w14:paraId="7A0DF87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3F54D4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解码器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35212A">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7DB7084B">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1、采用嵌入式架构，专用Linux系统，使用DSP解码。为了设备稳定可靠运行，不得采用工控机或者PC机的X86架构。</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2、支持2路3200W、或2路2400W、或4路1200W、或8路800W、或10路分辨率为600W、或16路400W、或32路200W、或64路100W像素的视频图像同时解码上墙，支持对主/子码流区分取流和解码显示。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3、支持客户端软件将电脑投屏后，通过设备对电脑进行远程操作。</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4、为保证产品兼容性，需提供设备支持GB/T 28181-2022的证明。</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5、支持全部输出口同时输出3840×2160分辨率的图像。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6、每个输出口支持任意开窗、漫游；任意1路信号显示画面可进行任意漫游、缩放；可在单屏或多屏的任意位置上叠加显示，图层最大不少于64层。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7、支持不通过IP网络，通过红外遥控器实现解码图像切换、场景切换、屏幕亮度调节。（提供封面具有CNAS认证标识的公安部报告证明）</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8、显控系统设备间支持信息交互功能，通过平台/客户端界面能够查看屏幕运维信息，包括使用时长、序列号、温度、亮度、显示模式，支持下发配置屏幕参数。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9、支持通过客户端软件将电脑整屏、单窗口、自定义区域的图像投屏上墙，画面帧率可达30fps，分辨率为1920×1080，延迟低于90ms，可发送至多个输出接口拼接显示。</w:t>
            </w:r>
          </w:p>
        </w:tc>
      </w:tr>
      <w:tr w14:paraId="0D609F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66" w:hRule="atLeast"/>
        </w:trPr>
        <w:tc>
          <w:tcPr>
            <w:tcW w:w="0" w:type="auto"/>
            <w:tcBorders>
              <w:top w:val="nil"/>
              <w:left w:val="single" w:color="000000" w:sz="4" w:space="0"/>
              <w:bottom w:val="single" w:color="000000" w:sz="4" w:space="0"/>
              <w:right w:val="single" w:color="000000" w:sz="4" w:space="0"/>
            </w:tcBorders>
            <w:shd w:val="clear" w:color="auto" w:fill="auto"/>
            <w:vAlign w:val="center"/>
          </w:tcPr>
          <w:p w14:paraId="199357D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568B82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安防电脑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7713D9">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23FA22FC">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国产通用台式计算机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处理器：配置1颗国产C86架构CPU，每颗CPU物理核心数≥8核，每颗CPU主频≥2.7GHz；</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内存：配置≥8GB DDR4 内存，配置支持≥2个内存插槽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显卡：≥2G独立显卡，支持VGA+HDMI视频输出显示；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硬盘：≥512GB SSD，≥原厂1TB机械硬盘；</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电源：电源功率≥200W。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网络：1个RJ45 10/100/1000自适应以太网口，标配1个内置M.2 WiFi接口；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接口扩展：USB接口≥9个（其中前置USB3.0 Type A数量≥4个，前置TYPE C数量≥1个，后置USB3.0接口≥2个，USB2.0接口≥2个；），串口1个；音频接口：麦克风1个，耳机1个；后端3个Audio音频接口；</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扩展槽：≥1个PCIe x16，1个PCIe x4，1个PCIe x1扩展槽；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机箱：≥11L。</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键鼠：配置1套防水键盘及抗菌鼠标；国产正版操作系统，操作系统提供青少年上网保护功能，交货时须提供操作系统制造商出具的授权对象为采购人的正版软件授权证书。办公软件：1、国产正版教育办公软件。2、满足“国考”及云南“省考”要求。3、办公软件须与采购人现有业务系统无缝对接。4、交付时提供制造商出具的针对采购人的正版软件授权证书，正版授权不低于3年。</w:t>
            </w:r>
          </w:p>
        </w:tc>
      </w:tr>
      <w:tr w14:paraId="4E16E9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14" w:hRule="atLeast"/>
        </w:trPr>
        <w:tc>
          <w:tcPr>
            <w:tcW w:w="0" w:type="auto"/>
            <w:tcBorders>
              <w:top w:val="nil"/>
              <w:left w:val="single" w:color="000000" w:sz="4" w:space="0"/>
              <w:bottom w:val="single" w:color="000000" w:sz="4" w:space="0"/>
              <w:right w:val="single" w:color="000000" w:sz="4" w:space="0"/>
            </w:tcBorders>
            <w:shd w:val="clear" w:color="auto" w:fill="auto"/>
            <w:vAlign w:val="center"/>
          </w:tcPr>
          <w:p w14:paraId="286F292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F1953B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轻量化平台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A15D60">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26AB0927">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【教育综合安防管理平台】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1、管理一体机包含300路监控视频授权，50个周界防区授权，10路紧急报警授权；具备≥64位多核高性能处理器，内置不低于512G SSD，1个HDMI接口、1个DP接口；2个10M/100M/1000Mbps网口；2个USB2.0接口；2个USB3.0接口。</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2、支持视频预览、录像回放、即时回放、录像剪辑、手动录像和录像下载时叠加水印；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支持在线和离线GIS地图、静态地图导入，同时支持对一个区域添加多张静态地图，支持在地图上添加标记、收藏、测量、放大缩小等基本地图工具，支持地图上资源点的搜索，实现在地图上资源的快速定位，支持资源点报警时，在地图上发生颜色变化，按不同等级的报警显示报警数，并显示报警列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4、支持以脸搜脸的多脸模式，上传一张图片中有多个人脸时，可对图片中的多个人脸一次识别后依次选择进行以脸搜脸，无需多次上传，人脸数最大不超过五个（以公安部检测报告为准）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5、支持视频事件级联，包括：穿越警戒面、进入区域、离开区域、区域入侵、人员聚集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组织人员数据同步：支持同步组织、人员、人脸、卡片数据；组织数据包括：组织名称等；人员数据包括：姓名、工号、性别、证件号、所属组织等；卡片数据包括：卡号、对应人员（以公安部检测报告为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支持对监控点、编码设备的在线状态进行设备巡检，并以统计图方式展示巡检结果；支持对监控的图像进行视频质量诊断，图像异常项包括图像偏色、噪声干扰、图像过暗、图像过亮、视频丢帧、视频抖动、对比度异常、条纹干扰、视频遮挡、信号丢失、图像黑白、图像模糊、场景变换、视频剧变（以公安部检测报告为准）</w:t>
            </w:r>
          </w:p>
        </w:tc>
      </w:tr>
      <w:tr w14:paraId="21C5EE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0" w:type="auto"/>
            <w:tcBorders>
              <w:top w:val="nil"/>
              <w:left w:val="single" w:color="000000" w:sz="4" w:space="0"/>
              <w:bottom w:val="single" w:color="000000" w:sz="4" w:space="0"/>
              <w:right w:val="single" w:color="000000" w:sz="4" w:space="0"/>
            </w:tcBorders>
            <w:shd w:val="clear" w:color="auto" w:fill="auto"/>
            <w:vAlign w:val="center"/>
          </w:tcPr>
          <w:p w14:paraId="6E4C40C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81D1DF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操作台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641451">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4B16C7A7">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全钢喷漆制操作台，包含2把弓形椅。</w:t>
            </w:r>
          </w:p>
        </w:tc>
      </w:tr>
      <w:tr w14:paraId="220724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57" w:hRule="atLeast"/>
        </w:trPr>
        <w:tc>
          <w:tcPr>
            <w:tcW w:w="0" w:type="auto"/>
            <w:tcBorders>
              <w:top w:val="nil"/>
              <w:left w:val="single" w:color="000000" w:sz="4" w:space="0"/>
              <w:bottom w:val="single" w:color="000000" w:sz="4" w:space="0"/>
              <w:right w:val="single" w:color="000000" w:sz="4" w:space="0"/>
            </w:tcBorders>
            <w:shd w:val="clear" w:color="auto" w:fill="auto"/>
            <w:vAlign w:val="center"/>
          </w:tcPr>
          <w:p w14:paraId="19C6E46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7AC6E8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24口接入交换机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22D455">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4C0C25E0">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1、交换容量≥336Gbps。</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2、转发性能≥128Mpps。</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3、固化10/100/1000M自适应以太网端口≥24个，固化1G SFP光接口≥4个；</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4、≥24个电口支持POE和POE+远程供电，整机POE功率输出≥370W，</w:t>
            </w:r>
          </w:p>
        </w:tc>
      </w:tr>
      <w:tr w14:paraId="103FBA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0" w:type="auto"/>
            <w:tcBorders>
              <w:top w:val="nil"/>
              <w:left w:val="single" w:color="000000" w:sz="4" w:space="0"/>
              <w:bottom w:val="single" w:color="000000" w:sz="4" w:space="0"/>
              <w:right w:val="single" w:color="000000" w:sz="4" w:space="0"/>
            </w:tcBorders>
            <w:shd w:val="clear" w:color="auto" w:fill="auto"/>
            <w:vAlign w:val="center"/>
          </w:tcPr>
          <w:p w14:paraId="2850FED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1FEB10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光模块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50FB5A">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029D241E">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光模块-SFP-GE-单模模块-(1310nm,10km,LC)</w:t>
            </w:r>
          </w:p>
        </w:tc>
      </w:tr>
      <w:tr w14:paraId="31E3EC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4" w:space="0"/>
              <w:bottom w:val="single" w:color="000000" w:sz="4" w:space="0"/>
              <w:right w:val="single" w:color="000000" w:sz="4" w:space="0"/>
            </w:tcBorders>
            <w:shd w:val="clear" w:color="auto" w:fill="auto"/>
            <w:vAlign w:val="center"/>
          </w:tcPr>
          <w:p w14:paraId="72B9702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BB9376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机柜</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34B0E6">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599AE17D">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600X800X2000、前后网口、</w:t>
            </w:r>
          </w:p>
        </w:tc>
      </w:tr>
      <w:tr w14:paraId="0660F5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4" w:hRule="atLeast"/>
        </w:trPr>
        <w:tc>
          <w:tcPr>
            <w:tcW w:w="0" w:type="auto"/>
            <w:tcBorders>
              <w:top w:val="nil"/>
              <w:left w:val="single" w:color="000000" w:sz="4" w:space="0"/>
              <w:bottom w:val="single" w:color="000000" w:sz="4" w:space="0"/>
              <w:right w:val="single" w:color="000000" w:sz="4" w:space="0"/>
            </w:tcBorders>
            <w:shd w:val="clear" w:color="auto" w:fill="auto"/>
            <w:vAlign w:val="center"/>
          </w:tcPr>
          <w:p w14:paraId="41D9344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847C57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防雷排插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3C41B3">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0357D68A">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最大持续工作电压：230V.，标称放电流：5kA。最大放电电流：10kA，雷电冲击电流：12kA,电压保护水平：≤1.25kA，响应时间≤25ns，备用保险丝：16A，防护等级：IP20。</w:t>
            </w:r>
          </w:p>
        </w:tc>
      </w:tr>
      <w:tr w14:paraId="25D2F3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4" w:space="0"/>
              <w:bottom w:val="single" w:color="000000" w:sz="4" w:space="0"/>
              <w:right w:val="single" w:color="000000" w:sz="4" w:space="0"/>
            </w:tcBorders>
            <w:shd w:val="clear" w:color="auto" w:fill="auto"/>
            <w:vAlign w:val="center"/>
          </w:tcPr>
          <w:p w14:paraId="26FC2D2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5C5CBD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配电柜</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327F0C">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1EE196AB">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墙柜一台，250A空开一个，二级防雷器一套，接入63A空开10组</w:t>
            </w:r>
          </w:p>
        </w:tc>
      </w:tr>
      <w:tr w14:paraId="48A722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4" w:space="0"/>
              <w:bottom w:val="single" w:color="000000" w:sz="4" w:space="0"/>
              <w:right w:val="single" w:color="000000" w:sz="4" w:space="0"/>
            </w:tcBorders>
            <w:shd w:val="clear" w:color="auto" w:fill="auto"/>
            <w:vAlign w:val="center"/>
          </w:tcPr>
          <w:p w14:paraId="6A2FC16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2F32F0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防水盒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FB7423">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25F29847">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定制</w:t>
            </w:r>
          </w:p>
        </w:tc>
      </w:tr>
      <w:tr w14:paraId="531677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4" w:space="0"/>
              <w:bottom w:val="single" w:color="000000" w:sz="4" w:space="0"/>
              <w:right w:val="single" w:color="000000" w:sz="4" w:space="0"/>
            </w:tcBorders>
            <w:shd w:val="clear" w:color="auto" w:fill="auto"/>
            <w:vAlign w:val="center"/>
          </w:tcPr>
          <w:p w14:paraId="36246EF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0CE5CF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墙柜</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E7CE07">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7479B0F7">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定制</w:t>
            </w:r>
          </w:p>
        </w:tc>
      </w:tr>
      <w:tr w14:paraId="1A33DA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3" w:hRule="atLeast"/>
        </w:trPr>
        <w:tc>
          <w:tcPr>
            <w:tcW w:w="0" w:type="auto"/>
            <w:tcBorders>
              <w:top w:val="nil"/>
              <w:left w:val="single" w:color="000000" w:sz="4" w:space="0"/>
              <w:bottom w:val="single" w:color="000000" w:sz="4" w:space="0"/>
              <w:right w:val="single" w:color="000000" w:sz="4" w:space="0"/>
            </w:tcBorders>
            <w:shd w:val="clear" w:color="auto" w:fill="auto"/>
            <w:vAlign w:val="center"/>
          </w:tcPr>
          <w:p w14:paraId="3182A4A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F9FCEA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辅助材料及调试</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9C3371">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2A1F8C8A">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相关辅材配件，水晶头、扎带、防水胶布等</w:t>
            </w:r>
          </w:p>
        </w:tc>
      </w:tr>
      <w:tr w14:paraId="2BB76D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6" w:hRule="atLeast"/>
        </w:trPr>
        <w:tc>
          <w:tcPr>
            <w:tcW w:w="0" w:type="auto"/>
            <w:tcBorders>
              <w:top w:val="nil"/>
              <w:left w:val="single" w:color="000000" w:sz="4" w:space="0"/>
              <w:bottom w:val="single" w:color="000000" w:sz="4" w:space="0"/>
              <w:right w:val="single" w:color="000000" w:sz="4" w:space="0"/>
            </w:tcBorders>
            <w:shd w:val="clear" w:color="auto" w:fill="auto"/>
            <w:vAlign w:val="center"/>
          </w:tcPr>
          <w:p w14:paraId="0B672D5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AC6FBD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集成安装</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902EE0">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4D256952">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根据现场安装调试系统集成．线路测试，及安装管材转接头，扎带、胶布，线路标识标签，过线铁丝等，投标商所集成的系统方案应具备先进性、安全性、可靠、稳定、经济适用性及未来具备良好的扩展性及兼容性，为确保系统的可靠性及稳定性，为了保证售后服务质量，要求供应商能提供本地化服务。</w:t>
            </w:r>
          </w:p>
        </w:tc>
      </w:tr>
      <w:tr w14:paraId="55AC27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2" w:hRule="atLeast"/>
        </w:trPr>
        <w:tc>
          <w:tcPr>
            <w:tcW w:w="0" w:type="auto"/>
            <w:gridSpan w:val="4"/>
            <w:tcBorders>
              <w:top w:val="single" w:color="000000" w:sz="4" w:space="0"/>
              <w:left w:val="nil"/>
              <w:bottom w:val="single" w:color="000000" w:sz="4" w:space="0"/>
              <w:right w:val="nil"/>
            </w:tcBorders>
            <w:shd w:val="clear" w:color="auto" w:fill="FFFF00"/>
            <w:vAlign w:val="center"/>
          </w:tcPr>
          <w:p w14:paraId="536FEFFF">
            <w:pPr>
              <w:keepNext w:val="0"/>
              <w:keepLines w:val="0"/>
              <w:widowControl/>
              <w:suppressLineNumbers w:val="0"/>
              <w:jc w:val="center"/>
              <w:textAlignment w:val="center"/>
              <w:rPr>
                <w:rFonts w:hint="default" w:ascii="方正黑体_GBK" w:hAnsi="方正黑体_GBK" w:eastAsia="方正黑体_GBK" w:cs="方正黑体_GBK"/>
                <w:i w:val="0"/>
                <w:iCs w:val="0"/>
                <w:color w:val="000000"/>
                <w:sz w:val="18"/>
                <w:szCs w:val="18"/>
                <w:u w:val="none"/>
              </w:rPr>
            </w:pPr>
            <w:r>
              <w:rPr>
                <w:rFonts w:hint="default" w:ascii="方正黑体_GBK" w:hAnsi="方正黑体_GBK" w:eastAsia="方正黑体_GBK" w:cs="方正黑体_GBK"/>
                <w:i w:val="0"/>
                <w:iCs w:val="0"/>
                <w:color w:val="000000"/>
                <w:kern w:val="0"/>
                <w:sz w:val="18"/>
                <w:szCs w:val="18"/>
                <w:u w:val="none"/>
                <w:lang w:val="en-US" w:eastAsia="zh-CN" w:bidi="ar"/>
              </w:rPr>
              <w:t>校园广播</w:t>
            </w:r>
          </w:p>
        </w:tc>
      </w:tr>
      <w:tr w14:paraId="442904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9232D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B47D03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广播一体机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B17C7C7">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448277E5">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外观时尚：铝合金面板黑金刚色</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稳定可靠：全金属设计，机箱可抗接触式4KV强电磁干扰；AC 100-240V 宽压输入</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兼容性强：支持MINI-ITX、Micro-ATX、ATX等全系列工业板卡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高性能：高扩展性支持6/7/8/9代 LGA1150针脚的全系列处理器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人机界面友好：10点工规电容触摸屏，A+规工业级液晶屏，抽拉一体化键鼠</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EDP直接点屏无需转接 高清稳定显示输出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主机自带6个串口、支持多路外接设备</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ESD 接触式4Kv，气隙6Kv电磁干扰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高可靠性网络连接、双网口</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支持7槽扩展 1* PCIEx16 , 1* PCIEx4 , 1*PCIEx1 , 4* PCI 支持多路音频扩展</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认证 3C 节能环保</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宽压 AC 100-240V ATX300W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标准RJ45网络接口，有以太网口的地方即可接入，支持跨网段和跨路由</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系统功能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实时广播：支持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定时广播：支持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处理器类型：主频3.2 四核四线程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内存大小：运行内存8GB 、存储内存256G（固态硬盘）</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系统外设</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网络：10/100/1000Mbps</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USB：4*USB3.0,4*USB2.0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RS232：6*RS232(COM3,COM4可选RS232/485)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一般规范</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产品尺寸：W*H*D 484*353.5*303（mm）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工作温度和湿度：5℃～45℃， ≤90%RH（无结露）</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整机接口：1*VGA, 1*DVI，1*HDMI；2* LAN，支持10/100/1000Mbps； 标配6*RS232(COM3,COM4可选RS232/485)；8*USB(4*USB3.0,4*USB2.0) 1*MIC in,1* Line out,1* Line in，1*金属带灯开关, 1*PS/2</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认证国内常规</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认证：3C认证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音频</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产品重量：17.39(KG)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屏幕：17.3寸电容式(十点触控)触控屏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功耗：≤300W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音频处理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频响范围（-3 dB）：20Hz-20KHz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信噪比：LINE: ≥70dB， MIC: ≥70dB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网络及安全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网络协议：TCP/IP、UDP、ARP、ICMP、IGMP</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产品执行标准(具体版本号以标签为准)：Q/BFW 244</w:t>
            </w:r>
          </w:p>
        </w:tc>
      </w:tr>
      <w:tr w14:paraId="421F96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1E1D1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CE0120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AE2750">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3E294DD6">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国产通用台式计算机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处理器：配置1颗国产C86架构CPU，每颗CPU物理核心数≥8核，每颗CPU主频≥3.0GHz，所有核心智能频率可提升至≥3.3GHz，三级缓存≥16MB，支持超线程技术；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内存：配置8GB DDR4 UDIMM内存，配置支持≥2个内存插槽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显卡：标配2G独立显卡，支持VGA+HDMI视频输出显示；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硬盘：≥512GB M.2接口NVME协议SSD，可支持≥2块M.2 SSD，≥原厂1TB机械硬盘</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光驱：Slim DVD RW；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电源：电源功率≥200W。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网络：1个RJ45 10/100/1000自适应以太网口，标配1个内置M.2 WiFi接口；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接口扩展：USB接口≥9个（其中前置USB3.0 Type A数量≥4个，前置TYPE C数量≥1个，后置USB3.0接口≥2个，USB2.0接口≥2个；），串口1个；音频接口：麦克风1个，耳机1个；后端3个Audio音频接口；</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扩展槽：≥1个PCIe x16，1个PCIe x4，1个PCIe x1扩展槽；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机箱：机箱≥11L，免工具拆卸机箱、带顶置提手，便于维护（不接受组装）。                                                                          数据安全：1、支持基于BIOS级的一键备份和恢复的功能（非操作系统自带功能），提供软件著作权证书；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2、BIOS级USB屏蔽及智能USB数据保护：USB支持BIOS下全部接口一键开关、前后置USB口分组开关；针对存储设备支持全部USB接口一键切换、前后置USB口分组切换禁止访问模式/只读模式。                                                                           显示器：配置≥23.8寸LED显示器，与主机同品牌，分辨率≥1920*1080，刷新频率≥75Hz，对比度≥3000:1，视频接口VGA+HDMI；</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键鼠：配置1套防水键盘及抗菌鼠标；</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国产正版操作系统，操作系统提供青少年上网保护功能，交货时须提供操作系统制造商出具的授权对象为采购人的正版软件授权证书。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办公软件：1、国产正版教育办公软件。2、满足“国考”及云南“省考”要求。3、办公软件须与采购人现有业务系统无缝对接。4、交付时提供制造商出具的针对采购人的正版软件授权证书，正版授权不低于3年。</w:t>
            </w:r>
          </w:p>
        </w:tc>
      </w:tr>
      <w:tr w14:paraId="46DD3D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6E2F60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BE1F68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网络寻呼话筒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1260BA">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777B7B17">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1.安卓系统，10.1寸彩色IPS 触摸屏，支持第三方app安装，便于拓展个性业务应用；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2.支持获取平台下发的终端列表，媒体库文件；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3.支持将媒体库里的音源播放到广播终端或者分区；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4.设备本地可支持音视频存储功能，包括对讲录音、对讲录像，监视录音、监视录像；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5.支持与网络音箱，网络音箱进行双工对讲；</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6.设备具备HDMI接口，可进行电脑等显示器投屏；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7.支持有线接入，并支持标准POE供电，安装更方便；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8.支持账号密码登录方式；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9.Web管理：设备支持web进行参数配置、账号管理、系统维护等操作。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10.支持与门禁设备进行双向可视对讲，并可远程控制门禁开锁；</w:t>
            </w:r>
          </w:p>
        </w:tc>
      </w:tr>
      <w:tr w14:paraId="1055DE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3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956C6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20F75C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数字调谐器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6570D69">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415E6892">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采用石英锁相环路频率合成器式调节回路，接收频率精确稳定；2，设有高亮度动态VFD荧光显示，清晰醒眼；支持调频、调幅（FM/AM）立体声二波段接收选择，电台频率记忆存储可达80个；3，两组接收天线输入：AM接收天线输入，FM接收天线70Ω输入；4，具有电台频率自搜索存储功能，且有断电记忆功能；2路音频信号左右声道输出；5，设有轻触式按键操作，可直接输入频率电台播放；6，2U标准机箱设计，铝合金面板，美观实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环境参数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工作湿度：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10%-90%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产品执行标准(具体版本号以标签为准)：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Q/BFW 285</w:t>
            </w:r>
          </w:p>
        </w:tc>
      </w:tr>
      <w:tr w14:paraId="1D9FF2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1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E6C19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581726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DVD播放器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81BF69">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75554F8B">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采用进口数码机芯，系统+ESS解码方案，超强的纠错功能。支持视频输出。带FM收音调音功能，带蓝牙连接播放。既有CD/DVD部分，蓝牙USB-MP3、FM调频音频可以独立输出，也有音频混合输出接口。配有遥控器，可以用遥控操作播放。带有1个混合输出，总音量电位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一般规范</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材质：铝合金面板，铁质外壳。</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颜色：黑色</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安装方式：机柜安装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产品尺寸：482*98*360mm(宽*高*深)</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包装尺寸：484*390*88mm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带包装重量：5.2Kg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工作温度和湿度：-20~+50°C，95%无冷凝</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装箱清单：</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机器*1； 电源线*1； 说明书*1； 遥控器*2； 音频线*1</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音频</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灵敏度：250～450mv</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工作电源：AC110～220V/50Hz(正负5%波动)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产品重量：4.8kg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功耗：＜15W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产品执行标准(具体版本号以标签为准)：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Q/BFW 339</w:t>
            </w:r>
          </w:p>
        </w:tc>
      </w:tr>
      <w:tr w14:paraId="3604B9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3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504CE9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217018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广播话筒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D747A5C">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4DDD1598">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1，换能方式：电容式；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2，频率响应(Hz)：40Hz-16KHz；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3，指向性：心型指向；</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4，输出阻抗：200Ω；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5，灵敏度：-40dB±2dB；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6，供电电压：DC3V/AC220V.   电源线3m；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7，有效适音距离：50cm；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8，音频线配置：5米单芯、卡龙母+ 6.35单声道插嘴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9，机械自锁，带叮咚前奏音；</w:t>
            </w:r>
          </w:p>
        </w:tc>
      </w:tr>
      <w:tr w14:paraId="0BDBE8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6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03043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F4A05B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前置放大器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7B6DD2">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237E3D12">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路话筒输入，3路线路输入，2路紧急线路输入，2路线路输出功能话筒1和紧急线路具有最高优先，强行切入优先功能；话筒（MIC2、3、4、5）与线路（AUX1、2、3）同级话筒和线路音量独立可调设有高音和低音独立调节2U标准机箱设计，铝合金面板，美观实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一般规范</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额定功率：30 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产品尺寸：483 × 342 × 90 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工作温度和湿度：5 ℃~45 ℃，20%~80%相对湿度，无结露</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音频</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灵敏度：MIC灵敏度：-40 dB AUX灵敏度：-12 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输入电源：AC220 V</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频率响应：20~20 KHZ(≤±3 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总谐波失真：≤1%</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信噪比（A记权）：≥75 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线路输出：0 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产品执行标准(具体版本号以标签为准)：Q/BFW 285</w:t>
            </w:r>
          </w:p>
        </w:tc>
      </w:tr>
      <w:tr w14:paraId="400215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067C7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EA67D9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网络音频采集器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A9F2ED">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1F31323E">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前面板7寸彩色IPS 触摸屏，分辨率：1024 × 600支持对指定的分区或终端进行实时广播、喊话或者播放媒体库文件可选择一个或者多个终端,设定快捷键对外进行广播；最多可定义F1-F6六种快捷选择1路4段式3.5mm输入、2路6.5mm音频输入接口、1路RCA输入接口、蓝牙输入1路本地扬声器输出， 1路3.5mm输出设备支持通过账号及密码登录设备支持参数配置、账号管理、系统维护等操作支持长按一键紧急呼叫（长按3秒）指定终端或者所有终端进行紧急喊话支持通过手机蓝牙广播支持通过遥控器进行远程操作快捷广播</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系统功能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系统兼容性：支持嵌入式操作系统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蓝牙：支持蓝牙BT5.0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系统外设网络：1个</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本地存储：支持TF卡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显示屏：IPS，7英寸，1024 × 600，支持触摸</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按键类型：实体按键+触摸按键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供电方式：DC 12 V；功耗：10 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工作温度和湿度：-10 °C ~ +50 °C 10%~90%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音频处理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音频编码及码率：G.711U，64 Kbps 采样位宽支持16bits</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回声消除：支持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网络及安全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网络协议：ISAPI，ISUP</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产品执行标准(具体版本号以标签为准)：Q/BFW 244</w:t>
            </w:r>
          </w:p>
        </w:tc>
      </w:tr>
      <w:tr w14:paraId="68C077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5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6F911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90AD40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电源控制器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1BCA48">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4AD552C1">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寸彩色液晶智能显示窗，可实时显示当前电压，日期时间，通道开关状态。有8路开关通道输出，每路延时开启和关闭时间可自由设置（范围0-999秒，单位为秒）。支持面板Lock锁定功能，防止误操作。内置时钟芯片，可根据日期时间定时设置自动开关机。支持多台设备级联顺序控制，级联自动检测设置。配置R232接口，支持外部中控设备控制；配置RS485接口，支持主从机器级联控制或中控控制功能。每台设备自带ID设置和检测，可实现远程集中控制。PC软件控制具备模式保存、调用、通道开关状态、开关机延时设置、过压欠压保护、电压校准等功能设置。支持上电自启功能，机器给电自动开机无需再次手动控制。欠压、超压检测及报警。支持安卓手机和PC软件远程控制。在延时设置页面下，当开延时选项设成无穷大，即表示此通道永远不会接通，当关延时选项设成无穷大，即表示此通道永远不会关闭。支持8组设备开关场景数据保存/调用，场景管理应用简单便捷。主电缆均为高纯铜缆，国标3C认证护套线 3×6mm²，长度 1.5 米。</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工作温度和湿度：-10℃～60℃，40%～60%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净重：4.4 kg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带包装重量：4.95 kg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产品尺寸：485 mm × 290 mm × 45 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包装尺寸：536 mm × 410 mm × 80 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装箱清单：设备主机、用户手册</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工作电源：220VAC, 50/60Hz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输出通道延时：0到999秒</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输出电流：单路额定输出电流13A 额定总输出电流30A</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线路输出：8路，外加2路输出辅助通道（辅助通道机器上电即通电，不受时序器控制）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产品执行标准(具体版本号以标签为准)：Q/BFW 315</w:t>
            </w:r>
          </w:p>
        </w:tc>
      </w:tr>
      <w:tr w14:paraId="2866CE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9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D21332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69D9AD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网络消防矩阵</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FCB5B0">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32BBE935">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采用32位高速处理器，性能强劲、速度快。支持TCP/IP和RS485两种通讯方式，可独立通讯也可冗余备份通讯，通讯数据加密处理，更安全。支持20路报警输入（IO），具有防短、防剪功能。支持丰富多样的联动功能，如I/O联动，事件联动。内置RTC，支持NTP校时、手动校时、自动校时功能。具有备用电池设计，外部供电断开时可不间断切换蓄电池供电。（蓄电池需另配）支持在线升级功能。支持看门狗检测功能，保障长期稳定运行。</w:t>
            </w:r>
          </w:p>
        </w:tc>
      </w:tr>
      <w:tr w14:paraId="6ABB0A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1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2F457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E7A4E5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校时模块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64B0B5B">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3A74E425">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支持 GPS、北斗、GLONASS、QZSS多种星座内部集成高精度授时 GNSS 卫星接收机以太端口支持 10/100M，全双工、半双工，支持自动协商机制访问量可达 6000 次/秒局域网同步授时精度：0.5-2ms支持 MD5 信息验证支持 SERVER 和 BROADCAST 工作模式支持用户自定义 MAC 地址NMEA0183 通过 TCP 协议传输结构小巧，安装方便，超低功耗，稳定可靠</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无线通信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移动网络：RJ45 连接器，10/100M 自适应。</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系统外设</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指示灯：1*电源指示灯，1*PW灯，1*NTP灯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供电方式：6-24V 直流输入，默认 12V。5.5*2.5mm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额定功率：1W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材质：铝</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颜色：黑色</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安装方式：桌面、轨道</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产品尺寸：90*80*23.8mm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包装尺寸：270*165*50mm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净重：0.15kg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带包装重量：0.4kg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工作温度和湿度：如 -30~+60°C，95%无冷凝</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装箱清单：主机、电源线、天线、合格证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产品执行标准(具体版本号以标签为准)：YD/T 2022</w:t>
            </w:r>
          </w:p>
        </w:tc>
      </w:tr>
      <w:tr w14:paraId="2D97A4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0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9F27D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F22159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监听音箱</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FB37CF">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42AD08EB">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一体化壁挂式设计，内置网络音频解码、高性能D类功放及全频扬声器单元</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内置双通道数字功放，支持定阻输出，可外接一路副音箱，具备服务器音量调节功能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采用双核芯片，内置NOR Flash+EMMC双存储，支持系统双备份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支持安全启动、用户登录锁定机制及密码复杂度提示，支持安全审计日志事后可追溯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支持通过IP网络（局域网/公网），远程平台批量统一管理+本地WEB单机灵活配置，同时支持本地音频采集播放</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支持实时和定时任务播放，支持本地保存60个定时任务，内置1GB存储空间最多支持1000个wav、mp3音频素材库管理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支持NTP自动校时，系统时间与服务器自动同步，确保多设备播放同步和定时任务准时执行</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集成DRC和AEC、ANS、AGC音频算法，支持播放MP3、WAV格式音频文件，支持48kHz采样率16bit数字音频码流解码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可脱离平台独立联动IPC事件报警，如人员聚集报警、异常事件检测等，针对不同报警事件播报不同内容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设备独立支持报警输入、布防计划及语音联动，支持TTS语音合成和文本广播，自然流畅的标准男女双声可选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支持网络音频信号、本地3.5mm本地输入、蓝牙音频输入进行混音，根据任务优先级自动调整音量，优先级可配置，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支持广播平台设置断点续播功能，每日同时段的循环播放具备断点记忆，被打断恢复后，可自动从下一个音频文件开始播放</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支持离线广播功能，下发音频文件、定时广播任务和报警触发任务后，终端在断网后可继续播放</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内置阵列麦克风，支持平台端对现场的监听与对讲</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具有过流、过热、过压、欠压、过载、短路保护功能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物理接口：报警输入 ╳ 2、音频输入：Line in ╳ 1音频输出：定阻输出 ╳ 2</w:t>
            </w:r>
          </w:p>
        </w:tc>
      </w:tr>
      <w:tr w14:paraId="7ADB37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3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C893A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FDE1FA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24口接入交换机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2AEE70">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1461ED36">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1、交换容量≥336Gbps，提供官网截图和链接证明。</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2、转发性能≥126Mpps，提供官网截图和链接证明。</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3、固化10/100/1000M自适应以太网端口≥24个，固化1G SFP光接口≥4个；提供清晰产品图片、官网截图和链接证明。要求所投设备MAC地址≥16K。</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4、≥24个电口支持POE和POE+远程供电，整机POE功率输出≥370W，提供官网截图和链接证明。</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5、要求所投设备支持1对1、1对多、多对1和基于流的本地、远程镜像；且支持RSPAN和ERSPAN。</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6、支持CPU保护功能，能限制非法报文对CPU的攻击，保护交换机在各种环境下稳定工作。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7、支持专门基础网络保护机制，能够限制用户向网络中发送数据包的速率，对有攻击行为的用户进行隔离，保证设备和整网的安全稳定运行。</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8、提供工信部设备进网许可证。</w:t>
            </w:r>
          </w:p>
        </w:tc>
      </w:tr>
      <w:tr w14:paraId="2AC509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9FFA8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0FDF3A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机柜</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86D593F">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63800A44">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600*1000*2000</w:t>
            </w:r>
          </w:p>
        </w:tc>
      </w:tr>
      <w:tr w14:paraId="5D79A9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1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8ED2A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E567F0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IP网络主音箱</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65AE6A">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40C1A1EF">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一体化壁挂式设计，内置网络音频解码、高性能D类功放及全频扬声器单元</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内置双通道数字功放，支持定阻输出，可外接一路副音箱，具备服务器音量调节功能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采用双核芯片，内置NOR Flash+EMMC双存储，支持系统双备份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支持安全启动、用户登录锁定机制及密码复杂度提示，支持安全审计日志事后可追溯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支持通过IP网络（局域网/公网），远程平台批量统一管理+本地WEB单机灵活配置，同时支持本地音频采集播放</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支持实时和定时任务播放，支持本地保存60个定时任务，内置1GB存储空间最多支持1000个wav、mp3音频素材库管理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支持NTP自动校时，系统时间与服务器自动同步，确保多设备播放同步和定时任务准时执行</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集成DRC和AEC、ANS、AGC音频算法，支持播放MP3、WAV格式音频文件，支持48kHz采样率16bit数字音频码流解码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可脱离平台独立联动IPC事件报警，如人员聚集报警、异常事件检测等，针对不同报警事件播报不同内容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设备独立支持报警输入、布防计划及语音联动，支持TTS语音合成和文本广播，自然流畅的标准男女双声可选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支持网络音频信号、本地3.5mm本地输入、蓝牙音频输入进行混音，根据任务优先级自动调整音量，优先级可配置，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支持广播平台设置断点续播功能，每日同时段的循环播放具备断点记忆，被打断恢复后，可自动从下一个音频文件开始播放</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支持离线广播功能，下发音频文件、定时广播任务和报警触发任务后，终端在断网后可继续播放</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内置阵列麦克风，支持平台端对现场的监听与对讲</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具有过流、过热、过压、欠压、过载、短路保护功能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物理接口：报警输入* 2、音频输入：Line in * 1音频输出：定阻输出*2</w:t>
            </w:r>
          </w:p>
        </w:tc>
      </w:tr>
      <w:tr w14:paraId="0DD68B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1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BD967B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77283F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IP网络副音箱</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1B81C6">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37D11E46">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连接主音箱扩音</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额定功率：10 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扬声器单元：全频5.25′′ × 1</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灵敏度（1 m，1 W）：90 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最大声压级（1 m）：98 dBSPL</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频率响应：100 Hz-20 kHz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音频输入：定阻输入 × 1，COM 8 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材质：木制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颜色：黑色</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产品尺寸：181 mm × 158 mm × 280 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包装尺寸：260 mm × 250 mm × 220 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裸机重量：≈0.4 kg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带包装重量：≈0.5 kg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工作温度：-10 ℃~50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工作湿度：小于90%（无凝结）</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装箱清单：整机 × 1 安装螺丝包 × 1 安装贴纸 × 1 说明书 × 1</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产品执行标准(具体版本号以标签为准)：Q/BFW 339</w:t>
            </w:r>
          </w:p>
        </w:tc>
      </w:tr>
      <w:tr w14:paraId="72DD0E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3256B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17</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08923E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网络功放</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B57CB6">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7A2B9F6D">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系统参数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设备内存512MB，设备存储4GB，设备采用嵌入式Linux系统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音频参数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采样率：8kHz～48kHz；频率响应：150Hz-20KHz；音量调节：支持本地及远程音量调节；音频压缩标准：PCM/G.711U/G.711A/MP3/OPUS；音频格式：mp3/wav；音频压缩码率：64 Kbps；音质：16位物理接口</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10M/100M/1000Mbps 网口*1，支持WIFI/4G/5G组网方式，报警输入*2，报警输出*2，音量调节旋钮*1，6.5mm音频输入*1，定压输出*2，RCA输入*1，RCA输出*1，复位开关*1，指示灯*3，电源接口*1，TF卡槽*1，SIM卡槽*1，485接口*1，网络音频接口*1，线路输入*1</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外观材质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设备表面不应明显有明显凹痕，划伤，裂缝，变形和污渍，表面涂镀层应均匀，不应有气泡，龟裂，脱落和磨损，设备机身应具有完整产品标签；</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环境适应性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待机功耗：≤20W（18.3W）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实时广播功能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功放可以通过远程IP网络（局域网、公网）、本地采集、进行实时广播；</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定时广播功能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定时广播：功放可提前被远程IP网络（局域网、公网）下发定时广播任务，到点后自动播放定时广播任务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异常保护</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支持短路保护</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支持超负载线路保护（输出限幅）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支持对音源做限频保护</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报警联动功能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收到中心下发的报警联动信息、或检测到本地报警输入时，支持报警联动播放指定的音频文件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本地按键功能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1、支持通过“暂停/播放”按钮启动、停止U盘中音频文件的播放</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2、支持通过“上一曲”、“下一曲”循环切换U盘中的播放曲目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音频功能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支持按照配置的混音规则对输入音频进行混音，输出通道输出音频为混音后的音频效果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可通过本地音量调节旋钮调节所有通道的输出音量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网络参数配置与获取</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1、TCP/IP配置：支持自动获取或手动配置网络地址（IP地址、子网掩码、默认网关、DNS1、DNS2），支持配置报警中心IP及端口，支持获取MAC地址及MTU（只读）</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2、端口配置：支持配置HTTP、HTTPS、服务端口</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3、高级网络参数：平台接入参数配置，包括平台接入方式、是否启用、协议版本、服务器地址、服务器端口、设备ID、登录秘钥、注册状态（只读）</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定时广播配置与获取</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1、支持音频文件配置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1）支持添加、删除、清空、编辑音频文件，编辑为修改音频文件名称。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2）支持展示音频文件列表，包括序号、名称、格式、大小、持续时长、操作（编辑、删除）</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2、支持任务配置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支持添加、删除、清空、复制、修改任务。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3、任务信息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1）每个任务可以包含多个周计划、日计划时间段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2）周计划或日计划信息包括：名称、开始日期、结束日期、执行日（周一~周日）、开始时间、结束时间、播放模式、音源、播放优先级、语音合成内容、语音类型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事件参数配置与获取</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1、报警输入配置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支持针对每个报警输入口配置报警输入参数，选择报警输入口后，可配置报警类型、报警名称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2、报警输出配置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支持针对每个报警输出口配置报警输出参数，选择报警输出口后，可配置延时、报警名称、信号持续时间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3、报警联动设置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1）报警输出联动：报警源、是否联动报警输出、报警输出口</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2）广播输出联动：是否联动广播输出、输出通道、广播优先级、播放模式、关联音频</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静音关闭电源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功放不进行广播时，关闭扬声器电源，待机运行功耗不超过20W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安全功能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禁止存在绕过正常安全认证机制直接进入到系统里的隐藏途径，包括但不限于隐藏账号和口令等；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防暴力破解基于用户口令的用户认证鉴权，输入密码超过6次即会锁定；</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用户密码配置需符合安全复杂度要求，需包含字母，数字，至少包含8位字节；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项需提供带有CNAS标识的第三方检测报告复印件并加盖公章</w:t>
            </w:r>
          </w:p>
        </w:tc>
      </w:tr>
      <w:tr w14:paraId="395309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3976D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B177CC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壁挂音箱</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7CCACF">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0AFEA827">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壁挂式安装设计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木质音箱</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带3档音量调节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最大功率 10W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产品尺寸 167 (L)×98 (W)×277(H)mm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壳体 ABS+木箱</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产品净重 2.1kg</w:t>
            </w:r>
          </w:p>
        </w:tc>
      </w:tr>
      <w:tr w14:paraId="518546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5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298B4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B8B6B5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网络音柱</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C39415">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58045E73">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采用网络音频解码、高性能D类功放及扬声器三合一，中低音和高音分频设计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采用双核芯片，内置NOR Flash+EMMC双存储，支持系统双备份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支持安全启动、用户登录锁定机制及密码复杂度提示，支持安全审计日志事后可追溯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支持通过IP网络（局域网/公网），远程平台批量统一管理+本地WEB单机灵活配置，同时支持本地音频采集播放</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支持实时和定时任务播放，支持本地保存60个定时任务，内置1GB存储空间最多支持1000个wav、mp3音频素材库管理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支持NTP自动校时，系统时间与服务器自动同步，确保多设备播放同步和定时任务准时执行</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集成DRC和AEC、ANS、AGC音频算法，支持播放MP3、WAV格式音频文件，支持48kHz采样率16bit数字音频码流解码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支持DC24V/POE等多种供电方式，可根据供电方式需要选择不同的设备版本</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设备独立支持报警输入、布防计划及语音联动，支持TTS语音合成和文本广播，自然流畅的标准男女双声可选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支持网络广播及本地输入混音、优先级可配置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可脱离平台独立联动IPC事件报警，如人员聚集报警、异常事件检测等，针对不同报警事件播报不同内容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支持离线广播功能，下发音频文件、定时广播任务和报警触发任务后，终端在断网后可继续播放</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支持广播平台设置断点续播功能，每日同时段的循环播放具备断点记忆，被打断恢复后，可自动从下一个音频文件开始播放</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内置阵列麦克风，支持平台端对现场的监听与对讲</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物理接口：报警输入 *2、音频输入：Line in *2</w:t>
            </w:r>
          </w:p>
        </w:tc>
      </w:tr>
      <w:tr w14:paraId="0915B9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CE75A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240E51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纯后级功放</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B4D0C7">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2679FCCC">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两路线路输入，第二组PIN2可作为输出级联下一台功放。设有热保护、过流、过压、短路保护等功能。支持多种指示灯显示（电源、信号、峰值、故障）。采用风机强制散热结构，可以让机器长时间工作。本机有热保护、过流、过压、短路保护，开机延时等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灵敏度（1 m，1 W）：0dB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额定功率：900W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总谐波失真THD：≤0.1%</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输出通道功能：定压100V输出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工作温度和湿度：-10~ 40℃；20%~ 80%相对湿度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装箱清单：产品手册*1，设备*1，电源线*1</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存储湿度：20%~ 80%相对湿度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输入电源：100-240V~ 50Hz/60Hz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频率响应：80Hz-16KHz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信噪比：≥85dB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产品执行标准(具体版本号以标签为准)：SJ/T 10406</w:t>
            </w:r>
          </w:p>
        </w:tc>
      </w:tr>
      <w:tr w14:paraId="7390BF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43B064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21</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0E50D5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前置放大器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8341A78">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4DC0B087">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路话筒输入，3路线路输入，2路紧急线路输入，2路线路输出功能话筒1和紧急线路具有最高优先，强行切入优先功能；话筒（MIC2、3、4、5）与线路（AUX1、2、3）同级话筒和线路音量独立可调设有高音和低音独立调节2U标准机箱设计，铝合金面板，美观实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额定功率：30 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产品尺寸：483 × 342 × 90 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工作温度和湿度：5 ℃~45 ℃，20%~80%相对湿度，无结露</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灵敏度：MIC灵敏度：-40 dB AUX灵敏度：-12 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输入电源：AC220 V</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频率响应：20~20 KHZ(≤±3 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总谐波失真：≤1%</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信噪比（A记权）：≥75 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线路输出：0 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产品执行标准(具体版本号以标签为准)：Q/BFW 285</w:t>
            </w:r>
          </w:p>
        </w:tc>
      </w:tr>
      <w:tr w14:paraId="59EE5E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32FF0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21EC31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网络解码终端</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8F72CE">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794AE4F6">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1.2U机架式设计，机柜式单通道网络音频解码设备，支持将网络音频解码成模拟音源，解码完成后可通过外接的功放进行扩音</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2.带前置信号输入功能(1路话筒输入、1路辅助线路输入、1路网络音频)；</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3.设备具有音量环形指示灯，支持远程调节所有通道的输出音量；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4.支持被广播主机或平台发起实时广播，可对单个通道或多个通道进行广播；</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5.支持通过6.5mm或莲花头输入进行实时广播；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6.内置大容量存储器，支持接收通过管理机或平台远程下发的音频文件、定时广播任务和报警触发任务；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7.支持离线广播，当网络中断时、可自动开启本地播放；</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8.支持网络输入和本地一路音频输入进行混音；</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9.支持中心下发报警联动信息、或检测到本地报警输入时，联动输出报警信号、或联动播放指定的音频文件；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10.支持通过Web进行参数配置、系统维护等操作；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11.具有红绿双色指示灯，显示设备工作状态；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12.国际通用的宽电压供电设计（200-240V），电源电压适应能力强；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13.可拓展4G组网；</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14.具有1路负载强电控制开关；</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15.标准RJ45接口，有以太网口地方即可接入，支持跨网段和跨路由。</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操作系统 嵌入式Linux</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处理器主频 1GHz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内存 512MB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EMMC 4GB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音频输入 6.5mmMIC输入接口*1,莲花头输入*1，网络音频输入*1；</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音频输出 1路莲花头输出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采样率 8kHz～48kHz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量化位数 16bit</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信噪比 ≥90dB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频率响应 50Hz-20KHz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音量调节 支持本地及远程音量调节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负载强电控制 1路负载强电控制开关</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音频压缩标准 PCM/G.711U/G.711A/MP3/OPUS</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音频文件格式 .mp3/.wav</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音频压缩码率 64 Kbps</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音质 16位，高保真音质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通讯方式 一个10M/100M/1000Mbps 自适应全双工网口</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支持4G组网，Wi-Fi/5G预留</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网络协议 ARP、ICMP、IGMP、TCP/IP、UDP、SIP、RTSP、RTP、NTP、HTTP、HTTPS</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物理接口 报警输入*2；报警输出*1；音量调节按钮*1；RTC*1路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指示灯 电源指示灯*1，红、绿双色状态指示灯*1，总音量大小指示灯*1</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电源 220V供电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工作温度 -10℃～50℃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工作湿度 10-90%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防水等级 室内使用，无需防水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材质 镀锌钢板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外形尺寸 433*89*423.2mm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安装方式 2U机架安装</w:t>
            </w:r>
          </w:p>
        </w:tc>
      </w:tr>
      <w:tr w14:paraId="2894AA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5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D2C30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23</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CE8D6A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室外防水音柱</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D438D7">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38690896">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本产品是一款优质的防水音柱</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扬声器单元5 寸低音×4/25 芯驱动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高音额定功率（PHC） 90W额定电压 100V</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产品尺寸 126(L)×185 (W)×770 (H)mm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产品净重 7.2kg</w:t>
            </w:r>
          </w:p>
        </w:tc>
      </w:tr>
      <w:tr w14:paraId="6FEEA1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7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3A432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ECC750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电源控制器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CFBBD2">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51816A4C">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寸彩色液晶智能显示窗，可实时显示当前电压，日期时间，通道开关状态。有8路开关通道输出，每路延时开启和关闭时间可自由设置（范围0-999秒，单位为秒）。支持面板Lock锁定功能，防止误操作。内置时钟芯片，可根据日期时间定时设置自动开关机。支持多台设备级联顺序控制，级联自动检测设置。配置R232接口，支持外部中控设备控制；配置RS485接口，支持主从机器级联控制或中控控制功能。每台设备自带ID设置和检测，可实现远程集中控制。PC软件控制具备模式保存、调用、通道开关状态、开关机延时设置、过压欠压保护、电压校准等功能设置。支持上电自启功能，机器给电自动开机无需再次手动控制。欠压、超压检测及报警。支持安卓手机和PC软件远程控制。在延时设置页面下，当开延时选项设成无穷大，即表示此通道永远不会接通，当关延时选项设成无穷大，即表示此通道永远不会关闭。支持8组设备开关场景数据保存/调用，场景管理应用简单便捷。主电缆均为高纯铜缆，国标3C认证护套线 3×6mm²，长度 1.5 米。</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工作温度和湿度：-10℃～60℃，40%～60%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净重：4.4 kg</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带包装重量：4.95 kg</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产品尺寸：485 mm × 290 mm × 45 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包装尺寸：536 mm × 410 mm × 80 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装箱清单：设备主机、用户手册</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工作电源：220VAC, 50/60Hz</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输出通道延时：0到999秒</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输出电流：单路额定输出电流13A 额定总输出电流30A</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线路输出：8路，外加2路输出辅助通道（辅助通道机器上电即通电，不受时序器控制）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产品执行标准(具体版本号以标签为准)：Q/BFW 315</w:t>
            </w:r>
          </w:p>
        </w:tc>
      </w:tr>
      <w:tr w14:paraId="2B0121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3AE88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643B16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机柜</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91374D">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3C273671">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600*1000*2000</w:t>
            </w:r>
          </w:p>
        </w:tc>
      </w:tr>
      <w:tr w14:paraId="786450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8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E6801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26</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42EDBB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模拟音柱</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C4EF54">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7819800C">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额定功率（PHC） 120W额定电压 100V产品尺寸160×160×780mm灵敏度 （1kHz,1 米） 91dB±3 dB壳体 整体铝型材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环境参数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工作湿度：10%-90%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重量：7.5kg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尺寸(mm)：160×160×780mm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输出功率：120W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产品执行标准(具体版本号以标签为准)：Q/BFW 285</w:t>
            </w:r>
          </w:p>
        </w:tc>
      </w:tr>
      <w:tr w14:paraId="33F210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7C31F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27</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2FDC87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纯后级功放</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C0D376">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28FF05E1">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两路线路输入，第二组PIN2可作为输出级联下一台功放。设有热保护、过流、过压、短路保护等功能。支持多种指示灯显示（电源、信号、峰值、故障）。采用风机强制散热结构，可以让机器长时间工作。本机有热保护、过流、过压、短路保护，开机延时等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灵敏度（1 m，1 W）：0dB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额定功率：1500W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总谐波失真THD：≤0.1%</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输出通道功能：定压100V输出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工作温度和湿度：-10~ 40℃；20%~ 80%相对湿度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装箱清单：产品手册*1，设备*1，电源线*1</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存储湿度：20%~ 80%相对湿度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输入电源：100-240V~ 50Hz/60Hz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频率响应：80Hz-16KHz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信噪比：≥85dB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产品执行标准(具体版本号以标签为准)：SJ/T 10406</w:t>
            </w:r>
          </w:p>
        </w:tc>
      </w:tr>
      <w:tr w14:paraId="6F1486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7A3B2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28</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93942C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前置放大器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0E55AE">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15D7530E">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路话筒输入，3路线路输入，2路紧急线路输入，2路线路输出功能话筒1和紧急线路具有最高优先，强行切入优先功能；话筒（MIC2、3、4、5）与线路（AUX1、2、3）同级话筒和线路音量独立可调设有高音和低音独立调节2U标准机箱设计，铝合金面板，美观实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额定功率：30 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产品尺寸：483 × 342 × 90 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工作温度和湿度：5 ℃~45 ℃，20%~80%相对湿度，无结露</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灵敏度：MIC灵敏度：-40 dB AUX灵敏度：-12 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输入电源：AC220 V</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频率响应：20~20 KHZ(≤±3 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总谐波失真：≤1%</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信噪比（A记权）：≥75 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线路输出：0 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产品执行标准(具体版本号以标签为准)：Q/BFW 285</w:t>
            </w:r>
          </w:p>
        </w:tc>
      </w:tr>
      <w:tr w14:paraId="311368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D441B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29</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4D447C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天线放大器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A16682">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FFFFFF"/>
            <w:vAlign w:val="top"/>
          </w:tcPr>
          <w:p w14:paraId="20D98B5F">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1、提供使用2~4台UHF无线系列或其他系列各种自动选讯接收机的多频道系统，共享一对天线，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2、以简化天线装配工程，提升接收距离及效能。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3、采用高动态低噪声之主动元件及主动反馈稳流偏压的最新设计，具有超低内调失真特性，能在多频道同时使用排除混频干扰，其输出增益约等于1。</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4、天线输入插座可以直接配置适用频带范围内的各种单竿天线、同轴天线、延长天线组及对数定向天线组。</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5、天线输入接座具有供应强波器的电源。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6、可直接连接具有天线强波器的延长天线组及内建强波器的对数定向天线组。</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7、天线翼 适用于多种型号的无线接收器使用，可以安装在麦克风支架、桌面上，高质量且稳定性较好。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工作湿度：10%-90%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设备电源：DC12V/2A</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产品执行标准(具体版本号以标签为准)：Q/BFW 285</w:t>
            </w:r>
          </w:p>
        </w:tc>
      </w:tr>
      <w:tr w14:paraId="19B408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6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7C27D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564E15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无线话筒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CC95BF">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06FC52F0">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功率的发射器设计.系统单机版在最优使用环境下可以达到800米的有效使用距离.无需安装任何放大器..采用高灵敏真分集选讯电路，每支话筒的信号都有双重电路接收.能有效降低使用范围内断频现象的发生,提升了使用距离系统工作频率范围经过对比优化,采用了左右通道不同频率的窄带宽设计. 有效减少了非工作段外的杂讯干忧.最多同时允许叠加2套系统同时使用.全锌合金管体,表面电镀黑镍加硬处理.振荡模式：PLL相位锁定频率合成 工作频段:  640-673MHZ频率调整：红外调频/手动调节 射频功率：约40mW拾音头：动圈式接收机规格： 振荡模式：PLL相位锁定频率合成射频稳定度：±0.005%（-10~50℃） 工作频段:  左边CHA: 640-648MHZ  右边CHB: 665-673MHZ通道间隔:  250KHz 灵敏度：在偏移度等于25KHz。频率响应：60Hz~15KHz输出插座：XLR平衡式及6.3不平衡式 音量输出调整：电位器式静音控制模式：音码及杂讯双重静音控制 电源供应：DC12~15V/1000mA</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工作湿度：10%-90%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设备电源：DC12V/1A</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信噪比：&gt; 85db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频响：60HZ ~ 15KHz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探测距离：理想具体800米</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产品执行标准(具体版本号以标签为准)：Q/BFW 285</w:t>
            </w:r>
          </w:p>
        </w:tc>
      </w:tr>
      <w:tr w14:paraId="019B76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8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6F9FB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31</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B26D52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调音台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2BED5E">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4FE1C55A">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配置共≥8路音频输入，≥6路Mic/ Line输入( XLR母插头和¼" TRS组合输入接口 )， ≥1路USB Media( U盘播音或蓝牙音频 )和CD立体声输入</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配置共≥12路音频输出，≥1路Main L/ R立体输出、≥4路编组输出、≥5路AUX辅助输出，≥1路立体声监听输出。 ( 均为XLR公插头接口，差分平衡输出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配置≥3.2寸lcd液晶显示屏，实时提供DSP效果器参数和USB Media播音 信息，操作一目了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配置1个专业DSP效果器( FX )，14种DSP效果类型，共120种的效果预设</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带有USB Media播音接口，支持MP3﹑AAC﹑WAV﹑AIFF﹑APE或FLAC文件格式，直接使用外部U盘录音，或外接电脑Media播音和录音</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配置蓝牙功能，可以连接手机等蓝牙设备，实现无线音乐播放</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独立脚踏开关，控制效果器输出关闭或打开</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所有Mic / Line输入通道均配置：48V幻象电源（1-2路带有独立控制48V幻象电源开关）、支持3段频率均衡调节、低切滤波器；3-6路带有压限器( Comp )、1-2/3-4编组开关、监听开关、静音开关</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EQ单通道 低：80Hz/±15dB  中：100Hz～8kHz/±15dB   高：12kHz/±15dB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EQ立体声通道 低：80Hz/±15dB中：2kHz/±15dB高：12kHz/±15dB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XLR电子平衡、离散输入电路 E.I.N.(20Hz-20kHz) 频率响应：&lt;10Hz～150kHz(-1dB) &lt;10Hz～200kHz(-3dB）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增益：+10dB～+60dB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最大输入：+12dBu@+10dB Gain</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阻抗：2.6kΩ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信噪比：110dB/112dB 0dBu In @+22dB gain)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失真度：0.005%/0.004%</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6.3mm立体声道，平衡式E.I.N.(20Hz-20kHz)，阻抗：平衡输出：20kΩ 非平衡输出：10kQ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增益：-10dB～+40dB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最大输入：+22dBu@OdB Gain</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工作温度和湿度 环境温度：-10～40℃、相对湿度：≤90%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电源功耗 35W</w:t>
            </w:r>
          </w:p>
        </w:tc>
      </w:tr>
      <w:tr w14:paraId="115A5B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0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8E324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8CF2F9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电源控制器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6C00BE">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431C36FC">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寸彩色液晶智能显示窗，可实时显示当前电压，日期时间，通道开关状态。有8路开关通道输出，每路延时开启和关闭时间可自由设置（范围0-999秒，单位为秒）。支持面板Lock锁定功能，防止误操作。内置时钟芯片，可根据日期时间定时设置自动开关机。支持多台设备级联顺序控制，级联自动检测设置。配置R232接口，支持外部中控设备控制；配置RS485接口，支持主从机器级联控制或中控控制功能。每台设备自带ID设置和检测，可实现远程集中控制。PC软件控制具备模式保存、调用、通道开关状态、开关机延时设置、过压欠压保护、电压校准等功能设置。支持上电自启功能，机器给电自动开机无需再次手动控制。欠压、超压检测及报警。支持安卓手机和PC软件远程控制。在延时设置页面下，当开延时选项设成无穷大，即表示此通道永远不会接通，当关延时选项设成无穷大，即表示此通道永远不会关闭。支持8组设备开关场景数据保存/调用，场景管理应用简单便捷。主电缆均为高纯铜缆，国标3C认证护套线 3×6mm²，长度 1.5 米。</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工作温度和湿度：-10℃～60℃，40%～60%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净重：4.4 kg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带包装重量：4.95 kg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产品尺寸：485 mm × 290 mm × 45 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包装尺寸：536 mm × 410 mm × 80 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装箱清单：设备主机、用户手册</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工作电源：220VAC, 50/60Hz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输出通道延时：0到999秒</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输出电流：单路额定输出电流13A 额定总输出电流30A</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线路输出：8路，外加2路输出辅助通道（辅助通道机器上电即通电，不受时序器控制）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产品执行标准(具体版本号以标签为准)：Q/BFW 315</w:t>
            </w:r>
          </w:p>
        </w:tc>
      </w:tr>
      <w:tr w14:paraId="7F6DBF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5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42969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33</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BD285C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网络解码终端</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8B9660">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4E415249">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2U机架式设计，高性能的网络定压功放，启动时间≤1秒；支持将网络音频解码成模拟音源，解码完成后可通过外接的功放进行扩音带本地音频输入功能，1路话筒输入、1路RCA输入、1路网络音频， 各音频通道均有独立的音量调节；设备具有音量环形指示灯，支持远程或本地音量调节旋钮调节网络通道的输出音量；支持被广播主机或平台发起实时广播，可对单个通道进行广播；支持通过6.5 mm、莲花头输入进行实时广播；内置大容量存储器，支持接收通过管理机或平台远程下发的音频文件、定时广播任务和报警触发任务；支持离线广播，当网络中断时、可自动开启本地播放；支持网络输入和本地音频输入进行混音支持中心下发报警联动信息、或检测到本地报警输入时，联动输出报警信号、或联动播放指定的音频文件；内置完备的保护电路，支持短路、超负载线路保护等多种保护功能；支持通过Web进行参数配置、系统维护等操作；具有红绿双色指示灯，显示设备工作状态；标准RJ45接口，有以太网口地方即可接入，支持跨网段和跨路由。</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工作温度：-10 °C～50 °C</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工作湿度：10 ~ 90%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操作系统：嵌入式Linux</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设备电源：100~240VAC  50/60Hz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安装方式：2U机架安装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结构材质：镀锌钢板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外形尺寸：433 mm × 89 mm × 423.2 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支持本地音量调节：支持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音频采样率：16K</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音量调节：支持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音频输入：6.5 mm MIC输入接口×1，莲花头输入×1，网络音频输入×1</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音频输出：1路莲花头输出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产品执行标准(具体版本号以标签为准)：Q/BFW 244</w:t>
            </w:r>
          </w:p>
        </w:tc>
      </w:tr>
      <w:tr w14:paraId="592919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D4D90E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34</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32AF29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机柜</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8C2B460">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54381BF6">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600*1000*2000</w:t>
            </w:r>
          </w:p>
        </w:tc>
      </w:tr>
      <w:tr w14:paraId="7E0BEB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88E12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35</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85A7B0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模拟音柱</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4852F3">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1FD38F55">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工作电压：100V</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工作温度和湿度：-40℃至+60°C</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防护等级：IP66</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网罩材质：铝合金</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产品尺寸（长×宽×高）：宽235×深165×高1030mm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净重：16kg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材质：铝合金</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颜色：白色</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额定功率：120W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定压功率：100V120W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灵敏度（2.83V/1m）：92dB+2dB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频率范围（-10dB）：80-16kHz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低音扬声器：4</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高音扬声器：2</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最大声压级：94dB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输入接口：2-芯连接线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连接方式：音频线接入</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产品执行标准(具体版本号以标签为准)：Q/BFW 339</w:t>
            </w:r>
          </w:p>
        </w:tc>
      </w:tr>
      <w:tr w14:paraId="0EA627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1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F3F2D7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36</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B9A750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纯后级功放</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A2C62E">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3C713B41">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两路线路输入，第二组PIN2可作为输出级联下一台功放。设有热保护、过流、过压、短路保护等功能。支持多种指示灯显示（电源、信号、峰值、故障）。采用风机强制散热结构，可以让机器长时间工作。本机有热保护、过流、过压、短路保护，开机延时等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工作温度：-10 °C～50 °C</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工作湿度：10 ~ 90%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操作系统：嵌入式Linux</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设备电源：100~240VAC  50/60Hz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安装方式：2U机架安装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结构材质：镀锌钢板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外形尺寸：433 mm × 89 mm × 423.2 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支持本地音量调节：支持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音频采样率：16K</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音量调节：支持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音频输入：6.5 mm MIC输入接口×1，莲花头输入×1，网络音频输入×1</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音频输出：1路莲花头输出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产品执行标准(具体版本号以标签为准)：Q/BFW 244</w:t>
            </w:r>
          </w:p>
        </w:tc>
      </w:tr>
      <w:tr w14:paraId="0B21AD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6B50A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37</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4FD0C8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前置放大器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D48162">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58592E81">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路话筒输入，3路线路输入，2路紧急线路输入，2路线路输出功能话筒1和紧急线路具有最高优先，强行切入优先功能；话筒（MIC2、3、4、5）与线路（AUX1、2、3）同级话筒和线路音量独立可调设有高音和低音独立调节2U标准机箱设计，铝合金面板，美观实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额定功率：30 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产品尺寸：483 × 342 × 90 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工作温度和湿度：5 ℃~45 ℃，20%~80%相对湿度，无结露</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灵敏度：MIC灵敏度：-40 dB AUX灵敏度：-12 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输入电源：AC220 V</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频率响应：20~20 KHZ(≤±3 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总谐波失真：≤1%</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信噪比（A记权）：≥75 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线路输出：0 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产品执行标准(具体版本号以标签为准)：Q/BFW 285</w:t>
            </w:r>
          </w:p>
        </w:tc>
      </w:tr>
      <w:tr w14:paraId="1B59F3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BBF6A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38</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3D2538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天线放大器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878ADD">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FFFFFF"/>
            <w:vAlign w:val="top"/>
          </w:tcPr>
          <w:p w14:paraId="1F673490">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1、提供使用2~4台UHF无线系列或其他系列各种自动选讯接收机的多频道系统，共享一对天线，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2、以简化天线装配工程，提升接收距离及效能。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3、采用高动态低噪声之主动元件及主动反馈稳流偏压的最新设计，具有超低内调失真特性，能在多频道同时使用排除混频干扰，其输出增益约等于1。</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4、天线输入插座可以直接配置适用频带范围内的各种单竿天线、同轴天线、延长天线组及对数定向天线组。</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5、天线输入接座具有供应强波器的电源。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6、可直接连接具有天线强波器的延长天线组及内建强波器的对数定向天线组。</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7、天线翼 适用于多种型号的无线接收器使用，可以安装在麦克风支架、桌面上，高质量且稳定性较好。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工作湿度：10%-90%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设备电源：DC12V/2A</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产品执行标准(具体版本号以标签为准)：Q/BFW 285</w:t>
            </w:r>
          </w:p>
        </w:tc>
      </w:tr>
      <w:tr w14:paraId="7EC5F1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A5172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39</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E1A54D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无线话筒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3C952D">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3741EBDE">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功率的发射器设计.系统单机版在最优使用环境下可以达到800米的有效使用距离.无需安装任何放大器..采用高灵敏真分集选讯电路，每支话筒的信号都有双重电路接收.能有效降低使用范围内断频现象的发生,提升了使用距离系统工作频率范围经过对比优化,采用了左右通道不同频率的窄带宽设计. 有效减少了非工作段外的杂讯干忧.最多同时允许叠加2套系统同时使用.全锌合金管体,表面电镀黑镍加硬处理.振荡模式：PLL相位锁定频率合成 工作频段:  640-673MHZ频率调整：红外调频/手动调节 射频功率：约40mW拾音头：动圈式接收机规格： 振荡模式：PLL相位锁定频率合成射频稳定度：±0.005%（-10~50℃） 工作频段:  左边CHA: 640-648MHZ  右边CHB: 665-673MHZ通道间隔:  250KHz 灵敏度：在偏移度等于25KHz。频率响应：60Hz~15KHz输出插座：XLR平衡式及6.3不平衡式 音量输出调整：电位器式静音控制模式：音码及杂讯双重静音控制 电源供应：DC12~15V/1000mA</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工作湿度：10%-90%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设备电源：DC12V/1A</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信噪比：&gt; 85db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频响：60HZ ~ 15KHz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探测距离：理想具体800米</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产品执行标准(具体版本号以标签为准)：Q/BFW 285</w:t>
            </w:r>
          </w:p>
        </w:tc>
      </w:tr>
      <w:tr w14:paraId="44C81E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DC5748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40</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5203F6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调音台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49EA6E">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3CD54ADF">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配置共≥8路音频输入，≥6路Mic/ Line输入( XLR母插头和¼" TRS组合输入接口 )， ≥1路USB Media( U盘播音或蓝牙音频 )和CD立体声输入</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配置共≥12路音频输出，≥1路Main L/ R立体输出、≥4路编组输出、≥5路AUX辅助输出，≥1路立体声监听输出。 ( 均为XLR公插头接口，差分平衡输出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配置≥3.2寸lcd液晶显示屏，实时提供DSP效果器参数和USB Media播音 信息，操作一目了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配置1个专业DSP效果器( FX )，14种DSP效果类型，共120种的效果预设</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带有USB Media播音接口，支持MP3﹑AAC﹑WAV﹑AIFF﹑APE或FLAC文件格式，直接使用外部U盘录音，或外接电脑Media播音和录音</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配置蓝牙功能，可以连接手机等蓝牙设备，实现无线音乐播放</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独立脚踏开关，控制效果器输出关闭或打开</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所有Mic / Line输入通道均配置：48V幻象电源（1-2路带有独立控制48V幻象电源开关）、支持3段频率均衡调节、低切滤波器；3-6路带有压限器( Comp )、1-2/3-4编组开关、监听开关、静音开关</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EQ单通道 低：80Hz/±15dB  中：100Hz～8kHz/±15dB   高：12kHz/±15dB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EQ立体声通道 低：80Hz/±15dB中：2kHz/±15dB高：12kHz/±15dB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XLR电子平衡、离散输入电路 E.I.N.(20Hz-20kHz) 频率响应：&lt;10Hz～150kHz(-1dB) &lt;10Hz～200kHz(-3dB）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增益：+10dB～+60dB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最大输入：+12dBu@+10dB Gain</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阻抗：2.6kΩ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信噪比：110dB/112dB 0dBu In @+22dB gain)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失真度：0.005%/0.004%</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6.3mm立体声道，平衡式E.I.N.(20Hz-20kHz)，阻抗：平衡输出：20kΩ 非平衡输出：10kQ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增益：-10dB～+40dB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最大输入：+22dBu@OdB Gain</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工作温度和湿度 环境温度：-10～40℃、相对湿度：≤90%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电源功耗 35W</w:t>
            </w:r>
          </w:p>
        </w:tc>
      </w:tr>
      <w:tr w14:paraId="10EBA1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F370A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41</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E7D649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电源控制器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EADD37">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120DBEB0">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寸彩色液晶智能显示窗，可实时显示当前电压，日期时间，通道开关状态。有8路开关通道输出，每路延时开启和关闭时间可自由设置（范围0-999秒，单位为秒）。支持面板Lock锁定功能，防止误操作。内置时钟芯片，可根据日期时间定时设置自动开关机。支持多台设备级联顺序控制，级联自动检测设置。配置R232接口，支持外部中控设备控制；配置RS485接口，支持主从机器级联控制或中控控制功能。每台设备自带ID设置和检测，可实现远程集中控制。PC软件控制具备模式保存、调用、通道开关状态、开关机延时设置、过压欠压保护、电压校准等功能设置。支持上电自启功能，机器给电自动开机无需再次手动控制。欠压、超压检测及报警。支持安卓手机和PC软件远程控制。在延时设置页面下，当开延时选项设成无穷大，即表示此通道永远不会接通，当关延时选项设成无穷大，即表示此通道永远不会关闭。支持8组设备开关场景数据保存/调用，场景管理应用简单便捷。主电缆均为高纯铜缆，国标3C认证护套线 3×6mm²，长度 1.5 米。</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工作温度和湿度：-10℃～60℃，40%～60%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净重：4.4 kg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带包装重量：4.95 kg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产品尺寸：485 mm × 290 mm × 45 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包装尺寸：536 mm × 410 mm × 80 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装箱清单：设备主机、用户手册</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工作电源：220VAC, 50/60Hz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输出通道延时：0到999秒</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输出电流：单路额定输出电流13A 额定总输出电流30A</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线路输出：8路，外加2路输出辅助通道（辅助通道机器上电即通电，不受时序器控制）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产品执行标准(具体版本号以标签为准)：Q/BFW 315</w:t>
            </w:r>
          </w:p>
        </w:tc>
      </w:tr>
      <w:tr w14:paraId="6A1242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298B38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58392D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网络解码终端</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41361D">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352EF711">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2U机架式设计，高性能的网络定压功放，启动时间≤1秒；支持将网络音频解码成模拟音源，解码完成后可通过外接的功放进行扩音带本地音频输入功能，1路话筒输入、1路RCA输入、1路网络音频， 各音频通道均有独立的音量调节；设备具有音量环形指示灯，支持远程或本地音量调节旋钮调节网络通道的输出音量；支持被广播主机或平台发起实时广播，可对单个通道进行广播；支持通过6.5 mm、莲花头输入进行实时广播；内置大容量存储器，支持接收通过管理机或平台远程下发的音频文件、定时广播任务和报警触发任务；支持离线广播，当网络中断时、可自动开启本地播放；支持网络输入和本地音频输入进行混音支持中心下发报警联动信息、或检测到本地报警输入时，联动输出报警信号、或联动播放指定的音频文件；内置完备的保护电路，支持短路、超负载线路保护等多种保护功能；支持通过Web进行参数配置、系统维护等操作；具有红绿双色指示灯，显示设备工作状态；标准RJ45接口，有以太网口地方即可接入，支持跨网段和跨路由。</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工作温度：-10 °C～50 °C</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工作湿度：10 ~ 90%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操作系统：嵌入式Linux</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设备电源：100~240VAC  50/60Hz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安装方式：2U机架安装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结构材质：镀锌钢板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外形尺寸：433 mm × 89 mm × 423.2 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支持本地音量调节：支持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音频采样率：16K</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音量调节：支持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音频输入：6.5 mm MIC输入接口×1，莲花头输入×1，网络音频输入×1</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音频输出：1路莲花头输出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产品执行标准(具体版本号以标签为准)：Q/BFW 244</w:t>
            </w:r>
          </w:p>
        </w:tc>
      </w:tr>
      <w:tr w14:paraId="572BDE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D3575D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43</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5CDEDA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室外机柜</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BBDD736">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2F2A87D3">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600*1000*1600</w:t>
            </w:r>
          </w:p>
        </w:tc>
      </w:tr>
      <w:tr w14:paraId="37AB11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4C5F2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44</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87B288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安装费</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8FDC4D">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40506312">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根据现场安装调试系统集成．线路测试，及安装管材转接头，扎带、胶布，线路标识标签，过线铁丝等，投标商所集成的系统方案应具备先进性、安全性、可靠、稳定、经济适用性及未来具备良好的扩展性及兼容性，为确保系统的可靠性及稳定性，为了保证售后服务质量，要求供应商能提供优质服务。</w:t>
            </w:r>
          </w:p>
        </w:tc>
      </w:tr>
      <w:tr w14:paraId="4DF35F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0" w:type="auto"/>
            <w:gridSpan w:val="4"/>
            <w:tcBorders>
              <w:top w:val="single" w:color="000000" w:sz="4" w:space="0"/>
              <w:left w:val="nil"/>
              <w:bottom w:val="single" w:color="000000" w:sz="4" w:space="0"/>
              <w:right w:val="nil"/>
            </w:tcBorders>
            <w:shd w:val="clear" w:color="auto" w:fill="FFFF00"/>
            <w:vAlign w:val="center"/>
          </w:tcPr>
          <w:p w14:paraId="4B006CD5">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户外操场音频及灯光</w:t>
            </w:r>
          </w:p>
        </w:tc>
      </w:tr>
      <w:tr w14:paraId="130591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8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A6DB23">
            <w:pPr>
              <w:jc w:val="center"/>
              <w:rPr>
                <w:rFonts w:hint="eastAsia"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1</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C4F7A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双8寸线阵全频音箱</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67AD7C4">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37414842">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1、低音单元：≥2*8英寸；</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2、高音单元：≥1*1.75英寸；</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3、频率响应：90Hz-17.5kHz；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4、灵敏度：≥98dB（@1W/1m）；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5、连续声压级：≥125dB；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6、额定功率：≤500W；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7、覆盖角度：≥110°*10°(水平*垂直)；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8、接口：2*NL8 Speakon；</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9、对称式结构，三点吊装，方便安装组合，符合国际线阵列扬声器标准。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10、采用防水箱体材料，满足户外使用。</w:t>
            </w:r>
          </w:p>
        </w:tc>
      </w:tr>
      <w:tr w14:paraId="57A161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E1D348">
            <w:pPr>
              <w:jc w:val="center"/>
              <w:rPr>
                <w:rFonts w:hint="eastAsia"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0DCF64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单18寸线阵低音音箱</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F4959D">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23675E05">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功能参数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1.倒相式箱体结构设计，可获得更低的低频下潜；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2.多层优质高密度胶合板，CNC精准加工，结实牢固；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3.表面喷涂环保水性油漆，外观高档大方，坚固防刮；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4.采用标准的四芯音箱插座，确保良好的电气接触，能很好适用于户外演出；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5.对称式结构，四点吊装方式，即插即用，方便快捷安装组合，符合国际线阵列扬声器标准；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6.配合线阵全频扬声器配合使用时，可吊挂，可堆叠，以提升整个系统的音响表现。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技术参数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1.低音单元:1*18"</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2.频率响应(Hz):35Hz-200Hz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3.灵敏度(@1W/1m):98dB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4.功率/W(额定/长期/峰值):700W/1400W/2800W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5.最大声压级:126.5dB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6.峰值声压级:132.5dB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7.阻抗:8Ω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8.覆盖角度(水平*垂直):360°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9.接口:2*NL4 Speakon(1+/1-)</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10.箱体材料:高密度桦木面板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11.外观工艺:金刚砂喷涂工艺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12.尺寸(高*宽*深):575*731*542mm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13.净重:47.5Kg</w:t>
            </w:r>
          </w:p>
        </w:tc>
      </w:tr>
      <w:tr w14:paraId="2A4F02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8697D90">
            <w:pPr>
              <w:jc w:val="center"/>
              <w:rPr>
                <w:rFonts w:hint="eastAsia"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3</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5D1CBD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双八线阵田字架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B91038">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047E12E2">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专业定制配件，可承载重量为2吨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配套四至八只全频线阵和一至二只次低频线性垂直吊挂使用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尺寸与本系列组合吻合</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配套专用U型扣</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可单点吊挂整串线阵</w:t>
            </w:r>
          </w:p>
        </w:tc>
      </w:tr>
      <w:tr w14:paraId="411F0B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3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7E9FB9">
            <w:pPr>
              <w:jc w:val="center"/>
              <w:rPr>
                <w:rFonts w:hint="eastAsia"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4</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AE3819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返听音箱</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367B92">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58EC59AA">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1.低音单元:1*12"</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2.高音单元:1*1.75"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3.频率响应（Hz）:≥42Hz-20kHz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4.灵敏度（@1W/1m）:97dB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5.功率/W(额定/长期/峰值):≤450W/900W/1800W(需提供满足此项参数的第三方检测机构出具的带有CNAS标识的检测报告复印件)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6.最大声压级:≥129dB(需提供满足此项参数的第三方检测机构出具的带有CNAS标识的检测报告复印件)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7.阻抗:8Ω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8.覆盖角度（水平*垂直）:90°*50°（号角可旋转）</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9.接口:2*NL4 Speakon（1+/1-）</w:t>
            </w:r>
          </w:p>
        </w:tc>
      </w:tr>
      <w:tr w14:paraId="0373BA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6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3E0A95">
            <w:pPr>
              <w:jc w:val="center"/>
              <w:rPr>
                <w:rFonts w:hint="eastAsia"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5</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34B538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主扩线阵全频功放</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EFEF30">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52CFA0BE">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1.立体声双通道功率放大器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2.立体声输出功率 8Ω:1000Wx2</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3.立体声输出功率 4Ω:1350Wx2</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4.桥接输出功率 8Ω:2700W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5.电压增益:36dB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6.输入灵敏度:0db (0.775V rms) 1.0V/26dB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7.频响范围: 20-20000Hz (±0.3dB)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8.转换速率: ≥10V/us</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9.阻尼系数: ≥200:1</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10.串音 Cross talk: -75dB@1KHz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11.信噪比 S/N ratio:＞100dB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12.总谐波失真 THD+N:＜0.5%, 20-20K 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★13.全自动保护设计：短路保护，过载保护，过热保护，直流保护，开关保护(需提供满足此项参数的第三方检测机构出具的带有CNAS标识的检测报告复印件)</w:t>
            </w:r>
          </w:p>
        </w:tc>
      </w:tr>
      <w:tr w14:paraId="0A1F94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890D65">
            <w:pPr>
              <w:jc w:val="center"/>
              <w:rPr>
                <w:rFonts w:hint="eastAsia"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6</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0F0AB7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主扩线阵次低频功放</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1B0FE2">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2BD4DC63">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1.立体声双通道功率放大器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2.立体声输出功率 8Ω:1000Wx2</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3.立体声输出功率 4Ω:1350Wx2</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4.桥接输出功率 8Ω:2700W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5.电压增益:36dB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6.输入灵敏度:0db (0.775V rms) 1.0V/26dB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7.频响范围: 20-20000Hz (±0.3dB)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8.转换速率: ≥10V/us</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9.阻尼系数: ≥200:1</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10.串音 Cross talk: -75dB@1KHz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11.信噪比 S/N ratio:＞100dB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12.总谐波失真 THD+N:＜0.5%, 20-20K 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13.全自动保护设计：短路保护，过载保护，过热保护，直流保护，开关保护(需提供满足此项参数的第三方检测机构出具的带有CNAS标识的检测报告复印件)</w:t>
            </w:r>
          </w:p>
        </w:tc>
      </w:tr>
      <w:tr w14:paraId="2609DD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426D96">
            <w:pPr>
              <w:jc w:val="center"/>
              <w:rPr>
                <w:rFonts w:hint="eastAsia"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7</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EB255A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返听音箱功放</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A85422">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0125B6D7">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1、高效率D类功放，高度1U；</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2、内置峰值电平限制器以保护扬声器，同时通过削波指示灯提醒；</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3、具有自动噪声抑制功能，当输入音源停止输出后，功放可自动压抑扩声系统设备本底噪声；(需提供满足此项参数的第三方检测机构出具的带有CNAS标识的检测报告复印件)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4、具备完善的保护功能，包括软启动、直流、高频、过压、欠压、过载、短路、压限、过热等；(需提供满足此项参数的第三方检测机构出具的带有CNAS标识的检测报告复印件)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5、浪涌防护：电源输入支持差模1KV，共模2KV防护；功率输出支持共模2KV防护；</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6、立体声输出功率：≥700W*2@8Ω；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7、频响范围：20Hz-20KHz；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8、输入灵敏度：0.775V/1.414Vrms；</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9、输入阻抗：平衡20KΩ/非平衡10KΩ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10、电压增益：36dB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11、信噪比：＞100dB(A计权）；</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12、总谐波失真：＜0.05% @1KHz 1/3功率输出；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13、电源适应范围：AC100V-240V/50Hz-60Hz；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14、接口：2路线路输入、2路线路输出、2路功率输出。</w:t>
            </w:r>
          </w:p>
        </w:tc>
      </w:tr>
      <w:tr w14:paraId="153365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1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7016FC">
            <w:pPr>
              <w:jc w:val="center"/>
              <w:rPr>
                <w:rFonts w:hint="eastAsia"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8</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04B234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数字调音台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FDE225">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5710EF09">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1.内置7寸寸触摸屏，可设置工作参数，包括:均衡噪声门、反馈抑制器、高低通、压缩、反相等。(需提供满足此项参数的第三方检测机构出具的带有CNAS标识的检测报告复印件)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2.≥13个100mm电动推子。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3.支持开启/关闭双机数据备份功能，可自定义设置主机/从机。(需提供满足此项参数的第三方检测机构出具的带有CNAS标识的检测报告复印件)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4.可通过客户端软设置数字调音台每路通道开启/关闭反馈抑制、噪声门(噪声消除)、压缩、滤波、延时，输出延时0-1800ms可调。(需提供满足此项参数的第三方检测机构出具的带有CNAS标识的检测报告复印件)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5.支持播放APE、FLAC、MP3、WAV无损音频格式。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6.支持≥16路输入，每通道带独立的反馈抑制器。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7.支持≥2个内置效果器，带有经典混响、大房间混响等效果模块。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8.支持iPad触摸屏全功能控制，实时数据同步。</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9.开放第三方控制协议 TCP/IP、RS-232控制指令。</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10.输出通道L/R、4BUS、HeadPhone(L/R)，4BUS可选择推子前、推子后（PRE/POST）。</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11.支持外接U盘进行录音/放音,支持播放APEFLAC、MP3和WAV音频格式，支持100组场景预设,可将预设参数导出/导入U盘。(需提供满足此项参数的第三方检测机构出具的带有CNAS标识的检测报告复印件)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12.≥8个推子编组、1个系统静音按键、3个快速静音按键。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13.通道名称可自定义。</w:t>
            </w:r>
          </w:p>
        </w:tc>
      </w:tr>
      <w:tr w14:paraId="0C3D4A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5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3659240">
            <w:pPr>
              <w:jc w:val="center"/>
              <w:rPr>
                <w:rFonts w:hint="eastAsia"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9</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96CAD6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音频处理器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4B68A4">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6DF29A0E">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1、≥16路可切换式平衡话筒/线路输入，≥16路平衡线路输出；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内置LCD屏，可显示IP地址、预设状态等信息，前面板有输入输出信号状态显示灯，≥8路可自定义GPIO接口、≥1路RS232接口、≥1路RS485接口；(需提供满足此项参数的第三方检测机构出具的带有CNAS标识的检测报告复印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3、内置USB声卡,支持音乐播放、录制和软视频会议(如:腾讯会议、钉钉会议等)；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4、不少于8段PEQ，且提供≥5种滤波器类型选择；</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5、每个输入通道应具备自适应反馈抑制（AFC），传声增益提升幅度:10dB；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6、输入通道包括且不限于以下功能：自适应回声消除(AEC)，噪声抑制(ANS)、增益共享自动混音(AMC)、门限自动混音（Gate Mixer）、自动增益(AGC)、闪避器(Ducker)、噪声增益补偿器(ANC)、支持自动摄像跟踪；</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7、输出通道包括且不限于以下功能：参量均衡、分频器、延时器、限幅器、矩阵；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8、具备≥16个场景模式存储，可导入、导出场景预设，设备受控方式多样化，包含RS232、TCP/IP、RS485；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9、具备智能中控功能，支持自定义定制化控制界面，可通过处理器实现对会议室的电源管理、信号切换、环境控制、音频等一体化控制，实现一键开启系统所需要的功能；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10、提供终端用户订制操作界面，最大支持30台设备同一个界面管理；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11、支持开启/关闭双机数据备份功能，可自定义设置主机/从机；(需提供满足此项参数的第三方检测机构出具的带有CNAS标识的检测报告复印件)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12、支持用户分级、分权管理，可以为不同的操作人员设置不同的管理级别，防止误操作；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13、支持备份和恢复功能，断电记忆功能，备份信息可下载保存备份；具备信息日志记录功能，将时间自动生成日志，方便日常维护；</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14、输入灵敏度可调档位0-48dBu（3dBu）；</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15、音频采样率支持48K/24bit。</w:t>
            </w:r>
          </w:p>
        </w:tc>
      </w:tr>
      <w:tr w14:paraId="4041E6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8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A907E90">
            <w:pPr>
              <w:jc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10</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7DE188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音频隔离器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1D48A5">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7604341A">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功能特点：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1.有效抑制隔离音频系统交流声及噪声。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2.两通道平衡式信号输入及信号输出，输入端口采用复合多功能型COMBO接口，使其的实用性更广泛</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3.较高的抗共模干扰抑制能力得益于其优异的电路设计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4.隔离滤波音频信号传输距离可达600米</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5.支持即插即用，支持热插拨、无需电源，无需软件设置和维护</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6.内置瞬态、浪涌抑制、抗静电保护电路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7.体积小巧、重量轻、安装简易</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8.无电源设计使得产品全天侯工作，性能稳定可靠</w:t>
            </w:r>
          </w:p>
        </w:tc>
      </w:tr>
      <w:tr w14:paraId="2DACEC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6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135A2D">
            <w:pPr>
              <w:jc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11</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B564A6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电源时序器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04A36D">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732FA62E">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1、工作电压:单相AC220V(±20%) ；50Hz或60Hz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★2、每个通道拥有独立高性能的RFI/EMI电源滤波器，提供干净而稳定的电源(须提供满足此项参数的第三方检测机构出具的带有CNAS标识的检测报告复印件)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3、系统参数显示方式:2×24 LCD蓝色背光液晶显示。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4、时序通道:8通道独立控制的时序通道，8通道独立常开控制，8通道独立硬件开关式应急停止设置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5、电源输出插座:8路国标10A安全划盖插座，面板两个直通为国标10A安全划盖插座。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6、电源输出:电源输出单相总极限负载的电流为40A。</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7、电源时序器可控制多路电源顺序开机/关机，电源输出顺序间隔时间:0.5S;。(须提供满足此项参数的第三方检测机构出具的带有CNAS标识的检测报告复印件)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8、可通过红外学习功能及IO控制功能对第三方设备进行控制。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9、设备内置定时开关机功能，最长可达12个月的定时时间设置，在控制软件内自由编辑；(须提供满足此项参数的第三方检测机构出具的带有CNAS标识的检测报告复印件)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10、支持TCP/IP、WIFI、USB，RS485，RS232联机控制，远程控制；(须提供满足此项参数的第三方检测机构出具的带有CNAS标识的检测报告复印件)</w:t>
            </w:r>
          </w:p>
        </w:tc>
      </w:tr>
      <w:tr w14:paraId="5FFD58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6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ED8F1E">
            <w:pPr>
              <w:jc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12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EACA42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反馈抑制器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5F07C7">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3CE79CDA">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1、支持自动抑制啸叫点，可显示啸叫点数量，频率移动范围0.5‰；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2、支持96KHz采样频率，32-bitDSP处理器，24-bitA/D及D/A转换；（提供具有CNAS标志的功能检验报告扫描件加盖生产厂家公章，报告内容能体现满足此条参数要求）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3、数字信号输入输出通道提供coaxial，AES及光纤接口；</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4、支持LCD显示屏显示功能设定，提供6段led显示输出电平；</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5、支持切换工作模式为直通或反馈抑制，一键清除找到的啸叫点；（提供具有CNAS标志的功能检验报告扫描件加盖生产厂家公章，报告内容能体现满足此条参数要求）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6、具有独立 24个滤波器，自动抑制叫点，可显示啸叫点数量;（提供具有CNAS标志的功能检验报告扫描件加盖生产厂家公章，报告内容能体现满足此条参数要求）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7、单机可存储 30 组用户程序，每通道提供压缩、限幅、噪声门、功能设置；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8、可切换工作模式为直通或反馈抑制，一键清除找到的啸叫点；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9、输入范围:≤+20dBu；</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10、信号输入频率响应:15Hz-25KHz(-0.3dB)；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11、信噪比:≥98dB @1KHz 0dBu；</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12、失真度:&lt;0.01%；</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13、通道分离度:&gt;80dB(1KHz)。</w:t>
            </w:r>
          </w:p>
        </w:tc>
      </w:tr>
      <w:tr w14:paraId="33B647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F12B9E">
            <w:pPr>
              <w:jc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13</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DC8358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有线IP数字会议系统主机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B4ABFE">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5104FB15">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1.支持环网数字传输和手拉手级联; 最大支持2个独立环网满足不同组网需求；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 48K Hz音频采样无损传输，&lt; 10ms传输延迟，音质不受网线长度影响；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3.支持话筒: 输入音量、AGC等音频参数全局/单独可调节；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4.支持坐席: 名称、角色、PTZ预置位单独调节；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可通过WEB页面控制会议主机，包括发言模式，话筒开关控制，话筒EQ参数调节，话筒AGC参数调节（话筒EQ参数、AGC参数可全局调节也可单独调节任意一只发言单元）(须提供满足此项参数的第三方检测机构出具的带有CNAS标识的检测报告复印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★6.可通过自带的RS485接口控制PTZ会议摄像机，支持Pelco_D 、Pelco_P 、VISCA三种摄像机通讯协议(需提供满足此项参数的第三方检测机构出具的带有CNAS标识的检测报告复印件)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★7.自带的RS232接口连接控制中控主机，视频矩阵等设备，可根据被控设备自定义会议主机串口波特率和控制代码(需提供满足此项参数的第三方检测机构出具的带有CNAS标识的检测报告复印件)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8.支持U盘实时录音功能，最大支持128G U盘，</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9.录音格式采用AAC编码压缩存储，可同时录制16通道音频；</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10.坐席话筒支持热插拔；即插即用无需设置；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11.发言模式具有数量限制、先进先出、申请发言、自由模式等发言模式。(需提供满足此项参数的第三方检测机构出具的带有CNAS标识的检测报告复印件)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12.≥4.3"全彩显示屏，快速操作的多功能飞梭按键，可精细调节每一个系统参数；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13.支持卡农座、2Pin端子平衡输出；莲花头非平衡输出，满足不同接入需求；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14.自带WIFI热点用于系统调试(需提供满足此项参数的第三方检测机构出具的带有CNAS标识的检测报告复印件)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15.可接入网络可视对讲平台，进行双向语音对讲(需提供满足此项参数的第三方检测机构出具的带有CNAS标识的检测报告复印件)</w:t>
            </w:r>
          </w:p>
        </w:tc>
      </w:tr>
      <w:tr w14:paraId="236A02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6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ACF9F5">
            <w:pPr>
              <w:jc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14</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306A26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方杆IP网络数字会议主席机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6DC324">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5F7A916E">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功能参数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1.4.3寸全彩触摸显示屏，分辨率480*480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2.主席单元可发起会议签到、投票表决议程，签到和投票表决结果实时显示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3.主席单元具有批准和禁止代表单元发言的权限；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4.主席单元可实时显示当前发言人员姓名、坐席编号以及等待发言人员列表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5.主席单元可拉取对讲服务器通讯录功能，可通过IP地址或者通讯录发起IP对讲功能；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6.话筒杆采用特别设计的声学腔体（话筒杆），外形美观大方；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7.2个直径14mm超心形镀金高保真电容咪头，超远拾音距离；</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8.独立的*LR模拟音频输出接口，具有数模双备份功能；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9.精心设计的具备人体工学话筒底座；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10.全数字化信号传输，抗干扰能力强；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11.话筒杆上带有发言状态指示灯，工作状态下亮红色；</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12.底座具有状态指示灯环，可提示发言人员话筒目前工作状态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13.具有两个RJ45母座接口，通过超五类以上网线连接会议主机、环路备份；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14.具有视像跟踪功能</w:t>
            </w:r>
          </w:p>
        </w:tc>
      </w:tr>
      <w:tr w14:paraId="15445C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8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C31C7B">
            <w:pPr>
              <w:jc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15</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E1E197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方杆IP网络数字会议代表机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DBA05F">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088712D7">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功能参数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1.4.3寸全彩触摸显示屏，分辨率480*480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2.具有会议签到、投票表决功能，签到和投票表决结果实时显示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3.话筒杆采用特别设计的声学腔体（话筒杆），外形美观大方；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4.1个直径14mm超心形镀金高保真电容咪头，超远拾音距离；</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5.精心设计的具备人体工学话筒底座；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6.全数字化信号传输，抗干扰能力强；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7.话筒杆上带有发言状态指示灯，工作状态下亮红色；</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8.底座具有状态指示灯环，可提示发言人员话筒目前工作状态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9.具有两个RJ45母座接口，通过超五类以上网线连接会议主机、环路备份；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10.具有视像跟踪功能</w:t>
            </w:r>
          </w:p>
        </w:tc>
      </w:tr>
      <w:tr w14:paraId="46B596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790E16">
            <w:pPr>
              <w:jc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16</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C896E8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真分集无线话筒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U段手持</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E9F70D">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361ABB32">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主机产品特性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1.20-20KHz全声域范围内，频率响应衰减＜2dB，⾳质接近⽆损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2.20~20KHz全⾳频区间，相位偏差为-30°~+60°，可⽤于声场测试</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3.时延低于4ms</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4.信噪比&gt;93dB,大幅提升底噪控制能力</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5.两通道主机，支持搭配各类话筒</w:t>
            </w:r>
          </w:p>
        </w:tc>
      </w:tr>
      <w:tr w14:paraId="722865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9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1D9F30">
            <w:pPr>
              <w:jc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17</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1006FA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真分集无线话筒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U段头戴</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AA5E4AE">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0B949F3D">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主机产品特性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1.20-20KHz全声域范围内，频率响应衰减＜2dB，相位响应特性控制在+30°~-60°之间；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2.时延低于4ms，舞美演播级别；</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3.信噪比&gt;105dB,大幅提升底噪控制能力；</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4.双通道主机，支持搭配各类话筒。</w:t>
            </w:r>
          </w:p>
        </w:tc>
      </w:tr>
      <w:tr w14:paraId="53D282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8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CF39FDD">
            <w:pPr>
              <w:jc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18</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67169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天线分配放大系统</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1DFE53">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4E90F509">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功能参数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1.8路BNC天线接口，单台最多支持8支无线发射机同时工作使用;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2.兼容各大品牌，所有UHF频段无线麦克风接收机使用;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3.现场无线电频谱扫描监测功能，为射频频点分配及管理提供依据;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4.高频信号带通滤波功能，过滤带宽以外的信号对系统造成干扰;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5.采用高性能材料及电路确保最大的信号灵敏度和端口串扰隔离能力;</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6.能够为众多无线接收机提供稳定的无线电信号</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7.两个50欧姆BNC型天线级联端口，最多支持三台级联使用;</w:t>
            </w:r>
          </w:p>
        </w:tc>
      </w:tr>
      <w:tr w14:paraId="1AEADA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3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FDDC9B">
            <w:pPr>
              <w:jc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19</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8A0647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合唱话筒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A894911">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4EE13294">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功能参数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1.膜片电容话筒采用优质铜材精工制，高精度的磨沙喷涂工艺，外观精致、结构简洁牢固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2.独特的膜片振膜收音头、内置高通滤波器，可提供清晰的音色和特低的噪音，具有更宽的频响，使音头的频响范围得到延展，低频圆润浑厚、高频清晰通透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3.具有强抗RF射频干扰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4.完全适合于各种高级数字录音、电视广播、视频会议等高要求的收音场合应用</w:t>
            </w:r>
          </w:p>
        </w:tc>
      </w:tr>
      <w:tr w14:paraId="6F7FB5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CB1FC4">
            <w:pPr>
              <w:jc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20</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AF22DD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面光成像灯</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63F804">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7A261D5F">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技术参数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1.电源:AC100-240V 50/60Hz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2.功率:250W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3.光源:一颗200WCOB灯珠</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4.发光颜色:暖白3200K/正白5600K/双色温(任选)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5.发光角度:15-60度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6.发光透镜:玻璃高光效透镜，亚克力镜片</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7.控制方式: 6个标准DMX512通道，智能信号自动检测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8.自动程序:内置程序自走，主从联机模式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9.调光:0—100%16BIT电子线性调焦，平滑无闪烁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10.显示:LED数码显示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11.颜色:可单颗任意控制，切换不同色温和照度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12.通道:4CH模式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13.冷却系统:超静音风冷散热</w:t>
            </w:r>
          </w:p>
        </w:tc>
      </w:tr>
      <w:tr w14:paraId="1FE93E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6B221A">
            <w:pPr>
              <w:jc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21</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D17809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染色灯</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333C11F">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7F520604">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技术参数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1.电源:AC100-240V 50/60Hz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2.功率:220W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3.光源:18颗10W四合一LED灯珠</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4.发光颜色:红绿蓝白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5.发光透镜:白色座高光效透镜，25°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6.控制方式: 7个标准DMX512通道，智能信号自动检测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7.自动程序:内置程序自走，主从联机模式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8.调光:0—100%16BIT电子线性调焦，平滑无闪烁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9.显示:LED数码显示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10.颜色:RGBW无限混色，可以完美呈现任何想要的颜色效果；同时具有颜色渐变，跳变，脉变效果，变化速度可调</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11.通道:7CH模式选择</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12.冷却系统:超静音风冷散热</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13.外壳:压铸铝</w:t>
            </w:r>
          </w:p>
        </w:tc>
      </w:tr>
      <w:tr w14:paraId="10173C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DEB6B7">
            <w:pPr>
              <w:jc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22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DEEFEB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电脑光束灯</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B46B64">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7B242168">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技术参数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1.铭牌标志:定额电压:AC100-240V，50-60Hz；最高环温:ta≤45°C。最大电流:≤5.6A</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2.整灯功率:450W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3.光源:定制高亮款进口灯芯300光源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4.色温:7500K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5.光源寿命:2000小时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6.扫描:水平扫描:540°(16bit 精度扫描) 垂直扫描:270°(16bit 精度扫描) 具有自动纠错的复位功能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7.颜色系统13个颜色+白光，颜色流水、可实现颜色彩虹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8.图案系统:1个固定图案盘，带13个固定图案+白光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9.棱镜:1个8面棱镜、1个48面棱镜，可重叠，可双向旋转</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10.调焦:0~100%线性平滑调焦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11.雾化系统:独立雾化柔光效果，七彩棱镜效果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12.调光:0-100%线性调光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13.频闪:最高可达 25Hz,可以选择随机频闪或脉冲频闪</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14.防护等级:IP20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15.工作环境:-10℃- 45℃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16.显示屏:液晶显示屏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17.复位检测:在无DMX信号状态下，可以选择手动检测以及自动检测，方便检查维修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18.软件:9 个内置程序可供选择、通过DMX数据线升级、可从控台完成更改DMX地址码，遥控开关灯泡，机器复位等功能、显示灯具和光源使用时间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19.通道模式:16个DMX512通道</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20.控制:高温自动保护、标准DMX512协议、凤凰插用于DMX的转接、RDM 功能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21.智能系统:智能灯泡开关控制 (延长灯泡使用寿命)  智能控制，X/Y轴，图案盘，颜色盘，效果盘，调焦等均采用电磁定位系统，具有自动检纠错功能；带自动感应系统，能准确记录灯具使用时间，光源使用时间，以及故障自我检测提示功能,能精准了解故障部位。</w:t>
            </w:r>
          </w:p>
        </w:tc>
      </w:tr>
      <w:tr w14:paraId="484D84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1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F15438">
            <w:pPr>
              <w:jc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23</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D3282B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LED会议平板灯</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2BC3B0">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601701D8">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技术参数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1.输入电压:AC90-260V/50/60Hz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2.额定功率:300W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3.光 源:进口LED高亮度灯珠</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4.灯珠数量:432颗*0.5W暖白和冷白LED</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5.光源寿命:5-10万小时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6.光 通 量:(3200K标准光通量19.6Im /5600K标准光通量21Im)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7.光 效:(3200K标准光效105Im/W /5600 K标准光效110 Im/W)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8.色 温:3200K+5600K</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9.照度:4050LUX(5米)</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10.有效光照距离:10米</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11.驱动电流:20mA</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12.显色指数:Ra≥90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13.显示板控制:主控/DMX或手动电位器控制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14.控制协议:DMX512</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15.控制模式:1CH通道</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16.调光:0-100%线性调光平滑无闪烁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17.出光角度:120度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18.外壳:铝型材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19.灯具连接:信号输入/输出 电源插座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20.工作环境:室内-30℃-50℃ </w:t>
            </w:r>
          </w:p>
        </w:tc>
      </w:tr>
      <w:tr w14:paraId="610133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6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AA52BB">
            <w:pPr>
              <w:jc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24</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225E57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染色灯</w:t>
            </w:r>
          </w:p>
        </w:tc>
        <w:tc>
          <w:tcPr>
            <w:tcW w:w="0" w:type="auto"/>
            <w:tcBorders>
              <w:top w:val="single" w:color="000000" w:sz="4" w:space="0"/>
              <w:left w:val="single" w:color="000000" w:sz="4" w:space="0"/>
              <w:bottom w:val="nil"/>
              <w:right w:val="single" w:color="000000" w:sz="4" w:space="0"/>
            </w:tcBorders>
            <w:shd w:val="clear" w:color="auto" w:fill="auto"/>
            <w:vAlign w:val="center"/>
          </w:tcPr>
          <w:p w14:paraId="5F82C006">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5851BF35">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技术参数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1.电源:AC100-240V 50/60Hz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2.功率:220W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3.光源:18颗10W四合一LED灯珠</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4.发光颜色:红绿蓝白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5.发光透镜:白色座高光效透镜，25°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6.控制方式: 7个标准DMX512通道，智能信号自动检测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7.自动程序:内置程序自走，主从联机模式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8.调光:0—100%16BIT电子线性调焦，平滑无闪烁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9.显示:LED数码显示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10.颜色:RGBW无限混色，可以完美呈现任何想要的颜色效果；同时具有颜色渐变，跳变，脉变效果，变化速度可调</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11.通道:7CH模式选择</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12.冷却系统:超静音风冷散热</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13.外壳:压铸铝</w:t>
            </w:r>
          </w:p>
        </w:tc>
      </w:tr>
      <w:tr w14:paraId="603733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271785">
            <w:pPr>
              <w:jc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25</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330B97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电脑光束灯</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950826">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4B48F3B8">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技术参数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1.铭牌标志:定额电压:AC100-240V，50-60Hz；最高环温:ta≤45°C。最大电流:≤5.6A</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2.整灯功率:450W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3.光源:定制高亮款进口灯芯300光源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4.色温:7500K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5.光源寿命:2000小时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6.扫描:水平扫描:540°(16bit 精度扫描) 垂直扫描:270°(16bit 精度扫描) 具有自动纠错的复位功能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7.颜色系统13个颜色+白光，颜色流水、可实现颜色彩虹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8.图案系统:1个固定图案盘，带13个固定图案+白光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9.棱镜:1个8面棱镜、1个48面棱镜，可重叠，可双向旋转</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10.调焦:0~100%线性平滑调焦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11.雾化系统:独立雾化柔光效果，七彩棱镜效果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12.调光:0-100%线性调光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13.频闪:最高可达 25Hz,可以选择随机频闪或脉冲频闪</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14.防护等级:IP20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15.工作环境:-10℃- 45℃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16.显示屏:液晶显示屏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17.复位检测:在无DMX信号状态下，可以选择手动检测以及自动检测，方便检查维修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18.软件:9 个内置程序可供选择、通过DMX数据线升级、可从控台完成更改DMX地址码，遥控开关灯泡，机器复位等功能、显示灯具和光源使用时间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19.通道模式:16个DMX512通道</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20.控制:高温自动保护、标准DMX512协议、凤凰插用于DMX的转接、RDM 功能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21.智能系统:智能灯泡开关控制 (延长灯泡使用寿命)  智能控制，X/Y轴，图案盘，颜色盘，效果盘，调焦等均采用电磁定位系统，具有自动检纠错功能；带自动感应系统，能准确记录灯具使用时间，光源使用时间，以及故障自我检测提示功能,能精准了解故障部位。</w:t>
            </w:r>
          </w:p>
        </w:tc>
      </w:tr>
      <w:tr w14:paraId="3E231D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1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288AC7">
            <w:pPr>
              <w:jc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26</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E67111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LED会议平板灯</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0CC61D">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2A977835">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技术参数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1.输入电压:AC90-260V/50/60Hz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2.额定功率:300W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3.光 源:进口LED高亮度灯珠</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4.灯珠数量:432颗*0.5W暖白和冷白LED</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5.光源寿命:5-10万小时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6.光 通 量:(3200K标准光通量19.6Im /5600K标准光通量21Im)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7.光 效:(3200K标准光效105Im/W /5600 K标准光效110 Im/W)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8.色 温:3200K+5600K</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9.照度:4050LUX(5米)</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10.有效光照距离:10米</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11.驱动电流:20mA</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12.显色指数:Ra≥90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13.显示板控制:主控/DMX或手动电位器控制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14.控制协议:DMX512</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15.控制模式:1CH通道</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16.调光:0-100%线性调光平滑无闪烁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17.出光角度:120度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18.外壳:铝型材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19.灯具连接:信号输入/输出 电源插座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20.工作环境:室内-30℃-50℃ </w:t>
            </w:r>
          </w:p>
        </w:tc>
      </w:tr>
      <w:tr w14:paraId="3632C1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1BC1E2">
            <w:pPr>
              <w:jc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27</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5D21E4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染色灯</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D7E8EB">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7C2EA01E">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技术参数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1.电源:AC100-240V 50/60Hz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2.功率:220W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3.光源:18颗10W四合一LED灯珠</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4.发光颜色:红绿蓝白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5.发光透镜:白色座高光效透镜，25°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6.控制方式: 7个标准DMX512通道，智能信号自动检测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7.自动程序:内置程序自走，主从联机模式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8.调光:0—100%16BIT电子线性调焦，平滑无闪烁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9.显示:LED数码显示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10.颜色:RGBW无限混色，可以完美呈现任何想要的颜色效果；同时具有颜色渐变，跳变，脉变效果，变化速度可调</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11.通道:7CH模式选择</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12.冷却系统:超静音风冷散热</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13.外壳:压铸铝</w:t>
            </w:r>
          </w:p>
        </w:tc>
      </w:tr>
      <w:tr w14:paraId="29C9A4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91D16C">
            <w:pPr>
              <w:jc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28</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65AF1B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电脑光束灯</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D7FDBEF">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7FFC88AC">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技术参数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1.铭牌标志:定额电压:AC100-240V，50-60Hz；最高环温:ta≤45°C。最大电流:≤5.6A</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2.整灯功率:450W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3.光源:定制高亮款进口灯芯300光源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4.色温:7500K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5.光源寿命:2000小时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6.扫描:水平扫描:540°(16bit 精度扫描) 垂直扫描:270°(16bit 精度扫描) 具有自动纠错的复位功能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7.颜色系统13个颜色+白光，颜色流水、可实现颜色彩虹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8.图案系统:1个固定图案盘，带13个固定图案+白光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9.棱镜:1个8面棱镜、1个48面棱镜，可重叠，可双向旋转</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10.调焦:0~100%线性平滑调焦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11.雾化系统:独立雾化柔光效果，七彩棱镜效果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12.调光:0-100%线性调光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13.频闪:最高可达 25Hz,可以选择随机频闪或脉冲频闪</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14.防护等级:IP20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15.工作环境:-10℃- 45℃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16.显示屏:液晶显示屏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17.复位检测:在无DMX信号状态下，可以选择手动检测以及自动检测，方便检查维修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18.软件:9 个内置程序可供选择、通过DMX数据线升级、可从控台完成更改DMX地址码，遥控开关灯泡，机器复位等功能、显示灯具和光源使用时间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19.通道模式:16个DMX512通道</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20.控制:高温自动保护、标准DMX512协议、凤凰插用于DMX的转接、RDM 功能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21.智能系统:智能灯泡开关控制 (延长灯泡使用寿命)  智能控制，X/Y轴，图案盘，颜色盘，效果盘，调焦等均采用电磁定位系统，具有自动检纠错功能；带自动感应系统，能准确记录灯具使用时间，光源使用时间，以及故障自我检测提示功能,能精准了解故障部位。</w:t>
            </w:r>
          </w:p>
        </w:tc>
      </w:tr>
      <w:tr w14:paraId="2670D4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1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08F28E">
            <w:pPr>
              <w:jc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29</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275104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LED会议平板灯</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2EF57D">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5EC805EE">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技术参数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1.输入电压:AC90-260V/50/60Hz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2.额定功率:300W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3.光 源:进口LED高亮度灯珠</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4.灯珠数量:432颗*0.5W暖白和冷白LED</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5.光源寿命:5-10万小时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6.光 通 量:(3200K标准光通量19.6Im /5600K标准光通量21Im)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7.光 效:(3200K标准光效105Im/W /5600 K标准光效110 Im/W)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8.色 温:3200K+5600K</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9.照度:4050LUX(5米)</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10.有效光照距离:10米</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11.驱动电流:20mA</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12.显色指数:Ra≥90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13.显示板控制:主控/DMX或手动电位器控制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14.控制协议:DMX512</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15.控制模式:1CH通道</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16.调光:0-100%线性调光平滑无闪烁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17.出光角度:120度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18.外壳:铝型材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19.灯具连接:信号输入/输出 电源插座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20.工作环境:室内-30℃-50℃ </w:t>
            </w:r>
          </w:p>
        </w:tc>
      </w:tr>
      <w:tr w14:paraId="329A69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8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D7AF87">
            <w:pPr>
              <w:jc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30</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375901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2048控台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60F7C8">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717D7CB3">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技术参数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1.DMX512/1990标准，最大2048个DMX控制通道，四路光电隔离信号输出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2.最大控制200台电脑灯或200路调光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3.新增Art-net网络端口，带内置模拟器功能，可直接在电脑进行灯光模拟。同时还可用网线代替信号线，连接灯具</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4.RDM双向信号输出，可直接在控台设置灯的地址码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5.使用珍珠灯库(R20格式灯库)，且控台上可自行编写灯库</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6.带背光的LCD显示屏，首创的中英文显示可切换界面。面板中英文可选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7.内置图形轨迹发生器，有227个内置图形，方便用户对电脑灯进行图形轨迹控制，如画圆、螺旋、彩虹、追逐等多种效果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8.图形参数(如:振幅、速度、间隔、波浪、方向)均可独立设置，更方便快捷的做出想要的造型和场景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9.每个场景可保存图形数量5个；同时可运行图形数量10个</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10.有节目录制功能，最多可储存100个节目，灯光秀演示一劳永逸</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11.有内置时间码和外置MIDI触发功能,让您轻松实现一键声光同步的炫丽灯光秀</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12.场景能够实现交叠功能，图形有宽度参数，能够更快速的编程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13.具有高级编组功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14.可储存100个素材，素材共享或者独立素材均可随心设置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15.素材储存模式有四种，素材储存和调用灵活便捷</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16.可储存150个重演场景，用于储存多步场景和单步场景。每个多步场景最多可储存600个单步</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17.可同时输出和运行15个重演场景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18.带15根集控推杆。按键点控和推杆集控兼容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19.支持重新配节地址码、垂直水平交换、通道输出反向等功能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20.关机或者突发断电等情况数据可记忆保持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21.U盘可备份控台数据，并支持重新导入到控台使用，同型号控台数据可共享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22.支持远程软件升级，随时随地增加新的功能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23.具有预编程功能，离线事先编程，省事省心</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24.预置推杆可控制电脑灯的属性，属性控制更方便快捷</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25.支持立即黑场、场景互锁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26.电源：AC100~240V,50~60Hz</w:t>
            </w:r>
          </w:p>
        </w:tc>
      </w:tr>
      <w:tr w14:paraId="45237B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3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353ADE">
            <w:pPr>
              <w:jc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31</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37B95E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信号放大器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7B0744">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7AD72E8F">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功能参数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1.标准DMX512数字信号</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2.DMX512信号放大功能，延长信号传输距离；</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3.DMX512放号分配功能，多台DMX后级共享一套控制系统；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4.独立电感电源,独立DMX信号地线，标准DMX的分配独立放大；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5.独立光电隔离功能，避免强电对DMX信号控制的干扰和破坏；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6.两路输入，八路DMX信号放大输出；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7.各输入输出接口之间的电气隔离电压：&gt;300V </w:t>
            </w:r>
          </w:p>
        </w:tc>
      </w:tr>
      <w:tr w14:paraId="24CDC2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A7F858A">
            <w:pPr>
              <w:jc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32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600C66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12路直通箱</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FAC849A">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2EF328C7">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技术参数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1.供电:三相五线制 AC380V±10％，频率 50Hz±5％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2.额定功率:12 路*4KW; 可适用于任何负载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3.过载与短路双重保护高分断空气开关</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4.A.B.C 三相工作指示灯. 设两脚和三脚万能备用</w:t>
            </w:r>
          </w:p>
        </w:tc>
      </w:tr>
      <w:tr w14:paraId="5EA64A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E7680F">
            <w:pPr>
              <w:jc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33</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FC9259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固定灯杆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1567E3">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15549E30">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10米/12米固定灯杆</w:t>
            </w:r>
          </w:p>
        </w:tc>
      </w:tr>
      <w:tr w14:paraId="27749F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7D0E11">
            <w:pPr>
              <w:jc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34</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D91034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机柜</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8B9FDF">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65004BBA">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42U,600*600机柜</w:t>
            </w:r>
          </w:p>
        </w:tc>
      </w:tr>
      <w:tr w14:paraId="14294C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DFAD0EF">
            <w:pPr>
              <w:jc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35</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40E461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操作台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F255F91">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548569C8">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两人位操作台</w:t>
            </w:r>
          </w:p>
        </w:tc>
      </w:tr>
      <w:tr w14:paraId="49D11B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A45A0B">
            <w:pPr>
              <w:jc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36</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284DD1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电动葫芦</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42302F">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328EB55F">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线阵音箱吊装，2Tx10米</w:t>
            </w:r>
          </w:p>
        </w:tc>
      </w:tr>
      <w:tr w14:paraId="22CB6E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E7C34E">
            <w:pPr>
              <w:jc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37</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D500E6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落地话筒支架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74B2C0">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60D2896A">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落地话筒支架</w:t>
            </w:r>
          </w:p>
        </w:tc>
      </w:tr>
      <w:tr w14:paraId="610467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EA192B">
            <w:pPr>
              <w:jc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38</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381E8C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音频线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B73189">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445A002E">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RVPE2*0.5音频线</w:t>
            </w:r>
          </w:p>
        </w:tc>
      </w:tr>
      <w:tr w14:paraId="200221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5D1003">
            <w:pPr>
              <w:jc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39</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A83FE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音箱线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4B38C1">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6269C63B">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EVJV2*1.5</w:t>
            </w:r>
          </w:p>
        </w:tc>
      </w:tr>
      <w:tr w14:paraId="45635B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0CF28F">
            <w:pPr>
              <w:jc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40</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515692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音箱线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DC09ED">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4B21558A">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EVJV2*2.5</w:t>
            </w:r>
          </w:p>
        </w:tc>
      </w:tr>
      <w:tr w14:paraId="209A56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914573">
            <w:pPr>
              <w:jc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41</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BA6F0E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同轴电缆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267065F">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7CD0F87D">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50欧同轴电缆</w:t>
            </w:r>
          </w:p>
        </w:tc>
      </w:tr>
      <w:tr w14:paraId="2D2F75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5A8384">
            <w:pPr>
              <w:jc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42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AF2A2C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音频跳线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E04167">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4E5FECBD">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1.5米卡农公对母音频跳线</w:t>
            </w:r>
          </w:p>
        </w:tc>
      </w:tr>
      <w:tr w14:paraId="1F5BFA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BCE620">
            <w:pPr>
              <w:jc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43</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AF021C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音频跳线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7D864D">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11E47286">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10米卡农公对母音频跳线</w:t>
            </w:r>
          </w:p>
        </w:tc>
      </w:tr>
      <w:tr w14:paraId="0F6915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45AFE9">
            <w:pPr>
              <w:jc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44</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4BDFDA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音频跳线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95D469">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7655D087">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1.5米卡农公对大三芯音频跳线</w:t>
            </w:r>
          </w:p>
        </w:tc>
      </w:tr>
      <w:tr w14:paraId="6A6398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2156818">
            <w:pPr>
              <w:jc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45</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BC7177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灯光电源线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5E4BF33">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1F59CA81">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阻燃电源线2*2.5</w:t>
            </w:r>
          </w:p>
        </w:tc>
      </w:tr>
      <w:tr w14:paraId="3B8582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FDE092">
            <w:pPr>
              <w:jc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46</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7DDD22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灯光信号线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FEE433">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37DD9F99">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信号线RVPE2*0.5</w:t>
            </w:r>
          </w:p>
        </w:tc>
      </w:tr>
      <w:tr w14:paraId="415028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B24CF0">
            <w:pPr>
              <w:jc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47</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AEC6EF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安装辅材、配件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C450C2">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6D0FCEC0">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安装辅材、配件、插接件等</w:t>
            </w:r>
          </w:p>
        </w:tc>
      </w:tr>
      <w:tr w14:paraId="038515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EC943C">
            <w:pPr>
              <w:jc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48</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2C1520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安装</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797228">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323C4AD8">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系统集成安装、设备上架及调试培训。</w:t>
            </w:r>
          </w:p>
        </w:tc>
      </w:tr>
      <w:tr w14:paraId="188FF9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2" w:hRule="atLeast"/>
        </w:trPr>
        <w:tc>
          <w:tcPr>
            <w:tcW w:w="0" w:type="auto"/>
            <w:gridSpan w:val="4"/>
            <w:tcBorders>
              <w:top w:val="single" w:color="000000" w:sz="4" w:space="0"/>
              <w:left w:val="nil"/>
              <w:bottom w:val="single" w:color="000000" w:sz="4" w:space="0"/>
              <w:right w:val="nil"/>
            </w:tcBorders>
            <w:shd w:val="clear" w:color="auto" w:fill="FFFF00"/>
            <w:vAlign w:val="center"/>
          </w:tcPr>
          <w:p w14:paraId="237B2280">
            <w:pPr>
              <w:keepNext w:val="0"/>
              <w:keepLines w:val="0"/>
              <w:widowControl/>
              <w:suppressLineNumbers w:val="0"/>
              <w:jc w:val="center"/>
              <w:textAlignment w:val="center"/>
              <w:rPr>
                <w:rFonts w:hint="default" w:ascii="方正黑体_GBK" w:hAnsi="方正黑体_GBK" w:eastAsia="方正黑体_GBK" w:cs="方正黑体_GBK"/>
                <w:i w:val="0"/>
                <w:iCs w:val="0"/>
                <w:color w:val="000000"/>
                <w:sz w:val="18"/>
                <w:szCs w:val="18"/>
                <w:u w:val="none"/>
              </w:rPr>
            </w:pPr>
            <w:r>
              <w:rPr>
                <w:rFonts w:hint="default" w:ascii="方正黑体_GBK" w:hAnsi="方正黑体_GBK" w:eastAsia="方正黑体_GBK" w:cs="方正黑体_GBK"/>
                <w:i w:val="0"/>
                <w:iCs w:val="0"/>
                <w:color w:val="000000"/>
                <w:kern w:val="0"/>
                <w:sz w:val="18"/>
                <w:szCs w:val="18"/>
                <w:u w:val="none"/>
                <w:lang w:val="en-US" w:eastAsia="zh-CN" w:bidi="ar"/>
              </w:rPr>
              <w:t>中会议室音频</w:t>
            </w:r>
          </w:p>
        </w:tc>
      </w:tr>
      <w:tr w14:paraId="370F4B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3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CB70A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BD4381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无线一拖二手持</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0EB2F5">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07F5665E">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1.用UHF超高频段，比传统的VHF频段干扰更少，传输更可靠</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2.具有一键自动扫频功能，可自动扫描出使用环境中最干净的频点。环境适应性强，交付便捷</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3.具备前置监，可便捷对接收机的音频输出效果进行监听接口</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4.支持平衡和非平衡两种选择输出端口，适应不同的设备连接需求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5.支持mic/line两种输出模式，适配不同后级接入设备</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6.红外对频功能，只需一按接收机对频键，发射机就会自动追锁接收机频率并调整一致，方便使用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7.接收机可设置锁屏功能，防止使用误操作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8.高档液晶显示屏采用全新的背光补亮方式，使接收机及发射器的工作状态一目了然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无线通信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1.载波频率范围：630~698MHz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2.频带宽度：200kHz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3.有效工作距离：100m（空旷无遮挡）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4.射频灵敏度：-99dBm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5.信道数量：225（15组，每组15个信道）</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接收机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1.最大输出电平：XRL（LINE）：18dBV 6.35mm（LINE）：12dBV</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2.天线接口：BNC</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3.天线阻抗：50Ω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4.供电电压：DC12V</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发射机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1.麦克风类型：动圈麦；2.指向性：超心型；3.供电：2*AA连续工作时间8h（原装电池）</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4.工作温度和湿度：-10~50℃，90%RH</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音频</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1.总谐波失真：0.15%（1kHz）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2.信噪比（A记权）：73dB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3.动态范围：96dB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4.频率响应：30Hz~20kHz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5.最大输入声压：127dBSPL</w:t>
            </w:r>
          </w:p>
        </w:tc>
      </w:tr>
      <w:tr w14:paraId="274B87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D589AC">
            <w:pPr>
              <w:keepNext w:val="0"/>
              <w:keepLines w:val="0"/>
              <w:widowControl/>
              <w:suppressLineNumbers w:val="0"/>
              <w:jc w:val="center"/>
              <w:textAlignment w:val="center"/>
              <w:rPr>
                <w:rFonts w:hint="eastAsia" w:ascii="宋体" w:hAnsi="宋体" w:eastAsia="宋体" w:cs="宋体"/>
                <w:i w:val="0"/>
                <w:iCs w:val="0"/>
                <w:color w:val="000000"/>
                <w:sz w:val="18"/>
                <w:szCs w:val="18"/>
                <w:u w:val="none"/>
                <w:lang w:val="en-US" w:eastAsia="zh-CN"/>
              </w:rPr>
            </w:pPr>
            <w:r>
              <w:rPr>
                <w:rFonts w:hint="eastAsia" w:ascii="宋体" w:hAnsi="宋体" w:cs="宋体"/>
                <w:i w:val="0"/>
                <w:iCs w:val="0"/>
                <w:color w:val="000000"/>
                <w:sz w:val="18"/>
                <w:szCs w:val="18"/>
                <w:u w:val="none"/>
                <w:lang w:val="en-US" w:eastAsia="zh-CN"/>
              </w:rPr>
              <w:t>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09BD17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有线手拉手会议话筒主机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C0D169">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0A1E04CD">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Style w:val="59"/>
                <w:lang w:val="en-US" w:eastAsia="zh-CN" w:bidi="ar"/>
              </w:rPr>
              <w:t>系统采用纯数字处理和传输技术</w:t>
            </w:r>
            <w:r>
              <w:rPr>
                <w:rStyle w:val="59"/>
                <w:lang w:val="en-US" w:eastAsia="zh-CN" w:bidi="ar"/>
              </w:rPr>
              <w:br w:type="textWrapping"/>
            </w:r>
            <w:r>
              <w:rPr>
                <w:rStyle w:val="59"/>
                <w:lang w:val="en-US" w:eastAsia="zh-CN" w:bidi="ar"/>
              </w:rPr>
              <w:t>一条 6 芯电缆传输 16 种语言和各种信息</w:t>
            </w:r>
            <w:r>
              <w:rPr>
                <w:rStyle w:val="59"/>
                <w:lang w:val="en-US" w:eastAsia="zh-CN" w:bidi="ar"/>
              </w:rPr>
              <w:br w:type="textWrapping"/>
            </w:r>
            <w:r>
              <w:rPr>
                <w:rStyle w:val="59"/>
                <w:lang w:val="en-US" w:eastAsia="zh-CN" w:bidi="ar"/>
              </w:rPr>
              <w:t>支持48kHz音频采样频率，通道频率响应均可达30 Hz~20 kHz</w:t>
            </w:r>
            <w:r>
              <w:rPr>
                <w:rStyle w:val="59"/>
                <w:lang w:val="en-US" w:eastAsia="zh-CN" w:bidi="ar"/>
              </w:rPr>
              <w:br w:type="textWrapping"/>
            </w:r>
            <w:r>
              <w:rPr>
                <w:rStyle w:val="59"/>
                <w:lang w:val="en-US" w:eastAsia="zh-CN" w:bidi="ar"/>
              </w:rPr>
              <w:t xml:space="preserve"> 长距离传输对音质不会有任何影响</w:t>
            </w:r>
            <w:r>
              <w:rPr>
                <w:rStyle w:val="59"/>
                <w:lang w:val="en-US" w:eastAsia="zh-CN" w:bidi="ar"/>
              </w:rPr>
              <w:br w:type="textWrapping"/>
            </w:r>
            <w:r>
              <w:rPr>
                <w:rStyle w:val="59"/>
                <w:lang w:val="en-US" w:eastAsia="zh-CN" w:bidi="ar"/>
              </w:rPr>
              <w:t xml:space="preserve"> 分机单元麦克风增益和EQ独立可调</w:t>
            </w:r>
            <w:r>
              <w:rPr>
                <w:rStyle w:val="59"/>
                <w:lang w:val="en-US" w:eastAsia="zh-CN" w:bidi="ar"/>
              </w:rPr>
              <w:br w:type="textWrapping"/>
            </w:r>
            <w:r>
              <w:rPr>
                <w:rStyle w:val="59"/>
                <w:lang w:val="en-US" w:eastAsia="zh-CN" w:bidi="ar"/>
              </w:rPr>
              <w:t xml:space="preserve"> 主机与电脑用TCP/IP连接方式</w:t>
            </w:r>
            <w:r>
              <w:rPr>
                <w:rStyle w:val="59"/>
                <w:lang w:val="en-US" w:eastAsia="zh-CN" w:bidi="ar"/>
              </w:rPr>
              <w:br w:type="textWrapping"/>
            </w:r>
            <w:r>
              <w:rPr>
                <w:rStyle w:val="59"/>
                <w:lang w:val="en-US" w:eastAsia="zh-CN" w:bidi="ar"/>
              </w:rPr>
              <w:t xml:space="preserve"> 内置多路的内部通讯功能</w:t>
            </w:r>
            <w:r>
              <w:rPr>
                <w:rStyle w:val="59"/>
                <w:lang w:val="en-US" w:eastAsia="zh-CN" w:bidi="ar"/>
              </w:rPr>
              <w:br w:type="textWrapping"/>
            </w:r>
            <w:r>
              <w:rPr>
                <w:rStyle w:val="59"/>
                <w:lang w:val="en-US" w:eastAsia="zh-CN" w:bidi="ar"/>
              </w:rPr>
              <w:t xml:space="preserve"> 支持轮替（先进先出）模式、申请发言、按住发言、自由发言、倒计时发言、声控发言</w:t>
            </w:r>
            <w:r>
              <w:rPr>
                <w:rStyle w:val="59"/>
                <w:lang w:val="en-US" w:eastAsia="zh-CN" w:bidi="ar"/>
              </w:rPr>
              <w:br w:type="textWrapping"/>
            </w:r>
            <w:r>
              <w:rPr>
                <w:rStyle w:val="59"/>
                <w:lang w:val="en-US" w:eastAsia="zh-CN" w:bidi="ar"/>
              </w:rPr>
              <w:t>系统单元热插拔功能</w:t>
            </w:r>
            <w:r>
              <w:rPr>
                <w:rStyle w:val="59"/>
                <w:lang w:val="en-US" w:eastAsia="zh-CN" w:bidi="ar"/>
              </w:rPr>
              <w:br w:type="textWrapping"/>
            </w:r>
            <w:r>
              <w:rPr>
                <w:rStyle w:val="59"/>
                <w:lang w:val="en-US" w:eastAsia="zh-CN" w:bidi="ar"/>
              </w:rPr>
              <w:t>主机自带摄像跟踪，支持VISCA、PELCO-D、PELCO-P常规控制协议，采用RS-485与RS-232双控制接口、具备串口与视频矩阵主机连接</w:t>
            </w:r>
            <w:r>
              <w:rPr>
                <w:rStyle w:val="59"/>
                <w:lang w:val="en-US" w:eastAsia="zh-CN" w:bidi="ar"/>
              </w:rPr>
              <w:br w:type="textWrapping"/>
            </w:r>
            <w:r>
              <w:rPr>
                <w:rStyle w:val="59"/>
                <w:lang w:val="en-US" w:eastAsia="zh-CN" w:bidi="ar"/>
              </w:rPr>
              <w:t>系统可接入其它电容麦克风或动圈麦克风，为用户提供更多选择</w:t>
            </w:r>
            <w:r>
              <w:rPr>
                <w:rStyle w:val="59"/>
                <w:lang w:val="en-US" w:eastAsia="zh-CN" w:bidi="ar"/>
              </w:rPr>
              <w:br w:type="textWrapping"/>
            </w:r>
            <w:r>
              <w:rPr>
                <w:rStyle w:val="59"/>
                <w:lang w:val="en-US" w:eastAsia="zh-CN" w:bidi="ar"/>
              </w:rPr>
              <w:t>具备平衡卡侬及非平衡RCA混合音频输出，可对系统输出信号人性化调节</w:t>
            </w:r>
            <w:r>
              <w:rPr>
                <w:rStyle w:val="59"/>
                <w:lang w:val="en-US" w:eastAsia="zh-CN" w:bidi="ar"/>
              </w:rPr>
              <w:br w:type="textWrapping"/>
            </w:r>
            <w:r>
              <w:rPr>
                <w:rStyle w:val="59"/>
                <w:lang w:val="en-US" w:eastAsia="zh-CN" w:bidi="ar"/>
              </w:rPr>
              <w:t>具有强大USB声卡，音频可直接输入电脑、手机等设备，进行录音，调用音频等等功能</w:t>
            </w:r>
            <w:r>
              <w:rPr>
                <w:rStyle w:val="59"/>
                <w:lang w:val="en-US" w:eastAsia="zh-CN" w:bidi="ar"/>
              </w:rPr>
              <w:br w:type="textWrapping"/>
            </w:r>
            <w:r>
              <w:rPr>
                <w:rStyle w:val="59"/>
                <w:lang w:val="en-US" w:eastAsia="zh-CN" w:bidi="ar"/>
              </w:rPr>
              <w:t>支持中文简体与英文显示菜单切换选择，可根据需求定制菜单语言</w:t>
            </w:r>
            <w:r>
              <w:rPr>
                <w:rStyle w:val="59"/>
                <w:lang w:val="en-US" w:eastAsia="zh-CN" w:bidi="ar"/>
              </w:rPr>
              <w:br w:type="textWrapping"/>
            </w:r>
            <w:r>
              <w:rPr>
                <w:rStyle w:val="59"/>
                <w:lang w:val="en-US" w:eastAsia="zh-CN" w:bidi="ar"/>
              </w:rPr>
              <w:t>在不需要使用中继电源的情况下轻松实现80个会议单元同时在线</w:t>
            </w:r>
            <w:r>
              <w:rPr>
                <w:rStyle w:val="59"/>
                <w:lang w:val="en-US" w:eastAsia="zh-CN" w:bidi="ar"/>
              </w:rPr>
              <w:br w:type="textWrapping"/>
            </w:r>
            <w:r>
              <w:rPr>
                <w:rStyle w:val="59"/>
                <w:lang w:val="en-US" w:eastAsia="zh-CN" w:bidi="ar"/>
              </w:rPr>
              <w:t>内置多路的内部通讯功能，支持16种语言的同声传译</w:t>
            </w:r>
            <w:r>
              <w:rPr>
                <w:rStyle w:val="59"/>
                <w:lang w:val="en-US" w:eastAsia="zh-CN" w:bidi="ar"/>
              </w:rPr>
              <w:br w:type="textWrapping"/>
            </w:r>
            <w:r>
              <w:rPr>
                <w:rStyle w:val="59"/>
                <w:lang w:val="en-US" w:eastAsia="zh-CN" w:bidi="ar"/>
              </w:rPr>
              <w:t>自带移频、反相，噪声门功能，有防止、抑制啸叫。使用亦可自行选择是否打开或关闭此功能</w:t>
            </w:r>
            <w:r>
              <w:rPr>
                <w:rStyle w:val="59"/>
                <w:lang w:val="en-US" w:eastAsia="zh-CN" w:bidi="ar"/>
              </w:rPr>
              <w:br w:type="textWrapping"/>
            </w:r>
            <w:r>
              <w:rPr>
                <w:rStyle w:val="59"/>
                <w:lang w:val="en-US" w:eastAsia="zh-CN" w:bidi="ar"/>
              </w:rPr>
              <w:t>与PC软件实现多种类的投票表决、评分、决议、签到等等强大功能的，满足需要所有需要表决等会议场所</w:t>
            </w:r>
            <w:r>
              <w:rPr>
                <w:rStyle w:val="59"/>
                <w:lang w:val="en-US" w:eastAsia="zh-CN" w:bidi="ar"/>
              </w:rPr>
              <w:br w:type="textWrapping"/>
            </w:r>
            <w:r>
              <w:rPr>
                <w:rStyle w:val="59"/>
                <w:lang w:val="en-US" w:eastAsia="zh-CN" w:bidi="ar"/>
              </w:rPr>
              <w:t>内置多路的内部通讯功能，支持16路语言的同声传译</w:t>
            </w:r>
            <w:r>
              <w:rPr>
                <w:rStyle w:val="59"/>
                <w:lang w:val="en-US" w:eastAsia="zh-CN" w:bidi="ar"/>
              </w:rPr>
              <w:br w:type="textWrapping"/>
            </w:r>
            <w:r>
              <w:rPr>
                <w:rStyle w:val="59"/>
                <w:lang w:val="en-US" w:eastAsia="zh-CN" w:bidi="ar"/>
              </w:rPr>
              <w:t>自带移频、反相，噪声门功能，有防止、抑制啸叫。亦可自行选择是否打开或关闭此功能</w:t>
            </w:r>
            <w:r>
              <w:rPr>
                <w:rStyle w:val="59"/>
                <w:lang w:val="en-US" w:eastAsia="zh-CN" w:bidi="ar"/>
              </w:rPr>
              <w:br w:type="textWrapping"/>
            </w:r>
            <w:r>
              <w:rPr>
                <w:rStyle w:val="59"/>
                <w:lang w:val="en-US" w:eastAsia="zh-CN" w:bidi="ar"/>
              </w:rPr>
              <w:t>自带双系统：PC操控软件和WEB系统，通过PC软件可以设置主机所有功能，更直观明了。并且强化了投票表决等功能，通过WEB系统可以实现同声传译、均衡器调节、录音的更强大功能</w:t>
            </w:r>
            <w:r>
              <w:rPr>
                <w:rStyle w:val="59"/>
                <w:lang w:val="en-US" w:eastAsia="zh-CN" w:bidi="ar"/>
              </w:rPr>
              <w:br w:type="textWrapping"/>
            </w:r>
            <w:r>
              <w:rPr>
                <w:rStyle w:val="59"/>
                <w:lang w:val="en-US" w:eastAsia="zh-CN" w:bidi="ar"/>
              </w:rPr>
              <w:t>信噪比≥90dBA</w:t>
            </w:r>
            <w:r>
              <w:rPr>
                <w:rStyle w:val="59"/>
                <w:lang w:val="en-US" w:eastAsia="zh-CN" w:bidi="ar"/>
              </w:rPr>
              <w:br w:type="textWrapping"/>
            </w:r>
            <w:r>
              <w:rPr>
                <w:rStyle w:val="59"/>
                <w:lang w:val="en-US" w:eastAsia="zh-CN" w:bidi="ar"/>
              </w:rPr>
              <w:t>网络及安全网络协议</w:t>
            </w:r>
            <w:r>
              <w:rPr>
                <w:rStyle w:val="59"/>
                <w:lang w:val="en-US" w:eastAsia="zh-CN" w:bidi="ar"/>
              </w:rPr>
              <w:br w:type="textWrapping"/>
            </w:r>
            <w:r>
              <w:rPr>
                <w:rStyle w:val="59"/>
                <w:lang w:val="en-US" w:eastAsia="zh-CN" w:bidi="ar"/>
              </w:rPr>
              <w:t>IEEE802.1Qvlan,支持网络音频QOS</w:t>
            </w:r>
            <w:r>
              <w:rPr>
                <w:rStyle w:val="59"/>
                <w:lang w:val="en-US" w:eastAsia="zh-CN" w:bidi="ar"/>
              </w:rPr>
              <w:br w:type="textWrapping"/>
            </w:r>
            <w:r>
              <w:rPr>
                <w:rStyle w:val="59"/>
                <w:lang w:val="en-US" w:eastAsia="zh-CN" w:bidi="ar"/>
              </w:rPr>
              <w:t>SW-Ring冗余环网</w:t>
            </w:r>
            <w:r>
              <w:rPr>
                <w:rStyle w:val="59"/>
                <w:lang w:val="en-US" w:eastAsia="zh-CN" w:bidi="ar"/>
              </w:rPr>
              <w:br w:type="textWrapping"/>
            </w:r>
            <w:r>
              <w:rPr>
                <w:rStyle w:val="59"/>
                <w:lang w:val="en-US" w:eastAsia="zh-CN" w:bidi="ar"/>
              </w:rPr>
              <w:t>系统外设</w:t>
            </w:r>
            <w:r>
              <w:rPr>
                <w:rStyle w:val="59"/>
                <w:lang w:val="en-US" w:eastAsia="zh-CN" w:bidi="ar"/>
              </w:rPr>
              <w:br w:type="textWrapping"/>
            </w:r>
            <w:r>
              <w:rPr>
                <w:rStyle w:val="59"/>
                <w:lang w:val="en-US" w:eastAsia="zh-CN" w:bidi="ar"/>
              </w:rPr>
              <w:t>网络</w:t>
            </w:r>
            <w:r>
              <w:rPr>
                <w:rStyle w:val="59"/>
                <w:lang w:val="en-US" w:eastAsia="zh-CN" w:bidi="ar"/>
              </w:rPr>
              <w:br w:type="textWrapping"/>
            </w:r>
            <w:r>
              <w:rPr>
                <w:rStyle w:val="59"/>
                <w:lang w:val="en-US" w:eastAsia="zh-CN" w:bidi="ar"/>
              </w:rPr>
              <w:t>RJ45网口，连接电脑</w:t>
            </w:r>
            <w:r>
              <w:rPr>
                <w:rStyle w:val="59"/>
                <w:lang w:val="en-US" w:eastAsia="zh-CN" w:bidi="ar"/>
              </w:rPr>
              <w:br w:type="textWrapping"/>
            </w:r>
            <w:r>
              <w:rPr>
                <w:rStyle w:val="59"/>
                <w:lang w:val="en-US" w:eastAsia="zh-CN" w:bidi="ar"/>
              </w:rPr>
              <w:t>频率响应60 Hz ~ 16 kHz</w:t>
            </w:r>
            <w:r>
              <w:rPr>
                <w:rStyle w:val="59"/>
                <w:lang w:val="en-US" w:eastAsia="zh-CN" w:bidi="ar"/>
              </w:rPr>
              <w:br w:type="textWrapping"/>
            </w:r>
            <w:r>
              <w:rPr>
                <w:rStyle w:val="59"/>
                <w:lang w:val="en-US" w:eastAsia="zh-CN" w:bidi="ar"/>
              </w:rPr>
              <w:t>总谐波失真＜0.05％</w:t>
            </w:r>
            <w:r>
              <w:rPr>
                <w:rStyle w:val="59"/>
                <w:lang w:val="en-US" w:eastAsia="zh-CN" w:bidi="ar"/>
              </w:rPr>
              <w:br w:type="textWrapping"/>
            </w:r>
            <w:r>
              <w:rPr>
                <w:rStyle w:val="59"/>
                <w:lang w:val="en-US" w:eastAsia="zh-CN" w:bidi="ar"/>
              </w:rPr>
              <w:t>音频输入LINE IN 1:+18dBu平衡/LINE IN 2: +18dBu非平衡</w:t>
            </w:r>
            <w:r>
              <w:rPr>
                <w:rStyle w:val="59"/>
                <w:lang w:val="en-US" w:eastAsia="zh-CN" w:bidi="ar"/>
              </w:rPr>
              <w:br w:type="textWrapping"/>
            </w:r>
            <w:r>
              <w:rPr>
                <w:rStyle w:val="59"/>
                <w:lang w:val="en-US" w:eastAsia="zh-CN" w:bidi="ar"/>
              </w:rPr>
              <w:t>音频输出LINE OUT 1:+18dBu平衡/LINE OUT 2: +18dBu非平衡</w:t>
            </w:r>
            <w:r>
              <w:rPr>
                <w:rStyle w:val="59"/>
                <w:lang w:val="en-US" w:eastAsia="zh-CN" w:bidi="ar"/>
              </w:rPr>
              <w:br w:type="textWrapping"/>
            </w:r>
            <w:r>
              <w:rPr>
                <w:rStyle w:val="59"/>
                <w:lang w:val="en-US" w:eastAsia="zh-CN" w:bidi="ar"/>
              </w:rPr>
              <w:t>动态范围＞94dB</w:t>
            </w:r>
            <w:r>
              <w:rPr>
                <w:rStyle w:val="59"/>
                <w:lang w:val="en-US" w:eastAsia="zh-CN" w:bidi="ar"/>
              </w:rPr>
              <w:br w:type="textWrapping"/>
            </w:r>
            <w:r>
              <w:rPr>
                <w:rStyle w:val="59"/>
                <w:lang w:val="en-US" w:eastAsia="zh-CN" w:bidi="ar"/>
              </w:rPr>
              <w:t>连接方式专用电缆（6芯）输出阻抗＞1kΩ</w:t>
            </w:r>
            <w:r>
              <w:rPr>
                <w:rStyle w:val="59"/>
                <w:lang w:val="en-US" w:eastAsia="zh-CN" w:bidi="ar"/>
              </w:rPr>
              <w:br w:type="textWrapping"/>
            </w:r>
            <w:r>
              <w:rPr>
                <w:rStyle w:val="59"/>
                <w:lang w:val="en-US" w:eastAsia="zh-CN" w:bidi="ar"/>
              </w:rPr>
              <w:t>工作电源AC100V-240V,50Hz/60Hz</w:t>
            </w:r>
            <w:r>
              <w:rPr>
                <w:rStyle w:val="59"/>
                <w:lang w:val="en-US" w:eastAsia="zh-CN" w:bidi="ar"/>
              </w:rPr>
              <w:br w:type="textWrapping"/>
            </w:r>
            <w:r>
              <w:rPr>
                <w:rStyle w:val="59"/>
                <w:lang w:val="en-US" w:eastAsia="zh-CN" w:bidi="ar"/>
              </w:rPr>
              <w:t>电源功耗350W</w:t>
            </w:r>
            <w:r>
              <w:rPr>
                <w:rStyle w:val="59"/>
                <w:lang w:val="en-US" w:eastAsia="zh-CN" w:bidi="ar"/>
              </w:rPr>
              <w:br w:type="textWrapping"/>
            </w:r>
            <w:r>
              <w:rPr>
                <w:rStyle w:val="59"/>
                <w:lang w:val="en-US" w:eastAsia="zh-CN" w:bidi="ar"/>
              </w:rPr>
              <w:t>屏幕4.3寸ISP全视角TFT-LCD高清800*480</w:t>
            </w:r>
            <w:r>
              <w:rPr>
                <w:rStyle w:val="59"/>
                <w:lang w:val="en-US" w:eastAsia="zh-CN" w:bidi="ar"/>
              </w:rPr>
              <w:br w:type="textWrapping"/>
            </w:r>
            <w:r>
              <w:rPr>
                <w:rStyle w:val="59"/>
                <w:lang w:val="en-US" w:eastAsia="zh-CN" w:bidi="ar"/>
              </w:rPr>
              <w:t>人机交互高精度高灵敏电容触控</w:t>
            </w:r>
            <w:r>
              <w:rPr>
                <w:rStyle w:val="59"/>
                <w:lang w:val="en-US" w:eastAsia="zh-CN" w:bidi="ar"/>
              </w:rPr>
              <w:br w:type="textWrapping"/>
            </w:r>
            <w:r>
              <w:rPr>
                <w:rStyle w:val="59"/>
                <w:lang w:val="en-US" w:eastAsia="zh-CN" w:bidi="ar"/>
              </w:rPr>
              <w:t>颜色黑色</w:t>
            </w:r>
            <w:r>
              <w:rPr>
                <w:rStyle w:val="59"/>
                <w:lang w:val="en-US" w:eastAsia="zh-CN" w:bidi="ar"/>
              </w:rPr>
              <w:br w:type="textWrapping"/>
            </w:r>
            <w:r>
              <w:rPr>
                <w:rStyle w:val="59"/>
                <w:lang w:val="en-US" w:eastAsia="zh-CN" w:bidi="ar"/>
              </w:rPr>
              <w:t>工作温度：-5℃至+50℃</w:t>
            </w:r>
            <w:r>
              <w:rPr>
                <w:rStyle w:val="59"/>
                <w:lang w:val="en-US" w:eastAsia="zh-CN" w:bidi="ar"/>
              </w:rPr>
              <w:br w:type="textWrapping"/>
            </w:r>
            <w:r>
              <w:rPr>
                <w:rStyle w:val="59"/>
                <w:lang w:val="en-US" w:eastAsia="zh-CN" w:bidi="ar"/>
              </w:rPr>
              <w:t>工作湿度：40％至90％</w:t>
            </w:r>
            <w:r>
              <w:rPr>
                <w:rStyle w:val="59"/>
                <w:lang w:val="en-US" w:eastAsia="zh-CN" w:bidi="ar"/>
              </w:rPr>
              <w:br w:type="textWrapping"/>
            </w:r>
            <w:r>
              <w:rPr>
                <w:rStyle w:val="59"/>
                <w:lang w:val="en-US" w:eastAsia="zh-CN" w:bidi="ar"/>
              </w:rPr>
              <w:t>装箱清单主机 x 1电源线 x 1连接线 x 1光碟(说明书+会议软件） x 1保修卡 x 1合格证 x 1接线端子 x 1延长线 x 1</w:t>
            </w:r>
            <w:r>
              <w:rPr>
                <w:rStyle w:val="59"/>
                <w:lang w:val="en-US" w:eastAsia="zh-CN" w:bidi="ar"/>
              </w:rPr>
              <w:br w:type="textWrapping"/>
            </w:r>
            <w:r>
              <w:rPr>
                <w:rStyle w:val="59"/>
                <w:lang w:val="en-US" w:eastAsia="zh-CN" w:bidi="ar"/>
              </w:rPr>
              <w:t>· 采用铝合金环保材质面板，3U标准设计，可固定安装在标准19英寸机柜上</w:t>
            </w:r>
          </w:p>
        </w:tc>
      </w:tr>
      <w:tr w14:paraId="5190E1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01C450">
            <w:pPr>
              <w:keepNext w:val="0"/>
              <w:keepLines w:val="0"/>
              <w:widowControl/>
              <w:suppressLineNumbers w:val="0"/>
              <w:jc w:val="center"/>
              <w:textAlignment w:val="center"/>
              <w:rPr>
                <w:rFonts w:hint="eastAsia" w:ascii="宋体" w:hAnsi="宋体" w:eastAsia="宋体" w:cs="宋体"/>
                <w:i w:val="0"/>
                <w:iCs w:val="0"/>
                <w:color w:val="000000"/>
                <w:sz w:val="18"/>
                <w:szCs w:val="18"/>
                <w:u w:val="none"/>
                <w:lang w:val="en-US" w:eastAsia="zh-CN"/>
              </w:rPr>
            </w:pPr>
            <w:r>
              <w:rPr>
                <w:rFonts w:hint="eastAsia" w:ascii="宋体" w:hAnsi="宋体" w:cs="宋体"/>
                <w:i w:val="0"/>
                <w:iCs w:val="0"/>
                <w:color w:val="000000"/>
                <w:sz w:val="18"/>
                <w:szCs w:val="18"/>
                <w:u w:val="none"/>
                <w:lang w:val="en-US" w:eastAsia="zh-CN"/>
              </w:rPr>
              <w:t>3</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423885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主/客席手拉手会议话筒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7F3C39">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3136CC73">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采用2个超指向咪芯同时拾音，保证拾音清晰的同时提升了拾音的距离，保证话筒能达50CM以上的拾音距离，同时还大大保证了话筒与话筒之间声音的一致性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锌合金成型枪式话筒杆，并采用声干涉原理，有极好的超指向性能，同时在保证清晰而且远距离的拾音外，还大大提高话筒与话筒之间声音的一致性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采用大且清晰的轻触按键，有效避免机械开关所造成的冲击声及勿按等操作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单元具有5段 EQ 调节功能，可针对发言者的声音特点调节不同的音效，直至达到完美的效果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单元采用数字处理和传输技术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装备4.3寸触控屏，可显示单元话筒标题、工作模式、工作状态、话筒类型（代表\主席\来宾）、同声传译音量、同声传译接听通道、单元ID地址码，人员信息图片等都可以屏幕上清晰显示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同声传译支持16+1通道，单元具有双通道收听功能，可同时收听不同译员通道</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具备3.5mm耳机接口，可收听16+1个通道任意一通道的声音</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系统采用数字DSP控制电路与模拟音频电路技术相结合，对声音进行活动检测、噪声抑制等处理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每个单元内置独立的web服务器，支持调节话筒ID号、话筒灵敏度、话筒EQ、话筒的实时状态等参数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主席单元能脱离PC软件直接发起投票标功能，并能在每个话筒的屏幕上清晰显示表决结果等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麦克风类型、电容式、指向性、超心型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频响范围：60~16kHZ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灵敏度：-46dBV/Pa</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音频输出：最大声压级（1 m）、125 dB (THD&lt;3%)</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系统功能：系统延时&lt;17.5ms</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网络及安全网络协议：IEEE802.1qVLAN，支持网络音频QOS</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SW-Ring冗余环网</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音频：输入阻抗2kΩ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连接方式：6P-DIN专用电缆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屏幕：1.7寸LCD屏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功耗:24Vx130mA大约3W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耳机负数:&gt;16Ω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耳机音量:10mW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耳机输出接口:3.5 mm立体声插孔</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人机交互:硅胶按键式触控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方向性0°/180°:&gt;20dB(1kHz)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等效噪声:20 dBA(SPL)</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颜色:黑色</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工作温度：-5℃至+50℃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湿度：40％至90％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装箱清单</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话筒（自带线材） x 1合格证 x 1</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系统支持投票、表决、评分、多选一等等功能能，并且能够在每个单元上清晰显示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每个单元支持呼叫服务，并且能在后台wed服务器能清晰显示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申请发言时，主席单元可以清晰明了的允许或者拒绝当前申请的话筒开启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采用航空头连接，安装更加稳固、轻松、方便，可以随时快速、便捷的搭建不同形式的会议</w:t>
            </w:r>
          </w:p>
        </w:tc>
      </w:tr>
      <w:tr w14:paraId="42D871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9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27F47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058520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20米手拉手主线缆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AD75DA">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31EEE118">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1.导体：裸绞铜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2.绝缘体材质：30P-PVC</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3.外被材质：黑色雾面环保料</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4.外被硬度：70P-PVC</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5.铝箔规格；16M/M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6.产品尺寸：长20米，直径6.5MM</w:t>
            </w:r>
          </w:p>
        </w:tc>
      </w:tr>
      <w:tr w14:paraId="0FAB32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BDCCDF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8D3AB8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反馈抑制器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21202D">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nil"/>
              <w:bottom w:val="single" w:color="000000" w:sz="4" w:space="0"/>
              <w:right w:val="single" w:color="000000" w:sz="4" w:space="0"/>
            </w:tcBorders>
            <w:shd w:val="clear" w:color="auto" w:fill="FFFFFF"/>
            <w:vAlign w:val="top"/>
          </w:tcPr>
          <w:p w14:paraId="570D642C">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1.支持24bitA/D及D/A转换。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2.支持设定快中慢3速响应时间，自动选取陷波器Q值。</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3.支持自动扫描啸叫点并抑制。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4.支持噪声门功能，抑制系统微弱噪声干扰。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5.支持输入压缩功能，消除反馈并扩展人声动态。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6.支持每通道增益-64dB到+6dB。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7.每路设有四档移频选择，配合陷波器使用，防止啸叫。</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技术参数：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1.音频输入：2CH-XLR和1/4“TRS(母)输入,电子平衡/不平衡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2.输入阻抗：平衡47KΩ，不平衡20KΩ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3.最大输入电平：+18dBu</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4.音频输出：2CH-XLR和1/4“TRS(母)输入,电子平衡/不平衡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5.输出阻抗：平衡&gt;120Ω，不平衡&gt;60Ω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6.最大输出电平：+15dBu</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7.频率响应：20Hz-20KHz，±0.3db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8.信噪比（A记权）：＞102db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9.灵敏度：Mic：-20dB/1KHz  ；Line：0dB/1KHz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10.总谐波失真：0.007％, 1KHz; 20Hz-10KH, &lt;0.01％; 10KHz-20KHz, &lt;0.025％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11.动态范围：103dB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12.工作电源：100-240V～,  50Hz/60Hz，耗电量＜30瓦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13.整机接口：输入3芯XLR母插座/6.3插咀 ；输出3芯XLR公插座/6.3插咀 ；USB接口；电源插口；3芯IEC 插座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14.工作温度和湿度：-10℃～60℃，40%～60%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15.装箱清单：设备主机、电源线、用户手册</w:t>
            </w:r>
          </w:p>
        </w:tc>
      </w:tr>
      <w:tr w14:paraId="2179F0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8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52367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029E0E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8路电源时序器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0F5F0D">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0CDCBDAA">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功能需求：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1.双2寸彩色液晶智能显示窗，能实时显示当前电压、电流，日期时间，通道开关状态,主机带有系统设置、保护设置、时间设置、通道设置4个功能设置模式，可直接在智能显示窗上进行查看操作内容。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2.8路开关通道输出，每路延时开启和关闭时间可自由设置（范围0-999秒）。</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3.支持面板Lock锁定功能，防止误操作。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4.内置时钟芯片，可根据日期时间定时设置自动开关机,不须人为操作，支持脱机模式，在脱离服务器时，也能保证定时任务按时执行。</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5.配置1路485端子串口，支持多台设备级联顺序控制，级联自动检测设置。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6.具有1个10M/100M网口，支持网络远程固件升级，多台设备通过级联后只需一路网口即可接入局域网通过软件控制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7.具有1路RS232接口、，支持TCP/IP、RS232协议在电脑上控制，具有开放的第三方接口协议，支持第三方设备对接控制。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8.支持PC客户端软件管理，支持局域网下安卓手机APP进行移动端软件管理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9.支持对每一路电源输出进行定时编程，实现全自动无人值守的电源管理。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10.支持手动电源管理，独立控制每一路电源输出，一键全开或全关等。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11.支持顺序打开或关闭电源功能，支持设置电源的开关时序间隔。</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12.每台设备自带ID设置和检测，可实现远程集中控制。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13.10组设备开关场景数据保存/调用，场景管理应用简单便捷。</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14.支持过载、短路保护功能，欠压、超压、过流检测及报警，可连接PC可视化界面进行远程操控，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15.每路带独立滤波器。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技术规格参数：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1.工作电源：220VAC, 50/60Hz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2.输出通道延时：0到999秒</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3.输出电流：单路额定输出电流16A</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4.额定总输出：电流30A</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5.线路输出：8路，外加2路输出辅助通道</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6.工作温度和湿度：-10℃～60℃，40%～60%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7.装箱清单：设备主机、电源线、用户手册</w:t>
            </w:r>
          </w:p>
        </w:tc>
      </w:tr>
      <w:tr w14:paraId="220F4B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FD4E4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E3A518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2进4出音箱管理器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3EEB92">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0A7F7471">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功能需求: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1.输入每通道：2路平衡式线路输入，采用标准卡侬接口，平衡接法。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2.输出每通道：4路平衡式线路输出，采用标准卡侬接口，平衡接法。</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3.支持TCP/IP网络传输协议,低延时的网络控制管理。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4.实现精度0.001ms超低延时。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5.全功能矩阵混音，提供用户灵活、简单的信号路由操作，路由路径和电平大小可在一个按钮上完成。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6.支持可通过面板的功能键和编码轮进行功能设置和控制，可通过 SYSTEM 按键设定密码锁定机器，以防止误操作破坏机器的工作状态。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7.具有2×24 LCD蓝色背光显示功能设置，5段LED显示输入/输出的精确数字电平表、静音及编辑状态。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8.支持高/低通滤波器的参数可以独立调整，能够实现不对称的分频功能。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9.内置数字音频处理算法：增益、噪声门、EQ、混音矩阵、压缩器和限幅器。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10.支持断电自动保护记忆功能。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11.支持通道联控功能。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12.支持USB、RS232接口、网口和WIFI四种连接方式，实现PC软件控制,支持RS232控制。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13.可单机或 PC 控制软件实现存储24组用户程序,支持中控协议，可连接第三方中央控制系统，最多连接250台设备。</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14.配备管理控制软件；软件界面直观、图形化，可工作在XP/Windows7、8、10等系统环境下。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技术参数：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1.输入通道：2路XLR母卡侬座，每输入通道设16个参量均衡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2.输出通道：4路XLR母卡侬座，每输出通道设8个参量均衡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3.输出通道延时：精度0.001ms</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4.采样率：96K</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5.频率响应：20Hz-20kHz ±0.5dB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6.总谐波失真+噪声：＜0.005% @1kHz ,15dBu</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7.数/模动态范围(A-计权)：127dB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8.模/数动态范围(A-计权)：112dB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9.信噪比：116B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10.输入阻抗(平衡式)：20KΩ；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11.最大输出阻抗（平衡式)：100Ω；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12.通道隔离度：1kHz，95dB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13.工作湿度：40%～60%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14.工作温度：-10℃-60℃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15.工作电源：AC110V-220V,50Hz/60Hz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16.电源功耗：&lt;20W</w:t>
            </w:r>
          </w:p>
        </w:tc>
      </w:tr>
      <w:tr w14:paraId="0066A3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4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BC223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6254C7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12路模拟调音台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440869">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71F6C6E3">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配置： 输入(12ch)   6路Mic/ Line( XLR母插头和¼" TRS组合输入接口 )， 3路立体声线路输入,1路USB Media( U盘播音或蓝牙音频 )和CD立体声； 输出(12ch)   1路Main L/ R、4路编组、5路AUX，1路立体声监听。 ( 均为XLR公插头接口，差分平衡输出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所有Mic / Line输入通道均采用专业级别的高品质话放：高动态、低失真，模拟增益，可连接平衡式XLR型话筒输入插口和平衡式TRS耳机型乐器输入插口，轻松满足你的要求，实现良好的信号匹配.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所有Mic / Line输入通道均配置：48V幻象电源（1-2路带有独立控制48V幻象电源开关）、三段频率均衡、低切滤波器；3-6路带有压限器( Comp )、1-2/3-4编组开关、监听开关、静音开关</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输出通道配置：图示频率均衡( GEQ )、电平监测指示灯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3.2寸lcd液晶显示屏，实时提供DSP效果器参数和USB Media播音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配置1个专业DSP效果器( FX )，14种效果类型，共120种的效果预置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USB Media播音，支持MP3﹑AAC﹑WAV﹑AIFF﹑APE或FLAC文件格式，直接使用外部U盘录音。或外接电脑Media播音和录音</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配置蓝牙功能，可以连接手机等蓝牙设备，实现无线音乐播放</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独立脚踏开关，控制效果器输出关闭或打开</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支持机柜安装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频率响应：麦克风输入至主输出：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&lt;10Hz～90kHz：-0dB/-1dB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&lt;10Hz～160kHz：+0dB/-3dB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立体声输入：6.3mm 立体声道，平衡式；20kQ；+22dBu；80Hz/±15dB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EQ单通道：</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低：80Hz/±15dB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中：100Hz～8kHz/±15dB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高：12kHz/±15dB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EQ立体声通道</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低：80Hz/±15dB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中：2kHz/±15dB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高：12kHz/±15dB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音频输出：主输出：XLR平衡式；240Ω平衡/120Ω非平衡式；+22dBu</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耳机输出：6.3mm 立体声道，+19dBu 150Ω(+25dBm)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工作电源：230V~50/60Hz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标准IEC插座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电源功耗：35W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麦克风：麦克风输入 E.I.N.(20Hz-20kHz)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类型：XLR电子平衡、离散输入电路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@0Ω源电阻：-134dB/135.7dB A-加权的</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@50Ω源电阻：-131dB/133.3dB A-加权的</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@150Ω源电阻：-129dB/130.5dB A-加权的</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频率响应：&lt;10Hz～150kHz(-1dB)   &lt;10Hz～200kHz(-3dB）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增益：+10dB～+60dB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最大输入：+12dBu@+10dB Gain</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阻抗：2.6kΩ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信噪比：110dB/112dB   0dBu In @+22dB gain)</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失真度：0.005%/0.004%</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类型：6.3mm立体声道，平衡式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阻抗：平衡输出：20kΩ   非平衡输出：10kQ</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增益：-10dB～+40dB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最大输入：+22dBu@OdB Gain</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信号衰减：主推子关闭：90dB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频道静音：89dB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通道推子关闭：89dB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辅助发送：6.3mm 单声道非平衡；120Ω；+22dBu</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Sub编组发送：6.3mm 单声道非平衡；120Ω；+22dBu</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噪声：主混音@-∞：-101dB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通道推子@-∞：-100dB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主混音@0dB： -93dB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通道推子@-∞：-96dB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主混音@0dB：-81dB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通道推子@0dB：-83dB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材质：冷轧板、塑料</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颜色：PANTONE BLACK 6C</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安装方式：整体式安装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工作温度和湿度：环境温度：-10～40℃、相对湿度：≤90%</w:t>
            </w:r>
          </w:p>
        </w:tc>
      </w:tr>
      <w:tr w14:paraId="042B6A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CECCB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931852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12寸专业音箱</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880C7F">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4BB64BBF">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1.覆盖角度：90°x60°(HxV)</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2.中低音扬声器：1x12英寸</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3.高音扬声器：1x1.5英寸</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4.额定阻抗：8Ω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5.灵敏度：98dB@1w/1m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6.最大声压级：121dB(峰值131dB)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7.频率响应：45Hz-20kHz(-10dB)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8.材质：15厘多层实木夹板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9.颜色：哑光黑色雨点漆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10.安装方式：垂直吊挂/水平吊挂/底部支撑</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11.工作温度和湿度：-30~+60°C，95%无冷凝</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工作湿度：10%-90%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尺寸(mm)：370x370x580mm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输出功率：最大功率 500W 额定功率（PHC） 350W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产品执行标准(具体版本号以标签为准)：Q/BFW 285</w:t>
            </w:r>
          </w:p>
        </w:tc>
      </w:tr>
      <w:tr w14:paraId="027404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0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6A0FE3">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E6B847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2*700W功放</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E94A51">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53AF49C8">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700W双通道功放，功率效率90%，支持负载阻抗8Ω-2Ω，支持 立体声，并接，桥接模式，各通道音频独立控制，扶持宽增益选择26-41dB。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1U机身，小巧、轻便、结构稳固，模块化设计，维护方便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IU设计带PFC全桥超宽带开关电源,满足90V-260VAC范围电网使用，电源转换效率90%以上，电源超大功率储备, 高可靠性兼具性价比优势，为数字功放提供电池级干净电源。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采用高精度片式元件的大量使用，精巧的布局设计下，产品具备体积小，重量轻，适合多场景使用移动安装特别方便轻松。</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数字功放采用极高频率载波的转换开关电路来放大音频信号，具有效率高、失真小、噪音低、动态范围大等优点，在音质的透明度、冷暖度，解析力，背景的宁静、低频的震撼力度方面是传统功放不可比拟的。</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采用无极变速电路搭配低噪高速风扇，低温时没有风机噪声。有效减少使用现场机房噪音。</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大扭力弹簧钢恒压设计，功率管贴合紧固热阻极低，高温、高湿、高冷严苛环境测试考验压簧片压力恒定持 久有效，大大的提高了功率管导热效率。</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金盾级保护电路设计，超温保护，直流保护，短路保护，信号过载保护，设备软启动保护，电源过电流保护， 温度压限保护，完备的保护功能有效提高产品的可靠性。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精细声音调校，使用独特的磁屏蔽技术，和高品质电容调校。产品声音细腻有层次，低音下潜和力度有气势有能量感，中高频干净纯厚，高频延展较好，细致顺滑，整体声场定位准确，解析力较高。</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设备发热少，元器件工作温度低，寿命和可靠性都会明显提高。</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体积和重量都只有模拟功放的 1/3, 体积和重量的大幅度降低。</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额定功率：8Ω/立体声：2×700W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4Ω/立体声：2×1100W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2Ω/立体声：2×1870W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16Ω/桥接：1×1300W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8Ω/桥接：1×2220W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4Ω/桥接：1×3740W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输入灵敏度（额定功率8 Ω）：0.91V/1.28V/1.81V/2.56V</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总谐波失真THD：典型值：0.05%（10%额定输出功率，8Ω）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阻尼系数：≥1000(20Hz-200Hz,8Ω)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输出电源：90-260VAC,50/60Hz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频率响应：典型值：+0，-0.5%（10%额定输出功率，20Hz-20kHz，8Ω）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输入阻抗：20kΩ（平衡），10kΩ（非平衡）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信噪比（A记权）：≥105dB(默认增益，A计权，20Hz-200Hz,8Ω)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最大输入电平：14V</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RMS输出电压：72.1V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模式开关：桥接模式，并接模式，立体声模式,增益选择，限幅开关</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整机接口：XLR两路输入，XLR两路连接输出，SPEAKON两路输出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保护功能：电源欠压保护、功放输出直流保护、过热保护、温度功率控制、过载功率控制</w:t>
            </w:r>
          </w:p>
        </w:tc>
      </w:tr>
      <w:tr w14:paraId="756B40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39D45A">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cs="宋体"/>
                <w:i w:val="0"/>
                <w:iCs w:val="0"/>
                <w:color w:val="000000"/>
                <w:kern w:val="0"/>
                <w:sz w:val="18"/>
                <w:szCs w:val="18"/>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61B802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机柜</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DADDA1">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38715AF7">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32U机柜，600*800*1610mm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8口PDU国标电源插排×1，固定板部件×1,风扇×4,2"重型脚轮×4，M12支脚×4，M6方螺母螺钉×20，内六角扳手×1</w:t>
            </w:r>
          </w:p>
        </w:tc>
      </w:tr>
      <w:tr w14:paraId="1091BA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CC4FBB">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cs="宋体"/>
                <w:i w:val="0"/>
                <w:iCs w:val="0"/>
                <w:color w:val="000000"/>
                <w:kern w:val="0"/>
                <w:sz w:val="18"/>
                <w:szCs w:val="18"/>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A5AAD1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音箱支架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5A1AFC">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43A3F758">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1.壁挂比较多的建议用G35T（兼容8-15寸，可承重35kg）</w:t>
            </w:r>
          </w:p>
        </w:tc>
      </w:tr>
      <w:tr w14:paraId="53430B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2E6BC5">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18"/>
                <w:szCs w:val="18"/>
                <w:u w:val="none"/>
                <w:lang w:val="en-US" w:eastAsia="zh-CN" w:bidi="ar"/>
              </w:rPr>
              <w:t>1</w:t>
            </w:r>
            <w:r>
              <w:rPr>
                <w:rFonts w:hint="eastAsia" w:ascii="宋体" w:hAnsi="宋体" w:cs="宋体"/>
                <w:i w:val="0"/>
                <w:iCs w:val="0"/>
                <w:color w:val="000000"/>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BB3BDA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话筒支架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010B57">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0ABF502E">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话筒支架，可按照使用场景身高降低，可移动</w:t>
            </w:r>
          </w:p>
        </w:tc>
      </w:tr>
      <w:tr w14:paraId="26ED2E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37742A">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18"/>
                <w:szCs w:val="18"/>
                <w:u w:val="none"/>
                <w:lang w:val="en-US" w:eastAsia="zh-CN" w:bidi="ar"/>
              </w:rPr>
              <w:t>1</w:t>
            </w:r>
            <w:r>
              <w:rPr>
                <w:rFonts w:hint="eastAsia" w:ascii="宋体" w:hAnsi="宋体" w:cs="宋体"/>
                <w:i w:val="0"/>
                <w:iCs w:val="0"/>
                <w:color w:val="000000"/>
                <w:kern w:val="0"/>
                <w:sz w:val="18"/>
                <w:szCs w:val="18"/>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E747A3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XLR(母)-XLR（公）</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37DA72">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46FD1676">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1.8米音频连接线：卡侬头（母）-卡侬头（公）</w:t>
            </w:r>
          </w:p>
        </w:tc>
      </w:tr>
      <w:tr w14:paraId="1E1B56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F79117">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18"/>
                <w:szCs w:val="18"/>
                <w:u w:val="none"/>
                <w:lang w:val="en-US" w:eastAsia="zh-CN" w:bidi="ar"/>
              </w:rPr>
              <w:t>1</w:t>
            </w:r>
            <w:r>
              <w:rPr>
                <w:rFonts w:hint="eastAsia" w:ascii="宋体" w:hAnsi="宋体" w:cs="宋体"/>
                <w:i w:val="0"/>
                <w:iCs w:val="0"/>
                <w:color w:val="000000"/>
                <w:kern w:val="0"/>
                <w:sz w:val="18"/>
                <w:szCs w:val="18"/>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F9DE7D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6.35-6.35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E73D14">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1DF87413">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1.8米音频连接线：6.35话筒插头-6.35话筒插头</w:t>
            </w:r>
          </w:p>
        </w:tc>
      </w:tr>
      <w:tr w14:paraId="480EFC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52A2AE">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18"/>
                <w:szCs w:val="18"/>
                <w:u w:val="none"/>
                <w:lang w:val="en-US" w:eastAsia="zh-CN" w:bidi="ar"/>
              </w:rPr>
              <w:t>1</w:t>
            </w:r>
            <w:r>
              <w:rPr>
                <w:rFonts w:hint="eastAsia" w:ascii="宋体" w:hAnsi="宋体" w:cs="宋体"/>
                <w:i w:val="0"/>
                <w:iCs w:val="0"/>
                <w:color w:val="000000"/>
                <w:kern w:val="0"/>
                <w:sz w:val="18"/>
                <w:szCs w:val="18"/>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0642A0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6.35-XLR（公）</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91C3D6">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40914EA7">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1.8米音频连接线：6.35话筒插头-卡侬头（公）</w:t>
            </w:r>
          </w:p>
        </w:tc>
      </w:tr>
      <w:tr w14:paraId="412523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4E76E6">
            <w:pPr>
              <w:jc w:val="center"/>
              <w:rPr>
                <w:rFonts w:hint="default" w:ascii="宋体" w:hAnsi="宋体" w:eastAsia="宋体" w:cs="宋体"/>
                <w:i w:val="0"/>
                <w:iCs w:val="0"/>
                <w:color w:val="000000"/>
                <w:sz w:val="18"/>
                <w:szCs w:val="18"/>
                <w:u w:val="none"/>
                <w:lang w:val="en-US" w:eastAsia="zh-CN"/>
              </w:rPr>
            </w:pPr>
            <w:r>
              <w:rPr>
                <w:rFonts w:hint="eastAsia" w:ascii="宋体" w:hAnsi="宋体" w:cs="宋体"/>
                <w:i w:val="0"/>
                <w:iCs w:val="0"/>
                <w:color w:val="000000"/>
                <w:sz w:val="18"/>
                <w:szCs w:val="18"/>
                <w:u w:val="none"/>
                <w:lang w:val="en-US" w:eastAsia="zh-CN"/>
              </w:rPr>
              <w:t>17</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B16B1C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6.35-3.5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F9B230A">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16BDA22B">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1.8米音频连接线：6.35话筒插头-3.5(耳机插头）</w:t>
            </w:r>
          </w:p>
        </w:tc>
      </w:tr>
      <w:tr w14:paraId="76892B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2F4BD1">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eastAsia="zh-CN"/>
              </w:rPr>
            </w:pPr>
            <w:r>
              <w:rPr>
                <w:rFonts w:hint="eastAsia" w:ascii="宋体" w:hAnsi="宋体" w:cs="宋体"/>
                <w:i w:val="0"/>
                <w:iCs w:val="0"/>
                <w:color w:val="000000"/>
                <w:sz w:val="18"/>
                <w:szCs w:val="18"/>
                <w:u w:val="none"/>
                <w:lang w:val="en-US" w:eastAsia="zh-CN"/>
              </w:rPr>
              <w:t>18</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B35A0B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音箱线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0FB0B7">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49EB5F3D">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音响工程线 2*1.5</w:t>
            </w:r>
          </w:p>
        </w:tc>
      </w:tr>
      <w:tr w14:paraId="5FB9E8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AD28F45">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cs="宋体"/>
                <w:i w:val="0"/>
                <w:iCs w:val="0"/>
                <w:color w:val="000000"/>
                <w:kern w:val="0"/>
                <w:sz w:val="18"/>
                <w:szCs w:val="18"/>
                <w:u w:val="none"/>
                <w:lang w:val="en-US" w:eastAsia="zh-CN" w:bidi="ar"/>
              </w:rPr>
              <w:t>19</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46B0CD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音频线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C833B8">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18DEB0A5">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话筒线 2*40 芯-96P</w:t>
            </w:r>
          </w:p>
        </w:tc>
      </w:tr>
      <w:tr w14:paraId="20F06E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6FCFDA">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cs="宋体"/>
                <w:i w:val="0"/>
                <w:iCs w:val="0"/>
                <w:color w:val="000000"/>
                <w:kern w:val="0"/>
                <w:sz w:val="18"/>
                <w:szCs w:val="18"/>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83DED4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辅材</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BEB5E77">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0E7F69D7">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直径7.2mm，馈线50-5-1，200/卷</w:t>
            </w:r>
          </w:p>
        </w:tc>
      </w:tr>
      <w:tr w14:paraId="6D1B28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C19894">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cs="宋体"/>
                <w:i w:val="0"/>
                <w:iCs w:val="0"/>
                <w:color w:val="000000"/>
                <w:kern w:val="0"/>
                <w:sz w:val="18"/>
                <w:szCs w:val="18"/>
                <w:u w:val="none"/>
                <w:lang w:val="en-US" w:eastAsia="zh-CN" w:bidi="ar"/>
              </w:rPr>
              <w:t>21</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E7B971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安装调试费</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69F2C7">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20003A2A">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报告厅音频设备安装调试培训</w:t>
            </w:r>
          </w:p>
        </w:tc>
      </w:tr>
      <w:tr w14:paraId="11C02E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0" w:type="auto"/>
            <w:gridSpan w:val="4"/>
            <w:tcBorders>
              <w:top w:val="single" w:color="000000" w:sz="4" w:space="0"/>
              <w:left w:val="nil"/>
              <w:bottom w:val="single" w:color="000000" w:sz="4" w:space="0"/>
              <w:right w:val="nil"/>
            </w:tcBorders>
            <w:shd w:val="clear" w:color="auto" w:fill="FFFF00"/>
            <w:vAlign w:val="center"/>
          </w:tcPr>
          <w:p w14:paraId="2F33B7D3">
            <w:pPr>
              <w:keepNext w:val="0"/>
              <w:keepLines w:val="0"/>
              <w:widowControl/>
              <w:suppressLineNumbers w:val="0"/>
              <w:jc w:val="center"/>
              <w:textAlignment w:val="center"/>
              <w:rPr>
                <w:rFonts w:hint="default" w:ascii="方正黑体_GBK" w:hAnsi="方正黑体_GBK" w:eastAsia="方正黑体_GBK" w:cs="方正黑体_GBK"/>
                <w:i w:val="0"/>
                <w:iCs w:val="0"/>
                <w:color w:val="000000"/>
                <w:sz w:val="18"/>
                <w:szCs w:val="18"/>
                <w:u w:val="none"/>
              </w:rPr>
            </w:pPr>
            <w:r>
              <w:rPr>
                <w:rFonts w:hint="default" w:ascii="方正黑体_GBK" w:hAnsi="方正黑体_GBK" w:eastAsia="方正黑体_GBK" w:cs="方正黑体_GBK"/>
                <w:i w:val="0"/>
                <w:iCs w:val="0"/>
                <w:color w:val="000000"/>
                <w:kern w:val="0"/>
                <w:sz w:val="18"/>
                <w:szCs w:val="18"/>
                <w:u w:val="none"/>
                <w:lang w:val="en-US" w:eastAsia="zh-CN" w:bidi="ar"/>
              </w:rPr>
              <w:t>报告厅音频及灯光</w:t>
            </w:r>
          </w:p>
        </w:tc>
      </w:tr>
      <w:tr w14:paraId="4EF1AB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3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D99C1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390374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双10寸线阵全频音箱</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6D4A0B">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nil"/>
              <w:bottom w:val="single" w:color="000000" w:sz="4" w:space="0"/>
              <w:right w:val="single" w:color="000000" w:sz="4" w:space="0"/>
            </w:tcBorders>
            <w:shd w:val="clear" w:color="auto" w:fill="FFFFFF"/>
            <w:vAlign w:val="top"/>
          </w:tcPr>
          <w:p w14:paraId="29137539">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1、低音单元：≥2*10英寸；</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2、高音单元：≥1*3英寸；</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3、频率响应：60Hz-20kHz；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4、灵敏度：≥101dB（@1W/1m）；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5、连续声压级：≥129dB；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6、额定功率：≤600W持续；</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7、覆盖角度：≥110°*10°(水平*垂直)；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8、接口：2*NL8 Speakon；</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9、对称式结构，三点吊装，方便安装组合，符合国际线阵列扬声器标准。</w:t>
            </w:r>
          </w:p>
        </w:tc>
      </w:tr>
      <w:tr w14:paraId="02CFC6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A9FB9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622B67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单18寸线阵低音音箱</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1E3E04">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nil"/>
              <w:bottom w:val="single" w:color="000000" w:sz="4" w:space="0"/>
              <w:right w:val="single" w:color="000000" w:sz="4" w:space="0"/>
            </w:tcBorders>
            <w:shd w:val="clear" w:color="auto" w:fill="FFFFFF"/>
            <w:vAlign w:val="top"/>
          </w:tcPr>
          <w:p w14:paraId="77242534">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1、低音单元：≥1*18英寸高效率低频驱动单元，倒相式箱体结构；</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2、频率响应：40Hz-200Hz；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3、灵敏度：≥102dB（@1W/1m）；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4、连续声压级：≥130dB；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5、功率/阻抗：≤700W持续,8Ω；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6、采用标准的四芯音箱插座，确保良好的电气接触；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7、符合国际线阵列扬声器标准。</w:t>
            </w:r>
          </w:p>
        </w:tc>
      </w:tr>
      <w:tr w14:paraId="7A1EF9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734DC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6E1F93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双十线阵田字架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BD2435">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nil"/>
              <w:bottom w:val="single" w:color="000000" w:sz="4" w:space="0"/>
              <w:right w:val="single" w:color="000000" w:sz="4" w:space="0"/>
            </w:tcBorders>
            <w:shd w:val="clear" w:color="auto" w:fill="FFFFFF"/>
            <w:vAlign w:val="top"/>
          </w:tcPr>
          <w:p w14:paraId="143BB959">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包含田字架和D型扣</w:t>
            </w:r>
          </w:p>
        </w:tc>
      </w:tr>
      <w:tr w14:paraId="2967D3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8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D8A4D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86B039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双18寸低音音箱</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D7B611">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29E66C6A">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1、低音单元：≥2*18寸高效率低频驱动单元；</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2、频率响应：25Hz-500Hz；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3、灵敏度：≥98dB（@1W/1m）；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4、额定功率：≤1200W；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5、连续声压级：≥128dB；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6、阻抗：8Ω或4Ω；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7、接口：2*NL4 Speakon；</w:t>
            </w:r>
          </w:p>
        </w:tc>
      </w:tr>
      <w:tr w14:paraId="1EAD46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3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84AFB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C26AAC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台唇音箱</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59871B">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nil"/>
              <w:bottom w:val="single" w:color="000000" w:sz="4" w:space="0"/>
              <w:right w:val="single" w:color="000000" w:sz="4" w:space="0"/>
            </w:tcBorders>
            <w:shd w:val="clear" w:color="auto" w:fill="FFFFFF"/>
            <w:vAlign w:val="top"/>
          </w:tcPr>
          <w:p w14:paraId="4FCDA0CA">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1、低音单元：≥1*10英寸；</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2、高音单元：≥1*1.5英寸；</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3、频率响应：65Hz-20kHz；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4、灵敏度：≥96dB（@1W/1m）；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5、连续声压级：≥120dB；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6、功率/阻抗：≤300W持续，8Ω；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7、覆盖角度：90°*60°（水平*垂直）；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8、接口：2*NL4 Speakon；</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9、支持壁挂安装和吊装安装；</w:t>
            </w:r>
          </w:p>
        </w:tc>
      </w:tr>
      <w:tr w14:paraId="58482D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8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5AAFA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DAE77D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返听音箱</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54A6AC">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25804045">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1、扬声器单元：≥1*12"低音单元，≥1*1.75"高音单元，同轴布置，内置分频器设计；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2、频率响应：45Hz-20kHz；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3、灵敏度：≥97dB（@1W/1m）；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4、连续声压级：≥123dB；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5、功率/阻抗：≤450W持续,8Ω；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6、覆盖角度：90°*50°（水平*垂直）；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7、采用标准四芯音箱插座，确保良好的电气接触；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8、箱体材料应采用桦木同等或以上档次；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9、支持落地安装和吊挂安装两种方式；</w:t>
            </w:r>
          </w:p>
        </w:tc>
      </w:tr>
      <w:tr w14:paraId="684198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8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F51F1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CC712A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单12寸全频音箱</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E3A7A89">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nil"/>
              <w:bottom w:val="single" w:color="000000" w:sz="4" w:space="0"/>
              <w:right w:val="single" w:color="000000" w:sz="4" w:space="0"/>
            </w:tcBorders>
            <w:shd w:val="clear" w:color="auto" w:fill="FFFFFF"/>
            <w:vAlign w:val="top"/>
          </w:tcPr>
          <w:p w14:paraId="7C56BE65">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1、低音单元：≥1*12英寸；</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2、高音单元：≥1*1.75英寸；</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3、频率响应：45Hz-20kHz；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4、灵敏度：≥97dB（@1W/1m）；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5、连续声压级：≥123dB；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6、功率/阻抗：≤400W持续，8Ω；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7、覆盖角度：90°*60°（水平*垂直）；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8、接口：2*NL4 Speakon；</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9、支持壁挂安装和吊装安装；</w:t>
            </w:r>
          </w:p>
        </w:tc>
      </w:tr>
      <w:tr w14:paraId="0AD1A4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86B44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062533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壁挂支架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D84F00">
            <w:pPr>
              <w:jc w:val="center"/>
              <w:rPr>
                <w:rFonts w:hint="eastAsia" w:ascii="宋体" w:hAnsi="宋体" w:eastAsia="宋体" w:cs="宋体"/>
                <w:i w:val="0"/>
                <w:iCs w:val="0"/>
                <w:color w:val="000000"/>
                <w:sz w:val="18"/>
                <w:szCs w:val="18"/>
                <w:u w:val="none"/>
              </w:rPr>
            </w:pPr>
          </w:p>
        </w:tc>
        <w:tc>
          <w:tcPr>
            <w:tcW w:w="0" w:type="auto"/>
            <w:tcBorders>
              <w:top w:val="single" w:color="BFBFBF" w:sz="4" w:space="0"/>
              <w:left w:val="nil"/>
              <w:bottom w:val="single" w:color="BFBFBF" w:sz="4" w:space="0"/>
              <w:right w:val="single" w:color="BFBFBF" w:sz="4" w:space="0"/>
            </w:tcBorders>
            <w:shd w:val="clear" w:color="auto" w:fill="FFFFFF"/>
            <w:vAlign w:val="top"/>
          </w:tcPr>
          <w:p w14:paraId="0B821D9C">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加厚、全金属L型</w:t>
            </w:r>
          </w:p>
        </w:tc>
      </w:tr>
      <w:tr w14:paraId="4C0576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8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207B2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A8A43D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主扩线阵全频功放</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66394E">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243FE4DA">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1、立体声输出功率：≥1000W*2@8Ω，≥1350W*2@4Ω；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2、电压增益：36dB；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3、输入灵敏度：0.775V/1.4V；</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4、频率响应：20Hz-20KHz，+0/-1dB；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5、阻尼系数：≥200:1；</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6、信噪比：＞100dB（20Hz-20KHz，A计权）；</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7、互调失真（IMD）：≤0.35%；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8、总谐波失真（THD）：＜0.5%，20-20KHz；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9、具有短路保护、过载保护、直流保护、过热保护功能，并能在功放发生自保护的同时通过前面板指示灯给出警告和提示。</w:t>
            </w:r>
          </w:p>
        </w:tc>
      </w:tr>
      <w:tr w14:paraId="461A20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8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DF227F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06CB8C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主扩线阵次低频功放</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F49FD6">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712F1475">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1、立体声输出功率：≥1200W*2@8Ω，≥1800W*2@4Ω；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2、电压增益：36dB；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3、输入灵敏度：0.775V/1.4V；</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4、频率响应：20Hz-20KHz，+0/-1dB；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5、阻尼系数：≥200:1；</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6、信噪比：＞100dB（20Hz-20KHz，A计权）；</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7、互调失真（IMD）：≤0.35%；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8、总谐波失真（THD）：＜0.5%，20-20KHz；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9、具有短路保护、过载保护、直流保护、过热保护功能，并能在功放发生自保护的同时通过前面板指示灯给出警告和提示。</w:t>
            </w:r>
          </w:p>
        </w:tc>
      </w:tr>
      <w:tr w14:paraId="04E2AB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8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823CB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952375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超低频音箱功放</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C10460">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34006C67">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1、立体声输出功率：≥1200W*2@8Ω，≥1800W*2@4Ω；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2、电压增益：36dB；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3、输入灵敏度：0.775V/1.4V；</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4、频率响应：20Hz-20KHz，+0/-1dB；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5、阻尼系数：≥200:1；</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6、信噪比：＞100dB（20Hz-20KHz，A计权）；</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7、互调失真（IMD）：≤0.35%；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8、总谐波失真（THD）：＜0.5%，20-20KHz；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9、具有短路保护、过载保护、直流保护、过热保护功能，并能在功放发生自保护的同时通过前面板指示灯给出警告和提示。</w:t>
            </w:r>
          </w:p>
        </w:tc>
      </w:tr>
      <w:tr w14:paraId="276DEA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1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AD2B61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E05D58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台唇音箱功放</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CBE620">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5E12A19F">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1、高效率D类功放，高度1U；</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2、内置峰值电平限制器以保护扬声器，同时通过削波指示灯提醒；</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3、具有自动噪声抑制功能，当输入音源停止输出后，功放可自动压抑扩声系统设备本底噪声；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4、具备完善的保护功能，包括软启动、直流、高频、过压、欠压、过载、短路、压限、过热等；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5、浪涌防护：电源输入支持差模1KV，共模2KV防护；功率输出支持共模2KV防护；</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6、立体声输出功率：≥700W*2@8Ω；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7、频响范围：20Hz-20KHz；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8、输入灵敏度：0.775V/1.414Vrms；</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9、输入阻抗：平衡20KΩ/非平衡10KΩ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10、电压增益：36dB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11、信噪比：＞100dB(A计权）；</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12、总谐波失真：＜0.05% @1KHz 1/3功率输出；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13、电源适应范围：AC100V-240V/50Hz-60Hz；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14、接口：2路线路输入、2路线路输出、2路功率输出。</w:t>
            </w:r>
          </w:p>
        </w:tc>
      </w:tr>
      <w:tr w14:paraId="6247B4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1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0FA09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D7753B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返听音箱功放</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2DEFE6">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5847BB61">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1、高效率D类功放，高度1U；</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2、内置峰值电平限制器以保护扬声器，同时通过削波指示灯提醒；</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3、具有自动噪声抑制功能，当输入音源停止输出后，功放可自动压抑扩声系统设备本底噪声；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4、具备完善的保护功能，包括软启动、直流、高频、过压、欠压、过载、短路、压限、过热等；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5、浪涌防护：电源输入支持差模1KV，共模2KV防护；功率输出支持共模2KV防护；</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6、立体声输出功率：≥700W*2@8Ω；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7、频响范围：20Hz-20KHz；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8、输入灵敏度：0.775V/1.414Vrms；</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9、输入阻抗：平衡20KΩ/非平衡10KΩ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10、电压增益：36dB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11、信噪比：＞100dB(A计权）；</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12、总谐波失真：＜0.05% @1KHz 1/3功率输出；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13、电源适应范围：AC100V-240V/50Hz-60Hz；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14、接口：2路线路输入、2路线路输出、2路功率输出。</w:t>
            </w:r>
          </w:p>
        </w:tc>
      </w:tr>
      <w:tr w14:paraId="6DAE43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1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C09A6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AD9D51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辅助音箱功放</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E986D9">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162A7A6A">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1、高效率D类功放，高度1U；</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2、内置峰值电平限制器以保护扬声器，同时通过削波指示灯提醒；</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3、具有自动噪声抑制功能，当输入音源停止输出后，功放可自动压抑扩声系统设备本底噪声；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4、具备完善的保护功能，包括软启动、直流、高频、过压、欠压、过载、短路、压限、过热等；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5、浪涌防护：电源输入支持差模1KV，共模2KV防护；功率输出支持共模2KV防护；</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6、立体声输出功率：≥700W*2@8Ω；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7、频响范围：20Hz-20KHz；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8、输入灵敏度：0.775V/1.414Vrms；</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9、输入阻抗：平衡20KΩ/非平衡10KΩ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10、电压增益：36dB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11、信噪比：＞100dB(A计权）；</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12、总谐波失真：＜0.05% @1KHz 1/3功率输出；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13、电源适应范围：AC100V-240V/50Hz-60Hz；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14、接口：2路线路输入、2路线路输出、2路功率输出。</w:t>
            </w:r>
          </w:p>
        </w:tc>
      </w:tr>
      <w:tr w14:paraId="73C4A5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E03FA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5721DA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数字调音台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CCAE13">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63F377F8">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1、≥10寸电阻触摸屏，分辨率≥1280x800，不少于17个100mm电动推子；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2、输入通道≥24路MIC/LINE+1路USB接口；</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3、输出通道≥12路母线输出+1组L/R监听输出+1组L/R录音输出接口；</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4、≥2个USB接口，且具备USB音频录制及音频播放功能；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5、触控式操作界面，支持中英文界面随时切换，具备安全锁面板锁定功能，每个通道名称支持中英文自定义功能；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6、每个输入通道必须具有独立的反馈抑制器、噪声门、压限器、高低通滤波器、参量均衡（不少于4段PEQ）；</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7、输入通道具有自动混音功能（增益共享型）,话筒增益、48V使用数字控制，且可存储状态；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8、集成音箱处理器功能，输出通道具有反向、参量均衡（不少于8段PEQ）、压缩器、输出延时；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9、配置至少2路独立效果器总线，每路效果总线预设6个效果类型；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10、支持外接U盘进行录音/放音，支持播放APE、FLAC、MP3、WAV音频格式；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11、支持100组场景预设功能，可将预设参数导入导出USB存储器，便于数据备份；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12、支持WIFI热点远程控制，支持8个终端同时控制，且实时数据同步；</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13、支持第三方平台通过RS232、TCP/IP控制，且具备一键式控制指令自动生成功能；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14、支持通过IOS和安卓系统APP进行音频处理和调音，控制输入/输出音量、调用场景模式；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15、具有面板锁定按键，防止误操作。</w:t>
            </w:r>
          </w:p>
        </w:tc>
      </w:tr>
      <w:tr w14:paraId="188D4A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0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C9DF3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170D83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音频处理器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5D52A5E">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3C61C3AE">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1、≥16路可切换式平衡话筒/线路输入，≥16路平衡线路输出；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2、内置LCD屏，可显示IP地址、预设状态等信息，前面板有输入输出信号状态显示灯，≥8路可自定义GPIO接口、≥1路RS232接口、≥1路RS485接口；</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3、内置USB声卡,支持音乐播放、录制和软视频会议(如:腾讯会议、钉钉会议等)；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4、不少于8段PEQ，且提供≥5种滤波器类型选择；</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5、每个输入通道应具备自适应反馈抑制（AFC），传声增益提升幅度:10dB；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6、输入通道包括且不限于以下功能：自适应回声消除(AEC)，噪声抑制(ANS)、增益共享自动混音(AMC)、门限自动混音（Gate Mixer）、自动增益(AGC)、闪避器(Ducker)、噪声增益补偿器(ANC)、支持自动摄像跟踪；</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7、输出通道包括且不限于以下功能：参量均衡、分频器、延时器、限幅器、矩阵；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8、具备≥16个场景模式存储，可导入、导出场景预设，设备受控方式多样化，包含RS232、TCP/IP、RS485；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9、具备智能中控功能，支持自定义定制化控制界面，可通过处理器实现对会议室的电源管理、信号切换、环境控制、音频等一体化控制，实现一键开启系统所需要的功能；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10、提供终端用户订制操作界面，最大支持30台设备同一个界面管理；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11、支持开启/关闭双机数据备份功能，可自定义设置主机/从机；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12、支持用户分级、分权管理，可以为不同的操作人员设置不同的管理级别，防止误操作；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13、支持备份和恢复功能，断电记忆功能，备份信息可下载保存备份；具备信息日志记录功能，将时间自动生成日志，方便日常维护；</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14、输入灵敏度可调档位0-48dBu（3dBu）；</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15、音频采样率支持48K/24bit。</w:t>
            </w:r>
          </w:p>
        </w:tc>
      </w:tr>
      <w:tr w14:paraId="2D4C94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3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69A1CD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360AD6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音频隔离器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18EFBF">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73E89853">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1、支持两通道平衡式信号输入及信号输出，输入端口采用复合多功能型COMBO接口；</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2、隔离滤波音频信号传输距离≥500米；</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3、支持即插即用，支持热插拨、无需电源，无需软件设置和维护；</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4、内置瞬态、浪涌抑制、抗静电保护电路；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5、频率响应：20Hz-20Hz±0.5dBu；</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6、失真度：0.002%(20dBu1KHz)；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7、损耗衰减：0.03dBu于600Ω负载0.4dBu于10KΩ负载；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8、隔离电压：DC0V-1500V。</w:t>
            </w:r>
          </w:p>
        </w:tc>
      </w:tr>
      <w:tr w14:paraId="685558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8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F3141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907FDC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监听音箱</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2D2FD06">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36DDAF01">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1、系统：5"监听音箱；</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2、信号输入：支持XLR/TRS；</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3、输出通道：2CH；</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4、输出功率：低音40W，高音30W；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5、最大SPL：100dB（@1m）；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6、频率响应：56Hz-22KHz(-3dB)；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7、LED指示灯：有。</w:t>
            </w:r>
          </w:p>
        </w:tc>
      </w:tr>
      <w:tr w14:paraId="74EFF3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3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F823C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03AF50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电源时序器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85B567">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59746E6C">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1、工作电压:AC220V(±20%)、50Hz/60Hz；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2、系统参数显示方式:2×24 LCD蓝色背光液晶显示；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3、时序通道:8通道独立控制的时序通道，8通道独立常开控制，8通道独立硬件开关式应急停止设置；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4、电源输出插座:≥8路国标10A安全划盖插座，面板≥2个直通国标10A安全划盖插座；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5、电源时序器可控制多路电源顺序开机/关机；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6、具有红外学习功能和IO控制功能，对第三方设备进行控制；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7、设备内置定时开关机功能，最长可达12个月的定时时间设置，在控制软件内自由编辑；</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8、支持TCP/IP、WIFI、USB、RS485、RS232联机控制，远程控制。</w:t>
            </w:r>
          </w:p>
        </w:tc>
      </w:tr>
      <w:tr w14:paraId="657E27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61215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8F3277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反馈抑制器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21BD78">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FFFFFF"/>
            <w:vAlign w:val="top"/>
          </w:tcPr>
          <w:p w14:paraId="19A2E371">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1、支持自动抑制啸叫点，可显示啸叫点数量，频率移动范围0.5‰；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2、支持96KHz采样频率，24bit A/D及D/A转换；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3、数字信号输入输出通道提供coaxial、AES及光纤接口；</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4、支持LCD显示屏显示功能设定，提供6段led显示输出电平；</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5、支持切换工作模式为直通或反馈抑制，一键清除找到的啸叫点；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6、支持手动或通过电脑端软件设置反馈抑制器的输入增益、EQ、门限器、压缩器、限幅器等DSP参数，可保存10种预设模式，支持模式存档及EQ存档导入导出；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7、频率分辨率：0.5Hz；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8、输入范围：≤+20dBu；</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9、信号输入频率响应：15Hz-25KHz(-0.3dB)；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10、信噪比：≥98dB @1KHz 0dBu；</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11、失真度：＜0.01%；</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12、通道分离度：＞80dB(1KHz)。</w:t>
            </w:r>
          </w:p>
        </w:tc>
      </w:tr>
      <w:tr w14:paraId="7C607D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DACB6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D13079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有线IP数字会议系统主机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65A0D11">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nil"/>
            </w:tcBorders>
            <w:shd w:val="clear" w:color="auto" w:fill="FFFFFF"/>
            <w:vAlign w:val="top"/>
          </w:tcPr>
          <w:p w14:paraId="06357AC5">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1、≥4.3"全彩触摸屏显示系统设置信息，采用多功能飞梭按键操作；（提供设备实拍照片佐证）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2、支持环网数字传输和手拉手级联，支持4个独立环网满足不同组网需求；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3、支持蓝牙连接第三方设备，传输音频信号；</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4、支持卡侬座和3pin端子平衡信号输出，支持莲花头立体声线路输出，满足本地扩声、会议录制、远程视频会议的需求；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5、具有RS232和RS485、TCP/IP接口用于连接中控系统等外部通信；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6、具有USB接口，支持插入U盘本地录音，最大支持64G FAT格式U盘；</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7、系统采用全数字化信号传输，48KHz音频采样，传输延迟＜10ms，音质不受网线长度影响；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8、支持Pelco-D、Pelco-P、VISCA三种摄像机通讯协议，兼容性强；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9、支持AP热点，可通过手机/电脑连接会议主机热点，在web网页和UI界面实时调整各项系统参数；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10、支持对发言话筒单独录音，可同时录制≥10只会议话筒，并可根据发言单元的预置名称生成预置名称的音频文件；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11、支持针对每一只发言单元的输入音量、AGC、EQ参数单独调节，也可统一调节；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12、支持同时接入有线会议话筒和无线会议话筒，具有视像跟踪、会议签到、投票表决、服务呼叫功能；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13、支持申请发言、限制发言、主席优先、先进先出、限时发言等多种会议发言模式；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14、与会议主机连接的发言单元故障掉线或者主干线缆短路，设备可自行检测判断并在会议主机屏幕上显示故障告警以及故障原因，设备意外掉线可自动重连；</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15、支持连接专业会议管理软件发起会议，也可脱离会议管理软件发起会议签到表决，有线无线发言单元均能参与会议签到表决流程。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16、接口:≥RJ45网口*2、≥Dante网口*1；≥USB录音接口*1、≥USB-TypeC声卡接口*1，≥风凰平衡输入*1、≥卡侬平衡输出*1、≥莲花头立体声线路输出*1、≥环网输出*4，≥网络增强供电接口*4</w:t>
            </w:r>
          </w:p>
        </w:tc>
      </w:tr>
      <w:tr w14:paraId="024E85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1E79D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0AECFF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方杆IP网络数字会议主席机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5EEE5C">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nil"/>
              <w:right w:val="nil"/>
            </w:tcBorders>
            <w:shd w:val="clear" w:color="auto" w:fill="FFFFFF"/>
            <w:vAlign w:val="top"/>
          </w:tcPr>
          <w:p w14:paraId="205DC79D">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1、具有≥4"全彩触摸显示屏，显示时间、LOGO和会议信息；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2、内置2个直径14mm超心形镀金高保真电容咪头，支持数字信号/模拟XRL接口双链路输出；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3、话筒杆采用短麦方管设计，机身具有音量大小调节按键；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4、话筒杆具有发言状态指示灯，工作状态下亮红色（或颜色可定制）；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5、话筒底座具有状态指示灯环，可提示发言人员话筒目前工作状态；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6、具有φ3.5mm立体声插孔耳机接口、音量调节按键；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7、支持联动摄像机实现视像跟踪功能；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8、主席单元可实时显示当前发言人员姓名、坐席编号以及等待发言人员列表；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9、主席单元具有批准和禁止代表单元发言的权限，主席单元支持对每个代表单元单独选中控制；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10、主席单元可发起会议签到、投票表决议程，签到和投票表决结果实时显示。</w:t>
            </w:r>
          </w:p>
        </w:tc>
      </w:tr>
      <w:tr w14:paraId="1515BC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8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F67A4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7FECDC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方杆IP网络数字会议代表机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F28F51">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nil"/>
            </w:tcBorders>
            <w:shd w:val="clear" w:color="auto" w:fill="FFFFFF"/>
            <w:vAlign w:val="top"/>
          </w:tcPr>
          <w:p w14:paraId="7CF21034">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1、具有≥4"全彩触摸显示屏，显示时间、LOGO和会议信息；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2、采用14mm超心形镀金高保真电容咪头，超远拾音距离；</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3、话筒杆采用短麦方管设计，机身具有音量大小调节按键；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4、话筒杆具有发言状态指示灯，工作状态下亮红色（或颜色可定制）；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5、话筒底座具有状态指示灯环，可提示发言人员话筒目前工作状态；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6、具有φ3.5mm立体声插孔耳机接口、音量调节按键；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7、支持联动摄像机实现视像跟踪功能；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8、支持会议签到、投票表决。</w:t>
            </w:r>
          </w:p>
        </w:tc>
      </w:tr>
      <w:tr w14:paraId="5635C8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8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8E229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8D7E5D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真分集无线话筒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U段手持</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B1EC86">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7BCB9A4E">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1、系统由机架式接收机和2只手持话筒组成；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2、载波频段：≥603-935MHz；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3、面板显示：≥2块LCD液晶屏，可同时显示RF/AF信号强度，自动选讯，可设定频道/频率；</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4、无线电工作方式必须为真分集、锁相环频率合成；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5、具备干扰检测和规避功能；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6、输出插座：支持XLR平衡式及φ6.3不平衡式插座；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7、具有10分钟电力的余量提示功能。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8、具有SCAN自动扫频功能，和手动设置工作频段自动对频功能按键。</w:t>
            </w:r>
          </w:p>
        </w:tc>
      </w:tr>
      <w:tr w14:paraId="0DFE14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8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B4CFF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A92C73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真分集无线话筒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U段头戴</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BC0058">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FFFFFF"/>
            <w:vAlign w:val="top"/>
          </w:tcPr>
          <w:p w14:paraId="6A244293">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1、系统由机架式接收机和2只头戴话筒组成；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2、载波频段：UHF 603-935MHz；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3、面板显示：LCD液晶显示可同时显示RF/AF信号强度，自动选讯，可设定频道/频率；</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4、无线电工作方式必须为真分集、锁相环频率合成；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5、具备干扰检测和规避功能；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6、输出插座：XLR平衡式及φ6.3不平衡式插座；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7、具有10分钟电力的余量提示功能。</w:t>
            </w:r>
          </w:p>
        </w:tc>
      </w:tr>
      <w:tr w14:paraId="7683D2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9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82DC68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26</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F8361A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天线分配放大系统</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FD3700">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FFFFFF"/>
            <w:vAlign w:val="top"/>
          </w:tcPr>
          <w:p w14:paraId="2BE89322">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1、单台支持≥8支无线发射机同时工作使用，具有≥8路BNC天线接口；</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2、兼容所有UHF频段无线麦克风接收机使用；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3、支持现场无线电频谱扫描监测，为射频频点分配及管理提供依据；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4、高频信号带通滤波功能，过滤带宽以外的信号对系统造成干扰；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5、支持多套系统级联使用；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6、带宽:500MHz（450-950MHz）。</w:t>
            </w:r>
          </w:p>
        </w:tc>
      </w:tr>
      <w:tr w14:paraId="03B16D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3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46DEA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27</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AA893B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合唱话筒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4EC2DC">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229D2909">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1、类型：纯金镀膜电容传声器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2、指向特征：心型/超心型/八字型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3、频率响应：20Hz-20kHz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4、灵敏度：-31dB/-33dB/-34dB±2dB (0dB=1V/Pa @1kHz)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5、输出阻抗：250Ω±30%(@1kHz)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6、负载阻抗：≥1000Ω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7、等效噪声级：16dB A</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8、最大声压级：135dB(@1kHz≤1% THD)</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9、工作电源：48V幻象电源</w:t>
            </w:r>
          </w:p>
        </w:tc>
      </w:tr>
      <w:tr w14:paraId="29BEC6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6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AD141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5090D0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面光成像灯</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D5A363">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4A390E1B">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1.额定电压：AC100-240V，50-60Hz                                                                       2.光源：≥200WLED 模组灯珠 照度：光通量≧6500LM  光效峰值 ≧130000（提供有效第三方检测报告证书 必须是主检体现产品图片）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3.额定功率:  ≥ 350W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4.显指：Ra≧91.5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5.色 温：3200或5600K  可选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6.透镜角度：19.-50角度可选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7.光学：多片组合多层镀膜的光学镜头设计，使光质纯净，边缘清晰，切光锋利   光圈图形可调，能够切换出各种图形功能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8.散热风扇：按该产品特性定制可调速智能风扇，风扇转速（声音）可按该产品功率大小调节而智能变化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9.控制通道：2/4CH通道  双调光模式，手动，、DMX512调光，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10.调光：独立电子线性调光0-100，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11.工作环境：IP20/室内使用，工作环境温度 : -20°C~40°C</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12.工作声音：≤20分贝</w:t>
            </w:r>
          </w:p>
        </w:tc>
      </w:tr>
      <w:tr w14:paraId="625ED8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6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54129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DF1198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染色灯</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8330B0">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79157929">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输入电压：AC90-245V/50-60 Hz。                                                                                                                                                                       1.功率：≥200W。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2.光源：≥18颗12W 高亮度 RGBW/RGBY LED 灯珠</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3.色温校正：3200K～7200K线性调节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4.8通道</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5.频闪：0-100独立电子频闪1-25Hz，可随机频闪，脉冲频闪， 同步异步频闪，单色、混色温频闪，</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6.混色效果：8Bit PWM 、RGBW 线性混色，1670 万种颜色(0-100%饱和度可调)，内置宏功能,无限的 RGBW 虚拟颜色混色系统。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7.控制模式：多种声控、DMX512、内置程序自走、主从联机模式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8.灯具连接： 电源线in/out 带电部件与灯具的金属部件之间 带电部件与灯具的金属部件之间&gt;500 MΩ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9.出光角度：25° 45°可选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10.防护等级：铸铝外壳 防护IP25；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11.生产灯具符合“GB7000.1-2015 灯具一般要求与实验”国家标准； 和“GB2007.217-2008 舞台灯光检测”国家标准                                                                                                                                                                                                                       </w:t>
            </w:r>
          </w:p>
        </w:tc>
      </w:tr>
      <w:tr w14:paraId="72FF52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5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B16C3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B0C1AA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电脑光束灯</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3BB264">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554AD57A">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1.光源： 382W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2.功率：600W   色温：7500K   平均寿命：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性能特点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3.控制方式：512控制，模式1.16CH，模式2.20CH，</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自走模式.                                       4.智能LCD液晶显示屏可触摸操作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5.色盘1个： 颜色盘1.13种色片+白光，+ 带有半色功能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6.图案盘2个： 图案盘固定1：13个固定金属图案+白光 旋转图案盘                          7.9个玻璃图案+白光，图案片能自由拔插更换，图案内转功能，可控速度，正反自由调节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8.频闪；双片式频闪，0-20次/秒,;带随机频闪</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9.棱镜盘2个：棱镜效果1.16面棱镜，棱镜效果2.6面棱镜 棱镜1和棱镜2相互叠加24棱镜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10.柔光效果： 可调节柔光的光斑角度，线性二等雾化调节功能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11.调焦；电子调焦，可线性放大调节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光束角度： 光束角度：Zoom /0-2°  Spot图案/2- 40°  Wash染色/  15-50° 三级光束调节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带RDM功能，可实现控台一一体化拨码。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12.调光：0-100%线性调节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13.透射光范围：X轴540;，Y轴270;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14.风机：风机自带调速板，有效减少噪音，保护光源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15.马达数量：;17个超静音马达，;16Bit驱动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16.其他功能：远程控制灯泡开关功能，显示灯具，灯泡使用时间                                      17.防护等级：IP44                             18.工作声音：≤25分贝</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19.外观材质：耐高温材料+模压合金材料，为了安全起见 灯具外壳在高温≥75°情况，灯具塑胶外壳: 无滴落；未引燃                                                                                                                                           </w:t>
            </w:r>
          </w:p>
        </w:tc>
      </w:tr>
      <w:tr w14:paraId="1D281C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3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DD72ED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CA4858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LED会议平板灯</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BE6CFE">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02DBBA4C">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1.光源200W  2538LED灯珠，432颗寿 命：约50000小时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2.颜色：3200K±150K-5600K±150K</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3.光学 透镜角度：180°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4.调光：线性调光0~100%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5.频 闪：0-25次/秒</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6.控制模式 512控台调节，手动旋钮调节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 显色指数：&gt;97</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8.特性采用新一代绿色环保进口LED模组为光源。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9.色温稳定，满足专业摄影、摄像要求；高透光率柔光板；光输出柔和、均匀，无红外光、紫外线；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10.防护等级：IP44                             11.工作声音：≤0分贝                                      </w:t>
            </w:r>
          </w:p>
        </w:tc>
      </w:tr>
      <w:tr w14:paraId="635D9D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D4D06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7DD85A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染色灯</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8B2620D">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5F8DB6B0">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输入电压：AC90-245V/50-60 Hz。                                                                                                                                                                       1.功率：≥200W。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2.光源：≥18颗12W 高亮度 RGBW/RGBY LED 灯珠</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3.色温校正：3200K～7200K线性调节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4.8通道</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5.频闪：0-100独立电子频闪1-25Hz，可随机频闪，脉冲频闪， 同步异步频闪，单色、混色温频闪，</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6.混色效果：8Bit PWM 、RGBW 线性混色，1670 万种颜色(0-100%饱和度可调)，内置宏功能,无限的 RGBW 虚拟颜色混色系统。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7.控制模式：多种声控、DMX512、内置程序自走、主从联机模式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8.灯具连接： 电源线in/out 带电部件与灯具的金属部件之间 带电部件与灯具的金属部件之间&gt;500 MΩ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9.出光角度：25° 45°可选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10.防护等级：铸铝外壳 防护IP25；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w:t>
            </w:r>
          </w:p>
        </w:tc>
      </w:tr>
      <w:tr w14:paraId="36F99C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0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01C0A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F9F2B6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电脑光束灯</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466D90">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2CCFF449">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1.光源： 382W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2.功率：600W   色温：7500K   平均寿命：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性能特点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3.控制方式：512控制，模式1.16CH，模式2.20CH，</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自走模式.                                       4.智能LCD液晶显示屏可触摸操作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5.色盘1个： 颜色盘1.13种色片+白光，+ 带有半色功能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6.图案盘2个： 图案盘固定1：13个固定金属图案+白光 旋转图案盘                          7.9个玻璃图案+白光，图案片能自由拔插更换，图案内转功能，可控速度，正反自由调节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8.频闪；双片式频闪，0-20次/秒,;带随机频闪</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9.棱镜盘2个：棱镜效果1.16面棱镜，棱镜效果2.6面棱镜 棱镜1和棱镜2相互叠加24棱镜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10.柔光效果： 可调节柔光的光斑角度，线性二等雾化调节功能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11.调焦；电子调焦，可线性放大调节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光束角度： 光束角度：Zoom /0-2°  Spot图案/2- 40°  Wash染色/  15-50° 三级光束调节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带RDM功能，可实现控台一一体化拨码。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12.调光：0-100%线性调节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13.透射光范围：X轴540;，Y轴270;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14.风机：风机自带调速板，有效减少噪音，保护光源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15.马达数量：;17个超静音马达，;16Bit驱动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16.其他功能：远程控制灯泡开关功能，显示灯具，灯泡使用时间                                      17.防护等级：IP44                                                                                                                                                       </w:t>
            </w:r>
          </w:p>
        </w:tc>
      </w:tr>
      <w:tr w14:paraId="0A6319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3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2ED5C2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0D37C1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LED会议平板灯</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F062AA1">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2CC0368B">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1.光源200W  2538LED灯珠，432颗寿 命：约50000小时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2.颜色：3200K±150K-5600K±150K</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3.光学 透镜角度：180°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4.调光：线性调光0~100%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5.频 闪：0-25次/秒</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6.控制模式 512控台调节，手动旋钮调节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 显色指数：&gt;97</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8.特性采用新一代绿色环保进口LED模组为光源。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9.色温稳定，满足专业摄影、摄像要求；高透光率柔光板；光输出柔和、均匀，无红外光、紫外线；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10.防护等级：IP44                             11.工作声音：≤0分贝                                      </w:t>
            </w:r>
          </w:p>
        </w:tc>
      </w:tr>
      <w:tr w14:paraId="0A3191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70606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CBD6C9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1024控台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C324DB">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20601194">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1.采用功能强大的泰坦（Titan）11.0-10.1-10.0-9.1一机四个版本操作系统任意切换  2.酷睿i5CPU   ,120GBSSD，4GB内存；</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3.内置1个15.6寸高分辩率触摸屏（工业屏），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4.支持联网到计算机设备控制各种灯光3D可视化软件；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5.内置UPS电源，不接入220V交流电源可正常操作1小时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6.内置WYS(R36)灯光软件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7.支持中文菜单显示，内置多国语言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8.控台自带8个DMX输出，支持扩展到64个DMX，</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9.支持涂鸦式屏幕标识功能，支持Art-Net网络功能,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10.10宏功能按钮，可让你更快的操作控台；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11.20个重放推杆，支持1000个以上的程序重放；</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12.强大的属性控制窗口，CMY\RGB拾色板系统；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13.快捷易用的图形发生器，分类的内置图形更易使用；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14.支持CIPT协议，可以在控台上直接看到媒体服务器里媒体片段的图像缩略图；</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15.支持Wi-Fi接入，无线控灯、移动设备（iPhone、iPad Touch）远程控制灯具；</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16.内置数千种灯库，内置灯库编辑软件，你可以随时在控台上编灯库；</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17.内置Visualiser线条式灯光可视化软件，想预编程！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18.支持MIDI时间码声光同步功能，也可以在控台里播放音乐发送时间码来控制灯光程序重放。</w:t>
            </w:r>
          </w:p>
        </w:tc>
      </w:tr>
      <w:tr w14:paraId="07184A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32681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36</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B967FB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信号放大器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474D23">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03C24FC6">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1.额定电压: AC110V ～240V, 50～60Hz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2.输    入 :2路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3.输    出 : 4路  8 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4.输出信号接口：采用三芯镀金卡侬母座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5.输入信号接口：国际标准DMX512信号，三芯/五芯镀金卡侬公座母座并接</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6.功能采用最新光电隔离技术，达到国际先进水平，防止高压回流控制台，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7.提高调光控制系统的安全性，稳定性及可靠性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8.输入输出每路都是采用独立的变压器供电，及独立的八个光电隔离信号放大来扩大DMX</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9.信号输出，放大功能可以令连接延长超过标准的DMX512长度，独立输出功能有效提高</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10.DMX信号传输保真能力及提高DMX信号抗干扰能力                                                                                             </w:t>
            </w:r>
          </w:p>
        </w:tc>
      </w:tr>
      <w:tr w14:paraId="0A3C50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3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D4A6D9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37</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1B3552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12路直通箱</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3390DD">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49412105">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 供电：三相五线制AC380±10%，频率50Hz/60Hz±5%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 输入电流：自锁式交错零火的400A犀牛插</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 显示：具备三相A.B.C直读式独立液晶电流、电压表显示，无需切换即可实时监测各项数据                  4.12路电源输出、每路输出4KW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5.每路400A胶木插座，共12个输出插口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6.输入如果接三相电、N为零线，L1  L2  L3   为火线。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7.输入如果接单相电、N为零线， L1  L2   L3   串联接一条火线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8.1-12空气开关为输出，作用是控每一路对一路。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9.输出每路4KW，1、4、7、10为C相， 2、5、8、11为B相， 3、6、9、12为A相。</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10.输出每路4KW， 1-12路总输出48KW.                </w:t>
            </w:r>
          </w:p>
        </w:tc>
      </w:tr>
      <w:tr w14:paraId="074E90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EF1FE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38</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04E3AF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固定灯杆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4AAF33">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518850F4">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10米/12米固定灯杆</w:t>
            </w:r>
          </w:p>
        </w:tc>
      </w:tr>
      <w:tr w14:paraId="501AD8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02450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39</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E770AD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机柜</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8C4110">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5119F0AC">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42U,600*600机柜</w:t>
            </w:r>
          </w:p>
        </w:tc>
      </w:tr>
      <w:tr w14:paraId="4433B1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15DFE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22DECA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操作台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F54065">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799E670F">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两人位操作台</w:t>
            </w:r>
          </w:p>
        </w:tc>
      </w:tr>
      <w:tr w14:paraId="56B0EE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9D721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41</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8087EA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电动葫芦</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B5AF53D">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4697F8BD">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线阵音箱吊装，2Tx10米</w:t>
            </w:r>
          </w:p>
        </w:tc>
      </w:tr>
      <w:tr w14:paraId="74815F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A18D0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36D931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信息插盒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1FE9CB">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5BE5608A">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1*HDMI;1*卡农；1*网口；1*电源</w:t>
            </w:r>
          </w:p>
        </w:tc>
      </w:tr>
      <w:tr w14:paraId="255727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4443F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43</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E81336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话筒插盒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D6C49C">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52CD39AA">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1*网口</w:t>
            </w:r>
          </w:p>
        </w:tc>
      </w:tr>
      <w:tr w14:paraId="296CCA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FCBA4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44</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4FBBA9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单口音箱插盒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526AF7">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546BC5CB">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单口音箱插盒</w:t>
            </w:r>
          </w:p>
        </w:tc>
      </w:tr>
      <w:tr w14:paraId="206A4F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8723C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029EF4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双口音箱插盒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89674A">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426C95CA">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双口音箱插盒</w:t>
            </w:r>
          </w:p>
        </w:tc>
      </w:tr>
      <w:tr w14:paraId="3D9564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B796D2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46</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D2904B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落地话筒支架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59DAA2E">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25ADA821">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落地话筒支架</w:t>
            </w:r>
          </w:p>
        </w:tc>
      </w:tr>
      <w:tr w14:paraId="6F0A06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83CB1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47</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3212F2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音频线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76D4B6">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658D8309">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RVPE2*0.5音频线</w:t>
            </w:r>
          </w:p>
        </w:tc>
      </w:tr>
      <w:tr w14:paraId="56E049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A0FF7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48</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DDFD41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音箱线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F8AB6B">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6900DD1E">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EVJV2*1.5</w:t>
            </w:r>
          </w:p>
        </w:tc>
      </w:tr>
      <w:tr w14:paraId="48DDF3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A065C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49</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BA9EC7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音箱线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CDE7E6">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4C2F69FE">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EVJV2*2.5</w:t>
            </w:r>
          </w:p>
        </w:tc>
      </w:tr>
      <w:tr w14:paraId="489FE2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11ECC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EC9F10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同轴电缆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33E3567">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7E2D9C2B">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50欧同轴电缆</w:t>
            </w:r>
          </w:p>
        </w:tc>
      </w:tr>
      <w:tr w14:paraId="62D257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696C2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51</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A92CDC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音频跳线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BAB5B4">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0F516224">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1.5米卡农公对母音频跳线</w:t>
            </w:r>
          </w:p>
        </w:tc>
      </w:tr>
      <w:tr w14:paraId="07D0B9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A66D5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25BA96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音频跳线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C39D07A">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4F9C03AB">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10米卡农公对母音频跳线</w:t>
            </w:r>
          </w:p>
        </w:tc>
      </w:tr>
      <w:tr w14:paraId="0EC8AC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85F40E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53</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72656E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音频跳线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2066C5">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352E880B">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1.5米卡农公对大三芯音频跳线</w:t>
            </w:r>
          </w:p>
        </w:tc>
      </w:tr>
      <w:tr w14:paraId="14111C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4B5E1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54</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89EFC9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灯光电源线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3D393E4">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0823240A">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阻燃电源线2*2.5</w:t>
            </w:r>
          </w:p>
        </w:tc>
      </w:tr>
      <w:tr w14:paraId="783AF8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AA26F8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55</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60D2F4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灯光信号线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E48D58">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08415C41">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信号线RVPE2*0.5</w:t>
            </w:r>
          </w:p>
        </w:tc>
      </w:tr>
      <w:tr w14:paraId="1A7D0F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147FE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56</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AB5CB1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安装辅材、配件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1CE97D">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5EE4751B">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安装辅材、配件、插接件等</w:t>
            </w:r>
          </w:p>
        </w:tc>
      </w:tr>
      <w:tr w14:paraId="7EF322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9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926FC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C6DA38">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AB50FB">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top"/>
          </w:tcPr>
          <w:p w14:paraId="3FDC42F1">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现场安装调试系统集成．线路测试，及安装管材转接头，扎带、胶布，线路标识标签，过线铁丝等，投标商所集成的系统方案应具备先进性、安全性、可靠、稳定、经济适用性及未来具备良好的扩展性及兼容性，为确保系统的可靠性及稳定性，为了保证售后服务质量，要求供应商能提供优质服务。</w:t>
            </w:r>
          </w:p>
        </w:tc>
      </w:tr>
    </w:tbl>
    <w:p w14:paraId="027EFE0B">
      <w:pPr>
        <w:keepNext w:val="0"/>
        <w:keepLines w:val="0"/>
        <w:pageBreakBefore w:val="0"/>
        <w:widowControl w:val="0"/>
        <w:shd w:val="clear" w:color="auto" w:fill="auto"/>
        <w:kinsoku w:val="0"/>
        <w:wordWrap w:val="0"/>
        <w:bidi w:val="0"/>
        <w:spacing w:line="520" w:lineRule="exact"/>
        <w:ind w:firstLine="482" w:firstLineChars="200"/>
        <w:jc w:val="center"/>
        <w:textAlignment w:val="auto"/>
        <w:rPr>
          <w:rFonts w:hint="eastAsia" w:asciiTheme="minorEastAsia" w:hAnsiTheme="minorEastAsia" w:eastAsiaTheme="minorEastAsia" w:cstheme="minorEastAsia"/>
          <w:b/>
          <w:bCs/>
          <w:color w:val="auto"/>
          <w:sz w:val="24"/>
          <w:szCs w:val="24"/>
          <w:highlight w:val="none"/>
          <w:lang w:eastAsia="zh-CN"/>
        </w:rPr>
      </w:pPr>
    </w:p>
    <w:p w14:paraId="01F32C12">
      <w:pPr>
        <w:keepNext w:val="0"/>
        <w:keepLines w:val="0"/>
        <w:pageBreakBefore w:val="0"/>
        <w:widowControl w:val="0"/>
        <w:shd w:val="clear" w:color="auto" w:fill="auto"/>
        <w:kinsoku w:val="0"/>
        <w:wordWrap w:val="0"/>
        <w:bidi w:val="0"/>
        <w:spacing w:line="520" w:lineRule="exact"/>
        <w:ind w:firstLine="422" w:firstLineChars="200"/>
        <w:textAlignment w:val="auto"/>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rPr>
        <w:t>注：（1）</w:t>
      </w:r>
      <w:r>
        <w:rPr>
          <w:rFonts w:hint="eastAsia" w:asciiTheme="minorEastAsia" w:hAnsiTheme="minorEastAsia" w:eastAsiaTheme="minorEastAsia" w:cstheme="minorEastAsia"/>
          <w:b/>
          <w:bCs/>
          <w:color w:val="auto"/>
          <w:sz w:val="21"/>
          <w:szCs w:val="21"/>
          <w:highlight w:val="none"/>
          <w:lang w:val="en-US" w:eastAsia="zh-CN"/>
        </w:rPr>
        <w:t>清单中的设备若引用某一名称、品牌、型号、规格、数据、尺寸等参数及技术要求的，仅是为了表述设备某一方面或某些方面的性能需要，不指向特定厂家、特定品牌和特定产品。如这些表述恰与某产品雷同，实属巧合，并不表示采购人只接受该产品投标，供应商可以根据自身情况选择投标产品，采购人不排斥或限制供应商选用不同技术参数的产品参加投标</w:t>
      </w:r>
      <w:r>
        <w:rPr>
          <w:rFonts w:hint="eastAsia" w:asciiTheme="minorEastAsia" w:hAnsiTheme="minorEastAsia" w:eastAsiaTheme="minorEastAsia" w:cstheme="minorEastAsia"/>
          <w:b/>
          <w:bCs/>
          <w:color w:val="auto"/>
          <w:sz w:val="21"/>
          <w:szCs w:val="21"/>
          <w:highlight w:val="none"/>
        </w:rPr>
        <w:t>。</w:t>
      </w:r>
    </w:p>
    <w:p w14:paraId="5B946185">
      <w:pPr>
        <w:keepNext w:val="0"/>
        <w:keepLines w:val="0"/>
        <w:pageBreakBefore w:val="0"/>
        <w:widowControl w:val="0"/>
        <w:shd w:val="clear" w:color="auto" w:fill="auto"/>
        <w:kinsoku w:val="0"/>
        <w:wordWrap w:val="0"/>
        <w:bidi w:val="0"/>
        <w:spacing w:line="520" w:lineRule="exact"/>
        <w:ind w:firstLine="422" w:firstLineChars="200"/>
        <w:textAlignment w:val="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eastAsia="zh-CN"/>
        </w:rPr>
        <w:t>（</w:t>
      </w:r>
      <w:r>
        <w:rPr>
          <w:rFonts w:hint="eastAsia" w:asciiTheme="minorEastAsia" w:hAnsiTheme="minorEastAsia" w:eastAsiaTheme="minorEastAsia" w:cstheme="minorEastAsia"/>
          <w:b/>
          <w:bCs/>
          <w:color w:val="auto"/>
          <w:sz w:val="21"/>
          <w:szCs w:val="21"/>
          <w:highlight w:val="none"/>
          <w:lang w:val="en-US" w:eastAsia="zh-CN"/>
        </w:rPr>
        <w:t>2</w:t>
      </w:r>
      <w:r>
        <w:rPr>
          <w:rFonts w:hint="eastAsia" w:asciiTheme="minorEastAsia" w:hAnsiTheme="minorEastAsia" w:eastAsiaTheme="minorEastAsia" w:cstheme="minorEastAsia"/>
          <w:b/>
          <w:bCs/>
          <w:color w:val="auto"/>
          <w:sz w:val="21"/>
          <w:szCs w:val="21"/>
          <w:highlight w:val="none"/>
          <w:lang w:eastAsia="zh-CN"/>
        </w:rPr>
        <w:t>）供应商</w:t>
      </w:r>
      <w:r>
        <w:rPr>
          <w:rFonts w:hint="eastAsia" w:asciiTheme="minorEastAsia" w:hAnsiTheme="minorEastAsia" w:eastAsiaTheme="minorEastAsia" w:cstheme="minorEastAsia"/>
          <w:b/>
          <w:bCs/>
          <w:color w:val="auto"/>
          <w:sz w:val="21"/>
          <w:szCs w:val="21"/>
          <w:highlight w:val="none"/>
          <w:lang w:val="en-US" w:eastAsia="zh-CN"/>
        </w:rPr>
        <w:t>提供的货物</w:t>
      </w:r>
      <w:r>
        <w:rPr>
          <w:rFonts w:hint="eastAsia" w:asciiTheme="minorEastAsia" w:hAnsiTheme="minorEastAsia" w:eastAsiaTheme="minorEastAsia" w:cstheme="minorEastAsia"/>
          <w:b/>
          <w:bCs/>
          <w:color w:val="auto"/>
          <w:sz w:val="21"/>
          <w:szCs w:val="21"/>
          <w:highlight w:val="none"/>
        </w:rPr>
        <w:t>不得缺项漏项，并</w:t>
      </w:r>
      <w:r>
        <w:rPr>
          <w:rFonts w:hint="eastAsia" w:asciiTheme="minorEastAsia" w:hAnsiTheme="minorEastAsia" w:eastAsiaTheme="minorEastAsia" w:cstheme="minorEastAsia"/>
          <w:b/>
          <w:bCs/>
          <w:color w:val="auto"/>
          <w:sz w:val="21"/>
          <w:szCs w:val="21"/>
          <w:highlight w:val="none"/>
          <w:lang w:val="en-US" w:eastAsia="zh-CN"/>
        </w:rPr>
        <w:t>须</w:t>
      </w:r>
      <w:r>
        <w:rPr>
          <w:rFonts w:hint="eastAsia" w:asciiTheme="minorEastAsia" w:hAnsiTheme="minorEastAsia" w:eastAsiaTheme="minorEastAsia" w:cstheme="minorEastAsia"/>
          <w:b/>
          <w:bCs/>
          <w:color w:val="auto"/>
          <w:sz w:val="21"/>
          <w:szCs w:val="21"/>
          <w:highlight w:val="none"/>
        </w:rPr>
        <w:t>确保对所有</w:t>
      </w:r>
      <w:r>
        <w:rPr>
          <w:rFonts w:hint="eastAsia" w:asciiTheme="minorEastAsia" w:hAnsiTheme="minorEastAsia" w:eastAsiaTheme="minorEastAsia" w:cstheme="minorEastAsia"/>
          <w:b/>
          <w:bCs/>
          <w:color w:val="auto"/>
          <w:sz w:val="21"/>
          <w:szCs w:val="21"/>
          <w:highlight w:val="none"/>
          <w:lang w:val="en-US" w:eastAsia="zh-CN"/>
        </w:rPr>
        <w:t>设备</w:t>
      </w:r>
      <w:r>
        <w:rPr>
          <w:rFonts w:hint="eastAsia" w:asciiTheme="minorEastAsia" w:hAnsiTheme="minorEastAsia" w:eastAsiaTheme="minorEastAsia" w:cstheme="minorEastAsia"/>
          <w:b/>
          <w:bCs/>
          <w:color w:val="auto"/>
          <w:sz w:val="21"/>
          <w:szCs w:val="21"/>
          <w:highlight w:val="none"/>
        </w:rPr>
        <w:t>均具有</w:t>
      </w:r>
      <w:r>
        <w:rPr>
          <w:rFonts w:hint="eastAsia" w:asciiTheme="minorEastAsia" w:hAnsiTheme="minorEastAsia" w:eastAsiaTheme="minorEastAsia" w:cstheme="minorEastAsia"/>
          <w:b/>
          <w:bCs/>
          <w:color w:val="auto"/>
          <w:sz w:val="21"/>
          <w:szCs w:val="21"/>
          <w:highlight w:val="none"/>
          <w:lang w:val="en-US" w:eastAsia="zh-CN"/>
        </w:rPr>
        <w:t>交</w:t>
      </w:r>
      <w:r>
        <w:rPr>
          <w:rFonts w:hint="eastAsia" w:asciiTheme="minorEastAsia" w:hAnsiTheme="minorEastAsia" w:eastAsiaTheme="minorEastAsia" w:cstheme="minorEastAsia"/>
          <w:b/>
          <w:bCs/>
          <w:color w:val="auto"/>
          <w:sz w:val="21"/>
          <w:szCs w:val="21"/>
          <w:highlight w:val="none"/>
        </w:rPr>
        <w:t>货安装能力。</w:t>
      </w:r>
    </w:p>
    <w:p w14:paraId="7DA8AFB1">
      <w:pPr>
        <w:keepNext w:val="0"/>
        <w:keepLines w:val="0"/>
        <w:pageBreakBefore w:val="0"/>
        <w:widowControl w:val="0"/>
        <w:shd w:val="clear" w:color="auto" w:fill="auto"/>
        <w:kinsoku w:val="0"/>
        <w:wordWrap w:val="0"/>
        <w:bidi w:val="0"/>
        <w:spacing w:line="520" w:lineRule="exact"/>
        <w:ind w:firstLine="422" w:firstLineChars="200"/>
        <w:textAlignment w:val="auto"/>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rPr>
        <w:t>（</w:t>
      </w:r>
      <w:r>
        <w:rPr>
          <w:rFonts w:hint="eastAsia" w:asciiTheme="minorEastAsia" w:hAnsiTheme="minorEastAsia" w:eastAsiaTheme="minorEastAsia" w:cstheme="minorEastAsia"/>
          <w:b/>
          <w:bCs/>
          <w:color w:val="auto"/>
          <w:sz w:val="21"/>
          <w:szCs w:val="21"/>
          <w:highlight w:val="none"/>
          <w:lang w:val="en-US" w:eastAsia="zh-CN"/>
        </w:rPr>
        <w:t>3</w:t>
      </w:r>
      <w:r>
        <w:rPr>
          <w:rFonts w:hint="eastAsia" w:asciiTheme="minorEastAsia" w:hAnsiTheme="minorEastAsia" w:eastAsiaTheme="minorEastAsia" w:cstheme="minorEastAsia"/>
          <w:b/>
          <w:bCs/>
          <w:color w:val="auto"/>
          <w:sz w:val="21"/>
          <w:szCs w:val="21"/>
          <w:highlight w:val="none"/>
        </w:rPr>
        <w:t>）</w:t>
      </w:r>
      <w:r>
        <w:rPr>
          <w:rFonts w:hint="eastAsia" w:asciiTheme="minorEastAsia" w:hAnsiTheme="minorEastAsia" w:eastAsiaTheme="minorEastAsia" w:cstheme="minorEastAsia"/>
          <w:b/>
          <w:bCs/>
          <w:color w:val="auto"/>
          <w:sz w:val="21"/>
          <w:szCs w:val="21"/>
          <w:highlight w:val="none"/>
          <w:lang w:val="en-US" w:eastAsia="zh-CN"/>
        </w:rPr>
        <w:t>供应商的投标报价不得超过本项目最高限价（包括单项限价）。</w:t>
      </w:r>
    </w:p>
    <w:p w14:paraId="3B8D70D4">
      <w:pPr>
        <w:keepNext w:val="0"/>
        <w:keepLines w:val="0"/>
        <w:pageBreakBefore w:val="0"/>
        <w:widowControl w:val="0"/>
        <w:shd w:val="clear" w:color="auto" w:fill="auto"/>
        <w:kinsoku w:val="0"/>
        <w:wordWrap w:val="0"/>
        <w:bidi w:val="0"/>
        <w:spacing w:line="520" w:lineRule="exact"/>
        <w:ind w:firstLine="422" w:firstLineChars="200"/>
        <w:textAlignment w:val="auto"/>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（4）本项目不接受进口产品，根据《政府采购进口产品管理办法》规定，本项目的进口产品是指通过中国海关报关验放进入中国境内且产自关境外的产品。</w:t>
      </w:r>
    </w:p>
    <w:p w14:paraId="1CD787EC">
      <w:pPr>
        <w:keepNext w:val="0"/>
        <w:keepLines w:val="0"/>
        <w:pageBreakBefore w:val="0"/>
        <w:widowControl w:val="0"/>
        <w:shd w:val="clear" w:color="auto" w:fill="auto"/>
        <w:kinsoku w:val="0"/>
        <w:wordWrap w:val="0"/>
        <w:bidi w:val="0"/>
        <w:spacing w:line="520" w:lineRule="exact"/>
        <w:ind w:firstLine="422" w:firstLineChars="200"/>
        <w:textAlignment w:val="auto"/>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5）供应商产品品牌型号相同的，按照《政府采购货物和服务招标投标管理办法》（财政部87号令）第三十一条第二款规定执行。当供应商提供的设备均为同一品牌同一型号，即视为提供相同品牌产品的不同供应商参加同一合同项下投标。</w:t>
      </w:r>
    </w:p>
    <w:p w14:paraId="6F02361A">
      <w:pPr>
        <w:pStyle w:val="2"/>
        <w:keepNext w:val="0"/>
        <w:keepLines w:val="0"/>
        <w:pageBreakBefore w:val="0"/>
        <w:widowControl w:val="0"/>
        <w:numPr>
          <w:ilvl w:val="0"/>
          <w:numId w:val="0"/>
        </w:numPr>
        <w:shd w:val="clear" w:color="auto" w:fill="auto"/>
        <w:tabs>
          <w:tab w:val="left" w:pos="360"/>
        </w:tabs>
        <w:kinsoku w:val="0"/>
        <w:wordWrap w:val="0"/>
        <w:bidi w:val="0"/>
        <w:jc w:val="center"/>
        <w:textAlignment w:val="auto"/>
        <w:rPr>
          <w:rFonts w:hint="eastAsia" w:asciiTheme="minorEastAsia" w:hAnsiTheme="minorEastAsia" w:eastAsiaTheme="minorEastAsia" w:cstheme="minorEastAsia"/>
          <w:color w:val="auto"/>
          <w:sz w:val="32"/>
          <w:szCs w:val="32"/>
          <w:highlight w:val="none"/>
          <w:lang w:val="en-US" w:eastAsia="zh-CN"/>
        </w:rPr>
        <w:sectPr>
          <w:headerReference r:id="rId11" w:type="default"/>
          <w:footerReference r:id="rId12" w:type="default"/>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14:paraId="644BA74A">
      <w:pPr>
        <w:pStyle w:val="2"/>
        <w:keepNext w:val="0"/>
        <w:keepLines w:val="0"/>
        <w:pageBreakBefore w:val="0"/>
        <w:widowControl w:val="0"/>
        <w:numPr>
          <w:ilvl w:val="0"/>
          <w:numId w:val="0"/>
        </w:numPr>
        <w:shd w:val="clear" w:color="auto" w:fill="auto"/>
        <w:tabs>
          <w:tab w:val="left" w:pos="360"/>
        </w:tabs>
        <w:kinsoku w:val="0"/>
        <w:wordWrap w:val="0"/>
        <w:bidi w:val="0"/>
        <w:jc w:val="center"/>
        <w:textAlignment w:val="auto"/>
        <w:rPr>
          <w:rFonts w:hint="eastAsia" w:asciiTheme="minorEastAsia" w:hAnsiTheme="minorEastAsia" w:eastAsiaTheme="minorEastAsia" w:cstheme="minorEastAsia"/>
          <w:color w:val="auto"/>
          <w:sz w:val="36"/>
          <w:szCs w:val="36"/>
          <w:highlight w:val="none"/>
        </w:rPr>
      </w:pPr>
      <w:bookmarkStart w:id="81" w:name="_Toc3990"/>
      <w:r>
        <w:rPr>
          <w:rFonts w:hint="eastAsia" w:asciiTheme="minorEastAsia" w:hAnsiTheme="minorEastAsia" w:eastAsiaTheme="minorEastAsia" w:cstheme="minorEastAsia"/>
          <w:color w:val="auto"/>
          <w:sz w:val="32"/>
          <w:szCs w:val="32"/>
          <w:highlight w:val="none"/>
          <w:lang w:val="en-US" w:eastAsia="zh-CN"/>
        </w:rPr>
        <w:t xml:space="preserve">第六章 </w:t>
      </w:r>
      <w:r>
        <w:rPr>
          <w:rFonts w:hint="eastAsia" w:asciiTheme="minorEastAsia" w:hAnsiTheme="minorEastAsia" w:eastAsiaTheme="minorEastAsia" w:cstheme="minorEastAsia"/>
          <w:color w:val="auto"/>
          <w:sz w:val="32"/>
          <w:szCs w:val="32"/>
          <w:highlight w:val="none"/>
        </w:rPr>
        <w:t>合同主要条款</w:t>
      </w:r>
      <w:r>
        <w:rPr>
          <w:rFonts w:hint="eastAsia" w:asciiTheme="minorEastAsia" w:hAnsiTheme="minorEastAsia" w:eastAsiaTheme="minorEastAsia" w:cstheme="minorEastAsia"/>
          <w:color w:val="auto"/>
          <w:sz w:val="32"/>
          <w:szCs w:val="32"/>
          <w:highlight w:val="none"/>
          <w:lang w:val="en-US" w:eastAsia="zh-CN"/>
        </w:rPr>
        <w:t>及</w:t>
      </w:r>
      <w:r>
        <w:rPr>
          <w:rFonts w:hint="eastAsia" w:asciiTheme="minorEastAsia" w:hAnsiTheme="minorEastAsia" w:eastAsiaTheme="minorEastAsia" w:cstheme="minorEastAsia"/>
          <w:color w:val="auto"/>
          <w:sz w:val="32"/>
          <w:szCs w:val="32"/>
          <w:highlight w:val="none"/>
        </w:rPr>
        <w:t>格式</w:t>
      </w:r>
      <w:bookmarkEnd w:id="81"/>
    </w:p>
    <w:p w14:paraId="05052D1D">
      <w:pPr>
        <w:keepNext w:val="0"/>
        <w:keepLines w:val="0"/>
        <w:pageBreakBefore w:val="0"/>
        <w:widowControl w:val="0"/>
        <w:shd w:val="clear" w:color="auto" w:fill="auto"/>
        <w:kinsoku w:val="0"/>
        <w:wordWrap w:val="0"/>
        <w:overflowPunct/>
        <w:bidi w:val="0"/>
        <w:spacing w:line="360" w:lineRule="auto"/>
        <w:jc w:val="center"/>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lang w:eastAsia="zh-CN"/>
        </w:rPr>
        <w:t>（本合同供参考，具体以实际签订合同为准）</w:t>
      </w:r>
    </w:p>
    <w:p w14:paraId="76C6C357">
      <w:pPr>
        <w:keepNext w:val="0"/>
        <w:keepLines w:val="0"/>
        <w:pageBreakBefore w:val="0"/>
        <w:widowControl w:val="0"/>
        <w:kinsoku w:val="0"/>
        <w:wordWrap w:val="0"/>
        <w:bidi w:val="0"/>
        <w:textAlignment w:val="auto"/>
        <w:rPr>
          <w:color w:val="auto"/>
          <w:highlight w:val="none"/>
        </w:rPr>
      </w:pPr>
    </w:p>
    <w:p w14:paraId="0A727187">
      <w:pPr>
        <w:pStyle w:val="9"/>
        <w:keepNext w:val="0"/>
        <w:keepLines w:val="0"/>
        <w:pageBreakBefore w:val="0"/>
        <w:widowControl w:val="0"/>
        <w:kinsoku w:val="0"/>
        <w:wordWrap w:val="0"/>
        <w:bidi w:val="0"/>
        <w:spacing w:after="0"/>
        <w:jc w:val="center"/>
        <w:textAlignment w:val="auto"/>
        <w:rPr>
          <w:rFonts w:ascii="宋体" w:hAnsi="宋体" w:cs="宋体"/>
          <w:b/>
          <w:bCs/>
          <w:color w:val="auto"/>
          <w:spacing w:val="-20"/>
          <w:kern w:val="44"/>
          <w:sz w:val="48"/>
          <w:szCs w:val="48"/>
          <w:highlight w:val="none"/>
        </w:rPr>
      </w:pPr>
    </w:p>
    <w:p w14:paraId="6897663F">
      <w:pPr>
        <w:pStyle w:val="9"/>
        <w:keepNext w:val="0"/>
        <w:keepLines w:val="0"/>
        <w:pageBreakBefore w:val="0"/>
        <w:widowControl w:val="0"/>
        <w:kinsoku w:val="0"/>
        <w:wordWrap w:val="0"/>
        <w:bidi w:val="0"/>
        <w:spacing w:after="0"/>
        <w:jc w:val="center"/>
        <w:textAlignment w:val="auto"/>
        <w:rPr>
          <w:rFonts w:ascii="宋体" w:hAnsi="宋体" w:cs="宋体"/>
          <w:b/>
          <w:bCs/>
          <w:color w:val="auto"/>
          <w:spacing w:val="-20"/>
          <w:kern w:val="44"/>
          <w:sz w:val="48"/>
          <w:szCs w:val="48"/>
          <w:highlight w:val="none"/>
        </w:rPr>
      </w:pPr>
    </w:p>
    <w:p w14:paraId="6BF4791F">
      <w:pPr>
        <w:pStyle w:val="9"/>
        <w:keepNext w:val="0"/>
        <w:keepLines w:val="0"/>
        <w:pageBreakBefore w:val="0"/>
        <w:widowControl w:val="0"/>
        <w:kinsoku w:val="0"/>
        <w:wordWrap w:val="0"/>
        <w:bidi w:val="0"/>
        <w:spacing w:after="0"/>
        <w:jc w:val="center"/>
        <w:textAlignment w:val="auto"/>
        <w:rPr>
          <w:rFonts w:ascii="宋体" w:hAnsi="宋体" w:cs="宋体"/>
          <w:b/>
          <w:bCs/>
          <w:color w:val="auto"/>
          <w:spacing w:val="-20"/>
          <w:kern w:val="44"/>
          <w:sz w:val="48"/>
          <w:szCs w:val="48"/>
          <w:highlight w:val="none"/>
        </w:rPr>
      </w:pPr>
    </w:p>
    <w:p w14:paraId="2C9E375F">
      <w:pPr>
        <w:keepNext w:val="0"/>
        <w:keepLines w:val="0"/>
        <w:pageBreakBefore w:val="0"/>
        <w:widowControl w:val="0"/>
        <w:kinsoku w:val="0"/>
        <w:wordWrap w:val="0"/>
        <w:bidi w:val="0"/>
        <w:textAlignment w:val="auto"/>
        <w:rPr>
          <w:rFonts w:ascii="宋体" w:hAnsi="宋体" w:cs="宋体"/>
          <w:b/>
          <w:bCs/>
          <w:color w:val="auto"/>
          <w:spacing w:val="-20"/>
          <w:kern w:val="44"/>
          <w:sz w:val="48"/>
          <w:szCs w:val="48"/>
          <w:highlight w:val="none"/>
        </w:rPr>
      </w:pPr>
    </w:p>
    <w:p w14:paraId="1EC15B7A">
      <w:pPr>
        <w:pStyle w:val="29"/>
        <w:keepNext w:val="0"/>
        <w:keepLines w:val="0"/>
        <w:pageBreakBefore w:val="0"/>
        <w:widowControl w:val="0"/>
        <w:kinsoku w:val="0"/>
        <w:wordWrap w:val="0"/>
        <w:bidi w:val="0"/>
        <w:textAlignment w:val="auto"/>
        <w:rPr>
          <w:color w:val="auto"/>
          <w:highlight w:val="none"/>
        </w:rPr>
      </w:pPr>
    </w:p>
    <w:p w14:paraId="7B613233">
      <w:pPr>
        <w:pStyle w:val="9"/>
        <w:keepNext w:val="0"/>
        <w:keepLines w:val="0"/>
        <w:pageBreakBefore w:val="0"/>
        <w:widowControl w:val="0"/>
        <w:kinsoku w:val="0"/>
        <w:wordWrap w:val="0"/>
        <w:bidi w:val="0"/>
        <w:spacing w:after="0"/>
        <w:jc w:val="center"/>
        <w:textAlignment w:val="auto"/>
        <w:rPr>
          <w:rFonts w:hint="eastAsia" w:ascii="宋体" w:hAnsi="宋体" w:cs="宋体"/>
          <w:b/>
          <w:bCs/>
          <w:color w:val="auto"/>
          <w:spacing w:val="-20"/>
          <w:kern w:val="44"/>
          <w:sz w:val="48"/>
          <w:szCs w:val="48"/>
          <w:highlight w:val="none"/>
        </w:rPr>
      </w:pPr>
      <w:r>
        <w:rPr>
          <w:rFonts w:hint="eastAsia" w:ascii="宋体" w:hAnsi="宋体" w:cs="宋体"/>
          <w:b/>
          <w:bCs/>
          <w:color w:val="auto"/>
          <w:spacing w:val="-20"/>
          <w:kern w:val="44"/>
          <w:sz w:val="48"/>
          <w:szCs w:val="48"/>
          <w:highlight w:val="none"/>
        </w:rPr>
        <w:t>政府采购</w:t>
      </w:r>
      <w:r>
        <w:rPr>
          <w:rFonts w:hint="eastAsia" w:ascii="宋体" w:hAnsi="宋体" w:cs="宋体"/>
          <w:b/>
          <w:bCs/>
          <w:color w:val="auto"/>
          <w:spacing w:val="-20"/>
          <w:kern w:val="44"/>
          <w:sz w:val="48"/>
          <w:szCs w:val="48"/>
          <w:highlight w:val="none"/>
          <w:lang w:eastAsia="zh-CN"/>
        </w:rPr>
        <w:t>货物买卖</w:t>
      </w:r>
      <w:r>
        <w:rPr>
          <w:rFonts w:hint="eastAsia" w:ascii="宋体" w:hAnsi="宋体" w:cs="宋体"/>
          <w:b/>
          <w:bCs/>
          <w:color w:val="auto"/>
          <w:spacing w:val="-20"/>
          <w:kern w:val="44"/>
          <w:sz w:val="48"/>
          <w:szCs w:val="48"/>
          <w:highlight w:val="none"/>
        </w:rPr>
        <w:t>合同</w:t>
      </w:r>
    </w:p>
    <w:p w14:paraId="648AD2E6">
      <w:pPr>
        <w:pStyle w:val="9"/>
        <w:keepNext w:val="0"/>
        <w:keepLines w:val="0"/>
        <w:pageBreakBefore w:val="0"/>
        <w:widowControl w:val="0"/>
        <w:kinsoku w:val="0"/>
        <w:wordWrap w:val="0"/>
        <w:bidi w:val="0"/>
        <w:spacing w:after="0"/>
        <w:jc w:val="center"/>
        <w:textAlignment w:val="auto"/>
        <w:rPr>
          <w:rFonts w:hint="eastAsia" w:ascii="宋体" w:hAnsi="宋体" w:eastAsia="宋体" w:cs="宋体"/>
          <w:b/>
          <w:bCs/>
          <w:color w:val="auto"/>
          <w:spacing w:val="-20"/>
          <w:kern w:val="44"/>
          <w:sz w:val="48"/>
          <w:szCs w:val="48"/>
          <w:highlight w:val="none"/>
          <w:lang w:eastAsia="zh-CN"/>
        </w:rPr>
      </w:pPr>
      <w:r>
        <w:rPr>
          <w:rFonts w:hint="eastAsia" w:ascii="宋体" w:hAnsi="宋体" w:cs="宋体"/>
          <w:b/>
          <w:bCs/>
          <w:color w:val="auto"/>
          <w:spacing w:val="-20"/>
          <w:kern w:val="44"/>
          <w:sz w:val="48"/>
          <w:szCs w:val="48"/>
          <w:highlight w:val="none"/>
          <w:lang w:eastAsia="zh-CN"/>
        </w:rPr>
        <w:t>（试行）</w:t>
      </w:r>
    </w:p>
    <w:p w14:paraId="34366FAC">
      <w:pPr>
        <w:keepNext w:val="0"/>
        <w:keepLines w:val="0"/>
        <w:pageBreakBefore w:val="0"/>
        <w:widowControl w:val="0"/>
        <w:kinsoku w:val="0"/>
        <w:wordWrap w:val="0"/>
        <w:bidi w:val="0"/>
        <w:textAlignment w:val="auto"/>
        <w:rPr>
          <w:rFonts w:ascii="宋体" w:hAnsi="宋体" w:cs="宋体"/>
          <w:b/>
          <w:bCs/>
          <w:color w:val="auto"/>
          <w:spacing w:val="-20"/>
          <w:kern w:val="44"/>
          <w:sz w:val="40"/>
          <w:szCs w:val="40"/>
          <w:highlight w:val="none"/>
        </w:rPr>
      </w:pPr>
    </w:p>
    <w:p w14:paraId="3DED0E5A">
      <w:pPr>
        <w:keepNext w:val="0"/>
        <w:keepLines w:val="0"/>
        <w:pageBreakBefore w:val="0"/>
        <w:widowControl w:val="0"/>
        <w:kinsoku w:val="0"/>
        <w:wordWrap w:val="0"/>
        <w:bidi w:val="0"/>
        <w:textAlignment w:val="auto"/>
        <w:rPr>
          <w:rFonts w:ascii="宋体" w:hAnsi="宋体" w:cs="宋体"/>
          <w:b/>
          <w:bCs/>
          <w:color w:val="auto"/>
          <w:spacing w:val="-20"/>
          <w:kern w:val="44"/>
          <w:sz w:val="40"/>
          <w:szCs w:val="40"/>
          <w:highlight w:val="none"/>
        </w:rPr>
      </w:pPr>
    </w:p>
    <w:p w14:paraId="6AAC24F4">
      <w:pPr>
        <w:pStyle w:val="29"/>
        <w:keepNext w:val="0"/>
        <w:keepLines w:val="0"/>
        <w:pageBreakBefore w:val="0"/>
        <w:widowControl w:val="0"/>
        <w:kinsoku w:val="0"/>
        <w:wordWrap w:val="0"/>
        <w:bidi w:val="0"/>
        <w:textAlignment w:val="auto"/>
        <w:rPr>
          <w:rFonts w:ascii="宋体" w:hAnsi="宋体" w:cs="宋体"/>
          <w:b/>
          <w:bCs/>
          <w:color w:val="auto"/>
          <w:spacing w:val="-20"/>
          <w:kern w:val="44"/>
          <w:sz w:val="40"/>
          <w:szCs w:val="40"/>
          <w:highlight w:val="none"/>
        </w:rPr>
      </w:pPr>
    </w:p>
    <w:p w14:paraId="4C070B75">
      <w:pPr>
        <w:pStyle w:val="29"/>
        <w:keepNext w:val="0"/>
        <w:keepLines w:val="0"/>
        <w:pageBreakBefore w:val="0"/>
        <w:widowControl w:val="0"/>
        <w:kinsoku w:val="0"/>
        <w:wordWrap w:val="0"/>
        <w:bidi w:val="0"/>
        <w:textAlignment w:val="auto"/>
        <w:rPr>
          <w:rFonts w:ascii="宋体" w:hAnsi="宋体" w:cs="宋体"/>
          <w:b/>
          <w:bCs/>
          <w:color w:val="auto"/>
          <w:spacing w:val="-20"/>
          <w:kern w:val="44"/>
          <w:sz w:val="40"/>
          <w:szCs w:val="40"/>
          <w:highlight w:val="none"/>
        </w:rPr>
      </w:pPr>
    </w:p>
    <w:p w14:paraId="68088227">
      <w:pPr>
        <w:pStyle w:val="29"/>
        <w:keepNext w:val="0"/>
        <w:keepLines w:val="0"/>
        <w:pageBreakBefore w:val="0"/>
        <w:widowControl w:val="0"/>
        <w:kinsoku w:val="0"/>
        <w:wordWrap w:val="0"/>
        <w:bidi w:val="0"/>
        <w:textAlignment w:val="auto"/>
        <w:rPr>
          <w:rFonts w:ascii="宋体" w:hAnsi="宋体" w:cs="宋体"/>
          <w:b/>
          <w:bCs/>
          <w:color w:val="auto"/>
          <w:spacing w:val="-20"/>
          <w:kern w:val="44"/>
          <w:sz w:val="40"/>
          <w:szCs w:val="40"/>
          <w:highlight w:val="none"/>
        </w:rPr>
      </w:pPr>
    </w:p>
    <w:p w14:paraId="136A7AB9">
      <w:pPr>
        <w:pStyle w:val="29"/>
        <w:keepNext w:val="0"/>
        <w:keepLines w:val="0"/>
        <w:pageBreakBefore w:val="0"/>
        <w:widowControl w:val="0"/>
        <w:kinsoku w:val="0"/>
        <w:wordWrap w:val="0"/>
        <w:bidi w:val="0"/>
        <w:textAlignment w:val="auto"/>
        <w:rPr>
          <w:rFonts w:ascii="宋体" w:hAnsi="宋体" w:cs="宋体"/>
          <w:b/>
          <w:bCs/>
          <w:color w:val="auto"/>
          <w:spacing w:val="-20"/>
          <w:kern w:val="44"/>
          <w:sz w:val="40"/>
          <w:szCs w:val="40"/>
          <w:highlight w:val="none"/>
        </w:rPr>
      </w:pPr>
    </w:p>
    <w:p w14:paraId="31F4EBC6">
      <w:pPr>
        <w:keepNext w:val="0"/>
        <w:keepLines w:val="0"/>
        <w:pageBreakBefore w:val="0"/>
        <w:widowControl w:val="0"/>
        <w:kinsoku w:val="0"/>
        <w:wordWrap w:val="0"/>
        <w:bidi w:val="0"/>
        <w:textAlignment w:val="auto"/>
        <w:rPr>
          <w:rFonts w:ascii="宋体" w:hAnsi="宋体" w:cs="宋体"/>
          <w:b/>
          <w:bCs/>
          <w:color w:val="auto"/>
          <w:spacing w:val="-20"/>
          <w:kern w:val="44"/>
          <w:sz w:val="40"/>
          <w:szCs w:val="40"/>
          <w:highlight w:val="none"/>
        </w:rPr>
      </w:pPr>
    </w:p>
    <w:p w14:paraId="0672E14E">
      <w:pPr>
        <w:pStyle w:val="29"/>
        <w:keepNext w:val="0"/>
        <w:keepLines w:val="0"/>
        <w:pageBreakBefore w:val="0"/>
        <w:widowControl w:val="0"/>
        <w:kinsoku w:val="0"/>
        <w:wordWrap w:val="0"/>
        <w:bidi w:val="0"/>
        <w:textAlignment w:val="auto"/>
        <w:rPr>
          <w:color w:val="auto"/>
          <w:highlight w:val="none"/>
        </w:rPr>
      </w:pPr>
    </w:p>
    <w:p w14:paraId="02BF652D">
      <w:pPr>
        <w:keepNext w:val="0"/>
        <w:keepLines w:val="0"/>
        <w:pageBreakBefore w:val="0"/>
        <w:widowControl w:val="0"/>
        <w:kinsoku w:val="0"/>
        <w:wordWrap w:val="0"/>
        <w:overflowPunct/>
        <w:topLinePunct w:val="0"/>
        <w:autoSpaceDE/>
        <w:autoSpaceDN/>
        <w:bidi w:val="0"/>
        <w:adjustRightInd/>
        <w:snapToGrid/>
        <w:spacing w:line="360" w:lineRule="auto"/>
        <w:ind w:firstLine="536" w:firstLineChars="200"/>
        <w:textAlignment w:val="auto"/>
        <w:rPr>
          <w:rFonts w:hint="default" w:ascii="宋体" w:hAnsi="宋体" w:eastAsia="宋体" w:cs="宋体"/>
          <w:color w:val="auto"/>
          <w:sz w:val="28"/>
          <w:szCs w:val="28"/>
          <w:highlight w:val="none"/>
          <w:u w:val="single"/>
          <w:lang w:val="en-US"/>
        </w:rPr>
      </w:pPr>
      <w:r>
        <w:rPr>
          <w:rFonts w:hint="eastAsia" w:ascii="宋体" w:hAnsi="宋体" w:eastAsia="宋体" w:cs="宋体"/>
          <w:color w:val="auto"/>
          <w:spacing w:val="-6"/>
          <w:kern w:val="0"/>
          <w:sz w:val="28"/>
          <w:szCs w:val="28"/>
          <w:highlight w:val="none"/>
        </w:rPr>
        <w:t>项目名称：</w:t>
      </w:r>
      <w:r>
        <w:rPr>
          <w:rFonts w:hint="eastAsia" w:ascii="宋体" w:hAnsi="宋体" w:cs="宋体"/>
          <w:color w:val="auto"/>
          <w:spacing w:val="-6"/>
          <w:kern w:val="0"/>
          <w:sz w:val="28"/>
          <w:szCs w:val="28"/>
          <w:highlight w:val="none"/>
          <w:u w:val="single"/>
          <w:lang w:val="en-US" w:eastAsia="zh-CN"/>
        </w:rPr>
        <w:t xml:space="preserve">                                </w:t>
      </w:r>
    </w:p>
    <w:p w14:paraId="188ACBAF">
      <w:pPr>
        <w:keepNext w:val="0"/>
        <w:keepLines w:val="0"/>
        <w:pageBreakBefore w:val="0"/>
        <w:widowControl w:val="0"/>
        <w:kinsoku w:val="0"/>
        <w:wordWrap w:val="0"/>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合同编号：</w:t>
      </w:r>
      <w:r>
        <w:rPr>
          <w:rFonts w:hint="eastAsia" w:ascii="宋体" w:hAnsi="宋体" w:eastAsia="宋体" w:cs="宋体"/>
          <w:color w:val="auto"/>
          <w:sz w:val="28"/>
          <w:szCs w:val="28"/>
          <w:highlight w:val="none"/>
          <w:u w:val="single"/>
        </w:rPr>
        <w:t xml:space="preserve">                             </w:t>
      </w:r>
    </w:p>
    <w:p w14:paraId="6C98FB2F">
      <w:pPr>
        <w:keepNext w:val="0"/>
        <w:keepLines w:val="0"/>
        <w:pageBreakBefore w:val="0"/>
        <w:widowControl w:val="0"/>
        <w:kinsoku w:val="0"/>
        <w:wordWrap w:val="0"/>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甲    方：</w:t>
      </w:r>
      <w:r>
        <w:rPr>
          <w:rFonts w:hint="eastAsia" w:ascii="宋体" w:hAnsi="宋体" w:eastAsia="宋体" w:cs="宋体"/>
          <w:color w:val="auto"/>
          <w:sz w:val="28"/>
          <w:szCs w:val="28"/>
          <w:highlight w:val="none"/>
          <w:u w:val="single"/>
        </w:rPr>
        <w:t xml:space="preserve">                             </w:t>
      </w:r>
    </w:p>
    <w:p w14:paraId="48C775AD">
      <w:pPr>
        <w:keepNext w:val="0"/>
        <w:keepLines w:val="0"/>
        <w:pageBreakBefore w:val="0"/>
        <w:widowControl w:val="0"/>
        <w:kinsoku w:val="0"/>
        <w:wordWrap w:val="0"/>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乙    方：</w:t>
      </w:r>
      <w:r>
        <w:rPr>
          <w:rFonts w:hint="eastAsia" w:ascii="宋体" w:hAnsi="宋体" w:eastAsia="宋体" w:cs="宋体"/>
          <w:color w:val="auto"/>
          <w:sz w:val="28"/>
          <w:szCs w:val="28"/>
          <w:highlight w:val="none"/>
          <w:u w:val="single"/>
        </w:rPr>
        <w:t xml:space="preserve">                             </w:t>
      </w:r>
    </w:p>
    <w:p w14:paraId="10179BF9">
      <w:pPr>
        <w:keepNext w:val="0"/>
        <w:keepLines w:val="0"/>
        <w:pageBreakBefore w:val="0"/>
        <w:widowControl w:val="0"/>
        <w:kinsoku w:val="0"/>
        <w:wordWrap w:val="0"/>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签订时间：</w:t>
      </w:r>
      <w:r>
        <w:rPr>
          <w:rFonts w:hint="eastAsia" w:ascii="宋体" w:hAnsi="宋体" w:eastAsia="宋体" w:cs="宋体"/>
          <w:color w:val="auto"/>
          <w:sz w:val="28"/>
          <w:szCs w:val="28"/>
          <w:highlight w:val="none"/>
          <w:u w:val="single"/>
        </w:rPr>
        <w:t xml:space="preserve">                             </w:t>
      </w:r>
    </w:p>
    <w:p w14:paraId="51AEC393">
      <w:pPr>
        <w:keepNext w:val="0"/>
        <w:keepLines w:val="0"/>
        <w:pageBreakBefore w:val="0"/>
        <w:widowControl w:val="0"/>
        <w:kinsoku w:val="0"/>
        <w:wordWrap w:val="0"/>
        <w:bidi w:val="0"/>
        <w:textAlignment w:val="auto"/>
        <w:rPr>
          <w:color w:val="auto"/>
          <w:highlight w:val="none"/>
        </w:rPr>
      </w:pPr>
    </w:p>
    <w:p w14:paraId="32DDDC0F">
      <w:pPr>
        <w:keepNext w:val="0"/>
        <w:keepLines w:val="0"/>
        <w:pageBreakBefore w:val="0"/>
        <w:widowControl w:val="0"/>
        <w:kinsoku w:val="0"/>
        <w:wordWrap w:val="0"/>
        <w:bidi w:val="0"/>
        <w:textAlignment w:val="auto"/>
        <w:rPr>
          <w:rFonts w:eastAsia="黑体"/>
          <w:color w:val="auto"/>
          <w:sz w:val="44"/>
          <w:szCs w:val="44"/>
          <w:highlight w:val="none"/>
        </w:rPr>
      </w:pPr>
      <w:r>
        <w:rPr>
          <w:rFonts w:eastAsia="黑体"/>
          <w:color w:val="auto"/>
          <w:sz w:val="44"/>
          <w:szCs w:val="44"/>
          <w:highlight w:val="none"/>
        </w:rPr>
        <w:br w:type="page"/>
      </w:r>
    </w:p>
    <w:p w14:paraId="18C3C0FD">
      <w:pPr>
        <w:keepNext w:val="0"/>
        <w:keepLines w:val="0"/>
        <w:pageBreakBefore w:val="0"/>
        <w:widowControl w:val="0"/>
        <w:kinsoku w:val="0"/>
        <w:wordWrap w:val="0"/>
        <w:bidi w:val="0"/>
        <w:jc w:val="center"/>
        <w:textAlignment w:val="auto"/>
        <w:rPr>
          <w:rFonts w:hint="eastAsia" w:eastAsia="黑体"/>
          <w:color w:val="auto"/>
          <w:sz w:val="28"/>
          <w:szCs w:val="28"/>
          <w:highlight w:val="none"/>
          <w:lang w:eastAsia="zh-CN"/>
        </w:rPr>
      </w:pPr>
      <w:r>
        <w:rPr>
          <w:rFonts w:hint="eastAsia" w:eastAsia="黑体"/>
          <w:color w:val="auto"/>
          <w:sz w:val="28"/>
          <w:szCs w:val="28"/>
          <w:highlight w:val="none"/>
          <w:lang w:eastAsia="zh-CN"/>
        </w:rPr>
        <w:t>使</w:t>
      </w:r>
      <w:r>
        <w:rPr>
          <w:rFonts w:hint="eastAsia" w:eastAsia="黑体"/>
          <w:color w:val="auto"/>
          <w:sz w:val="28"/>
          <w:szCs w:val="28"/>
          <w:highlight w:val="none"/>
          <w:lang w:val="en-US" w:eastAsia="zh-CN"/>
        </w:rPr>
        <w:t xml:space="preserve"> </w:t>
      </w:r>
      <w:r>
        <w:rPr>
          <w:rFonts w:hint="eastAsia" w:eastAsia="黑体"/>
          <w:color w:val="auto"/>
          <w:sz w:val="28"/>
          <w:szCs w:val="28"/>
          <w:highlight w:val="none"/>
          <w:lang w:eastAsia="zh-CN"/>
        </w:rPr>
        <w:t>用</w:t>
      </w:r>
      <w:r>
        <w:rPr>
          <w:rFonts w:hint="eastAsia" w:eastAsia="黑体"/>
          <w:color w:val="auto"/>
          <w:sz w:val="28"/>
          <w:szCs w:val="28"/>
          <w:highlight w:val="none"/>
          <w:lang w:val="en-US" w:eastAsia="zh-CN"/>
        </w:rPr>
        <w:t xml:space="preserve"> </w:t>
      </w:r>
      <w:r>
        <w:rPr>
          <w:rFonts w:hint="eastAsia" w:eastAsia="黑体"/>
          <w:color w:val="auto"/>
          <w:sz w:val="28"/>
          <w:szCs w:val="28"/>
          <w:highlight w:val="none"/>
          <w:lang w:eastAsia="zh-CN"/>
        </w:rPr>
        <w:t>说</w:t>
      </w:r>
      <w:r>
        <w:rPr>
          <w:rFonts w:hint="eastAsia" w:eastAsia="黑体"/>
          <w:color w:val="auto"/>
          <w:sz w:val="28"/>
          <w:szCs w:val="28"/>
          <w:highlight w:val="none"/>
          <w:lang w:val="en-US" w:eastAsia="zh-CN"/>
        </w:rPr>
        <w:t xml:space="preserve"> </w:t>
      </w:r>
      <w:r>
        <w:rPr>
          <w:rFonts w:hint="eastAsia" w:eastAsia="黑体"/>
          <w:color w:val="auto"/>
          <w:sz w:val="28"/>
          <w:szCs w:val="28"/>
          <w:highlight w:val="none"/>
          <w:lang w:eastAsia="zh-CN"/>
        </w:rPr>
        <w:t>明</w:t>
      </w:r>
    </w:p>
    <w:p w14:paraId="3A1FB5B9">
      <w:pPr>
        <w:keepNext w:val="0"/>
        <w:keepLines w:val="0"/>
        <w:pageBreakBefore w:val="0"/>
        <w:widowControl w:val="0"/>
        <w:kinsoku w:val="0"/>
        <w:wordWrap w:val="0"/>
        <w:bidi w:val="0"/>
        <w:ind w:firstLine="640" w:firstLineChars="200"/>
        <w:textAlignment w:val="auto"/>
        <w:rPr>
          <w:rFonts w:hint="eastAsia" w:ascii="仿宋_GB2312" w:hAnsi="仿宋_GB2312" w:eastAsia="仿宋_GB2312" w:cs="仿宋_GB2312"/>
          <w:color w:val="auto"/>
          <w:sz w:val="32"/>
          <w:szCs w:val="32"/>
          <w:highlight w:val="none"/>
          <w:lang w:val="en-US" w:eastAsia="zh-CN"/>
        </w:rPr>
      </w:pPr>
    </w:p>
    <w:p w14:paraId="70DA911B">
      <w:pPr>
        <w:keepNext w:val="0"/>
        <w:keepLines w:val="0"/>
        <w:pageBreakBefore w:val="0"/>
        <w:widowControl w:val="0"/>
        <w:kinsoku w:val="0"/>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1.本合同标准文本适用于购买现成货物的采购项目，不包括需要供应商定制开发、创新研发的货物采购项目。</w:t>
      </w:r>
    </w:p>
    <w:p w14:paraId="33DF96F4">
      <w:pPr>
        <w:keepNext w:val="0"/>
        <w:keepLines w:val="0"/>
        <w:pageBreakBefore w:val="0"/>
        <w:widowControl w:val="0"/>
        <w:kinsoku w:val="0"/>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2.本合同标准文本为政府采购货物买卖合同编制提供参考，可以结合采购项目具体情况，对文本作必要的调整修订后使用。</w:t>
      </w:r>
    </w:p>
    <w:p w14:paraId="07623632">
      <w:pPr>
        <w:keepNext w:val="0"/>
        <w:keepLines w:val="0"/>
        <w:pageBreakBefore w:val="0"/>
        <w:widowControl w:val="0"/>
        <w:kinsoku w:val="0"/>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r>
        <w:rPr>
          <w:rFonts w:hint="eastAsia" w:ascii="宋体" w:hAnsi="宋体" w:eastAsia="宋体" w:cs="宋体"/>
          <w:color w:val="auto"/>
          <w:sz w:val="24"/>
          <w:szCs w:val="24"/>
          <w:highlight w:val="none"/>
          <w:lang w:val="en-US" w:eastAsia="zh-CN"/>
        </w:rPr>
        <w:t>3.本合同标准文本各条款中，如涉及填写多家供应商、制造商，多种采购标的、分包主要内容等信息的，可根据采购项目具体情况添加信息项。</w:t>
      </w:r>
    </w:p>
    <w:p w14:paraId="6D54C53C">
      <w:pPr>
        <w:keepNext w:val="0"/>
        <w:keepLines w:val="0"/>
        <w:pageBreakBefore w:val="0"/>
        <w:widowControl w:val="0"/>
        <w:kinsoku w:val="0"/>
        <w:wordWrap w:val="0"/>
        <w:bidi w:val="0"/>
        <w:adjustRightInd w:val="0"/>
        <w:snapToGrid w:val="0"/>
        <w:spacing w:beforeLines="0" w:line="400" w:lineRule="exact"/>
        <w:jc w:val="center"/>
        <w:textAlignment w:val="auto"/>
        <w:outlineLvl w:val="1"/>
        <w:rPr>
          <w:rFonts w:hint="eastAsia" w:ascii="宋体" w:hAnsi="宋体" w:eastAsia="宋体" w:cs="宋体"/>
          <w:b/>
          <w:bCs/>
          <w:color w:val="auto"/>
          <w:sz w:val="28"/>
          <w:szCs w:val="28"/>
          <w:highlight w:val="none"/>
        </w:rPr>
      </w:pPr>
      <w:bookmarkStart w:id="82" w:name="_Toc2873"/>
      <w:bookmarkStart w:id="83" w:name="_Toc1989"/>
      <w:bookmarkStart w:id="84" w:name="_Toc22209"/>
      <w:r>
        <w:rPr>
          <w:rFonts w:hint="eastAsia" w:ascii="宋体" w:hAnsi="宋体" w:eastAsia="宋体" w:cs="宋体"/>
          <w:b/>
          <w:bCs/>
          <w:color w:val="auto"/>
          <w:sz w:val="28"/>
          <w:szCs w:val="28"/>
          <w:highlight w:val="none"/>
        </w:rPr>
        <w:t>第一节 政府采购合同协议书</w:t>
      </w:r>
      <w:bookmarkEnd w:id="82"/>
      <w:bookmarkEnd w:id="83"/>
      <w:bookmarkEnd w:id="84"/>
    </w:p>
    <w:p w14:paraId="3E86BBE4">
      <w:pPr>
        <w:keepNext w:val="0"/>
        <w:keepLines w:val="0"/>
        <w:pageBreakBefore w:val="0"/>
        <w:widowControl w:val="0"/>
        <w:kinsoku w:val="0"/>
        <w:wordWrap w:val="0"/>
        <w:overflowPunct/>
        <w:topLinePunct w:val="0"/>
        <w:bidi w:val="0"/>
        <w:adjustRightInd w:val="0"/>
        <w:snapToGrid w:val="0"/>
        <w:spacing w:before="0" w:beforeLines="0" w:line="480" w:lineRule="exact"/>
        <w:textAlignment w:val="auto"/>
        <w:rPr>
          <w:rFonts w:ascii="宋体" w:hAnsi="宋体"/>
          <w:color w:val="auto"/>
          <w:sz w:val="24"/>
          <w:szCs w:val="24"/>
          <w:highlight w:val="none"/>
        </w:rPr>
      </w:pPr>
      <w:r>
        <w:rPr>
          <w:rFonts w:hint="eastAsia" w:ascii="宋体" w:hAnsi="宋体"/>
          <w:color w:val="auto"/>
          <w:sz w:val="24"/>
          <w:szCs w:val="24"/>
          <w:highlight w:val="none"/>
        </w:rPr>
        <w:t>甲方（全称）：</w:t>
      </w:r>
      <w:r>
        <w:rPr>
          <w:rFonts w:hint="eastAsia" w:ascii="宋体" w:hAnsi="宋体"/>
          <w:color w:val="auto"/>
          <w:sz w:val="24"/>
          <w:szCs w:val="24"/>
          <w:highlight w:val="none"/>
          <w:u w:val="single"/>
        </w:rPr>
        <w:t xml:space="preserve">                        </w:t>
      </w:r>
    </w:p>
    <w:p w14:paraId="0530038D">
      <w:pPr>
        <w:keepNext w:val="0"/>
        <w:keepLines w:val="0"/>
        <w:pageBreakBefore w:val="0"/>
        <w:widowControl w:val="0"/>
        <w:kinsoku w:val="0"/>
        <w:wordWrap w:val="0"/>
        <w:overflowPunct/>
        <w:topLinePunct w:val="0"/>
        <w:bidi w:val="0"/>
        <w:adjustRightInd w:val="0"/>
        <w:snapToGrid w:val="0"/>
        <w:spacing w:before="0" w:beforeLines="0" w:line="480" w:lineRule="exact"/>
        <w:textAlignment w:val="auto"/>
        <w:rPr>
          <w:rFonts w:ascii="宋体" w:hAnsi="宋体"/>
          <w:color w:val="auto"/>
          <w:sz w:val="24"/>
          <w:szCs w:val="24"/>
          <w:highlight w:val="none"/>
        </w:rPr>
      </w:pPr>
      <w:r>
        <w:rPr>
          <w:rFonts w:hint="eastAsia" w:ascii="宋体" w:hAnsi="宋体"/>
          <w:color w:val="auto"/>
          <w:sz w:val="24"/>
          <w:szCs w:val="24"/>
          <w:highlight w:val="none"/>
        </w:rPr>
        <w:t>乙方（全称）：</w:t>
      </w:r>
      <w:r>
        <w:rPr>
          <w:rFonts w:hint="eastAsia" w:ascii="宋体" w:hAnsi="宋体"/>
          <w:color w:val="auto"/>
          <w:sz w:val="24"/>
          <w:szCs w:val="24"/>
          <w:highlight w:val="none"/>
          <w:u w:val="single"/>
        </w:rPr>
        <w:t xml:space="preserve">                       </w:t>
      </w:r>
    </w:p>
    <w:p w14:paraId="41E10B34">
      <w:pPr>
        <w:pStyle w:val="10"/>
        <w:keepNext w:val="0"/>
        <w:keepLines w:val="0"/>
        <w:pageBreakBefore w:val="0"/>
        <w:widowControl w:val="0"/>
        <w:kinsoku w:val="0"/>
        <w:wordWrap w:val="0"/>
        <w:overflowPunct/>
        <w:topLinePunct w:val="0"/>
        <w:bidi w:val="0"/>
        <w:adjustRightInd w:val="0"/>
        <w:snapToGrid w:val="0"/>
        <w:spacing w:before="0" w:beforeLines="0" w:after="0" w:afterLines="0" w:line="480" w:lineRule="exact"/>
        <w:ind w:left="0" w:leftChars="0"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依据《中华人民共和国民法典》《中华人民共和国政府采购法》等有关的法律法规，以及</w:t>
      </w:r>
      <w:r>
        <w:rPr>
          <w:rFonts w:hint="eastAsia" w:ascii="宋体" w:hAnsi="宋体"/>
          <w:i w:val="0"/>
          <w:iCs w:val="0"/>
          <w:color w:val="auto"/>
          <w:sz w:val="24"/>
          <w:szCs w:val="24"/>
          <w:highlight w:val="none"/>
          <w:u w:val="none"/>
          <w:lang w:eastAsia="zh-CN"/>
        </w:rPr>
        <w:t>本采购项目</w:t>
      </w:r>
      <w:r>
        <w:rPr>
          <w:rFonts w:hint="eastAsia" w:ascii="宋体" w:hAnsi="宋体"/>
          <w:color w:val="auto"/>
          <w:sz w:val="24"/>
          <w:szCs w:val="24"/>
          <w:highlight w:val="none"/>
        </w:rPr>
        <w:t>的</w:t>
      </w:r>
      <w:r>
        <w:rPr>
          <w:rFonts w:hint="eastAsia" w:ascii="宋体" w:hAnsi="宋体"/>
          <w:color w:val="auto"/>
          <w:sz w:val="24"/>
          <w:szCs w:val="24"/>
          <w:highlight w:val="none"/>
          <w:lang w:eastAsia="zh-CN"/>
        </w:rPr>
        <w:t>采购文件等</w:t>
      </w:r>
      <w:r>
        <w:rPr>
          <w:rFonts w:hint="eastAsia" w:ascii="宋体" w:hAnsi="宋体"/>
          <w:color w:val="auto"/>
          <w:sz w:val="24"/>
          <w:szCs w:val="24"/>
          <w:highlight w:val="none"/>
        </w:rPr>
        <w:t>采购文件</w:t>
      </w:r>
      <w:r>
        <w:rPr>
          <w:rFonts w:hint="eastAsia" w:ascii="宋体" w:hAnsi="宋体"/>
          <w:color w:val="auto"/>
          <w:sz w:val="24"/>
          <w:szCs w:val="24"/>
          <w:highlight w:val="none"/>
          <w:lang w:eastAsia="zh-CN"/>
        </w:rPr>
        <w:t>、</w:t>
      </w:r>
      <w:r>
        <w:rPr>
          <w:rFonts w:hint="eastAsia" w:ascii="宋体" w:hAnsi="宋体"/>
          <w:color w:val="auto"/>
          <w:sz w:val="24"/>
          <w:szCs w:val="24"/>
          <w:highlight w:val="none"/>
        </w:rPr>
        <w:t>乙方的《投标文件》及《</w:t>
      </w:r>
      <w:r>
        <w:rPr>
          <w:rFonts w:hint="eastAsia" w:ascii="宋体" w:hAnsi="宋体"/>
          <w:color w:val="auto"/>
          <w:sz w:val="24"/>
          <w:szCs w:val="24"/>
          <w:highlight w:val="none"/>
          <w:lang w:val="en-US" w:eastAsia="zh-CN"/>
        </w:rPr>
        <w:t>中标</w:t>
      </w:r>
      <w:r>
        <w:rPr>
          <w:rFonts w:hint="eastAsia" w:ascii="宋体" w:hAnsi="宋体"/>
          <w:color w:val="auto"/>
          <w:sz w:val="24"/>
          <w:szCs w:val="24"/>
          <w:highlight w:val="none"/>
          <w:lang w:eastAsia="zh-CN"/>
        </w:rPr>
        <w:t>（</w:t>
      </w:r>
      <w:r>
        <w:rPr>
          <w:rFonts w:hint="eastAsia" w:ascii="宋体" w:hAnsi="宋体"/>
          <w:color w:val="auto"/>
          <w:sz w:val="24"/>
          <w:szCs w:val="24"/>
          <w:highlight w:val="none"/>
        </w:rPr>
        <w:t>成交</w:t>
      </w:r>
      <w:r>
        <w:rPr>
          <w:rFonts w:hint="eastAsia" w:ascii="宋体" w:hAnsi="宋体"/>
          <w:color w:val="auto"/>
          <w:sz w:val="24"/>
          <w:szCs w:val="24"/>
          <w:highlight w:val="none"/>
          <w:lang w:eastAsia="zh-CN"/>
        </w:rPr>
        <w:t>）</w:t>
      </w:r>
      <w:r>
        <w:rPr>
          <w:rFonts w:hint="eastAsia" w:ascii="宋体" w:hAnsi="宋体"/>
          <w:color w:val="auto"/>
          <w:sz w:val="24"/>
          <w:szCs w:val="24"/>
          <w:highlight w:val="none"/>
        </w:rPr>
        <w:t xml:space="preserve">通知书》，甲乙双方同意签订本合同。具体情况及要求如下：     </w:t>
      </w:r>
    </w:p>
    <w:p w14:paraId="37223801">
      <w:pPr>
        <w:keepNext w:val="0"/>
        <w:keepLines w:val="0"/>
        <w:pageBreakBefore w:val="0"/>
        <w:widowControl w:val="0"/>
        <w:numPr>
          <w:ilvl w:val="0"/>
          <w:numId w:val="0"/>
        </w:numPr>
        <w:kinsoku w:val="0"/>
        <w:wordWrap w:val="0"/>
        <w:overflowPunct/>
        <w:topLinePunct w:val="0"/>
        <w:autoSpaceDE/>
        <w:autoSpaceDN/>
        <w:bidi w:val="0"/>
        <w:adjustRightInd w:val="0"/>
        <w:snapToGrid w:val="0"/>
        <w:spacing w:before="0" w:beforeLines="0" w:line="480" w:lineRule="exact"/>
        <w:ind w:firstLine="482" w:firstLineChars="200"/>
        <w:textAlignment w:val="auto"/>
        <w:rPr>
          <w:rFonts w:ascii="宋体" w:hAnsi="宋体"/>
          <w:b/>
          <w:color w:val="auto"/>
          <w:sz w:val="24"/>
          <w:szCs w:val="24"/>
          <w:highlight w:val="none"/>
        </w:rPr>
      </w:pPr>
      <w:r>
        <w:rPr>
          <w:rFonts w:hint="eastAsia" w:ascii="宋体" w:hAnsi="宋体"/>
          <w:b/>
          <w:color w:val="auto"/>
          <w:sz w:val="24"/>
          <w:szCs w:val="24"/>
          <w:highlight w:val="none"/>
          <w:lang w:val="en-US" w:eastAsia="zh-CN"/>
        </w:rPr>
        <w:t>一、</w:t>
      </w:r>
      <w:r>
        <w:rPr>
          <w:rFonts w:hint="eastAsia" w:ascii="宋体" w:hAnsi="宋体"/>
          <w:b/>
          <w:color w:val="auto"/>
          <w:sz w:val="24"/>
          <w:szCs w:val="24"/>
          <w:highlight w:val="none"/>
        </w:rPr>
        <w:t>项目信息</w:t>
      </w:r>
    </w:p>
    <w:p w14:paraId="74EBDAB8">
      <w:pPr>
        <w:pStyle w:val="10"/>
        <w:keepNext w:val="0"/>
        <w:keepLines w:val="0"/>
        <w:pageBreakBefore w:val="0"/>
        <w:widowControl w:val="0"/>
        <w:numPr>
          <w:ilvl w:val="0"/>
          <w:numId w:val="0"/>
        </w:numPr>
        <w:kinsoku w:val="0"/>
        <w:wordWrap w:val="0"/>
        <w:overflowPunct/>
        <w:topLinePunct w:val="0"/>
        <w:autoSpaceDE/>
        <w:autoSpaceDN/>
        <w:bidi w:val="0"/>
        <w:adjustRightInd w:val="0"/>
        <w:snapToGrid w:val="0"/>
        <w:spacing w:before="0" w:beforeLines="0" w:after="0" w:afterLines="0" w:line="480" w:lineRule="exact"/>
        <w:ind w:firstLine="480" w:firstLineChars="200"/>
        <w:textAlignment w:val="auto"/>
        <w:rPr>
          <w:rFonts w:hint="default" w:ascii="宋体" w:hAnsi="宋体"/>
          <w:color w:val="auto"/>
          <w:sz w:val="24"/>
          <w:szCs w:val="24"/>
          <w:highlight w:val="none"/>
          <w:u w:val="single"/>
          <w:lang w:val="en-US"/>
        </w:rPr>
      </w:pPr>
      <w:r>
        <w:rPr>
          <w:rFonts w:hint="eastAsia" w:ascii="宋体" w:hAnsi="宋体"/>
          <w:color w:val="auto"/>
          <w:sz w:val="24"/>
          <w:szCs w:val="24"/>
          <w:highlight w:val="none"/>
          <w:lang w:val="en-US" w:eastAsia="zh-CN"/>
        </w:rPr>
        <w:t>1.</w:t>
      </w:r>
      <w:r>
        <w:rPr>
          <w:rFonts w:hint="eastAsia" w:ascii="宋体" w:hAnsi="宋体"/>
          <w:color w:val="auto"/>
          <w:sz w:val="24"/>
          <w:szCs w:val="24"/>
          <w:highlight w:val="none"/>
        </w:rPr>
        <w:t>采购项目名称：</w:t>
      </w:r>
      <w:r>
        <w:rPr>
          <w:rFonts w:hint="eastAsia" w:ascii="宋体" w:hAnsi="宋体"/>
          <w:color w:val="auto"/>
          <w:sz w:val="24"/>
          <w:szCs w:val="24"/>
          <w:highlight w:val="none"/>
          <w:u w:val="single"/>
          <w:lang w:val="en-US" w:eastAsia="zh-CN"/>
        </w:rPr>
        <w:t xml:space="preserve">                                             </w:t>
      </w:r>
    </w:p>
    <w:p w14:paraId="27182AA8">
      <w:pPr>
        <w:pStyle w:val="10"/>
        <w:keepNext w:val="0"/>
        <w:keepLines w:val="0"/>
        <w:pageBreakBefore w:val="0"/>
        <w:widowControl w:val="0"/>
        <w:numPr>
          <w:ilvl w:val="-1"/>
          <w:numId w:val="0"/>
        </w:numPr>
        <w:tabs>
          <w:tab w:val="left" w:pos="999"/>
        </w:tabs>
        <w:kinsoku w:val="0"/>
        <w:wordWrap w:val="0"/>
        <w:overflowPunct/>
        <w:topLinePunct w:val="0"/>
        <w:autoSpaceDE/>
        <w:autoSpaceDN/>
        <w:bidi w:val="0"/>
        <w:adjustRightInd w:val="0"/>
        <w:snapToGrid w:val="0"/>
        <w:spacing w:before="0" w:beforeLines="0" w:after="0" w:afterLines="0" w:line="480" w:lineRule="exact"/>
        <w:ind w:left="0" w:leftChars="0" w:firstLine="480" w:firstLineChars="200"/>
        <w:textAlignment w:val="auto"/>
        <w:rPr>
          <w:rFonts w:hint="default" w:ascii="宋体" w:hAnsi="宋体" w:eastAsia="宋体"/>
          <w:color w:val="auto"/>
          <w:sz w:val="24"/>
          <w:szCs w:val="24"/>
          <w:highlight w:val="none"/>
          <w:u w:val="none"/>
          <w:lang w:val="en-US" w:eastAsia="zh-CN"/>
        </w:rPr>
      </w:pPr>
      <w:r>
        <w:rPr>
          <w:rFonts w:hint="eastAsia" w:ascii="宋体" w:hAnsi="宋体"/>
          <w:color w:val="auto"/>
          <w:sz w:val="24"/>
          <w:szCs w:val="24"/>
          <w:highlight w:val="none"/>
          <w:u w:val="none"/>
          <w:lang w:val="en-US" w:eastAsia="zh-CN"/>
        </w:rPr>
        <w:t xml:space="preserve">  采购项目编号：</w:t>
      </w:r>
      <w:r>
        <w:rPr>
          <w:rFonts w:hint="eastAsia" w:ascii="宋体" w:hAnsi="宋体"/>
          <w:color w:val="auto"/>
          <w:sz w:val="24"/>
          <w:szCs w:val="24"/>
          <w:highlight w:val="none"/>
          <w:u w:val="single"/>
          <w:lang w:val="en-US" w:eastAsia="zh-CN"/>
        </w:rPr>
        <w:t xml:space="preserve">                                             </w:t>
      </w:r>
      <w:r>
        <w:rPr>
          <w:rFonts w:ascii="宋体" w:hAnsi="宋体"/>
          <w:color w:val="auto"/>
          <w:sz w:val="24"/>
          <w:szCs w:val="24"/>
          <w:highlight w:val="none"/>
          <w:u w:val="single"/>
        </w:rPr>
        <w:t xml:space="preserve"> </w:t>
      </w:r>
    </w:p>
    <w:p w14:paraId="1429B9A1">
      <w:pPr>
        <w:pStyle w:val="10"/>
        <w:keepNext w:val="0"/>
        <w:keepLines w:val="0"/>
        <w:pageBreakBefore w:val="0"/>
        <w:widowControl w:val="0"/>
        <w:kinsoku w:val="0"/>
        <w:wordWrap w:val="0"/>
        <w:overflowPunct/>
        <w:topLinePunct w:val="0"/>
        <w:autoSpaceDE/>
        <w:autoSpaceDN/>
        <w:bidi w:val="0"/>
        <w:adjustRightInd w:val="0"/>
        <w:snapToGrid w:val="0"/>
        <w:spacing w:before="0" w:beforeLines="0" w:after="0" w:afterLines="0" w:line="480" w:lineRule="exact"/>
        <w:ind w:left="0" w:leftChars="0"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lang w:val="en-US" w:eastAsia="zh-CN"/>
        </w:rPr>
        <w:t>2.</w:t>
      </w:r>
      <w:r>
        <w:rPr>
          <w:rFonts w:hint="eastAsia" w:ascii="宋体" w:hAnsi="宋体"/>
          <w:color w:val="auto"/>
          <w:sz w:val="24"/>
          <w:szCs w:val="24"/>
          <w:highlight w:val="none"/>
        </w:rPr>
        <w:t>采购计划编号：</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rPr>
        <w:t xml:space="preserve">     </w:t>
      </w:r>
      <w:r>
        <w:rPr>
          <w:rFonts w:ascii="宋体" w:hAnsi="宋体"/>
          <w:color w:val="auto"/>
          <w:sz w:val="24"/>
          <w:szCs w:val="24"/>
          <w:highlight w:val="none"/>
        </w:rPr>
        <w:t xml:space="preserve"> </w:t>
      </w:r>
    </w:p>
    <w:p w14:paraId="14B2CDCF">
      <w:pPr>
        <w:keepNext w:val="0"/>
        <w:keepLines w:val="0"/>
        <w:pageBreakBefore w:val="0"/>
        <w:widowControl w:val="0"/>
        <w:kinsoku w:val="0"/>
        <w:wordWrap w:val="0"/>
        <w:overflowPunct/>
        <w:topLinePunct w:val="0"/>
        <w:autoSpaceDE/>
        <w:autoSpaceDN/>
        <w:bidi w:val="0"/>
        <w:adjustRightInd w:val="0"/>
        <w:snapToGrid w:val="0"/>
        <w:spacing w:before="0" w:beforeLines="0" w:line="480" w:lineRule="exact"/>
        <w:ind w:firstLine="480" w:firstLineChars="200"/>
        <w:textAlignment w:val="auto"/>
        <w:rPr>
          <w:rFonts w:hint="eastAsia" w:ascii="宋体" w:hAnsi="宋体"/>
          <w:color w:val="auto"/>
          <w:sz w:val="24"/>
          <w:szCs w:val="24"/>
          <w:highlight w:val="none"/>
          <w:vertAlign w:val="baseline"/>
          <w:lang w:val="en-US" w:eastAsia="zh-CN"/>
        </w:rPr>
      </w:pPr>
      <w:r>
        <w:rPr>
          <w:rFonts w:hint="eastAsia" w:ascii="宋体" w:hAnsi="宋体"/>
          <w:color w:val="auto"/>
          <w:sz w:val="24"/>
          <w:szCs w:val="24"/>
          <w:highlight w:val="none"/>
          <w:lang w:val="en-US" w:eastAsia="zh-CN"/>
        </w:rPr>
        <w:t>3.</w:t>
      </w:r>
      <w:r>
        <w:rPr>
          <w:rFonts w:hint="eastAsia" w:ascii="宋体" w:hAnsi="宋体"/>
          <w:color w:val="auto"/>
          <w:sz w:val="24"/>
          <w:szCs w:val="24"/>
          <w:highlight w:val="none"/>
        </w:rPr>
        <w:t>项目内容：</w:t>
      </w:r>
    </w:p>
    <w:tbl>
      <w:tblPr>
        <w:tblStyle w:val="22"/>
        <w:tblW w:w="93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0"/>
        <w:gridCol w:w="1680"/>
        <w:gridCol w:w="2268"/>
        <w:gridCol w:w="828"/>
        <w:gridCol w:w="732"/>
        <w:gridCol w:w="1044"/>
        <w:gridCol w:w="1020"/>
        <w:gridCol w:w="894"/>
      </w:tblGrid>
      <w:tr w14:paraId="1FE64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0" w:type="dxa"/>
            <w:vAlign w:val="center"/>
          </w:tcPr>
          <w:p w14:paraId="093794E2">
            <w:pPr>
              <w:keepNext w:val="0"/>
              <w:keepLines w:val="0"/>
              <w:pageBreakBefore w:val="0"/>
              <w:widowControl w:val="0"/>
              <w:kinsoku w:val="0"/>
              <w:wordWrap w:val="0"/>
              <w:overflowPunct/>
              <w:topLinePunct w:val="0"/>
              <w:bidi w:val="0"/>
              <w:adjustRightInd w:val="0"/>
              <w:snapToGrid w:val="0"/>
              <w:spacing w:before="0" w:beforeLines="0" w:line="480" w:lineRule="exact"/>
              <w:jc w:val="center"/>
              <w:textAlignment w:val="auto"/>
              <w:rPr>
                <w:rFonts w:hint="default" w:ascii="宋体" w:hAnsi="宋体"/>
                <w:color w:val="auto"/>
                <w:sz w:val="24"/>
                <w:szCs w:val="24"/>
                <w:highlight w:val="none"/>
                <w:vertAlign w:val="baseline"/>
                <w:lang w:val="en-US" w:eastAsia="zh-CN"/>
              </w:rPr>
            </w:pPr>
            <w:r>
              <w:rPr>
                <w:rFonts w:hint="eastAsia" w:ascii="宋体" w:hAnsi="宋体"/>
                <w:color w:val="auto"/>
                <w:sz w:val="24"/>
                <w:szCs w:val="24"/>
                <w:highlight w:val="none"/>
                <w:vertAlign w:val="baseline"/>
                <w:lang w:val="en-US" w:eastAsia="zh-CN"/>
              </w:rPr>
              <w:t>序号</w:t>
            </w:r>
          </w:p>
        </w:tc>
        <w:tc>
          <w:tcPr>
            <w:tcW w:w="1680" w:type="dxa"/>
            <w:vAlign w:val="center"/>
          </w:tcPr>
          <w:p w14:paraId="231A51B5">
            <w:pPr>
              <w:keepNext w:val="0"/>
              <w:keepLines w:val="0"/>
              <w:pageBreakBefore w:val="0"/>
              <w:widowControl w:val="0"/>
              <w:kinsoku w:val="0"/>
              <w:wordWrap w:val="0"/>
              <w:overflowPunct/>
              <w:topLinePunct w:val="0"/>
              <w:bidi w:val="0"/>
              <w:adjustRightInd w:val="0"/>
              <w:snapToGrid w:val="0"/>
              <w:spacing w:before="0" w:beforeLines="0" w:line="480" w:lineRule="exact"/>
              <w:jc w:val="center"/>
              <w:textAlignment w:val="auto"/>
              <w:rPr>
                <w:rFonts w:hint="default" w:ascii="宋体" w:hAnsi="宋体"/>
                <w:color w:val="auto"/>
                <w:sz w:val="24"/>
                <w:szCs w:val="24"/>
                <w:highlight w:val="none"/>
                <w:vertAlign w:val="baseline"/>
                <w:lang w:val="en-US" w:eastAsia="zh-CN"/>
              </w:rPr>
            </w:pPr>
            <w:r>
              <w:rPr>
                <w:rFonts w:hint="eastAsia" w:ascii="宋体" w:hAnsi="宋体"/>
                <w:color w:val="auto"/>
                <w:sz w:val="24"/>
                <w:szCs w:val="24"/>
                <w:highlight w:val="none"/>
                <w:vertAlign w:val="baseline"/>
                <w:lang w:val="en-US" w:eastAsia="zh-CN"/>
              </w:rPr>
              <w:t>采购标的名称</w:t>
            </w:r>
          </w:p>
        </w:tc>
        <w:tc>
          <w:tcPr>
            <w:tcW w:w="2268" w:type="dxa"/>
            <w:vAlign w:val="center"/>
          </w:tcPr>
          <w:p w14:paraId="00EB8ABB">
            <w:pPr>
              <w:keepNext w:val="0"/>
              <w:keepLines w:val="0"/>
              <w:pageBreakBefore w:val="0"/>
              <w:widowControl w:val="0"/>
              <w:kinsoku w:val="0"/>
              <w:wordWrap w:val="0"/>
              <w:overflowPunct/>
              <w:topLinePunct w:val="0"/>
              <w:bidi w:val="0"/>
              <w:adjustRightInd w:val="0"/>
              <w:snapToGrid w:val="0"/>
              <w:spacing w:before="0" w:beforeLines="0" w:line="480" w:lineRule="exact"/>
              <w:jc w:val="center"/>
              <w:textAlignment w:val="auto"/>
              <w:rPr>
                <w:rFonts w:hint="eastAsia" w:ascii="宋体" w:hAnsi="宋体"/>
                <w:color w:val="auto"/>
                <w:sz w:val="24"/>
                <w:szCs w:val="24"/>
                <w:highlight w:val="none"/>
                <w:vertAlign w:val="baseline"/>
                <w:lang w:val="en-US" w:eastAsia="zh-CN"/>
              </w:rPr>
            </w:pPr>
            <w:r>
              <w:rPr>
                <w:rFonts w:hint="eastAsia" w:ascii="宋体" w:hAnsi="宋体"/>
                <w:color w:val="auto"/>
                <w:sz w:val="24"/>
                <w:szCs w:val="24"/>
                <w:highlight w:val="none"/>
                <w:vertAlign w:val="baseline"/>
                <w:lang w:val="en-US" w:eastAsia="zh-CN"/>
              </w:rPr>
              <w:t>功能、性能、配置要求、产品技术参数</w:t>
            </w:r>
          </w:p>
        </w:tc>
        <w:tc>
          <w:tcPr>
            <w:tcW w:w="828" w:type="dxa"/>
            <w:vAlign w:val="center"/>
          </w:tcPr>
          <w:p w14:paraId="741DB950">
            <w:pPr>
              <w:keepNext w:val="0"/>
              <w:keepLines w:val="0"/>
              <w:pageBreakBefore w:val="0"/>
              <w:widowControl w:val="0"/>
              <w:kinsoku w:val="0"/>
              <w:wordWrap w:val="0"/>
              <w:overflowPunct/>
              <w:topLinePunct w:val="0"/>
              <w:bidi w:val="0"/>
              <w:adjustRightInd w:val="0"/>
              <w:snapToGrid w:val="0"/>
              <w:spacing w:before="0" w:beforeLines="0" w:line="480" w:lineRule="exact"/>
              <w:jc w:val="center"/>
              <w:textAlignment w:val="auto"/>
              <w:rPr>
                <w:rFonts w:hint="default" w:ascii="宋体" w:hAnsi="宋体"/>
                <w:color w:val="auto"/>
                <w:sz w:val="24"/>
                <w:szCs w:val="24"/>
                <w:highlight w:val="none"/>
                <w:vertAlign w:val="baseline"/>
                <w:lang w:val="en-US" w:eastAsia="zh-CN"/>
              </w:rPr>
            </w:pPr>
            <w:r>
              <w:rPr>
                <w:rFonts w:hint="eastAsia" w:ascii="宋体" w:hAnsi="宋体"/>
                <w:color w:val="auto"/>
                <w:sz w:val="24"/>
                <w:szCs w:val="24"/>
                <w:highlight w:val="none"/>
                <w:vertAlign w:val="baseline"/>
                <w:lang w:val="en-US" w:eastAsia="zh-CN"/>
              </w:rPr>
              <w:t>数量</w:t>
            </w:r>
          </w:p>
        </w:tc>
        <w:tc>
          <w:tcPr>
            <w:tcW w:w="732" w:type="dxa"/>
            <w:vAlign w:val="center"/>
          </w:tcPr>
          <w:p w14:paraId="30047F94">
            <w:pPr>
              <w:keepNext w:val="0"/>
              <w:keepLines w:val="0"/>
              <w:pageBreakBefore w:val="0"/>
              <w:widowControl w:val="0"/>
              <w:kinsoku w:val="0"/>
              <w:wordWrap w:val="0"/>
              <w:overflowPunct/>
              <w:topLinePunct w:val="0"/>
              <w:bidi w:val="0"/>
              <w:adjustRightInd w:val="0"/>
              <w:snapToGrid w:val="0"/>
              <w:spacing w:before="0" w:beforeLines="0" w:line="480" w:lineRule="exact"/>
              <w:jc w:val="center"/>
              <w:textAlignment w:val="auto"/>
              <w:rPr>
                <w:rFonts w:hint="default" w:ascii="宋体" w:hAnsi="宋体"/>
                <w:color w:val="auto"/>
                <w:sz w:val="24"/>
                <w:szCs w:val="24"/>
                <w:highlight w:val="none"/>
                <w:vertAlign w:val="baseline"/>
                <w:lang w:val="en-US" w:eastAsia="zh-CN"/>
              </w:rPr>
            </w:pPr>
            <w:r>
              <w:rPr>
                <w:rFonts w:hint="eastAsia" w:ascii="宋体" w:hAnsi="宋体"/>
                <w:color w:val="auto"/>
                <w:sz w:val="24"/>
                <w:szCs w:val="24"/>
                <w:highlight w:val="none"/>
                <w:vertAlign w:val="baseline"/>
                <w:lang w:val="en-US" w:eastAsia="zh-CN"/>
              </w:rPr>
              <w:t>单位</w:t>
            </w:r>
          </w:p>
        </w:tc>
        <w:tc>
          <w:tcPr>
            <w:tcW w:w="1044" w:type="dxa"/>
            <w:vAlign w:val="center"/>
          </w:tcPr>
          <w:p w14:paraId="2C9E3293">
            <w:pPr>
              <w:keepNext w:val="0"/>
              <w:keepLines w:val="0"/>
              <w:pageBreakBefore w:val="0"/>
              <w:widowControl w:val="0"/>
              <w:kinsoku w:val="0"/>
              <w:wordWrap w:val="0"/>
              <w:overflowPunct/>
              <w:topLinePunct w:val="0"/>
              <w:bidi w:val="0"/>
              <w:adjustRightInd w:val="0"/>
              <w:snapToGrid w:val="0"/>
              <w:spacing w:before="0" w:beforeLines="0" w:line="480" w:lineRule="exact"/>
              <w:jc w:val="center"/>
              <w:textAlignment w:val="auto"/>
              <w:rPr>
                <w:rFonts w:hint="default" w:ascii="宋体" w:hAnsi="宋体"/>
                <w:color w:val="auto"/>
                <w:sz w:val="24"/>
                <w:szCs w:val="24"/>
                <w:highlight w:val="none"/>
                <w:vertAlign w:val="baseline"/>
                <w:lang w:val="en-US" w:eastAsia="zh-CN"/>
              </w:rPr>
            </w:pPr>
            <w:r>
              <w:rPr>
                <w:rFonts w:hint="eastAsia" w:ascii="宋体" w:hAnsi="宋体"/>
                <w:color w:val="auto"/>
                <w:sz w:val="24"/>
                <w:szCs w:val="24"/>
                <w:highlight w:val="none"/>
                <w:vertAlign w:val="baseline"/>
                <w:lang w:val="en-US" w:eastAsia="zh-CN"/>
              </w:rPr>
              <w:t>单价（元）</w:t>
            </w:r>
          </w:p>
        </w:tc>
        <w:tc>
          <w:tcPr>
            <w:tcW w:w="1020" w:type="dxa"/>
            <w:vAlign w:val="center"/>
          </w:tcPr>
          <w:p w14:paraId="439C9627">
            <w:pPr>
              <w:keepNext w:val="0"/>
              <w:keepLines w:val="0"/>
              <w:pageBreakBefore w:val="0"/>
              <w:widowControl w:val="0"/>
              <w:kinsoku w:val="0"/>
              <w:wordWrap w:val="0"/>
              <w:overflowPunct/>
              <w:topLinePunct w:val="0"/>
              <w:bidi w:val="0"/>
              <w:adjustRightInd w:val="0"/>
              <w:snapToGrid w:val="0"/>
              <w:spacing w:before="0" w:beforeLines="0" w:line="480" w:lineRule="exact"/>
              <w:jc w:val="center"/>
              <w:textAlignment w:val="auto"/>
              <w:rPr>
                <w:rFonts w:hint="default" w:ascii="宋体" w:hAnsi="宋体"/>
                <w:color w:val="auto"/>
                <w:sz w:val="24"/>
                <w:szCs w:val="24"/>
                <w:highlight w:val="none"/>
                <w:vertAlign w:val="baseline"/>
                <w:lang w:val="en-US" w:eastAsia="zh-CN"/>
              </w:rPr>
            </w:pPr>
            <w:r>
              <w:rPr>
                <w:rFonts w:hint="eastAsia" w:ascii="宋体" w:hAnsi="宋体"/>
                <w:color w:val="auto"/>
                <w:sz w:val="24"/>
                <w:szCs w:val="24"/>
                <w:highlight w:val="none"/>
                <w:vertAlign w:val="baseline"/>
                <w:lang w:val="en-US" w:eastAsia="zh-CN"/>
              </w:rPr>
              <w:t>合价（元）</w:t>
            </w:r>
          </w:p>
        </w:tc>
        <w:tc>
          <w:tcPr>
            <w:tcW w:w="894" w:type="dxa"/>
            <w:vAlign w:val="center"/>
          </w:tcPr>
          <w:p w14:paraId="28F9BD7E">
            <w:pPr>
              <w:keepNext w:val="0"/>
              <w:keepLines w:val="0"/>
              <w:pageBreakBefore w:val="0"/>
              <w:widowControl w:val="0"/>
              <w:kinsoku w:val="0"/>
              <w:wordWrap w:val="0"/>
              <w:overflowPunct/>
              <w:topLinePunct w:val="0"/>
              <w:bidi w:val="0"/>
              <w:adjustRightInd w:val="0"/>
              <w:snapToGrid w:val="0"/>
              <w:spacing w:before="0" w:beforeLines="0" w:line="480" w:lineRule="exact"/>
              <w:jc w:val="center"/>
              <w:textAlignment w:val="auto"/>
              <w:rPr>
                <w:rFonts w:hint="default" w:ascii="宋体" w:hAnsi="宋体"/>
                <w:color w:val="auto"/>
                <w:sz w:val="24"/>
                <w:szCs w:val="24"/>
                <w:highlight w:val="none"/>
                <w:vertAlign w:val="baseline"/>
                <w:lang w:val="en-US" w:eastAsia="zh-CN"/>
              </w:rPr>
            </w:pPr>
            <w:r>
              <w:rPr>
                <w:rFonts w:hint="eastAsia" w:ascii="宋体" w:hAnsi="宋体"/>
                <w:color w:val="auto"/>
                <w:sz w:val="24"/>
                <w:szCs w:val="24"/>
                <w:highlight w:val="none"/>
                <w:vertAlign w:val="baseline"/>
                <w:lang w:val="en-US" w:eastAsia="zh-CN"/>
              </w:rPr>
              <w:t>品牌、型号</w:t>
            </w:r>
          </w:p>
        </w:tc>
      </w:tr>
      <w:tr w14:paraId="0CB08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0" w:type="dxa"/>
          </w:tcPr>
          <w:p w14:paraId="3DD71D20">
            <w:pPr>
              <w:keepNext w:val="0"/>
              <w:keepLines w:val="0"/>
              <w:pageBreakBefore w:val="0"/>
              <w:widowControl w:val="0"/>
              <w:kinsoku w:val="0"/>
              <w:wordWrap w:val="0"/>
              <w:overflowPunct/>
              <w:topLinePunct w:val="0"/>
              <w:bidi w:val="0"/>
              <w:adjustRightInd w:val="0"/>
              <w:snapToGrid w:val="0"/>
              <w:spacing w:before="0" w:beforeLines="0" w:line="480" w:lineRule="exact"/>
              <w:textAlignment w:val="auto"/>
              <w:rPr>
                <w:rFonts w:hint="eastAsia" w:ascii="宋体" w:hAnsi="宋体"/>
                <w:color w:val="auto"/>
                <w:sz w:val="24"/>
                <w:szCs w:val="24"/>
                <w:highlight w:val="none"/>
                <w:vertAlign w:val="baseline"/>
                <w:lang w:val="en-US" w:eastAsia="zh-CN"/>
              </w:rPr>
            </w:pPr>
          </w:p>
        </w:tc>
        <w:tc>
          <w:tcPr>
            <w:tcW w:w="1680" w:type="dxa"/>
          </w:tcPr>
          <w:p w14:paraId="28B15A55">
            <w:pPr>
              <w:keepNext w:val="0"/>
              <w:keepLines w:val="0"/>
              <w:pageBreakBefore w:val="0"/>
              <w:widowControl w:val="0"/>
              <w:kinsoku w:val="0"/>
              <w:wordWrap w:val="0"/>
              <w:overflowPunct/>
              <w:topLinePunct w:val="0"/>
              <w:bidi w:val="0"/>
              <w:adjustRightInd w:val="0"/>
              <w:snapToGrid w:val="0"/>
              <w:spacing w:before="0" w:beforeLines="0" w:line="480" w:lineRule="exact"/>
              <w:textAlignment w:val="auto"/>
              <w:rPr>
                <w:rFonts w:hint="eastAsia" w:ascii="宋体" w:hAnsi="宋体"/>
                <w:color w:val="auto"/>
                <w:sz w:val="24"/>
                <w:szCs w:val="24"/>
                <w:highlight w:val="none"/>
                <w:vertAlign w:val="baseline"/>
                <w:lang w:val="en-US" w:eastAsia="zh-CN"/>
              </w:rPr>
            </w:pPr>
          </w:p>
        </w:tc>
        <w:tc>
          <w:tcPr>
            <w:tcW w:w="2268" w:type="dxa"/>
          </w:tcPr>
          <w:p w14:paraId="2A1EB747">
            <w:pPr>
              <w:keepNext w:val="0"/>
              <w:keepLines w:val="0"/>
              <w:pageBreakBefore w:val="0"/>
              <w:widowControl w:val="0"/>
              <w:kinsoku w:val="0"/>
              <w:wordWrap w:val="0"/>
              <w:overflowPunct/>
              <w:topLinePunct w:val="0"/>
              <w:bidi w:val="0"/>
              <w:adjustRightInd w:val="0"/>
              <w:snapToGrid w:val="0"/>
              <w:spacing w:before="0" w:beforeLines="0" w:line="480" w:lineRule="exact"/>
              <w:textAlignment w:val="auto"/>
              <w:rPr>
                <w:rFonts w:hint="eastAsia" w:ascii="宋体" w:hAnsi="宋体"/>
                <w:color w:val="auto"/>
                <w:sz w:val="24"/>
                <w:szCs w:val="24"/>
                <w:highlight w:val="none"/>
                <w:vertAlign w:val="baseline"/>
                <w:lang w:val="en-US" w:eastAsia="zh-CN"/>
              </w:rPr>
            </w:pPr>
          </w:p>
        </w:tc>
        <w:tc>
          <w:tcPr>
            <w:tcW w:w="828" w:type="dxa"/>
          </w:tcPr>
          <w:p w14:paraId="3AA538EF">
            <w:pPr>
              <w:keepNext w:val="0"/>
              <w:keepLines w:val="0"/>
              <w:pageBreakBefore w:val="0"/>
              <w:widowControl w:val="0"/>
              <w:kinsoku w:val="0"/>
              <w:wordWrap w:val="0"/>
              <w:overflowPunct/>
              <w:topLinePunct w:val="0"/>
              <w:bidi w:val="0"/>
              <w:adjustRightInd w:val="0"/>
              <w:snapToGrid w:val="0"/>
              <w:spacing w:before="0" w:beforeLines="0" w:line="480" w:lineRule="exact"/>
              <w:textAlignment w:val="auto"/>
              <w:rPr>
                <w:rFonts w:hint="eastAsia" w:ascii="宋体" w:hAnsi="宋体"/>
                <w:color w:val="auto"/>
                <w:sz w:val="24"/>
                <w:szCs w:val="24"/>
                <w:highlight w:val="none"/>
                <w:vertAlign w:val="baseline"/>
                <w:lang w:val="en-US" w:eastAsia="zh-CN"/>
              </w:rPr>
            </w:pPr>
          </w:p>
        </w:tc>
        <w:tc>
          <w:tcPr>
            <w:tcW w:w="732" w:type="dxa"/>
          </w:tcPr>
          <w:p w14:paraId="24D989E3">
            <w:pPr>
              <w:keepNext w:val="0"/>
              <w:keepLines w:val="0"/>
              <w:pageBreakBefore w:val="0"/>
              <w:widowControl w:val="0"/>
              <w:kinsoku w:val="0"/>
              <w:wordWrap w:val="0"/>
              <w:overflowPunct/>
              <w:topLinePunct w:val="0"/>
              <w:bidi w:val="0"/>
              <w:adjustRightInd w:val="0"/>
              <w:snapToGrid w:val="0"/>
              <w:spacing w:before="0" w:beforeLines="0" w:line="480" w:lineRule="exact"/>
              <w:textAlignment w:val="auto"/>
              <w:rPr>
                <w:rFonts w:hint="eastAsia" w:ascii="宋体" w:hAnsi="宋体"/>
                <w:color w:val="auto"/>
                <w:sz w:val="24"/>
                <w:szCs w:val="24"/>
                <w:highlight w:val="none"/>
                <w:vertAlign w:val="baseline"/>
                <w:lang w:val="en-US" w:eastAsia="zh-CN"/>
              </w:rPr>
            </w:pPr>
          </w:p>
        </w:tc>
        <w:tc>
          <w:tcPr>
            <w:tcW w:w="1044" w:type="dxa"/>
          </w:tcPr>
          <w:p w14:paraId="7FAF947F">
            <w:pPr>
              <w:keepNext w:val="0"/>
              <w:keepLines w:val="0"/>
              <w:pageBreakBefore w:val="0"/>
              <w:widowControl w:val="0"/>
              <w:kinsoku w:val="0"/>
              <w:wordWrap w:val="0"/>
              <w:overflowPunct/>
              <w:topLinePunct w:val="0"/>
              <w:bidi w:val="0"/>
              <w:adjustRightInd w:val="0"/>
              <w:snapToGrid w:val="0"/>
              <w:spacing w:before="0" w:beforeLines="0" w:line="480" w:lineRule="exact"/>
              <w:textAlignment w:val="auto"/>
              <w:rPr>
                <w:rFonts w:hint="eastAsia" w:ascii="宋体" w:hAnsi="宋体"/>
                <w:color w:val="auto"/>
                <w:sz w:val="24"/>
                <w:szCs w:val="24"/>
                <w:highlight w:val="none"/>
                <w:vertAlign w:val="baseline"/>
                <w:lang w:val="en-US" w:eastAsia="zh-CN"/>
              </w:rPr>
            </w:pPr>
          </w:p>
        </w:tc>
        <w:tc>
          <w:tcPr>
            <w:tcW w:w="1020" w:type="dxa"/>
          </w:tcPr>
          <w:p w14:paraId="0D462B30">
            <w:pPr>
              <w:keepNext w:val="0"/>
              <w:keepLines w:val="0"/>
              <w:pageBreakBefore w:val="0"/>
              <w:widowControl w:val="0"/>
              <w:kinsoku w:val="0"/>
              <w:wordWrap w:val="0"/>
              <w:overflowPunct/>
              <w:topLinePunct w:val="0"/>
              <w:bidi w:val="0"/>
              <w:adjustRightInd w:val="0"/>
              <w:snapToGrid w:val="0"/>
              <w:spacing w:before="0" w:beforeLines="0" w:line="480" w:lineRule="exact"/>
              <w:textAlignment w:val="auto"/>
              <w:rPr>
                <w:rFonts w:hint="eastAsia" w:ascii="宋体" w:hAnsi="宋体"/>
                <w:color w:val="auto"/>
                <w:sz w:val="24"/>
                <w:szCs w:val="24"/>
                <w:highlight w:val="none"/>
                <w:vertAlign w:val="baseline"/>
                <w:lang w:val="en-US" w:eastAsia="zh-CN"/>
              </w:rPr>
            </w:pPr>
          </w:p>
        </w:tc>
        <w:tc>
          <w:tcPr>
            <w:tcW w:w="894" w:type="dxa"/>
          </w:tcPr>
          <w:p w14:paraId="73FBB09C">
            <w:pPr>
              <w:keepNext w:val="0"/>
              <w:keepLines w:val="0"/>
              <w:pageBreakBefore w:val="0"/>
              <w:widowControl w:val="0"/>
              <w:kinsoku w:val="0"/>
              <w:wordWrap w:val="0"/>
              <w:overflowPunct/>
              <w:topLinePunct w:val="0"/>
              <w:bidi w:val="0"/>
              <w:adjustRightInd w:val="0"/>
              <w:snapToGrid w:val="0"/>
              <w:spacing w:before="0" w:beforeLines="0" w:line="480" w:lineRule="exact"/>
              <w:textAlignment w:val="auto"/>
              <w:rPr>
                <w:rFonts w:hint="eastAsia" w:ascii="宋体" w:hAnsi="宋体"/>
                <w:color w:val="auto"/>
                <w:sz w:val="24"/>
                <w:szCs w:val="24"/>
                <w:highlight w:val="none"/>
                <w:vertAlign w:val="baseline"/>
                <w:lang w:val="en-US" w:eastAsia="zh-CN"/>
              </w:rPr>
            </w:pPr>
          </w:p>
        </w:tc>
      </w:tr>
      <w:tr w14:paraId="47BFD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0" w:type="dxa"/>
          </w:tcPr>
          <w:p w14:paraId="2EAED494">
            <w:pPr>
              <w:keepNext w:val="0"/>
              <w:keepLines w:val="0"/>
              <w:pageBreakBefore w:val="0"/>
              <w:widowControl w:val="0"/>
              <w:kinsoku w:val="0"/>
              <w:wordWrap w:val="0"/>
              <w:overflowPunct/>
              <w:topLinePunct w:val="0"/>
              <w:bidi w:val="0"/>
              <w:adjustRightInd w:val="0"/>
              <w:snapToGrid w:val="0"/>
              <w:spacing w:before="0" w:beforeLines="0" w:line="480" w:lineRule="exact"/>
              <w:textAlignment w:val="auto"/>
              <w:rPr>
                <w:rFonts w:hint="eastAsia" w:ascii="宋体" w:hAnsi="宋体"/>
                <w:color w:val="auto"/>
                <w:sz w:val="24"/>
                <w:szCs w:val="24"/>
                <w:highlight w:val="none"/>
                <w:vertAlign w:val="baseline"/>
                <w:lang w:val="en-US" w:eastAsia="zh-CN"/>
              </w:rPr>
            </w:pPr>
          </w:p>
        </w:tc>
        <w:tc>
          <w:tcPr>
            <w:tcW w:w="1680" w:type="dxa"/>
          </w:tcPr>
          <w:p w14:paraId="7BFB2F52">
            <w:pPr>
              <w:keepNext w:val="0"/>
              <w:keepLines w:val="0"/>
              <w:pageBreakBefore w:val="0"/>
              <w:widowControl w:val="0"/>
              <w:kinsoku w:val="0"/>
              <w:wordWrap w:val="0"/>
              <w:overflowPunct/>
              <w:topLinePunct w:val="0"/>
              <w:bidi w:val="0"/>
              <w:adjustRightInd w:val="0"/>
              <w:snapToGrid w:val="0"/>
              <w:spacing w:before="0" w:beforeLines="0" w:line="480" w:lineRule="exact"/>
              <w:textAlignment w:val="auto"/>
              <w:rPr>
                <w:rFonts w:hint="eastAsia" w:ascii="宋体" w:hAnsi="宋体"/>
                <w:color w:val="auto"/>
                <w:sz w:val="24"/>
                <w:szCs w:val="24"/>
                <w:highlight w:val="none"/>
                <w:vertAlign w:val="baseline"/>
                <w:lang w:val="en-US" w:eastAsia="zh-CN"/>
              </w:rPr>
            </w:pPr>
          </w:p>
        </w:tc>
        <w:tc>
          <w:tcPr>
            <w:tcW w:w="2268" w:type="dxa"/>
          </w:tcPr>
          <w:p w14:paraId="64958EA3">
            <w:pPr>
              <w:keepNext w:val="0"/>
              <w:keepLines w:val="0"/>
              <w:pageBreakBefore w:val="0"/>
              <w:widowControl w:val="0"/>
              <w:kinsoku w:val="0"/>
              <w:wordWrap w:val="0"/>
              <w:overflowPunct/>
              <w:topLinePunct w:val="0"/>
              <w:bidi w:val="0"/>
              <w:adjustRightInd w:val="0"/>
              <w:snapToGrid w:val="0"/>
              <w:spacing w:before="0" w:beforeLines="0" w:line="480" w:lineRule="exact"/>
              <w:textAlignment w:val="auto"/>
              <w:rPr>
                <w:rFonts w:hint="eastAsia" w:ascii="宋体" w:hAnsi="宋体"/>
                <w:color w:val="auto"/>
                <w:sz w:val="24"/>
                <w:szCs w:val="24"/>
                <w:highlight w:val="none"/>
                <w:vertAlign w:val="baseline"/>
                <w:lang w:val="en-US" w:eastAsia="zh-CN"/>
              </w:rPr>
            </w:pPr>
          </w:p>
        </w:tc>
        <w:tc>
          <w:tcPr>
            <w:tcW w:w="828" w:type="dxa"/>
          </w:tcPr>
          <w:p w14:paraId="75D4A09E">
            <w:pPr>
              <w:keepNext w:val="0"/>
              <w:keepLines w:val="0"/>
              <w:pageBreakBefore w:val="0"/>
              <w:widowControl w:val="0"/>
              <w:kinsoku w:val="0"/>
              <w:wordWrap w:val="0"/>
              <w:overflowPunct/>
              <w:topLinePunct w:val="0"/>
              <w:bidi w:val="0"/>
              <w:adjustRightInd w:val="0"/>
              <w:snapToGrid w:val="0"/>
              <w:spacing w:before="0" w:beforeLines="0" w:line="480" w:lineRule="exact"/>
              <w:textAlignment w:val="auto"/>
              <w:rPr>
                <w:rFonts w:hint="eastAsia" w:ascii="宋体" w:hAnsi="宋体"/>
                <w:color w:val="auto"/>
                <w:sz w:val="24"/>
                <w:szCs w:val="24"/>
                <w:highlight w:val="none"/>
                <w:vertAlign w:val="baseline"/>
                <w:lang w:val="en-US" w:eastAsia="zh-CN"/>
              </w:rPr>
            </w:pPr>
          </w:p>
        </w:tc>
        <w:tc>
          <w:tcPr>
            <w:tcW w:w="732" w:type="dxa"/>
          </w:tcPr>
          <w:p w14:paraId="3B4D8B26">
            <w:pPr>
              <w:keepNext w:val="0"/>
              <w:keepLines w:val="0"/>
              <w:pageBreakBefore w:val="0"/>
              <w:widowControl w:val="0"/>
              <w:kinsoku w:val="0"/>
              <w:wordWrap w:val="0"/>
              <w:overflowPunct/>
              <w:topLinePunct w:val="0"/>
              <w:bidi w:val="0"/>
              <w:adjustRightInd w:val="0"/>
              <w:snapToGrid w:val="0"/>
              <w:spacing w:before="0" w:beforeLines="0" w:line="480" w:lineRule="exact"/>
              <w:textAlignment w:val="auto"/>
              <w:rPr>
                <w:rFonts w:hint="eastAsia" w:ascii="宋体" w:hAnsi="宋体"/>
                <w:color w:val="auto"/>
                <w:sz w:val="24"/>
                <w:szCs w:val="24"/>
                <w:highlight w:val="none"/>
                <w:vertAlign w:val="baseline"/>
                <w:lang w:val="en-US" w:eastAsia="zh-CN"/>
              </w:rPr>
            </w:pPr>
          </w:p>
        </w:tc>
        <w:tc>
          <w:tcPr>
            <w:tcW w:w="1044" w:type="dxa"/>
          </w:tcPr>
          <w:p w14:paraId="5163AF22">
            <w:pPr>
              <w:keepNext w:val="0"/>
              <w:keepLines w:val="0"/>
              <w:pageBreakBefore w:val="0"/>
              <w:widowControl w:val="0"/>
              <w:kinsoku w:val="0"/>
              <w:wordWrap w:val="0"/>
              <w:overflowPunct/>
              <w:topLinePunct w:val="0"/>
              <w:bidi w:val="0"/>
              <w:adjustRightInd w:val="0"/>
              <w:snapToGrid w:val="0"/>
              <w:spacing w:before="0" w:beforeLines="0" w:line="480" w:lineRule="exact"/>
              <w:textAlignment w:val="auto"/>
              <w:rPr>
                <w:rFonts w:hint="eastAsia" w:ascii="宋体" w:hAnsi="宋体"/>
                <w:color w:val="auto"/>
                <w:sz w:val="24"/>
                <w:szCs w:val="24"/>
                <w:highlight w:val="none"/>
                <w:vertAlign w:val="baseline"/>
                <w:lang w:val="en-US" w:eastAsia="zh-CN"/>
              </w:rPr>
            </w:pPr>
          </w:p>
        </w:tc>
        <w:tc>
          <w:tcPr>
            <w:tcW w:w="1020" w:type="dxa"/>
          </w:tcPr>
          <w:p w14:paraId="6DD1A03D">
            <w:pPr>
              <w:keepNext w:val="0"/>
              <w:keepLines w:val="0"/>
              <w:pageBreakBefore w:val="0"/>
              <w:widowControl w:val="0"/>
              <w:kinsoku w:val="0"/>
              <w:wordWrap w:val="0"/>
              <w:overflowPunct/>
              <w:topLinePunct w:val="0"/>
              <w:bidi w:val="0"/>
              <w:adjustRightInd w:val="0"/>
              <w:snapToGrid w:val="0"/>
              <w:spacing w:before="0" w:beforeLines="0" w:line="480" w:lineRule="exact"/>
              <w:textAlignment w:val="auto"/>
              <w:rPr>
                <w:rFonts w:hint="eastAsia" w:ascii="宋体" w:hAnsi="宋体"/>
                <w:color w:val="auto"/>
                <w:sz w:val="24"/>
                <w:szCs w:val="24"/>
                <w:highlight w:val="none"/>
                <w:vertAlign w:val="baseline"/>
                <w:lang w:val="en-US" w:eastAsia="zh-CN"/>
              </w:rPr>
            </w:pPr>
          </w:p>
        </w:tc>
        <w:tc>
          <w:tcPr>
            <w:tcW w:w="894" w:type="dxa"/>
          </w:tcPr>
          <w:p w14:paraId="077DB38E">
            <w:pPr>
              <w:keepNext w:val="0"/>
              <w:keepLines w:val="0"/>
              <w:pageBreakBefore w:val="0"/>
              <w:widowControl w:val="0"/>
              <w:kinsoku w:val="0"/>
              <w:wordWrap w:val="0"/>
              <w:overflowPunct/>
              <w:topLinePunct w:val="0"/>
              <w:bidi w:val="0"/>
              <w:adjustRightInd w:val="0"/>
              <w:snapToGrid w:val="0"/>
              <w:spacing w:before="0" w:beforeLines="0" w:line="480" w:lineRule="exact"/>
              <w:textAlignment w:val="auto"/>
              <w:rPr>
                <w:rFonts w:hint="eastAsia" w:ascii="宋体" w:hAnsi="宋体"/>
                <w:color w:val="auto"/>
                <w:sz w:val="24"/>
                <w:szCs w:val="24"/>
                <w:highlight w:val="none"/>
                <w:vertAlign w:val="baseline"/>
                <w:lang w:val="en-US" w:eastAsia="zh-CN"/>
              </w:rPr>
            </w:pPr>
          </w:p>
        </w:tc>
      </w:tr>
      <w:tr w14:paraId="6107DF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0" w:type="dxa"/>
          </w:tcPr>
          <w:p w14:paraId="4141703A">
            <w:pPr>
              <w:keepNext w:val="0"/>
              <w:keepLines w:val="0"/>
              <w:pageBreakBefore w:val="0"/>
              <w:widowControl w:val="0"/>
              <w:kinsoku w:val="0"/>
              <w:wordWrap w:val="0"/>
              <w:overflowPunct/>
              <w:topLinePunct w:val="0"/>
              <w:bidi w:val="0"/>
              <w:adjustRightInd w:val="0"/>
              <w:snapToGrid w:val="0"/>
              <w:spacing w:before="0" w:beforeLines="0" w:line="480" w:lineRule="exact"/>
              <w:textAlignment w:val="auto"/>
              <w:rPr>
                <w:rFonts w:hint="eastAsia" w:ascii="宋体" w:hAnsi="宋体"/>
                <w:color w:val="auto"/>
                <w:sz w:val="24"/>
                <w:szCs w:val="24"/>
                <w:highlight w:val="none"/>
                <w:vertAlign w:val="baseline"/>
                <w:lang w:val="en-US" w:eastAsia="zh-CN"/>
              </w:rPr>
            </w:pPr>
          </w:p>
        </w:tc>
        <w:tc>
          <w:tcPr>
            <w:tcW w:w="1680" w:type="dxa"/>
          </w:tcPr>
          <w:p w14:paraId="79704499">
            <w:pPr>
              <w:keepNext w:val="0"/>
              <w:keepLines w:val="0"/>
              <w:pageBreakBefore w:val="0"/>
              <w:widowControl w:val="0"/>
              <w:kinsoku w:val="0"/>
              <w:wordWrap w:val="0"/>
              <w:overflowPunct/>
              <w:topLinePunct w:val="0"/>
              <w:bidi w:val="0"/>
              <w:adjustRightInd w:val="0"/>
              <w:snapToGrid w:val="0"/>
              <w:spacing w:before="0" w:beforeLines="0" w:line="480" w:lineRule="exact"/>
              <w:textAlignment w:val="auto"/>
              <w:rPr>
                <w:rFonts w:hint="eastAsia" w:ascii="宋体" w:hAnsi="宋体"/>
                <w:color w:val="auto"/>
                <w:sz w:val="24"/>
                <w:szCs w:val="24"/>
                <w:highlight w:val="none"/>
                <w:vertAlign w:val="baseline"/>
                <w:lang w:val="en-US" w:eastAsia="zh-CN"/>
              </w:rPr>
            </w:pPr>
          </w:p>
        </w:tc>
        <w:tc>
          <w:tcPr>
            <w:tcW w:w="2268" w:type="dxa"/>
          </w:tcPr>
          <w:p w14:paraId="524AC4DF">
            <w:pPr>
              <w:keepNext w:val="0"/>
              <w:keepLines w:val="0"/>
              <w:pageBreakBefore w:val="0"/>
              <w:widowControl w:val="0"/>
              <w:kinsoku w:val="0"/>
              <w:wordWrap w:val="0"/>
              <w:overflowPunct/>
              <w:topLinePunct w:val="0"/>
              <w:bidi w:val="0"/>
              <w:adjustRightInd w:val="0"/>
              <w:snapToGrid w:val="0"/>
              <w:spacing w:before="0" w:beforeLines="0" w:line="480" w:lineRule="exact"/>
              <w:textAlignment w:val="auto"/>
              <w:rPr>
                <w:rFonts w:hint="eastAsia" w:ascii="宋体" w:hAnsi="宋体"/>
                <w:color w:val="auto"/>
                <w:sz w:val="24"/>
                <w:szCs w:val="24"/>
                <w:highlight w:val="none"/>
                <w:vertAlign w:val="baseline"/>
                <w:lang w:val="en-US" w:eastAsia="zh-CN"/>
              </w:rPr>
            </w:pPr>
          </w:p>
        </w:tc>
        <w:tc>
          <w:tcPr>
            <w:tcW w:w="828" w:type="dxa"/>
          </w:tcPr>
          <w:p w14:paraId="79A41159">
            <w:pPr>
              <w:keepNext w:val="0"/>
              <w:keepLines w:val="0"/>
              <w:pageBreakBefore w:val="0"/>
              <w:widowControl w:val="0"/>
              <w:kinsoku w:val="0"/>
              <w:wordWrap w:val="0"/>
              <w:overflowPunct/>
              <w:topLinePunct w:val="0"/>
              <w:bidi w:val="0"/>
              <w:adjustRightInd w:val="0"/>
              <w:snapToGrid w:val="0"/>
              <w:spacing w:before="0" w:beforeLines="0" w:line="480" w:lineRule="exact"/>
              <w:textAlignment w:val="auto"/>
              <w:rPr>
                <w:rFonts w:hint="eastAsia" w:ascii="宋体" w:hAnsi="宋体"/>
                <w:color w:val="auto"/>
                <w:sz w:val="24"/>
                <w:szCs w:val="24"/>
                <w:highlight w:val="none"/>
                <w:vertAlign w:val="baseline"/>
                <w:lang w:val="en-US" w:eastAsia="zh-CN"/>
              </w:rPr>
            </w:pPr>
          </w:p>
        </w:tc>
        <w:tc>
          <w:tcPr>
            <w:tcW w:w="732" w:type="dxa"/>
          </w:tcPr>
          <w:p w14:paraId="78F3D3D9">
            <w:pPr>
              <w:keepNext w:val="0"/>
              <w:keepLines w:val="0"/>
              <w:pageBreakBefore w:val="0"/>
              <w:widowControl w:val="0"/>
              <w:kinsoku w:val="0"/>
              <w:wordWrap w:val="0"/>
              <w:overflowPunct/>
              <w:topLinePunct w:val="0"/>
              <w:bidi w:val="0"/>
              <w:adjustRightInd w:val="0"/>
              <w:snapToGrid w:val="0"/>
              <w:spacing w:before="0" w:beforeLines="0" w:line="480" w:lineRule="exact"/>
              <w:textAlignment w:val="auto"/>
              <w:rPr>
                <w:rFonts w:hint="eastAsia" w:ascii="宋体" w:hAnsi="宋体"/>
                <w:color w:val="auto"/>
                <w:sz w:val="24"/>
                <w:szCs w:val="24"/>
                <w:highlight w:val="none"/>
                <w:vertAlign w:val="baseline"/>
                <w:lang w:val="en-US" w:eastAsia="zh-CN"/>
              </w:rPr>
            </w:pPr>
          </w:p>
        </w:tc>
        <w:tc>
          <w:tcPr>
            <w:tcW w:w="1044" w:type="dxa"/>
          </w:tcPr>
          <w:p w14:paraId="5EBF3DED">
            <w:pPr>
              <w:keepNext w:val="0"/>
              <w:keepLines w:val="0"/>
              <w:pageBreakBefore w:val="0"/>
              <w:widowControl w:val="0"/>
              <w:kinsoku w:val="0"/>
              <w:wordWrap w:val="0"/>
              <w:overflowPunct/>
              <w:topLinePunct w:val="0"/>
              <w:bidi w:val="0"/>
              <w:adjustRightInd w:val="0"/>
              <w:snapToGrid w:val="0"/>
              <w:spacing w:before="0" w:beforeLines="0" w:line="480" w:lineRule="exact"/>
              <w:textAlignment w:val="auto"/>
              <w:rPr>
                <w:rFonts w:hint="eastAsia" w:ascii="宋体" w:hAnsi="宋体"/>
                <w:color w:val="auto"/>
                <w:sz w:val="24"/>
                <w:szCs w:val="24"/>
                <w:highlight w:val="none"/>
                <w:vertAlign w:val="baseline"/>
                <w:lang w:val="en-US" w:eastAsia="zh-CN"/>
              </w:rPr>
            </w:pPr>
          </w:p>
        </w:tc>
        <w:tc>
          <w:tcPr>
            <w:tcW w:w="1020" w:type="dxa"/>
          </w:tcPr>
          <w:p w14:paraId="57CAE791">
            <w:pPr>
              <w:keepNext w:val="0"/>
              <w:keepLines w:val="0"/>
              <w:pageBreakBefore w:val="0"/>
              <w:widowControl w:val="0"/>
              <w:kinsoku w:val="0"/>
              <w:wordWrap w:val="0"/>
              <w:overflowPunct/>
              <w:topLinePunct w:val="0"/>
              <w:bidi w:val="0"/>
              <w:adjustRightInd w:val="0"/>
              <w:snapToGrid w:val="0"/>
              <w:spacing w:before="0" w:beforeLines="0" w:line="480" w:lineRule="exact"/>
              <w:textAlignment w:val="auto"/>
              <w:rPr>
                <w:rFonts w:hint="eastAsia" w:ascii="宋体" w:hAnsi="宋体"/>
                <w:color w:val="auto"/>
                <w:sz w:val="24"/>
                <w:szCs w:val="24"/>
                <w:highlight w:val="none"/>
                <w:vertAlign w:val="baseline"/>
                <w:lang w:val="en-US" w:eastAsia="zh-CN"/>
              </w:rPr>
            </w:pPr>
          </w:p>
        </w:tc>
        <w:tc>
          <w:tcPr>
            <w:tcW w:w="894" w:type="dxa"/>
          </w:tcPr>
          <w:p w14:paraId="66A9BC3A">
            <w:pPr>
              <w:keepNext w:val="0"/>
              <w:keepLines w:val="0"/>
              <w:pageBreakBefore w:val="0"/>
              <w:widowControl w:val="0"/>
              <w:kinsoku w:val="0"/>
              <w:wordWrap w:val="0"/>
              <w:overflowPunct/>
              <w:topLinePunct w:val="0"/>
              <w:bidi w:val="0"/>
              <w:adjustRightInd w:val="0"/>
              <w:snapToGrid w:val="0"/>
              <w:spacing w:before="0" w:beforeLines="0" w:line="480" w:lineRule="exact"/>
              <w:textAlignment w:val="auto"/>
              <w:rPr>
                <w:rFonts w:hint="eastAsia" w:ascii="宋体" w:hAnsi="宋体"/>
                <w:color w:val="auto"/>
                <w:sz w:val="24"/>
                <w:szCs w:val="24"/>
                <w:highlight w:val="none"/>
                <w:vertAlign w:val="baseline"/>
                <w:lang w:val="en-US" w:eastAsia="zh-CN"/>
              </w:rPr>
            </w:pPr>
          </w:p>
        </w:tc>
      </w:tr>
    </w:tbl>
    <w:p w14:paraId="4F8E32BF">
      <w:pPr>
        <w:keepNext w:val="0"/>
        <w:keepLines w:val="0"/>
        <w:pageBreakBefore w:val="0"/>
        <w:widowControl w:val="0"/>
        <w:kinsoku w:val="0"/>
        <w:wordWrap w:val="0"/>
        <w:overflowPunct/>
        <w:topLinePunct w:val="0"/>
        <w:autoSpaceDE/>
        <w:autoSpaceDN/>
        <w:bidi w:val="0"/>
        <w:adjustRightInd w:val="0"/>
        <w:snapToGrid w:val="0"/>
        <w:spacing w:before="0" w:beforeLines="0" w:line="480" w:lineRule="exact"/>
        <w:ind w:firstLine="482" w:firstLineChars="200"/>
        <w:textAlignment w:val="auto"/>
        <w:rPr>
          <w:rFonts w:hint="eastAsia" w:ascii="宋体" w:hAnsi="宋体"/>
          <w:b/>
          <w:bCs/>
          <w:color w:val="auto"/>
          <w:sz w:val="24"/>
          <w:szCs w:val="24"/>
          <w:highlight w:val="none"/>
          <w:u w:val="none"/>
          <w:lang w:val="en-US" w:eastAsia="zh-CN"/>
        </w:rPr>
      </w:pPr>
      <w:r>
        <w:rPr>
          <w:rFonts w:hint="eastAsia" w:ascii="宋体" w:hAnsi="宋体"/>
          <w:b/>
          <w:bCs/>
          <w:color w:val="auto"/>
          <w:sz w:val="24"/>
          <w:szCs w:val="24"/>
          <w:highlight w:val="none"/>
          <w:u w:val="none"/>
          <w:lang w:val="en-US" w:eastAsia="zh-CN"/>
        </w:rPr>
        <w:t>注：采购标的的技术要求、商务要求具体见附件。</w:t>
      </w:r>
    </w:p>
    <w:p w14:paraId="7A578FD7">
      <w:pPr>
        <w:keepNext w:val="0"/>
        <w:keepLines w:val="0"/>
        <w:pageBreakBefore w:val="0"/>
        <w:widowControl w:val="0"/>
        <w:kinsoku w:val="0"/>
        <w:wordWrap w:val="0"/>
        <w:overflowPunct/>
        <w:topLinePunct w:val="0"/>
        <w:autoSpaceDE/>
        <w:autoSpaceDN/>
        <w:bidi w:val="0"/>
        <w:adjustRightInd w:val="0"/>
        <w:snapToGrid w:val="0"/>
        <w:spacing w:before="0" w:beforeLines="0" w:line="480" w:lineRule="exact"/>
        <w:ind w:firstLine="480" w:firstLineChars="200"/>
        <w:textAlignment w:val="auto"/>
        <w:rPr>
          <w:rFonts w:hint="eastAsia" w:ascii="宋体" w:hAnsi="宋体" w:eastAsia="宋体" w:cs="宋体"/>
          <w:iCs w:val="0"/>
          <w:color w:val="auto"/>
          <w:sz w:val="24"/>
          <w:szCs w:val="24"/>
          <w:highlight w:val="none"/>
          <w:lang w:eastAsia="zh-CN"/>
        </w:rPr>
      </w:pPr>
      <w:r>
        <w:rPr>
          <w:rFonts w:hint="eastAsia" w:ascii="宋体" w:hAnsi="宋体" w:eastAsia="宋体" w:cs="宋体"/>
          <w:iCs w:val="0"/>
          <w:color w:val="auto"/>
          <w:sz w:val="24"/>
          <w:szCs w:val="24"/>
          <w:highlight w:val="none"/>
          <w:lang w:val="en-US" w:eastAsia="zh-CN"/>
        </w:rPr>
        <w:t>4.政府采购组织形式：</w:t>
      </w:r>
      <w:r>
        <w:rPr>
          <w:rFonts w:hint="eastAsia" w:ascii="宋体" w:hAnsi="宋体" w:eastAsia="宋体" w:cs="宋体"/>
          <w:iCs w:val="0"/>
          <w:color w:val="auto"/>
          <w:sz w:val="24"/>
          <w:szCs w:val="24"/>
          <w:highlight w:val="none"/>
        </w:rPr>
        <w:sym w:font="Wingdings" w:char="00A8"/>
      </w:r>
      <w:r>
        <w:rPr>
          <w:rFonts w:hint="eastAsia" w:ascii="宋体" w:hAnsi="宋体" w:eastAsia="宋体" w:cs="宋体"/>
          <w:iCs w:val="0"/>
          <w:color w:val="auto"/>
          <w:sz w:val="24"/>
          <w:szCs w:val="24"/>
          <w:highlight w:val="none"/>
          <w:lang w:eastAsia="zh-CN"/>
        </w:rPr>
        <w:t>政府集中采购</w:t>
      </w:r>
      <w:r>
        <w:rPr>
          <w:rFonts w:hint="eastAsia" w:ascii="宋体" w:hAnsi="宋体" w:eastAsia="宋体" w:cs="宋体"/>
          <w:iCs w:val="0"/>
          <w:color w:val="auto"/>
          <w:sz w:val="24"/>
          <w:szCs w:val="24"/>
          <w:highlight w:val="none"/>
          <w:lang w:val="en-US" w:eastAsia="zh-CN"/>
        </w:rPr>
        <w:t xml:space="preserve">  </w:t>
      </w:r>
      <w:r>
        <w:rPr>
          <w:rFonts w:hint="eastAsia" w:ascii="宋体" w:hAnsi="宋体" w:eastAsia="宋体" w:cs="宋体"/>
          <w:iCs w:val="0"/>
          <w:color w:val="auto"/>
          <w:sz w:val="24"/>
          <w:szCs w:val="24"/>
          <w:highlight w:val="none"/>
        </w:rPr>
        <w:sym w:font="Wingdings" w:char="00A8"/>
      </w:r>
      <w:r>
        <w:rPr>
          <w:rFonts w:hint="eastAsia" w:ascii="宋体" w:hAnsi="宋体" w:eastAsia="宋体" w:cs="宋体"/>
          <w:iCs w:val="0"/>
          <w:color w:val="auto"/>
          <w:sz w:val="24"/>
          <w:szCs w:val="24"/>
          <w:highlight w:val="none"/>
          <w:lang w:val="en-US" w:eastAsia="zh-CN"/>
        </w:rPr>
        <w:t xml:space="preserve">部门集中采购  </w:t>
      </w:r>
      <w:r>
        <w:rPr>
          <w:rFonts w:hint="eastAsia" w:ascii="宋体" w:hAnsi="宋体" w:eastAsia="宋体" w:cs="宋体"/>
          <w:iCs w:val="0"/>
          <w:color w:val="auto"/>
          <w:sz w:val="24"/>
          <w:szCs w:val="24"/>
          <w:highlight w:val="none"/>
        </w:rPr>
        <w:sym w:font="Wingdings" w:char="00FE"/>
      </w:r>
      <w:r>
        <w:rPr>
          <w:rFonts w:hint="eastAsia" w:ascii="宋体" w:hAnsi="宋体" w:eastAsia="宋体" w:cs="宋体"/>
          <w:iCs w:val="0"/>
          <w:color w:val="auto"/>
          <w:sz w:val="24"/>
          <w:szCs w:val="24"/>
          <w:highlight w:val="none"/>
          <w:lang w:val="en-US" w:eastAsia="zh-CN"/>
        </w:rPr>
        <w:t>分散采购</w:t>
      </w:r>
    </w:p>
    <w:p w14:paraId="01DD72C0">
      <w:pPr>
        <w:keepNext w:val="0"/>
        <w:keepLines w:val="0"/>
        <w:pageBreakBefore w:val="0"/>
        <w:widowControl w:val="0"/>
        <w:kinsoku w:val="0"/>
        <w:wordWrap w:val="0"/>
        <w:overflowPunct/>
        <w:topLinePunct w:val="0"/>
        <w:autoSpaceDE/>
        <w:autoSpaceDN/>
        <w:bidi w:val="0"/>
        <w:adjustRightInd w:val="0"/>
        <w:snapToGrid w:val="0"/>
        <w:spacing w:before="0" w:beforeLines="0" w:line="480" w:lineRule="exact"/>
        <w:ind w:firstLine="480" w:firstLineChars="200"/>
        <w:textAlignment w:val="auto"/>
        <w:rPr>
          <w:rFonts w:hint="eastAsia" w:ascii="宋体" w:hAnsi="宋体" w:eastAsia="宋体" w:cs="宋体"/>
          <w:iCs w:val="0"/>
          <w:color w:val="auto"/>
          <w:sz w:val="24"/>
          <w:szCs w:val="24"/>
          <w:highlight w:val="none"/>
          <w:lang w:val="en-US" w:eastAsia="zh-CN"/>
        </w:rPr>
      </w:pPr>
      <w:r>
        <w:rPr>
          <w:rFonts w:hint="eastAsia" w:ascii="宋体" w:hAnsi="宋体" w:eastAsia="宋体" w:cs="宋体"/>
          <w:iCs w:val="0"/>
          <w:color w:val="auto"/>
          <w:sz w:val="24"/>
          <w:szCs w:val="24"/>
          <w:highlight w:val="none"/>
          <w:lang w:val="en-US" w:eastAsia="zh-CN"/>
        </w:rPr>
        <w:t>5.政府采购方式：</w:t>
      </w:r>
      <w:r>
        <w:rPr>
          <w:rFonts w:hint="eastAsia" w:ascii="宋体" w:hAnsi="宋体" w:eastAsia="宋体" w:cs="宋体"/>
          <w:iCs w:val="0"/>
          <w:color w:val="auto"/>
          <w:sz w:val="24"/>
          <w:szCs w:val="24"/>
          <w:highlight w:val="none"/>
          <w:lang w:val="en-US" w:eastAsia="zh-CN"/>
        </w:rPr>
        <w:sym w:font="Wingdings" w:char="00FE"/>
      </w:r>
      <w:r>
        <w:rPr>
          <w:rFonts w:hint="eastAsia" w:ascii="宋体" w:hAnsi="宋体" w:eastAsia="宋体" w:cs="宋体"/>
          <w:iCs w:val="0"/>
          <w:color w:val="auto"/>
          <w:sz w:val="24"/>
          <w:szCs w:val="24"/>
          <w:highlight w:val="none"/>
          <w:lang w:val="en-US" w:eastAsia="zh-CN"/>
        </w:rPr>
        <w:t xml:space="preserve">公开招标 </w:t>
      </w:r>
      <w:r>
        <w:rPr>
          <w:rFonts w:hint="eastAsia" w:ascii="宋体" w:hAnsi="宋体" w:eastAsia="宋体" w:cs="宋体"/>
          <w:iCs w:val="0"/>
          <w:color w:val="auto"/>
          <w:sz w:val="24"/>
          <w:szCs w:val="24"/>
          <w:highlight w:val="none"/>
          <w:lang w:val="en-US" w:eastAsia="zh-CN"/>
        </w:rPr>
        <w:sym w:font="Wingdings" w:char="00A8"/>
      </w:r>
      <w:r>
        <w:rPr>
          <w:rFonts w:hint="eastAsia" w:ascii="宋体" w:hAnsi="宋体" w:eastAsia="宋体" w:cs="宋体"/>
          <w:iCs w:val="0"/>
          <w:color w:val="auto"/>
          <w:sz w:val="24"/>
          <w:szCs w:val="24"/>
          <w:highlight w:val="none"/>
          <w:lang w:val="en-US" w:eastAsia="zh-CN"/>
        </w:rPr>
        <w:t xml:space="preserve">邀请招标 </w:t>
      </w:r>
      <w:r>
        <w:rPr>
          <w:rFonts w:hint="eastAsia" w:ascii="宋体" w:hAnsi="宋体" w:eastAsia="宋体" w:cs="宋体"/>
          <w:iCs w:val="0"/>
          <w:color w:val="auto"/>
          <w:sz w:val="24"/>
          <w:szCs w:val="24"/>
          <w:highlight w:val="none"/>
          <w:lang w:val="en-US" w:eastAsia="zh-CN"/>
        </w:rPr>
        <w:sym w:font="Wingdings" w:char="00A8"/>
      </w:r>
      <w:r>
        <w:rPr>
          <w:rFonts w:hint="eastAsia" w:ascii="宋体" w:hAnsi="宋体" w:eastAsia="宋体" w:cs="宋体"/>
          <w:iCs w:val="0"/>
          <w:color w:val="auto"/>
          <w:sz w:val="24"/>
          <w:szCs w:val="24"/>
          <w:highlight w:val="none"/>
          <w:lang w:val="en-US" w:eastAsia="zh-CN"/>
        </w:rPr>
        <w:t xml:space="preserve">竞争性谈判 </w:t>
      </w:r>
      <w:r>
        <w:rPr>
          <w:rFonts w:hint="eastAsia" w:ascii="宋体" w:hAnsi="宋体" w:eastAsia="宋体" w:cs="宋体"/>
          <w:iCs w:val="0"/>
          <w:color w:val="auto"/>
          <w:sz w:val="24"/>
          <w:szCs w:val="24"/>
          <w:highlight w:val="none"/>
          <w:lang w:val="en-US" w:eastAsia="zh-CN"/>
        </w:rPr>
        <w:sym w:font="Wingdings" w:char="00A8"/>
      </w:r>
      <w:r>
        <w:rPr>
          <w:rFonts w:hint="eastAsia" w:ascii="宋体" w:hAnsi="宋体" w:eastAsia="宋体" w:cs="宋体"/>
          <w:iCs w:val="0"/>
          <w:color w:val="auto"/>
          <w:sz w:val="24"/>
          <w:szCs w:val="24"/>
          <w:highlight w:val="none"/>
          <w:lang w:val="en-US" w:eastAsia="zh-CN"/>
        </w:rPr>
        <w:t>竞争性磋商</w:t>
      </w:r>
    </w:p>
    <w:p w14:paraId="4864016B">
      <w:pPr>
        <w:pStyle w:val="29"/>
        <w:keepNext w:val="0"/>
        <w:keepLines w:val="0"/>
        <w:pageBreakBefore w:val="0"/>
        <w:widowControl w:val="0"/>
        <w:numPr>
          <w:ilvl w:val="-1"/>
          <w:numId w:val="0"/>
        </w:numPr>
        <w:kinsoku w:val="0"/>
        <w:wordWrap w:val="0"/>
        <w:overflowPunct/>
        <w:topLinePunct w:val="0"/>
        <w:bidi w:val="0"/>
        <w:adjustRightInd w:val="0"/>
        <w:snapToGrid w:val="0"/>
        <w:spacing w:before="0" w:beforeLines="0" w:line="480" w:lineRule="exact"/>
        <w:ind w:left="0" w:firstLine="420" w:firstLineChars="0"/>
        <w:textAlignment w:val="auto"/>
        <w:rPr>
          <w:rFonts w:hint="eastAsia" w:ascii="宋体" w:hAnsi="宋体" w:eastAsia="宋体" w:cs="宋体"/>
          <w:iCs w:val="0"/>
          <w:color w:val="auto"/>
          <w:sz w:val="24"/>
          <w:szCs w:val="24"/>
          <w:highlight w:val="none"/>
          <w:u w:val="single"/>
          <w:lang w:val="en-US" w:eastAsia="zh-CN"/>
        </w:rPr>
      </w:pP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iCs w:val="0"/>
          <w:color w:val="auto"/>
          <w:sz w:val="24"/>
          <w:szCs w:val="24"/>
          <w:highlight w:val="none"/>
        </w:rPr>
        <w:sym w:font="Wingdings" w:char="00A8"/>
      </w:r>
      <w:r>
        <w:rPr>
          <w:rFonts w:hint="eastAsia" w:ascii="宋体" w:hAnsi="宋体" w:eastAsia="宋体" w:cs="宋体"/>
          <w:iCs w:val="0"/>
          <w:color w:val="auto"/>
          <w:sz w:val="24"/>
          <w:szCs w:val="24"/>
          <w:highlight w:val="none"/>
          <w:lang w:eastAsia="zh-CN"/>
        </w:rPr>
        <w:t>询价</w:t>
      </w:r>
      <w:r>
        <w:rPr>
          <w:rFonts w:hint="eastAsia" w:ascii="宋体" w:hAnsi="宋体" w:eastAsia="宋体" w:cs="宋体"/>
          <w:iCs w:val="0"/>
          <w:color w:val="auto"/>
          <w:sz w:val="24"/>
          <w:szCs w:val="24"/>
          <w:highlight w:val="none"/>
          <w:lang w:val="en-US" w:eastAsia="zh-CN"/>
        </w:rPr>
        <w:t xml:space="preserve"> </w:t>
      </w:r>
      <w:r>
        <w:rPr>
          <w:rFonts w:hint="eastAsia" w:ascii="宋体" w:hAnsi="宋体" w:eastAsia="宋体" w:cs="宋体"/>
          <w:iCs w:val="0"/>
          <w:color w:val="auto"/>
          <w:sz w:val="24"/>
          <w:szCs w:val="24"/>
          <w:highlight w:val="none"/>
        </w:rPr>
        <w:sym w:font="Wingdings" w:char="00A8"/>
      </w:r>
      <w:r>
        <w:rPr>
          <w:rFonts w:hint="eastAsia" w:ascii="宋体" w:hAnsi="宋体" w:eastAsia="宋体" w:cs="宋体"/>
          <w:iCs w:val="0"/>
          <w:color w:val="auto"/>
          <w:sz w:val="24"/>
          <w:szCs w:val="24"/>
          <w:highlight w:val="none"/>
          <w:lang w:eastAsia="zh-CN"/>
        </w:rPr>
        <w:t>单一来源</w:t>
      </w:r>
      <w:r>
        <w:rPr>
          <w:rFonts w:hint="eastAsia" w:ascii="宋体" w:hAnsi="宋体" w:eastAsia="宋体" w:cs="宋体"/>
          <w:iCs w:val="0"/>
          <w:color w:val="auto"/>
          <w:sz w:val="24"/>
          <w:szCs w:val="24"/>
          <w:highlight w:val="none"/>
          <w:lang w:val="en-US" w:eastAsia="zh-CN"/>
        </w:rPr>
        <w:t xml:space="preserve"> </w:t>
      </w:r>
      <w:r>
        <w:rPr>
          <w:rFonts w:hint="eastAsia" w:ascii="宋体" w:hAnsi="宋体" w:eastAsia="宋体" w:cs="宋体"/>
          <w:iCs w:val="0"/>
          <w:color w:val="auto"/>
          <w:sz w:val="24"/>
          <w:szCs w:val="24"/>
          <w:highlight w:val="none"/>
        </w:rPr>
        <w:sym w:font="Wingdings" w:char="00A8"/>
      </w:r>
      <w:r>
        <w:rPr>
          <w:rFonts w:hint="eastAsia" w:ascii="宋体" w:hAnsi="宋体" w:eastAsia="宋体" w:cs="宋体"/>
          <w:iCs w:val="0"/>
          <w:color w:val="auto"/>
          <w:sz w:val="24"/>
          <w:szCs w:val="24"/>
          <w:highlight w:val="none"/>
          <w:lang w:eastAsia="zh-CN"/>
        </w:rPr>
        <w:t>框架协议</w:t>
      </w:r>
      <w:r>
        <w:rPr>
          <w:rFonts w:hint="eastAsia" w:ascii="宋体" w:hAnsi="宋体" w:eastAsia="宋体" w:cs="宋体"/>
          <w:iCs w:val="0"/>
          <w:color w:val="auto"/>
          <w:sz w:val="24"/>
          <w:szCs w:val="24"/>
          <w:highlight w:val="none"/>
          <w:lang w:val="en-US" w:eastAsia="zh-CN"/>
        </w:rPr>
        <w:t xml:space="preserve"> </w:t>
      </w:r>
      <w:r>
        <w:rPr>
          <w:rFonts w:hint="eastAsia" w:ascii="宋体" w:hAnsi="宋体" w:eastAsia="宋体" w:cs="宋体"/>
          <w:iCs w:val="0"/>
          <w:color w:val="auto"/>
          <w:sz w:val="24"/>
          <w:szCs w:val="24"/>
          <w:highlight w:val="none"/>
        </w:rPr>
        <w:sym w:font="Wingdings" w:char="00A8"/>
      </w:r>
      <w:r>
        <w:rPr>
          <w:rFonts w:hint="eastAsia" w:ascii="宋体" w:hAnsi="宋体" w:eastAsia="宋体" w:cs="宋体"/>
          <w:iCs w:val="0"/>
          <w:color w:val="auto"/>
          <w:sz w:val="24"/>
          <w:szCs w:val="24"/>
          <w:highlight w:val="none"/>
          <w:lang w:eastAsia="zh-CN"/>
        </w:rPr>
        <w:t>其他：</w:t>
      </w:r>
      <w:r>
        <w:rPr>
          <w:rFonts w:hint="eastAsia" w:ascii="宋体" w:hAnsi="宋体" w:eastAsia="宋体" w:cs="宋体"/>
          <w:iCs w:val="0"/>
          <w:color w:val="auto"/>
          <w:sz w:val="24"/>
          <w:szCs w:val="24"/>
          <w:highlight w:val="none"/>
          <w:u w:val="single"/>
          <w:lang w:val="en-US" w:eastAsia="zh-CN"/>
        </w:rPr>
        <w:t xml:space="preserve">  /  </w:t>
      </w:r>
    </w:p>
    <w:p w14:paraId="49E1A24B">
      <w:pPr>
        <w:pStyle w:val="29"/>
        <w:keepNext w:val="0"/>
        <w:keepLines w:val="0"/>
        <w:pageBreakBefore w:val="0"/>
        <w:widowControl w:val="0"/>
        <w:numPr>
          <w:ilvl w:val="-1"/>
          <w:numId w:val="0"/>
        </w:numPr>
        <w:kinsoku w:val="0"/>
        <w:wordWrap w:val="0"/>
        <w:overflowPunct/>
        <w:topLinePunct w:val="0"/>
        <w:bidi w:val="0"/>
        <w:adjustRightInd w:val="0"/>
        <w:snapToGrid w:val="0"/>
        <w:spacing w:before="0" w:beforeLines="0" w:line="480" w:lineRule="exact"/>
        <w:ind w:left="0" w:firstLine="420" w:firstLineChars="0"/>
        <w:textAlignment w:val="auto"/>
        <w:rPr>
          <w:rFonts w:hint="eastAsia" w:ascii="宋体" w:hAnsi="宋体" w:eastAsia="宋体" w:cs="宋体"/>
          <w:iCs w:val="0"/>
          <w:color w:val="auto"/>
          <w:sz w:val="24"/>
          <w:szCs w:val="24"/>
          <w:highlight w:val="none"/>
          <w:u w:val="none"/>
          <w:lang w:val="en-US" w:eastAsia="zh-CN"/>
        </w:rPr>
      </w:pPr>
      <w:r>
        <w:rPr>
          <w:rFonts w:hint="eastAsia" w:ascii="宋体" w:hAnsi="宋体" w:eastAsia="宋体" w:cs="宋体"/>
          <w:iCs w:val="0"/>
          <w:color w:val="auto"/>
          <w:sz w:val="24"/>
          <w:szCs w:val="24"/>
          <w:highlight w:val="none"/>
          <w:u w:val="none"/>
          <w:lang w:val="en-US" w:eastAsia="zh-CN"/>
        </w:rPr>
        <w:t>（注：在框架协议采购的第二阶段，可选择使用该合同文本）</w:t>
      </w:r>
    </w:p>
    <w:p w14:paraId="624A0373">
      <w:pPr>
        <w:pStyle w:val="29"/>
        <w:keepNext w:val="0"/>
        <w:keepLines w:val="0"/>
        <w:pageBreakBefore w:val="0"/>
        <w:widowControl w:val="0"/>
        <w:numPr>
          <w:ilvl w:val="-1"/>
          <w:numId w:val="0"/>
        </w:numPr>
        <w:kinsoku w:val="0"/>
        <w:wordWrap w:val="0"/>
        <w:overflowPunct/>
        <w:topLinePunct w:val="0"/>
        <w:bidi w:val="0"/>
        <w:adjustRightInd w:val="0"/>
        <w:snapToGrid w:val="0"/>
        <w:spacing w:before="0" w:beforeLines="0" w:line="480" w:lineRule="exact"/>
        <w:ind w:left="0" w:firstLine="420" w:firstLineChars="0"/>
        <w:textAlignment w:val="auto"/>
        <w:rPr>
          <w:rFonts w:hint="eastAsia" w:ascii="宋体" w:hAnsi="宋体" w:eastAsia="宋体" w:cs="宋体"/>
          <w:color w:val="auto"/>
          <w:w w:val="100"/>
          <w:kern w:val="2"/>
          <w:sz w:val="24"/>
          <w:szCs w:val="24"/>
          <w:highlight w:val="none"/>
          <w:lang w:val="en-US" w:eastAsia="zh-CN" w:bidi="ar-SA"/>
        </w:rPr>
      </w:pPr>
      <w:r>
        <w:rPr>
          <w:rFonts w:hint="eastAsia" w:ascii="宋体" w:hAnsi="宋体" w:eastAsia="宋体" w:cs="宋体"/>
          <w:color w:val="auto"/>
          <w:w w:val="100"/>
          <w:kern w:val="2"/>
          <w:sz w:val="24"/>
          <w:szCs w:val="24"/>
          <w:highlight w:val="none"/>
          <w:lang w:val="en-US" w:eastAsia="zh-CN" w:bidi="ar-SA"/>
        </w:rPr>
        <w:t>6.中标（成交）采购标的制造商是否为中小企业：</w:t>
      </w:r>
      <w:r>
        <w:rPr>
          <w:rFonts w:hint="eastAsia" w:ascii="宋体" w:hAnsi="宋体" w:eastAsia="宋体" w:cs="宋体"/>
          <w:color w:val="auto"/>
          <w:w w:val="100"/>
          <w:kern w:val="2"/>
          <w:sz w:val="24"/>
          <w:szCs w:val="24"/>
          <w:highlight w:val="none"/>
          <w:lang w:val="en-US" w:eastAsia="zh-CN" w:bidi="ar-SA"/>
        </w:rPr>
        <w:sym w:font="Wingdings" w:char="00A8"/>
      </w:r>
      <w:r>
        <w:rPr>
          <w:rFonts w:hint="eastAsia" w:ascii="宋体" w:hAnsi="宋体" w:eastAsia="宋体" w:cs="宋体"/>
          <w:color w:val="auto"/>
          <w:w w:val="100"/>
          <w:kern w:val="2"/>
          <w:sz w:val="24"/>
          <w:szCs w:val="24"/>
          <w:highlight w:val="none"/>
          <w:lang w:val="en-US" w:eastAsia="zh-CN" w:bidi="ar-SA"/>
        </w:rPr>
        <w:t xml:space="preserve">是     </w:t>
      </w:r>
      <w:r>
        <w:rPr>
          <w:rFonts w:hint="eastAsia" w:ascii="宋体" w:hAnsi="宋体" w:eastAsia="宋体" w:cs="宋体"/>
          <w:color w:val="auto"/>
          <w:w w:val="100"/>
          <w:kern w:val="2"/>
          <w:sz w:val="24"/>
          <w:szCs w:val="24"/>
          <w:highlight w:val="none"/>
          <w:lang w:val="en-US" w:eastAsia="zh-CN" w:bidi="ar-SA"/>
        </w:rPr>
        <w:sym w:font="Wingdings" w:char="00A8"/>
      </w:r>
      <w:r>
        <w:rPr>
          <w:rFonts w:hint="eastAsia" w:ascii="宋体" w:hAnsi="宋体" w:eastAsia="宋体" w:cs="宋体"/>
          <w:color w:val="auto"/>
          <w:w w:val="100"/>
          <w:kern w:val="2"/>
          <w:sz w:val="24"/>
          <w:szCs w:val="24"/>
          <w:highlight w:val="none"/>
          <w:lang w:val="en-US" w:eastAsia="zh-CN" w:bidi="ar-SA"/>
        </w:rPr>
        <w:t>否</w:t>
      </w:r>
    </w:p>
    <w:p w14:paraId="02F4E401">
      <w:pPr>
        <w:keepNext w:val="0"/>
        <w:keepLines w:val="0"/>
        <w:pageBreakBefore w:val="0"/>
        <w:widowControl w:val="0"/>
        <w:numPr>
          <w:ilvl w:val="-1"/>
          <w:numId w:val="0"/>
        </w:numPr>
        <w:kinsoku w:val="0"/>
        <w:wordWrap w:val="0"/>
        <w:overflowPunct/>
        <w:topLinePunct w:val="0"/>
        <w:autoSpaceDE/>
        <w:autoSpaceDN/>
        <w:bidi w:val="0"/>
        <w:adjustRightInd w:val="0"/>
        <w:snapToGrid w:val="0"/>
        <w:spacing w:before="0" w:beforeLines="0" w:line="480" w:lineRule="exact"/>
        <w:ind w:firstLine="480" w:firstLineChars="200"/>
        <w:textAlignment w:val="auto"/>
        <w:rPr>
          <w:rFonts w:hint="eastAsia" w:ascii="宋体" w:hAnsi="宋体" w:eastAsia="宋体" w:cs="宋体"/>
          <w:iCs/>
          <w:color w:val="auto"/>
          <w:sz w:val="24"/>
          <w:szCs w:val="24"/>
          <w:highlight w:val="none"/>
        </w:rPr>
      </w:pPr>
      <w:r>
        <w:rPr>
          <w:rFonts w:hint="eastAsia" w:ascii="宋体" w:hAnsi="宋体" w:eastAsia="宋体" w:cs="宋体"/>
          <w:color w:val="auto"/>
          <w:w w:val="100"/>
          <w:sz w:val="24"/>
          <w:szCs w:val="24"/>
          <w:highlight w:val="none"/>
          <w:lang w:val="en-US" w:eastAsia="zh-CN"/>
        </w:rPr>
        <w:t>本合同</w:t>
      </w:r>
      <w:r>
        <w:rPr>
          <w:rFonts w:hint="eastAsia" w:ascii="宋体" w:hAnsi="宋体" w:eastAsia="宋体" w:cs="宋体"/>
          <w:color w:val="auto"/>
          <w:w w:val="100"/>
          <w:sz w:val="24"/>
          <w:szCs w:val="24"/>
          <w:highlight w:val="none"/>
        </w:rPr>
        <w:t>是否</w:t>
      </w:r>
      <w:r>
        <w:rPr>
          <w:rFonts w:hint="eastAsia" w:ascii="宋体" w:hAnsi="宋体" w:eastAsia="宋体" w:cs="宋体"/>
          <w:color w:val="auto"/>
          <w:w w:val="100"/>
          <w:sz w:val="24"/>
          <w:szCs w:val="24"/>
          <w:highlight w:val="none"/>
          <w:lang w:eastAsia="zh-CN"/>
        </w:rPr>
        <w:t>为专门面向</w:t>
      </w:r>
      <w:r>
        <w:rPr>
          <w:rFonts w:hint="eastAsia" w:ascii="宋体" w:hAnsi="宋体" w:eastAsia="宋体" w:cs="宋体"/>
          <w:color w:val="auto"/>
          <w:w w:val="100"/>
          <w:sz w:val="24"/>
          <w:szCs w:val="24"/>
          <w:highlight w:val="none"/>
        </w:rPr>
        <w:t>中小企业</w:t>
      </w:r>
      <w:r>
        <w:rPr>
          <w:rFonts w:hint="eastAsia" w:ascii="宋体" w:hAnsi="宋体" w:eastAsia="宋体" w:cs="宋体"/>
          <w:color w:val="auto"/>
          <w:w w:val="100"/>
          <w:sz w:val="24"/>
          <w:szCs w:val="24"/>
          <w:highlight w:val="none"/>
          <w:lang w:eastAsia="zh-CN"/>
        </w:rPr>
        <w:t>的采</w:t>
      </w:r>
      <w:r>
        <w:rPr>
          <w:rFonts w:hint="eastAsia" w:ascii="宋体" w:hAnsi="宋体" w:eastAsia="宋体" w:cs="宋体"/>
          <w:color w:val="auto"/>
          <w:w w:val="100"/>
          <w:sz w:val="24"/>
          <w:szCs w:val="24"/>
          <w:highlight w:val="none"/>
          <w:shd w:val="clear"/>
          <w:lang w:eastAsia="zh-CN"/>
        </w:rPr>
        <w:t>购</w:t>
      </w:r>
      <w:r>
        <w:rPr>
          <w:rFonts w:hint="eastAsia" w:ascii="宋体" w:hAnsi="宋体" w:eastAsia="宋体" w:cs="宋体"/>
          <w:color w:val="auto"/>
          <w:w w:val="100"/>
          <w:sz w:val="24"/>
          <w:szCs w:val="24"/>
          <w:highlight w:val="none"/>
          <w:shd w:val="clear"/>
        </w:rPr>
        <w:t>合同</w:t>
      </w:r>
      <w:r>
        <w:rPr>
          <w:rFonts w:hint="eastAsia" w:ascii="宋体" w:hAnsi="宋体" w:eastAsia="宋体" w:cs="宋体"/>
          <w:color w:val="auto"/>
          <w:w w:val="100"/>
          <w:sz w:val="24"/>
          <w:szCs w:val="24"/>
          <w:highlight w:val="none"/>
          <w:shd w:val="clear"/>
          <w:lang w:eastAsia="zh-CN"/>
        </w:rPr>
        <w:t>（中小企业预留合同）</w:t>
      </w:r>
      <w:r>
        <w:rPr>
          <w:rFonts w:hint="eastAsia" w:ascii="宋体" w:hAnsi="宋体" w:eastAsia="宋体" w:cs="宋体"/>
          <w:color w:val="auto"/>
          <w:sz w:val="24"/>
          <w:szCs w:val="24"/>
          <w:highlight w:val="none"/>
          <w:shd w:val="clear"/>
        </w:rPr>
        <w:t>：</w:t>
      </w:r>
      <w:r>
        <w:rPr>
          <w:rFonts w:hint="eastAsia" w:ascii="宋体" w:hAnsi="宋体" w:eastAsia="宋体" w:cs="宋体"/>
          <w:iCs/>
          <w:color w:val="auto"/>
          <w:sz w:val="24"/>
          <w:szCs w:val="24"/>
          <w:highlight w:val="none"/>
        </w:rPr>
        <w:sym w:font="Wingdings" w:char="00A8"/>
      </w:r>
      <w:r>
        <w:rPr>
          <w:rFonts w:hint="eastAsia" w:ascii="宋体" w:hAnsi="宋体" w:eastAsia="宋体" w:cs="宋体"/>
          <w:iCs/>
          <w:color w:val="auto"/>
          <w:sz w:val="24"/>
          <w:szCs w:val="24"/>
          <w:highlight w:val="none"/>
        </w:rPr>
        <w:t xml:space="preserve">是  </w:t>
      </w:r>
      <w:r>
        <w:rPr>
          <w:rFonts w:hint="eastAsia" w:ascii="宋体" w:hAnsi="宋体" w:eastAsia="宋体" w:cs="宋体"/>
          <w:iCs/>
          <w:color w:val="auto"/>
          <w:sz w:val="24"/>
          <w:szCs w:val="24"/>
          <w:highlight w:val="none"/>
        </w:rPr>
        <w:sym w:font="Wingdings" w:char="00FE"/>
      </w:r>
      <w:r>
        <w:rPr>
          <w:rFonts w:hint="eastAsia" w:ascii="宋体" w:hAnsi="宋体" w:eastAsia="宋体" w:cs="宋体"/>
          <w:iCs/>
          <w:color w:val="auto"/>
          <w:sz w:val="24"/>
          <w:szCs w:val="24"/>
          <w:highlight w:val="none"/>
        </w:rPr>
        <w:t>否</w:t>
      </w:r>
    </w:p>
    <w:p w14:paraId="69979284">
      <w:pPr>
        <w:keepNext w:val="0"/>
        <w:keepLines w:val="0"/>
        <w:pageBreakBefore w:val="0"/>
        <w:widowControl w:val="0"/>
        <w:numPr>
          <w:ilvl w:val="-1"/>
          <w:numId w:val="0"/>
        </w:numPr>
        <w:kinsoku w:val="0"/>
        <w:wordWrap w:val="0"/>
        <w:overflowPunct/>
        <w:topLinePunct w:val="0"/>
        <w:autoSpaceDE/>
        <w:autoSpaceDN/>
        <w:bidi w:val="0"/>
        <w:adjustRightInd w:val="0"/>
        <w:snapToGrid w:val="0"/>
        <w:spacing w:before="0" w:beforeLines="0" w:line="480" w:lineRule="exact"/>
        <w:ind w:firstLine="480" w:firstLineChars="200"/>
        <w:textAlignment w:val="auto"/>
        <w:rPr>
          <w:rFonts w:hint="eastAsia" w:ascii="宋体" w:hAnsi="宋体" w:eastAsia="宋体" w:cs="宋体"/>
          <w:iCs/>
          <w:color w:val="auto"/>
          <w:sz w:val="24"/>
          <w:szCs w:val="24"/>
          <w:highlight w:val="none"/>
        </w:rPr>
      </w:pPr>
      <w:r>
        <w:rPr>
          <w:rFonts w:hint="eastAsia" w:ascii="宋体" w:hAnsi="宋体" w:eastAsia="宋体" w:cs="宋体"/>
          <w:color w:val="auto"/>
          <w:sz w:val="24"/>
          <w:szCs w:val="24"/>
          <w:highlight w:val="none"/>
          <w:lang w:val="en-US" w:eastAsia="zh-CN"/>
        </w:rPr>
        <w:t>若本项目不专门面向中小企业采购，是否给予小微企业评审优惠：</w:t>
      </w:r>
      <w:r>
        <w:rPr>
          <w:rFonts w:hint="eastAsia" w:ascii="宋体" w:hAnsi="宋体" w:eastAsia="宋体" w:cs="宋体"/>
          <w:iCs/>
          <w:color w:val="auto"/>
          <w:sz w:val="24"/>
          <w:szCs w:val="24"/>
          <w:highlight w:val="none"/>
        </w:rPr>
        <w:sym w:font="Wingdings" w:char="00FE"/>
      </w:r>
      <w:r>
        <w:rPr>
          <w:rFonts w:hint="eastAsia" w:ascii="宋体" w:hAnsi="宋体" w:eastAsia="宋体" w:cs="宋体"/>
          <w:iCs/>
          <w:color w:val="auto"/>
          <w:sz w:val="24"/>
          <w:szCs w:val="24"/>
          <w:highlight w:val="none"/>
        </w:rPr>
        <w:t xml:space="preserve">是   </w:t>
      </w:r>
      <w:r>
        <w:rPr>
          <w:rFonts w:hint="eastAsia" w:ascii="宋体" w:hAnsi="宋体" w:eastAsia="宋体" w:cs="宋体"/>
          <w:iCs/>
          <w:color w:val="auto"/>
          <w:sz w:val="24"/>
          <w:szCs w:val="24"/>
          <w:highlight w:val="none"/>
        </w:rPr>
        <w:sym w:font="Wingdings" w:char="00A8"/>
      </w:r>
      <w:r>
        <w:rPr>
          <w:rFonts w:hint="eastAsia" w:ascii="宋体" w:hAnsi="宋体" w:eastAsia="宋体" w:cs="宋体"/>
          <w:iCs/>
          <w:color w:val="auto"/>
          <w:sz w:val="24"/>
          <w:szCs w:val="24"/>
          <w:highlight w:val="none"/>
        </w:rPr>
        <w:t>否</w:t>
      </w:r>
    </w:p>
    <w:p w14:paraId="4FD37BD4">
      <w:pPr>
        <w:keepNext w:val="0"/>
        <w:keepLines w:val="0"/>
        <w:pageBreakBefore w:val="0"/>
        <w:widowControl w:val="0"/>
        <w:numPr>
          <w:ilvl w:val="-1"/>
          <w:numId w:val="0"/>
        </w:numPr>
        <w:kinsoku w:val="0"/>
        <w:wordWrap w:val="0"/>
        <w:overflowPunct/>
        <w:topLinePunct w:val="0"/>
        <w:autoSpaceDE/>
        <w:autoSpaceDN/>
        <w:bidi w:val="0"/>
        <w:adjustRightInd w:val="0"/>
        <w:snapToGrid w:val="0"/>
        <w:spacing w:before="0" w:beforeLines="0" w:line="480" w:lineRule="exact"/>
        <w:ind w:firstLine="480" w:firstLineChars="200"/>
        <w:textAlignment w:val="auto"/>
        <w:rPr>
          <w:rFonts w:hint="eastAsia" w:ascii="宋体" w:hAnsi="宋体" w:eastAsia="宋体" w:cs="宋体"/>
          <w:iCs/>
          <w:color w:val="auto"/>
          <w:sz w:val="24"/>
          <w:szCs w:val="24"/>
          <w:highlight w:val="none"/>
        </w:rPr>
      </w:pPr>
      <w:r>
        <w:rPr>
          <w:rFonts w:hint="eastAsia" w:ascii="宋体" w:hAnsi="宋体" w:eastAsia="宋体" w:cs="宋体"/>
          <w:color w:val="auto"/>
          <w:sz w:val="24"/>
          <w:szCs w:val="24"/>
          <w:highlight w:val="none"/>
          <w:lang w:val="en-US" w:eastAsia="zh-CN"/>
        </w:rPr>
        <w:t>中标（成交）采购标的制造商是否为残疾人福利性单位：</w:t>
      </w:r>
      <w:r>
        <w:rPr>
          <w:rFonts w:hint="eastAsia" w:ascii="宋体" w:hAnsi="宋体" w:eastAsia="宋体" w:cs="宋体"/>
          <w:iCs/>
          <w:color w:val="auto"/>
          <w:sz w:val="24"/>
          <w:szCs w:val="24"/>
          <w:highlight w:val="none"/>
        </w:rPr>
        <w:sym w:font="Wingdings" w:char="00A8"/>
      </w:r>
      <w:r>
        <w:rPr>
          <w:rFonts w:hint="eastAsia" w:ascii="宋体" w:hAnsi="宋体" w:eastAsia="宋体" w:cs="宋体"/>
          <w:iCs/>
          <w:color w:val="auto"/>
          <w:sz w:val="24"/>
          <w:szCs w:val="24"/>
          <w:highlight w:val="none"/>
        </w:rPr>
        <w:t xml:space="preserve">是   </w:t>
      </w:r>
      <w:r>
        <w:rPr>
          <w:rFonts w:hint="eastAsia" w:ascii="宋体" w:hAnsi="宋体" w:eastAsia="宋体" w:cs="宋体"/>
          <w:iCs/>
          <w:color w:val="auto"/>
          <w:sz w:val="24"/>
          <w:szCs w:val="24"/>
          <w:highlight w:val="none"/>
        </w:rPr>
        <w:sym w:font="Wingdings" w:char="00A8"/>
      </w:r>
      <w:r>
        <w:rPr>
          <w:rFonts w:hint="eastAsia" w:ascii="宋体" w:hAnsi="宋体" w:eastAsia="宋体" w:cs="宋体"/>
          <w:iCs/>
          <w:color w:val="auto"/>
          <w:sz w:val="24"/>
          <w:szCs w:val="24"/>
          <w:highlight w:val="none"/>
        </w:rPr>
        <w:t>否</w:t>
      </w:r>
    </w:p>
    <w:p w14:paraId="3CC98740">
      <w:pPr>
        <w:keepNext w:val="0"/>
        <w:keepLines w:val="0"/>
        <w:pageBreakBefore w:val="0"/>
        <w:widowControl w:val="0"/>
        <w:numPr>
          <w:ilvl w:val="0"/>
          <w:numId w:val="0"/>
        </w:numPr>
        <w:kinsoku w:val="0"/>
        <w:wordWrap w:val="0"/>
        <w:overflowPunct/>
        <w:topLinePunct w:val="0"/>
        <w:autoSpaceDE/>
        <w:autoSpaceDN/>
        <w:bidi w:val="0"/>
        <w:snapToGrid w:val="0"/>
        <w:spacing w:beforeLines="0" w:line="48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中标（成交）采购标的制造商是否为监狱企业：</w:t>
      </w:r>
      <w:r>
        <w:rPr>
          <w:rFonts w:hint="eastAsia" w:ascii="宋体" w:hAnsi="宋体" w:eastAsia="宋体" w:cs="宋体"/>
          <w:iCs/>
          <w:color w:val="auto"/>
          <w:sz w:val="24"/>
          <w:szCs w:val="24"/>
          <w:highlight w:val="none"/>
        </w:rPr>
        <w:sym w:font="Wingdings" w:char="00A8"/>
      </w:r>
      <w:r>
        <w:rPr>
          <w:rFonts w:hint="eastAsia" w:ascii="宋体" w:hAnsi="宋体" w:eastAsia="宋体" w:cs="宋体"/>
          <w:iCs/>
          <w:color w:val="auto"/>
          <w:sz w:val="24"/>
          <w:szCs w:val="24"/>
          <w:highlight w:val="none"/>
        </w:rPr>
        <w:t xml:space="preserve">是       </w:t>
      </w:r>
      <w:r>
        <w:rPr>
          <w:rFonts w:hint="eastAsia" w:ascii="宋体" w:hAnsi="宋体" w:eastAsia="宋体" w:cs="宋体"/>
          <w:iCs/>
          <w:color w:val="auto"/>
          <w:sz w:val="24"/>
          <w:szCs w:val="24"/>
          <w:highlight w:val="none"/>
        </w:rPr>
        <w:sym w:font="Wingdings" w:char="00A8"/>
      </w:r>
      <w:r>
        <w:rPr>
          <w:rFonts w:hint="eastAsia" w:ascii="宋体" w:hAnsi="宋体" w:eastAsia="宋体" w:cs="宋体"/>
          <w:iCs/>
          <w:color w:val="auto"/>
          <w:sz w:val="24"/>
          <w:szCs w:val="24"/>
          <w:highlight w:val="none"/>
        </w:rPr>
        <w:t>否</w:t>
      </w:r>
    </w:p>
    <w:p w14:paraId="67D61AD5">
      <w:pPr>
        <w:keepNext w:val="0"/>
        <w:keepLines w:val="0"/>
        <w:pageBreakBefore w:val="0"/>
        <w:widowControl w:val="0"/>
        <w:kinsoku w:val="0"/>
        <w:wordWrap w:val="0"/>
        <w:overflowPunct/>
        <w:topLinePunct w:val="0"/>
        <w:bidi w:val="0"/>
        <w:adjustRightInd w:val="0"/>
        <w:snapToGrid w:val="0"/>
        <w:spacing w:before="0" w:beforeLines="0"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合同是否分包：</w:t>
      </w:r>
      <w:r>
        <w:rPr>
          <w:rFonts w:hint="eastAsia" w:ascii="宋体" w:hAnsi="宋体" w:eastAsia="宋体" w:cs="宋体"/>
          <w:iCs/>
          <w:color w:val="auto"/>
          <w:sz w:val="24"/>
          <w:szCs w:val="24"/>
          <w:highlight w:val="none"/>
        </w:rPr>
        <w:sym w:font="Wingdings" w:char="00A8"/>
      </w:r>
      <w:r>
        <w:rPr>
          <w:rFonts w:hint="eastAsia" w:ascii="宋体" w:hAnsi="宋体" w:eastAsia="宋体" w:cs="宋体"/>
          <w:iCs/>
          <w:color w:val="auto"/>
          <w:sz w:val="24"/>
          <w:szCs w:val="24"/>
          <w:highlight w:val="none"/>
        </w:rPr>
        <w:t xml:space="preserve">是       </w:t>
      </w:r>
      <w:r>
        <w:rPr>
          <w:rFonts w:hint="eastAsia" w:ascii="宋体" w:hAnsi="宋体" w:eastAsia="宋体" w:cs="宋体"/>
          <w:iCs/>
          <w:color w:val="auto"/>
          <w:sz w:val="24"/>
          <w:szCs w:val="24"/>
          <w:highlight w:val="none"/>
        </w:rPr>
        <w:sym w:font="Wingdings" w:char="00FE"/>
      </w:r>
      <w:r>
        <w:rPr>
          <w:rFonts w:hint="eastAsia" w:ascii="宋体" w:hAnsi="宋体" w:eastAsia="宋体" w:cs="宋体"/>
          <w:iCs/>
          <w:color w:val="auto"/>
          <w:sz w:val="24"/>
          <w:szCs w:val="24"/>
          <w:highlight w:val="none"/>
        </w:rPr>
        <w:t>否</w:t>
      </w:r>
    </w:p>
    <w:p w14:paraId="16DEC3A8">
      <w:pPr>
        <w:keepNext w:val="0"/>
        <w:keepLines w:val="0"/>
        <w:pageBreakBefore w:val="0"/>
        <w:widowControl w:val="0"/>
        <w:kinsoku w:val="0"/>
        <w:wordWrap w:val="0"/>
        <w:overflowPunct/>
        <w:topLinePunct w:val="0"/>
        <w:autoSpaceDE/>
        <w:autoSpaceDN/>
        <w:bidi w:val="0"/>
        <w:adjustRightInd w:val="0"/>
        <w:snapToGrid w:val="0"/>
        <w:spacing w:before="0" w:beforeLines="0" w:line="480" w:lineRule="exact"/>
        <w:ind w:firstLine="480" w:firstLineChars="2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分包主要内容：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rPr>
        <w:t xml:space="preserve">    </w:t>
      </w:r>
    </w:p>
    <w:p w14:paraId="6CC61F3F">
      <w:pPr>
        <w:keepNext w:val="0"/>
        <w:keepLines w:val="0"/>
        <w:pageBreakBefore w:val="0"/>
        <w:widowControl w:val="0"/>
        <w:kinsoku w:val="0"/>
        <w:wordWrap w:val="0"/>
        <w:overflowPunct/>
        <w:topLinePunct w:val="0"/>
        <w:autoSpaceDE/>
        <w:autoSpaceDN/>
        <w:bidi w:val="0"/>
        <w:adjustRightInd w:val="0"/>
        <w:snapToGrid w:val="0"/>
        <w:spacing w:before="0" w:beforeLines="0" w:line="480" w:lineRule="exact"/>
        <w:ind w:firstLine="480" w:firstLineChars="2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分包供应商</w:t>
      </w:r>
      <w:r>
        <w:rPr>
          <w:rFonts w:hint="eastAsia" w:ascii="宋体" w:hAnsi="宋体" w:eastAsia="宋体" w:cs="宋体"/>
          <w:color w:val="auto"/>
          <w:sz w:val="24"/>
          <w:szCs w:val="24"/>
          <w:highlight w:val="none"/>
          <w:lang w:eastAsia="zh-CN"/>
        </w:rPr>
        <w:t>/制造商</w:t>
      </w:r>
      <w:r>
        <w:rPr>
          <w:rFonts w:hint="eastAsia" w:ascii="宋体" w:hAnsi="宋体" w:eastAsia="宋体" w:cs="宋体"/>
          <w:color w:val="auto"/>
          <w:sz w:val="24"/>
          <w:szCs w:val="24"/>
          <w:highlight w:val="none"/>
        </w:rPr>
        <w:t>名称</w:t>
      </w:r>
      <w:r>
        <w:rPr>
          <w:rFonts w:hint="eastAsia" w:ascii="宋体" w:hAnsi="宋体" w:eastAsia="宋体" w:cs="宋体"/>
          <w:color w:val="auto"/>
          <w:sz w:val="24"/>
          <w:szCs w:val="24"/>
          <w:highlight w:val="none"/>
          <w:lang w:eastAsia="zh-CN"/>
        </w:rPr>
        <w:t>（如供应商和制造商不同，请分别填写）</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rPr>
        <w:t xml:space="preserve">         </w:t>
      </w:r>
    </w:p>
    <w:p w14:paraId="411DA5D9">
      <w:pPr>
        <w:keepNext w:val="0"/>
        <w:keepLines w:val="0"/>
        <w:pageBreakBefore w:val="0"/>
        <w:widowControl w:val="0"/>
        <w:kinsoku w:val="0"/>
        <w:wordWrap w:val="0"/>
        <w:overflowPunct/>
        <w:topLinePunct w:val="0"/>
        <w:bidi w:val="0"/>
        <w:adjustRightInd w:val="0"/>
        <w:snapToGrid w:val="0"/>
        <w:spacing w:before="0" w:beforeLines="0"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分包供应商</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eastAsia="zh-CN"/>
        </w:rPr>
        <w:t>制造商</w:t>
      </w:r>
      <w:r>
        <w:rPr>
          <w:rFonts w:hint="eastAsia" w:ascii="宋体" w:hAnsi="宋体" w:eastAsia="宋体" w:cs="宋体"/>
          <w:color w:val="auto"/>
          <w:sz w:val="24"/>
          <w:szCs w:val="24"/>
          <w:highlight w:val="none"/>
        </w:rPr>
        <w:t>类型</w:t>
      </w:r>
      <w:r>
        <w:rPr>
          <w:rFonts w:hint="eastAsia" w:ascii="宋体" w:hAnsi="宋体" w:eastAsia="宋体" w:cs="宋体"/>
          <w:color w:val="auto"/>
          <w:sz w:val="24"/>
          <w:szCs w:val="24"/>
          <w:highlight w:val="none"/>
          <w:lang w:eastAsia="zh-CN"/>
        </w:rPr>
        <w:t>（如果供应商和制造商不同，只填写制造商类型）</w:t>
      </w:r>
      <w:r>
        <w:rPr>
          <w:rFonts w:hint="eastAsia" w:ascii="宋体" w:hAnsi="宋体" w:eastAsia="宋体" w:cs="宋体"/>
          <w:color w:val="auto"/>
          <w:sz w:val="24"/>
          <w:szCs w:val="24"/>
          <w:highlight w:val="none"/>
        </w:rPr>
        <w:t>：</w:t>
      </w:r>
    </w:p>
    <w:p w14:paraId="7BE31588">
      <w:pPr>
        <w:keepNext w:val="0"/>
        <w:keepLines w:val="0"/>
        <w:pageBreakBefore w:val="0"/>
        <w:widowControl w:val="0"/>
        <w:kinsoku w:val="0"/>
        <w:wordWrap w:val="0"/>
        <w:overflowPunct/>
        <w:topLinePunct w:val="0"/>
        <w:bidi w:val="0"/>
        <w:adjustRightInd w:val="0"/>
        <w:snapToGrid w:val="0"/>
        <w:spacing w:beforeLines="0" w:line="480" w:lineRule="exact"/>
        <w:ind w:firstLine="480" w:firstLineChars="200"/>
        <w:textAlignment w:val="auto"/>
        <w:rPr>
          <w:rFonts w:hint="eastAsia" w:ascii="宋体" w:hAnsi="宋体" w:eastAsia="宋体" w:cs="宋体"/>
          <w:color w:val="auto"/>
          <w:sz w:val="24"/>
          <w:szCs w:val="24"/>
          <w:highlight w:val="none"/>
          <w:u w:val="none"/>
          <w:lang w:val="en-US" w:eastAsia="zh-CN"/>
        </w:rPr>
      </w:pPr>
      <w:r>
        <w:rPr>
          <w:rFonts w:hint="eastAsia" w:ascii="宋体" w:hAnsi="宋体" w:eastAsia="宋体" w:cs="宋体"/>
          <w:iCs/>
          <w:color w:val="auto"/>
          <w:sz w:val="24"/>
          <w:szCs w:val="24"/>
          <w:highlight w:val="none"/>
        </w:rPr>
        <w:sym w:font="Wingdings" w:char="00A8"/>
      </w:r>
      <w:r>
        <w:rPr>
          <w:rFonts w:hint="eastAsia" w:ascii="宋体" w:hAnsi="宋体" w:eastAsia="宋体" w:cs="宋体"/>
          <w:iCs/>
          <w:color w:val="auto"/>
          <w:sz w:val="24"/>
          <w:szCs w:val="24"/>
          <w:highlight w:val="none"/>
        </w:rPr>
        <w:t xml:space="preserve">大型企业  </w:t>
      </w:r>
      <w:r>
        <w:rPr>
          <w:rFonts w:hint="eastAsia" w:ascii="宋体" w:hAnsi="宋体" w:eastAsia="宋体" w:cs="宋体"/>
          <w:iCs/>
          <w:color w:val="auto"/>
          <w:sz w:val="24"/>
          <w:szCs w:val="24"/>
          <w:highlight w:val="none"/>
        </w:rPr>
        <w:sym w:font="Wingdings" w:char="00A8"/>
      </w:r>
      <w:r>
        <w:rPr>
          <w:rFonts w:hint="eastAsia" w:ascii="宋体" w:hAnsi="宋体" w:eastAsia="宋体" w:cs="宋体"/>
          <w:iCs/>
          <w:color w:val="auto"/>
          <w:sz w:val="24"/>
          <w:szCs w:val="24"/>
          <w:highlight w:val="none"/>
        </w:rPr>
        <w:t xml:space="preserve">中型企业  </w:t>
      </w:r>
      <w:r>
        <w:rPr>
          <w:rFonts w:hint="eastAsia" w:ascii="宋体" w:hAnsi="宋体" w:eastAsia="宋体" w:cs="宋体"/>
          <w:iCs/>
          <w:color w:val="auto"/>
          <w:sz w:val="24"/>
          <w:szCs w:val="24"/>
          <w:highlight w:val="none"/>
        </w:rPr>
        <w:sym w:font="Wingdings" w:char="00A8"/>
      </w:r>
      <w:r>
        <w:rPr>
          <w:rFonts w:hint="eastAsia" w:ascii="宋体" w:hAnsi="宋体" w:eastAsia="宋体" w:cs="宋体"/>
          <w:iCs/>
          <w:color w:val="auto"/>
          <w:sz w:val="24"/>
          <w:szCs w:val="24"/>
          <w:highlight w:val="none"/>
        </w:rPr>
        <w:t>小微型企业</w:t>
      </w:r>
      <w:r>
        <w:rPr>
          <w:rFonts w:hint="eastAsia" w:ascii="宋体" w:hAnsi="宋体" w:eastAsia="宋体" w:cs="宋体"/>
          <w:iCs/>
          <w:color w:val="auto"/>
          <w:sz w:val="24"/>
          <w:szCs w:val="24"/>
          <w:highlight w:val="none"/>
          <w:lang w:val="en-US" w:eastAsia="zh-CN"/>
        </w:rPr>
        <w:t xml:space="preserve">  </w:t>
      </w:r>
      <w:r>
        <w:rPr>
          <w:rFonts w:hint="eastAsia" w:ascii="宋体" w:hAnsi="宋体" w:eastAsia="宋体" w:cs="宋体"/>
          <w:iCs/>
          <w:color w:val="auto"/>
          <w:sz w:val="24"/>
          <w:szCs w:val="24"/>
          <w:highlight w:val="none"/>
        </w:rPr>
        <w:sym w:font="Wingdings" w:char="00A8"/>
      </w:r>
      <w:r>
        <w:rPr>
          <w:rFonts w:hint="eastAsia" w:ascii="宋体" w:hAnsi="宋体" w:eastAsia="宋体" w:cs="宋体"/>
          <w:iCs/>
          <w:color w:val="auto"/>
          <w:sz w:val="24"/>
          <w:szCs w:val="24"/>
          <w:highlight w:val="none"/>
          <w:lang w:eastAsia="zh-CN"/>
        </w:rPr>
        <w:t>残疾人福利性单位</w:t>
      </w:r>
      <w:r>
        <w:rPr>
          <w:rFonts w:hint="eastAsia" w:ascii="宋体" w:hAnsi="宋体" w:eastAsia="宋体" w:cs="宋体"/>
          <w:iCs/>
          <w:color w:val="auto"/>
          <w:sz w:val="24"/>
          <w:szCs w:val="24"/>
          <w:highlight w:val="none"/>
          <w:lang w:val="en-US" w:eastAsia="zh-CN"/>
        </w:rPr>
        <w:t xml:space="preserve"> </w:t>
      </w:r>
      <w:r>
        <w:rPr>
          <w:rFonts w:hint="eastAsia" w:ascii="宋体" w:hAnsi="宋体" w:eastAsia="宋体" w:cs="宋体"/>
          <w:iCs/>
          <w:color w:val="auto"/>
          <w:sz w:val="24"/>
          <w:szCs w:val="24"/>
          <w:highlight w:val="none"/>
        </w:rPr>
        <w:sym w:font="Wingdings" w:char="00A8"/>
      </w:r>
      <w:r>
        <w:rPr>
          <w:rFonts w:hint="eastAsia" w:ascii="宋体" w:hAnsi="宋体" w:eastAsia="宋体" w:cs="宋体"/>
          <w:iCs/>
          <w:color w:val="auto"/>
          <w:sz w:val="24"/>
          <w:szCs w:val="24"/>
          <w:highlight w:val="none"/>
          <w:lang w:eastAsia="zh-CN"/>
        </w:rPr>
        <w:t>监狱</w:t>
      </w:r>
      <w:r>
        <w:rPr>
          <w:rFonts w:hint="eastAsia" w:ascii="宋体" w:hAnsi="宋体" w:eastAsia="宋体" w:cs="宋体"/>
          <w:iCs/>
          <w:color w:val="auto"/>
          <w:sz w:val="24"/>
          <w:szCs w:val="24"/>
          <w:highlight w:val="none"/>
        </w:rPr>
        <w:t>企业</w:t>
      </w:r>
      <w:r>
        <w:rPr>
          <w:rFonts w:hint="eastAsia" w:ascii="宋体" w:hAnsi="宋体" w:eastAsia="宋体" w:cs="宋体"/>
          <w:iCs/>
          <w:color w:val="auto"/>
          <w:sz w:val="24"/>
          <w:szCs w:val="24"/>
          <w:highlight w:val="none"/>
          <w:lang w:val="en-US" w:eastAsia="zh-CN"/>
        </w:rPr>
        <w:t xml:space="preserve"> </w:t>
      </w:r>
      <w:r>
        <w:rPr>
          <w:rFonts w:hint="eastAsia" w:ascii="宋体" w:hAnsi="宋体" w:eastAsia="宋体" w:cs="宋体"/>
          <w:iCs/>
          <w:color w:val="auto"/>
          <w:sz w:val="24"/>
          <w:szCs w:val="24"/>
          <w:highlight w:val="none"/>
        </w:rPr>
        <w:sym w:font="Wingdings" w:char="00A8"/>
      </w:r>
      <w:r>
        <w:rPr>
          <w:rFonts w:hint="eastAsia" w:ascii="宋体" w:hAnsi="宋体" w:eastAsia="宋体" w:cs="宋体"/>
          <w:iCs/>
          <w:color w:val="auto"/>
          <w:sz w:val="24"/>
          <w:szCs w:val="24"/>
          <w:highlight w:val="none"/>
          <w:lang w:eastAsia="zh-CN"/>
        </w:rPr>
        <w:t>其他</w:t>
      </w:r>
    </w:p>
    <w:p w14:paraId="365CDB84">
      <w:pPr>
        <w:keepNext w:val="0"/>
        <w:keepLines w:val="0"/>
        <w:pageBreakBefore w:val="0"/>
        <w:widowControl w:val="0"/>
        <w:numPr>
          <w:ilvl w:val="-1"/>
          <w:numId w:val="0"/>
        </w:numPr>
        <w:kinsoku w:val="0"/>
        <w:wordWrap w:val="0"/>
        <w:overflowPunct/>
        <w:topLinePunct w:val="0"/>
        <w:bidi w:val="0"/>
        <w:adjustRightInd w:val="0"/>
        <w:snapToGrid w:val="0"/>
        <w:spacing w:before="0" w:beforeLines="0" w:line="480" w:lineRule="exact"/>
        <w:ind w:left="0" w:leftChars="0" w:firstLine="480" w:firstLineChars="200"/>
        <w:textAlignment w:val="auto"/>
        <w:rPr>
          <w:rFonts w:hint="eastAsia" w:ascii="宋体" w:hAnsi="宋体" w:eastAsia="宋体" w:cs="宋体"/>
          <w:iCs/>
          <w:color w:val="auto"/>
          <w:sz w:val="24"/>
          <w:szCs w:val="24"/>
          <w:highlight w:val="none"/>
        </w:rPr>
      </w:pPr>
      <w:r>
        <w:rPr>
          <w:rFonts w:hint="eastAsia" w:ascii="宋体" w:hAnsi="宋体" w:eastAsia="宋体" w:cs="宋体"/>
          <w:color w:val="auto"/>
          <w:sz w:val="24"/>
          <w:szCs w:val="24"/>
          <w:highlight w:val="none"/>
          <w:u w:val="none"/>
          <w:lang w:val="en-US" w:eastAsia="zh-CN"/>
        </w:rPr>
        <w:t>8.中标（成交）供应商是否为外商投资企业：</w:t>
      </w:r>
      <w:r>
        <w:rPr>
          <w:rFonts w:hint="eastAsia" w:ascii="宋体" w:hAnsi="宋体" w:eastAsia="宋体" w:cs="宋体"/>
          <w:iCs/>
          <w:color w:val="auto"/>
          <w:sz w:val="24"/>
          <w:szCs w:val="24"/>
          <w:highlight w:val="none"/>
        </w:rPr>
        <w:sym w:font="Wingdings" w:char="00A8"/>
      </w:r>
      <w:r>
        <w:rPr>
          <w:rFonts w:hint="eastAsia" w:ascii="宋体" w:hAnsi="宋体" w:eastAsia="宋体" w:cs="宋体"/>
          <w:iCs/>
          <w:color w:val="auto"/>
          <w:sz w:val="24"/>
          <w:szCs w:val="24"/>
          <w:highlight w:val="none"/>
        </w:rPr>
        <w:t xml:space="preserve">是       </w:t>
      </w:r>
      <w:r>
        <w:rPr>
          <w:rFonts w:hint="eastAsia" w:ascii="宋体" w:hAnsi="宋体" w:eastAsia="宋体" w:cs="宋体"/>
          <w:iCs/>
          <w:color w:val="auto"/>
          <w:sz w:val="24"/>
          <w:szCs w:val="24"/>
          <w:highlight w:val="none"/>
        </w:rPr>
        <w:sym w:font="Wingdings" w:char="00A8"/>
      </w:r>
      <w:r>
        <w:rPr>
          <w:rFonts w:hint="eastAsia" w:ascii="宋体" w:hAnsi="宋体" w:eastAsia="宋体" w:cs="宋体"/>
          <w:iCs/>
          <w:color w:val="auto"/>
          <w:sz w:val="24"/>
          <w:szCs w:val="24"/>
          <w:highlight w:val="none"/>
        </w:rPr>
        <w:t>否</w:t>
      </w:r>
    </w:p>
    <w:p w14:paraId="7C1C69BE">
      <w:pPr>
        <w:pStyle w:val="29"/>
        <w:keepNext w:val="0"/>
        <w:keepLines w:val="0"/>
        <w:pageBreakBefore w:val="0"/>
        <w:widowControl w:val="0"/>
        <w:tabs>
          <w:tab w:val="left" w:pos="1340"/>
        </w:tabs>
        <w:kinsoku w:val="0"/>
        <w:wordWrap w:val="0"/>
        <w:overflowPunct/>
        <w:topLinePunct w:val="0"/>
        <w:bidi w:val="0"/>
        <w:adjustRightInd w:val="0"/>
        <w:spacing w:beforeLines="0" w:line="480" w:lineRule="exact"/>
        <w:ind w:left="0" w:leftChars="0" w:firstLine="480" w:firstLineChars="2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none"/>
          <w:lang w:val="en-US" w:eastAsia="zh-CN"/>
        </w:rPr>
        <w:t>外商投资企业类型：</w:t>
      </w:r>
      <w:r>
        <w:rPr>
          <w:rFonts w:hint="eastAsia" w:ascii="宋体" w:hAnsi="宋体" w:eastAsia="宋体" w:cs="宋体"/>
          <w:iCs/>
          <w:color w:val="auto"/>
          <w:sz w:val="24"/>
          <w:szCs w:val="24"/>
          <w:highlight w:val="none"/>
        </w:rPr>
        <w:sym w:font="Wingdings" w:char="00A8"/>
      </w:r>
      <w:r>
        <w:rPr>
          <w:rFonts w:hint="eastAsia" w:ascii="宋体" w:hAnsi="宋体" w:eastAsia="宋体" w:cs="宋体"/>
          <w:color w:val="auto"/>
          <w:sz w:val="24"/>
          <w:szCs w:val="24"/>
          <w:highlight w:val="none"/>
          <w:u w:val="none"/>
          <w:lang w:val="en-US" w:eastAsia="zh-CN"/>
        </w:rPr>
        <w:t xml:space="preserve">全部由外国投资者投资  </w:t>
      </w:r>
      <w:r>
        <w:rPr>
          <w:rFonts w:hint="eastAsia" w:ascii="宋体" w:hAnsi="宋体" w:eastAsia="宋体" w:cs="宋体"/>
          <w:iCs/>
          <w:color w:val="auto"/>
          <w:sz w:val="24"/>
          <w:szCs w:val="24"/>
          <w:highlight w:val="none"/>
        </w:rPr>
        <w:sym w:font="Wingdings" w:char="00A8"/>
      </w:r>
      <w:r>
        <w:rPr>
          <w:rFonts w:hint="eastAsia" w:ascii="宋体" w:hAnsi="宋体" w:eastAsia="宋体" w:cs="宋体"/>
          <w:iCs/>
          <w:color w:val="auto"/>
          <w:sz w:val="24"/>
          <w:szCs w:val="24"/>
          <w:highlight w:val="none"/>
          <w:lang w:val="en-US" w:eastAsia="zh-CN"/>
        </w:rPr>
        <w:t>部分由外国投资者投资</w:t>
      </w:r>
    </w:p>
    <w:p w14:paraId="06D38862">
      <w:pPr>
        <w:keepNext w:val="0"/>
        <w:keepLines w:val="0"/>
        <w:pageBreakBefore w:val="0"/>
        <w:widowControl w:val="0"/>
        <w:numPr>
          <w:ilvl w:val="-1"/>
          <w:numId w:val="0"/>
        </w:numPr>
        <w:kinsoku w:val="0"/>
        <w:wordWrap w:val="0"/>
        <w:overflowPunct/>
        <w:topLinePunct w:val="0"/>
        <w:bidi w:val="0"/>
        <w:adjustRightInd w:val="0"/>
        <w:snapToGrid w:val="0"/>
        <w:spacing w:before="0" w:beforeLines="0" w:line="480" w:lineRule="exact"/>
        <w:ind w:firstLine="480" w:firstLineChars="200"/>
        <w:textAlignment w:val="auto"/>
        <w:rPr>
          <w:rFonts w:hint="eastAsia" w:ascii="宋体" w:hAnsi="宋体" w:eastAsia="宋体" w:cs="宋体"/>
          <w:b w:val="0"/>
          <w:bCs w:val="0"/>
          <w:color w:val="auto"/>
          <w:sz w:val="24"/>
          <w:szCs w:val="24"/>
          <w:highlight w:val="none"/>
          <w:u w:val="none"/>
          <w:lang w:val="en-US" w:eastAsia="zh-CN"/>
        </w:rPr>
      </w:pPr>
      <w:r>
        <w:rPr>
          <w:rFonts w:hint="eastAsia" w:ascii="宋体" w:hAnsi="宋体" w:eastAsia="宋体" w:cs="宋体"/>
          <w:b w:val="0"/>
          <w:bCs w:val="0"/>
          <w:color w:val="auto"/>
          <w:sz w:val="24"/>
          <w:szCs w:val="24"/>
          <w:highlight w:val="none"/>
          <w:u w:val="none"/>
          <w:lang w:val="en-US" w:eastAsia="zh-CN"/>
        </w:rPr>
        <w:t>9.是否涉及进口产品：</w:t>
      </w:r>
    </w:p>
    <w:p w14:paraId="7A5FD271">
      <w:pPr>
        <w:keepNext w:val="0"/>
        <w:keepLines w:val="0"/>
        <w:pageBreakBefore w:val="0"/>
        <w:widowControl w:val="0"/>
        <w:numPr>
          <w:ilvl w:val="-1"/>
          <w:numId w:val="0"/>
        </w:numPr>
        <w:kinsoku w:val="0"/>
        <w:wordWrap w:val="0"/>
        <w:overflowPunct/>
        <w:topLinePunct w:val="0"/>
        <w:bidi w:val="0"/>
        <w:adjustRightInd w:val="0"/>
        <w:snapToGrid w:val="0"/>
        <w:spacing w:before="0" w:beforeLines="0" w:line="480" w:lineRule="exact"/>
        <w:ind w:firstLine="480" w:firstLineChars="200"/>
        <w:textAlignment w:val="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iCs w:val="0"/>
          <w:color w:val="auto"/>
          <w:sz w:val="24"/>
          <w:szCs w:val="24"/>
          <w:highlight w:val="none"/>
        </w:rPr>
        <w:sym w:font="Wingdings" w:char="00A8"/>
      </w:r>
      <w:r>
        <w:rPr>
          <w:rFonts w:hint="eastAsia" w:ascii="宋体" w:hAnsi="宋体" w:eastAsia="宋体" w:cs="宋体"/>
          <w:iCs w:val="0"/>
          <w:color w:val="auto"/>
          <w:sz w:val="24"/>
          <w:szCs w:val="24"/>
          <w:highlight w:val="none"/>
        </w:rPr>
        <w:t>是</w:t>
      </w:r>
      <w:r>
        <w:rPr>
          <w:rFonts w:hint="eastAsia" w:ascii="宋体" w:hAnsi="宋体" w:eastAsia="宋体" w:cs="宋体"/>
          <w:iCs w:val="0"/>
          <w:color w:val="auto"/>
          <w:sz w:val="24"/>
          <w:szCs w:val="24"/>
          <w:highlight w:val="none"/>
          <w:lang w:eastAsia="zh-CN"/>
        </w:rPr>
        <w:t>，《政府采购品目分类目录》底级品目名称</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lang w:val="en-US" w:eastAsia="zh-CN"/>
        </w:rPr>
        <w:t xml:space="preserve"> 金额：</w:t>
      </w:r>
      <w:r>
        <w:rPr>
          <w:rFonts w:hint="eastAsia" w:ascii="宋体" w:hAnsi="宋体" w:eastAsia="宋体" w:cs="宋体"/>
          <w:color w:val="auto"/>
          <w:sz w:val="24"/>
          <w:szCs w:val="24"/>
          <w:highlight w:val="none"/>
          <w:u w:val="single"/>
          <w:lang w:val="en-US" w:eastAsia="zh-CN"/>
        </w:rPr>
        <w:t xml:space="preserve">  /   </w:t>
      </w:r>
    </w:p>
    <w:p w14:paraId="60E2E600">
      <w:pPr>
        <w:keepNext w:val="0"/>
        <w:keepLines w:val="0"/>
        <w:pageBreakBefore w:val="0"/>
        <w:widowControl w:val="0"/>
        <w:numPr>
          <w:ilvl w:val="-1"/>
          <w:numId w:val="0"/>
        </w:numPr>
        <w:kinsoku w:val="0"/>
        <w:wordWrap w:val="0"/>
        <w:overflowPunct/>
        <w:topLinePunct w:val="0"/>
        <w:bidi w:val="0"/>
        <w:adjustRightInd w:val="0"/>
        <w:snapToGrid w:val="0"/>
        <w:spacing w:before="0" w:beforeLines="0" w:line="480" w:lineRule="exact"/>
        <w:ind w:firstLine="480" w:firstLineChars="200"/>
        <w:textAlignment w:val="auto"/>
        <w:rPr>
          <w:rFonts w:hint="eastAsia" w:ascii="宋体" w:hAnsi="宋体" w:eastAsia="宋体" w:cs="宋体"/>
          <w:iCs w:val="0"/>
          <w:color w:val="auto"/>
          <w:sz w:val="24"/>
          <w:szCs w:val="24"/>
          <w:highlight w:val="none"/>
        </w:rPr>
      </w:pPr>
      <w:r>
        <w:rPr>
          <w:rFonts w:hint="eastAsia" w:ascii="宋体" w:hAnsi="宋体" w:eastAsia="宋体" w:cs="宋体"/>
          <w:color w:val="auto"/>
          <w:sz w:val="24"/>
          <w:szCs w:val="24"/>
          <w:highlight w:val="none"/>
          <w:lang w:val="en-US" w:eastAsia="zh-CN"/>
        </w:rPr>
        <w:t xml:space="preserve">        国别：</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lang w:val="en-US" w:eastAsia="zh-CN"/>
        </w:rPr>
        <w:t xml:space="preserve"> 品牌：</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u w:val="none"/>
          <w:lang w:val="en-US" w:eastAsia="zh-CN"/>
        </w:rPr>
        <w:t xml:space="preserve"> 规格型号：</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iCs w:val="0"/>
          <w:color w:val="auto"/>
          <w:sz w:val="24"/>
          <w:szCs w:val="24"/>
          <w:highlight w:val="none"/>
        </w:rPr>
        <w:t xml:space="preserve">      </w:t>
      </w:r>
    </w:p>
    <w:p w14:paraId="0FD64D77">
      <w:pPr>
        <w:keepNext w:val="0"/>
        <w:keepLines w:val="0"/>
        <w:pageBreakBefore w:val="0"/>
        <w:widowControl w:val="0"/>
        <w:kinsoku w:val="0"/>
        <w:wordWrap w:val="0"/>
        <w:overflowPunct/>
        <w:topLinePunct w:val="0"/>
        <w:bidi w:val="0"/>
        <w:adjustRightInd w:val="0"/>
        <w:snapToGrid w:val="0"/>
        <w:spacing w:before="0" w:beforeLines="0" w:line="480" w:lineRule="exact"/>
        <w:ind w:firstLine="480" w:firstLineChars="200"/>
        <w:textAlignment w:val="auto"/>
        <w:rPr>
          <w:rFonts w:hint="eastAsia" w:ascii="宋体" w:hAnsi="宋体" w:eastAsia="宋体" w:cs="宋体"/>
          <w:color w:val="auto"/>
          <w:sz w:val="24"/>
          <w:szCs w:val="24"/>
          <w:highlight w:val="none"/>
          <w:u w:val="none"/>
          <w:lang w:val="en-US" w:eastAsia="zh-CN"/>
        </w:rPr>
      </w:pPr>
      <w:r>
        <w:rPr>
          <w:rFonts w:hint="eastAsia" w:ascii="宋体" w:hAnsi="宋体" w:eastAsia="宋体" w:cs="宋体"/>
          <w:iCs w:val="0"/>
          <w:color w:val="auto"/>
          <w:sz w:val="24"/>
          <w:szCs w:val="24"/>
          <w:highlight w:val="none"/>
        </w:rPr>
        <w:sym w:font="Wingdings" w:char="00FE"/>
      </w:r>
      <w:r>
        <w:rPr>
          <w:rFonts w:hint="eastAsia" w:ascii="宋体" w:hAnsi="宋体" w:eastAsia="宋体" w:cs="宋体"/>
          <w:iCs w:val="0"/>
          <w:color w:val="auto"/>
          <w:sz w:val="24"/>
          <w:szCs w:val="24"/>
          <w:highlight w:val="none"/>
          <w:lang w:eastAsia="zh-CN"/>
        </w:rPr>
        <w:t>否</w:t>
      </w:r>
    </w:p>
    <w:p w14:paraId="44866121">
      <w:pPr>
        <w:keepNext w:val="0"/>
        <w:keepLines w:val="0"/>
        <w:pageBreakBefore w:val="0"/>
        <w:widowControl w:val="0"/>
        <w:numPr>
          <w:ilvl w:val="-1"/>
          <w:numId w:val="0"/>
        </w:numPr>
        <w:tabs>
          <w:tab w:val="left" w:pos="740"/>
        </w:tabs>
        <w:kinsoku w:val="0"/>
        <w:wordWrap w:val="0"/>
        <w:overflowPunct/>
        <w:topLinePunct w:val="0"/>
        <w:bidi w:val="0"/>
        <w:adjustRightInd w:val="0"/>
        <w:snapToGrid w:val="0"/>
        <w:spacing w:before="0" w:beforeLines="0" w:line="480" w:lineRule="exact"/>
        <w:ind w:left="0" w:firstLine="480" w:firstLineChars="200"/>
        <w:textAlignment w:val="auto"/>
        <w:rPr>
          <w:rFonts w:hint="eastAsia" w:ascii="宋体" w:hAnsi="宋体" w:eastAsia="宋体" w:cs="宋体"/>
          <w:b w:val="0"/>
          <w:bCs w:val="0"/>
          <w:color w:val="auto"/>
          <w:sz w:val="24"/>
          <w:szCs w:val="24"/>
          <w:highlight w:val="none"/>
          <w:u w:val="none"/>
          <w:lang w:val="en-US" w:eastAsia="zh-CN"/>
        </w:rPr>
      </w:pPr>
      <w:r>
        <w:rPr>
          <w:rFonts w:hint="eastAsia" w:ascii="宋体" w:hAnsi="宋体" w:eastAsia="宋体" w:cs="宋体"/>
          <w:b w:val="0"/>
          <w:bCs w:val="0"/>
          <w:color w:val="auto"/>
          <w:sz w:val="24"/>
          <w:szCs w:val="24"/>
          <w:highlight w:val="none"/>
          <w:u w:val="none"/>
          <w:lang w:val="en-US" w:eastAsia="zh-CN"/>
        </w:rPr>
        <w:t>10.是否涉及节能产品：</w:t>
      </w:r>
    </w:p>
    <w:p w14:paraId="7699B1AB">
      <w:pPr>
        <w:keepNext w:val="0"/>
        <w:keepLines w:val="0"/>
        <w:pageBreakBefore w:val="0"/>
        <w:widowControl w:val="0"/>
        <w:numPr>
          <w:ilvl w:val="-1"/>
          <w:numId w:val="0"/>
        </w:numPr>
        <w:tabs>
          <w:tab w:val="left" w:pos="740"/>
        </w:tabs>
        <w:kinsoku w:val="0"/>
        <w:wordWrap w:val="0"/>
        <w:overflowPunct/>
        <w:topLinePunct w:val="0"/>
        <w:bidi w:val="0"/>
        <w:adjustRightInd w:val="0"/>
        <w:snapToGrid w:val="0"/>
        <w:spacing w:before="0" w:beforeLines="0" w:line="480" w:lineRule="exact"/>
        <w:ind w:firstLine="480" w:firstLineChars="200"/>
        <w:textAlignment w:val="auto"/>
        <w:rPr>
          <w:rFonts w:hint="eastAsia" w:ascii="宋体" w:hAnsi="宋体" w:eastAsia="宋体" w:cs="宋体"/>
          <w:iCs/>
          <w:color w:val="auto"/>
          <w:sz w:val="24"/>
          <w:szCs w:val="24"/>
          <w:highlight w:val="none"/>
          <w:lang w:val="en-US" w:eastAsia="zh-CN"/>
        </w:rPr>
      </w:pPr>
      <w:r>
        <w:rPr>
          <w:rFonts w:hint="eastAsia" w:ascii="宋体" w:hAnsi="宋体" w:eastAsia="宋体" w:cs="宋体"/>
          <w:iCs w:val="0"/>
          <w:color w:val="auto"/>
          <w:sz w:val="24"/>
          <w:szCs w:val="24"/>
          <w:highlight w:val="none"/>
        </w:rPr>
        <w:sym w:font="Wingdings" w:char="00A8"/>
      </w:r>
      <w:r>
        <w:rPr>
          <w:rFonts w:hint="eastAsia" w:ascii="宋体" w:hAnsi="宋体" w:eastAsia="宋体" w:cs="宋体"/>
          <w:iCs w:val="0"/>
          <w:color w:val="auto"/>
          <w:sz w:val="24"/>
          <w:szCs w:val="24"/>
          <w:highlight w:val="none"/>
        </w:rPr>
        <w:t>是</w:t>
      </w:r>
      <w:r>
        <w:rPr>
          <w:rFonts w:hint="eastAsia" w:ascii="宋体" w:hAnsi="宋体" w:eastAsia="宋体" w:cs="宋体"/>
          <w:iCs w:val="0"/>
          <w:color w:val="auto"/>
          <w:sz w:val="24"/>
          <w:szCs w:val="24"/>
          <w:highlight w:val="none"/>
          <w:lang w:eastAsia="zh-CN"/>
        </w:rPr>
        <w:t>，《节能产品政府采购品目清单》的底级品目名称：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iCs/>
          <w:color w:val="auto"/>
          <w:sz w:val="24"/>
          <w:szCs w:val="24"/>
          <w:highlight w:val="none"/>
          <w:lang w:val="en-US" w:eastAsia="zh-CN"/>
        </w:rPr>
        <w:t xml:space="preserve">     </w:t>
      </w:r>
    </w:p>
    <w:p w14:paraId="6E521FAC">
      <w:pPr>
        <w:keepNext w:val="0"/>
        <w:keepLines w:val="0"/>
        <w:pageBreakBefore w:val="0"/>
        <w:widowControl w:val="0"/>
        <w:numPr>
          <w:ilvl w:val="-1"/>
          <w:numId w:val="0"/>
        </w:numPr>
        <w:tabs>
          <w:tab w:val="left" w:pos="740"/>
        </w:tabs>
        <w:kinsoku w:val="0"/>
        <w:wordWrap w:val="0"/>
        <w:overflowPunct/>
        <w:topLinePunct w:val="0"/>
        <w:bidi w:val="0"/>
        <w:adjustRightInd w:val="0"/>
        <w:snapToGrid w:val="0"/>
        <w:spacing w:before="0" w:beforeLines="0" w:line="480" w:lineRule="exact"/>
        <w:ind w:firstLine="480" w:firstLineChars="200"/>
        <w:textAlignment w:val="auto"/>
        <w:rPr>
          <w:rFonts w:hint="eastAsia" w:ascii="宋体" w:hAnsi="宋体" w:eastAsia="宋体" w:cs="宋体"/>
          <w:iCs/>
          <w:color w:val="auto"/>
          <w:sz w:val="24"/>
          <w:szCs w:val="24"/>
          <w:highlight w:val="none"/>
          <w:lang w:val="en-US" w:eastAsia="zh-CN"/>
        </w:rPr>
      </w:pPr>
      <w:r>
        <w:rPr>
          <w:rFonts w:hint="eastAsia" w:ascii="宋体" w:hAnsi="宋体" w:eastAsia="宋体" w:cs="宋体"/>
          <w:iCs/>
          <w:color w:val="auto"/>
          <w:sz w:val="24"/>
          <w:szCs w:val="24"/>
          <w:highlight w:val="none"/>
        </w:rPr>
        <w:sym w:font="Wingdings" w:char="00A8"/>
      </w:r>
      <w:r>
        <w:rPr>
          <w:rFonts w:hint="eastAsia" w:ascii="宋体" w:hAnsi="宋体" w:eastAsia="宋体" w:cs="宋体"/>
          <w:iCs/>
          <w:color w:val="auto"/>
          <w:sz w:val="24"/>
          <w:szCs w:val="24"/>
          <w:highlight w:val="none"/>
          <w:lang w:eastAsia="zh-CN"/>
        </w:rPr>
        <w:t>强制采购</w:t>
      </w:r>
      <w:r>
        <w:rPr>
          <w:rFonts w:hint="eastAsia" w:ascii="宋体" w:hAnsi="宋体" w:eastAsia="宋体" w:cs="宋体"/>
          <w:iCs/>
          <w:color w:val="auto"/>
          <w:sz w:val="24"/>
          <w:szCs w:val="24"/>
          <w:highlight w:val="none"/>
          <w:lang w:val="en-US" w:eastAsia="zh-CN"/>
        </w:rPr>
        <w:t xml:space="preserve">       </w:t>
      </w:r>
      <w:r>
        <w:rPr>
          <w:rFonts w:hint="eastAsia" w:ascii="宋体" w:hAnsi="宋体" w:eastAsia="宋体" w:cs="宋体"/>
          <w:iCs/>
          <w:color w:val="auto"/>
          <w:sz w:val="24"/>
          <w:szCs w:val="24"/>
          <w:highlight w:val="none"/>
        </w:rPr>
        <w:sym w:font="Wingdings" w:char="00A8"/>
      </w:r>
      <w:r>
        <w:rPr>
          <w:rFonts w:hint="eastAsia" w:ascii="宋体" w:hAnsi="宋体" w:eastAsia="宋体" w:cs="宋体"/>
          <w:iCs/>
          <w:color w:val="auto"/>
          <w:sz w:val="24"/>
          <w:szCs w:val="24"/>
          <w:highlight w:val="none"/>
          <w:lang w:eastAsia="zh-CN"/>
        </w:rPr>
        <w:t>优先采购</w:t>
      </w:r>
      <w:r>
        <w:rPr>
          <w:rFonts w:hint="eastAsia" w:ascii="宋体" w:hAnsi="宋体" w:eastAsia="宋体" w:cs="宋体"/>
          <w:iCs/>
          <w:color w:val="auto"/>
          <w:sz w:val="24"/>
          <w:szCs w:val="24"/>
          <w:highlight w:val="none"/>
          <w:lang w:val="en-US" w:eastAsia="zh-CN"/>
        </w:rPr>
        <w:t xml:space="preserve">    </w:t>
      </w:r>
    </w:p>
    <w:p w14:paraId="3A3DC276">
      <w:pPr>
        <w:keepNext w:val="0"/>
        <w:keepLines w:val="0"/>
        <w:pageBreakBefore w:val="0"/>
        <w:widowControl w:val="0"/>
        <w:numPr>
          <w:ilvl w:val="-1"/>
          <w:numId w:val="0"/>
        </w:numPr>
        <w:tabs>
          <w:tab w:val="left" w:pos="740"/>
        </w:tabs>
        <w:kinsoku w:val="0"/>
        <w:wordWrap w:val="0"/>
        <w:overflowPunct/>
        <w:topLinePunct w:val="0"/>
        <w:bidi w:val="0"/>
        <w:adjustRightInd w:val="0"/>
        <w:snapToGrid w:val="0"/>
        <w:spacing w:before="0" w:beforeLines="0" w:line="480" w:lineRule="exact"/>
        <w:ind w:firstLine="480" w:firstLineChars="200"/>
        <w:textAlignment w:val="auto"/>
        <w:rPr>
          <w:rFonts w:hint="eastAsia" w:ascii="宋体" w:hAnsi="宋体" w:eastAsia="宋体" w:cs="宋体"/>
          <w:iCs w:val="0"/>
          <w:color w:val="auto"/>
          <w:sz w:val="24"/>
          <w:szCs w:val="24"/>
          <w:highlight w:val="none"/>
        </w:rPr>
      </w:pPr>
      <w:r>
        <w:rPr>
          <w:rFonts w:hint="eastAsia" w:ascii="宋体" w:hAnsi="宋体" w:eastAsia="宋体" w:cs="宋体"/>
          <w:iCs w:val="0"/>
          <w:color w:val="auto"/>
          <w:sz w:val="24"/>
          <w:szCs w:val="24"/>
          <w:highlight w:val="none"/>
        </w:rPr>
        <w:sym w:font="Wingdings" w:char="00A8"/>
      </w:r>
      <w:r>
        <w:rPr>
          <w:rFonts w:hint="eastAsia" w:ascii="宋体" w:hAnsi="宋体" w:eastAsia="宋体" w:cs="宋体"/>
          <w:iCs w:val="0"/>
          <w:color w:val="auto"/>
          <w:sz w:val="24"/>
          <w:szCs w:val="24"/>
          <w:highlight w:val="none"/>
        </w:rPr>
        <w:t>否</w:t>
      </w:r>
    </w:p>
    <w:p w14:paraId="46745DB8">
      <w:pPr>
        <w:keepNext w:val="0"/>
        <w:keepLines w:val="0"/>
        <w:pageBreakBefore w:val="0"/>
        <w:widowControl w:val="0"/>
        <w:numPr>
          <w:ilvl w:val="-1"/>
          <w:numId w:val="0"/>
        </w:numPr>
        <w:tabs>
          <w:tab w:val="left" w:pos="740"/>
        </w:tabs>
        <w:kinsoku w:val="0"/>
        <w:wordWrap w:val="0"/>
        <w:overflowPunct/>
        <w:topLinePunct w:val="0"/>
        <w:bidi w:val="0"/>
        <w:adjustRightInd w:val="0"/>
        <w:snapToGrid w:val="0"/>
        <w:spacing w:before="0" w:beforeLines="0" w:line="480" w:lineRule="exact"/>
        <w:ind w:firstLine="480" w:firstLineChars="200"/>
        <w:textAlignment w:val="auto"/>
        <w:rPr>
          <w:rFonts w:hint="eastAsia" w:ascii="宋体" w:hAnsi="宋体" w:eastAsia="宋体" w:cs="宋体"/>
          <w:b w:val="0"/>
          <w:bCs w:val="0"/>
          <w:color w:val="auto"/>
          <w:sz w:val="24"/>
          <w:szCs w:val="24"/>
          <w:highlight w:val="none"/>
          <w:u w:val="none"/>
          <w:lang w:val="en-US" w:eastAsia="zh-CN"/>
        </w:rPr>
      </w:pPr>
      <w:r>
        <w:rPr>
          <w:rFonts w:hint="eastAsia" w:ascii="宋体" w:hAnsi="宋体" w:eastAsia="宋体" w:cs="宋体"/>
          <w:b w:val="0"/>
          <w:bCs w:val="0"/>
          <w:color w:val="auto"/>
          <w:sz w:val="24"/>
          <w:szCs w:val="24"/>
          <w:highlight w:val="none"/>
          <w:u w:val="none"/>
          <w:lang w:val="en-US" w:eastAsia="zh-CN"/>
        </w:rPr>
        <w:t>是否涉及环境标志产品：</w:t>
      </w:r>
    </w:p>
    <w:p w14:paraId="1647EC12">
      <w:pPr>
        <w:keepNext w:val="0"/>
        <w:keepLines w:val="0"/>
        <w:pageBreakBefore w:val="0"/>
        <w:widowControl w:val="0"/>
        <w:numPr>
          <w:ilvl w:val="-1"/>
          <w:numId w:val="0"/>
        </w:numPr>
        <w:tabs>
          <w:tab w:val="left" w:pos="740"/>
        </w:tabs>
        <w:kinsoku w:val="0"/>
        <w:wordWrap w:val="0"/>
        <w:overflowPunct/>
        <w:topLinePunct w:val="0"/>
        <w:bidi w:val="0"/>
        <w:adjustRightInd w:val="0"/>
        <w:snapToGrid w:val="0"/>
        <w:spacing w:before="0" w:beforeLines="0" w:line="480" w:lineRule="exact"/>
        <w:ind w:firstLine="480" w:firstLineChars="200"/>
        <w:textAlignment w:val="auto"/>
        <w:rPr>
          <w:rFonts w:hint="eastAsia" w:ascii="宋体" w:hAnsi="宋体" w:eastAsia="宋体" w:cs="宋体"/>
          <w:iCs w:val="0"/>
          <w:color w:val="auto"/>
          <w:sz w:val="24"/>
          <w:szCs w:val="24"/>
          <w:highlight w:val="none"/>
          <w:lang w:eastAsia="zh-CN"/>
        </w:rPr>
      </w:pPr>
      <w:r>
        <w:rPr>
          <w:rFonts w:hint="eastAsia" w:ascii="宋体" w:hAnsi="宋体" w:eastAsia="宋体" w:cs="宋体"/>
          <w:iCs w:val="0"/>
          <w:color w:val="auto"/>
          <w:sz w:val="24"/>
          <w:szCs w:val="24"/>
          <w:highlight w:val="none"/>
        </w:rPr>
        <w:sym w:font="Wingdings" w:char="00A8"/>
      </w:r>
      <w:r>
        <w:rPr>
          <w:rFonts w:hint="eastAsia" w:ascii="宋体" w:hAnsi="宋体" w:eastAsia="宋体" w:cs="宋体"/>
          <w:iCs w:val="0"/>
          <w:color w:val="auto"/>
          <w:sz w:val="24"/>
          <w:szCs w:val="24"/>
          <w:highlight w:val="none"/>
        </w:rPr>
        <w:t>是</w:t>
      </w:r>
      <w:r>
        <w:rPr>
          <w:rFonts w:hint="eastAsia" w:ascii="宋体" w:hAnsi="宋体" w:eastAsia="宋体" w:cs="宋体"/>
          <w:iCs w:val="0"/>
          <w:color w:val="auto"/>
          <w:sz w:val="24"/>
          <w:szCs w:val="24"/>
          <w:highlight w:val="none"/>
          <w:lang w:eastAsia="zh-CN"/>
        </w:rPr>
        <w:t>，《环境标志产品政府采购品目清单》的底级品目名称：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iCs/>
          <w:color w:val="auto"/>
          <w:sz w:val="24"/>
          <w:szCs w:val="24"/>
          <w:highlight w:val="none"/>
          <w:lang w:val="en-US" w:eastAsia="zh-CN"/>
        </w:rPr>
        <w:t xml:space="preserve"> </w:t>
      </w:r>
    </w:p>
    <w:p w14:paraId="3434277D">
      <w:pPr>
        <w:keepNext w:val="0"/>
        <w:keepLines w:val="0"/>
        <w:pageBreakBefore w:val="0"/>
        <w:widowControl w:val="0"/>
        <w:numPr>
          <w:ilvl w:val="-1"/>
          <w:numId w:val="0"/>
        </w:numPr>
        <w:tabs>
          <w:tab w:val="left" w:pos="740"/>
        </w:tabs>
        <w:kinsoku w:val="0"/>
        <w:wordWrap w:val="0"/>
        <w:overflowPunct/>
        <w:topLinePunct w:val="0"/>
        <w:bidi w:val="0"/>
        <w:adjustRightInd w:val="0"/>
        <w:snapToGrid w:val="0"/>
        <w:spacing w:before="0" w:beforeLines="0" w:line="480" w:lineRule="exact"/>
        <w:ind w:firstLine="480" w:firstLineChars="200"/>
        <w:textAlignment w:val="auto"/>
        <w:rPr>
          <w:rFonts w:hint="eastAsia" w:ascii="宋体" w:hAnsi="宋体" w:eastAsia="宋体" w:cs="宋体"/>
          <w:iCs/>
          <w:color w:val="auto"/>
          <w:sz w:val="24"/>
          <w:szCs w:val="24"/>
          <w:highlight w:val="none"/>
          <w:lang w:val="en-US" w:eastAsia="zh-CN"/>
        </w:rPr>
      </w:pPr>
      <w:r>
        <w:rPr>
          <w:rFonts w:hint="eastAsia" w:ascii="宋体" w:hAnsi="宋体" w:eastAsia="宋体" w:cs="宋体"/>
          <w:iCs/>
          <w:color w:val="auto"/>
          <w:sz w:val="24"/>
          <w:szCs w:val="24"/>
          <w:highlight w:val="none"/>
        </w:rPr>
        <w:sym w:font="Wingdings" w:char="00A8"/>
      </w:r>
      <w:r>
        <w:rPr>
          <w:rFonts w:hint="eastAsia" w:ascii="宋体" w:hAnsi="宋体" w:eastAsia="宋体" w:cs="宋体"/>
          <w:iCs/>
          <w:color w:val="auto"/>
          <w:sz w:val="24"/>
          <w:szCs w:val="24"/>
          <w:highlight w:val="none"/>
          <w:lang w:eastAsia="zh-CN"/>
        </w:rPr>
        <w:t>强制采购</w:t>
      </w:r>
      <w:r>
        <w:rPr>
          <w:rFonts w:hint="eastAsia" w:ascii="宋体" w:hAnsi="宋体" w:eastAsia="宋体" w:cs="宋体"/>
          <w:iCs/>
          <w:color w:val="auto"/>
          <w:sz w:val="24"/>
          <w:szCs w:val="24"/>
          <w:highlight w:val="none"/>
          <w:lang w:val="en-US" w:eastAsia="zh-CN"/>
        </w:rPr>
        <w:t xml:space="preserve">       </w:t>
      </w:r>
      <w:r>
        <w:rPr>
          <w:rFonts w:hint="eastAsia" w:ascii="宋体" w:hAnsi="宋体" w:eastAsia="宋体" w:cs="宋体"/>
          <w:iCs/>
          <w:color w:val="auto"/>
          <w:sz w:val="24"/>
          <w:szCs w:val="24"/>
          <w:highlight w:val="none"/>
        </w:rPr>
        <w:sym w:font="Wingdings" w:char="00A8"/>
      </w:r>
      <w:r>
        <w:rPr>
          <w:rFonts w:hint="eastAsia" w:ascii="宋体" w:hAnsi="宋体" w:eastAsia="宋体" w:cs="宋体"/>
          <w:iCs/>
          <w:color w:val="auto"/>
          <w:sz w:val="24"/>
          <w:szCs w:val="24"/>
          <w:highlight w:val="none"/>
          <w:lang w:eastAsia="zh-CN"/>
        </w:rPr>
        <w:t>优先采购</w:t>
      </w:r>
      <w:r>
        <w:rPr>
          <w:rFonts w:hint="eastAsia" w:ascii="宋体" w:hAnsi="宋体" w:eastAsia="宋体" w:cs="宋体"/>
          <w:iCs/>
          <w:color w:val="auto"/>
          <w:sz w:val="24"/>
          <w:szCs w:val="24"/>
          <w:highlight w:val="none"/>
          <w:lang w:val="en-US" w:eastAsia="zh-CN"/>
        </w:rPr>
        <w:t xml:space="preserve">    </w:t>
      </w:r>
    </w:p>
    <w:p w14:paraId="2A78AE31">
      <w:pPr>
        <w:keepNext w:val="0"/>
        <w:keepLines w:val="0"/>
        <w:pageBreakBefore w:val="0"/>
        <w:widowControl w:val="0"/>
        <w:numPr>
          <w:ilvl w:val="-1"/>
          <w:numId w:val="0"/>
        </w:numPr>
        <w:tabs>
          <w:tab w:val="left" w:pos="740"/>
        </w:tabs>
        <w:kinsoku w:val="0"/>
        <w:wordWrap w:val="0"/>
        <w:overflowPunct/>
        <w:topLinePunct w:val="0"/>
        <w:bidi w:val="0"/>
        <w:adjustRightInd w:val="0"/>
        <w:snapToGrid w:val="0"/>
        <w:spacing w:before="0" w:beforeLines="0" w:line="480" w:lineRule="exact"/>
        <w:ind w:firstLine="480" w:firstLineChars="200"/>
        <w:textAlignment w:val="auto"/>
        <w:rPr>
          <w:rFonts w:hint="eastAsia" w:ascii="宋体" w:hAnsi="宋体" w:eastAsia="宋体" w:cs="宋体"/>
          <w:b w:val="0"/>
          <w:bCs w:val="0"/>
          <w:color w:val="auto"/>
          <w:sz w:val="24"/>
          <w:szCs w:val="24"/>
          <w:highlight w:val="none"/>
          <w:u w:val="none"/>
          <w:lang w:val="en-US" w:eastAsia="zh-CN"/>
        </w:rPr>
      </w:pPr>
      <w:r>
        <w:rPr>
          <w:rFonts w:hint="eastAsia" w:ascii="宋体" w:hAnsi="宋体" w:eastAsia="宋体" w:cs="宋体"/>
          <w:iCs w:val="0"/>
          <w:color w:val="auto"/>
          <w:sz w:val="24"/>
          <w:szCs w:val="24"/>
          <w:highlight w:val="none"/>
        </w:rPr>
        <w:sym w:font="Wingdings" w:char="00A8"/>
      </w:r>
      <w:r>
        <w:rPr>
          <w:rFonts w:hint="eastAsia" w:ascii="宋体" w:hAnsi="宋体" w:eastAsia="宋体" w:cs="宋体"/>
          <w:iCs w:val="0"/>
          <w:color w:val="auto"/>
          <w:sz w:val="24"/>
          <w:szCs w:val="24"/>
          <w:highlight w:val="none"/>
        </w:rPr>
        <w:t>否</w:t>
      </w:r>
    </w:p>
    <w:p w14:paraId="464AEA0C">
      <w:pPr>
        <w:pStyle w:val="29"/>
        <w:keepNext w:val="0"/>
        <w:keepLines w:val="0"/>
        <w:pageBreakBefore w:val="0"/>
        <w:widowControl w:val="0"/>
        <w:numPr>
          <w:ilvl w:val="-1"/>
          <w:numId w:val="0"/>
        </w:numPr>
        <w:kinsoku w:val="0"/>
        <w:wordWrap w:val="0"/>
        <w:overflowPunct/>
        <w:topLinePunct w:val="0"/>
        <w:bidi w:val="0"/>
        <w:adjustRightInd w:val="0"/>
        <w:snapToGrid w:val="0"/>
        <w:spacing w:before="0" w:beforeLines="0" w:line="480" w:lineRule="exact"/>
        <w:ind w:firstLine="480" w:firstLineChars="200"/>
        <w:textAlignment w:val="auto"/>
        <w:rPr>
          <w:rFonts w:hint="eastAsia" w:ascii="宋体" w:hAnsi="宋体" w:eastAsia="宋体" w:cs="宋体"/>
          <w:iCs w:val="0"/>
          <w:color w:val="auto"/>
          <w:kern w:val="2"/>
          <w:sz w:val="24"/>
          <w:szCs w:val="24"/>
          <w:highlight w:val="none"/>
          <w:u w:val="none"/>
          <w:lang w:val="en-US" w:eastAsia="zh-CN"/>
        </w:rPr>
      </w:pPr>
      <w:r>
        <w:rPr>
          <w:rFonts w:hint="eastAsia" w:ascii="宋体" w:hAnsi="宋体" w:eastAsia="宋体" w:cs="宋体"/>
          <w:b w:val="0"/>
          <w:bCs w:val="0"/>
          <w:color w:val="auto"/>
          <w:kern w:val="2"/>
          <w:sz w:val="24"/>
          <w:szCs w:val="24"/>
          <w:highlight w:val="none"/>
          <w:u w:val="none"/>
          <w:lang w:val="en-US" w:eastAsia="zh-CN"/>
        </w:rPr>
        <w:t>是否涉及绿色产品：</w:t>
      </w:r>
      <w:r>
        <w:rPr>
          <w:rFonts w:hint="eastAsia" w:ascii="宋体" w:hAnsi="宋体" w:eastAsia="宋体" w:cs="宋体"/>
          <w:iCs w:val="0"/>
          <w:color w:val="auto"/>
          <w:kern w:val="2"/>
          <w:sz w:val="24"/>
          <w:szCs w:val="24"/>
          <w:highlight w:val="none"/>
          <w:u w:val="none"/>
          <w:lang w:val="en-US" w:eastAsia="zh-CN"/>
        </w:rPr>
        <w:t xml:space="preserve"> </w:t>
      </w:r>
    </w:p>
    <w:p w14:paraId="66154078">
      <w:pPr>
        <w:pStyle w:val="29"/>
        <w:keepNext w:val="0"/>
        <w:keepLines w:val="0"/>
        <w:pageBreakBefore w:val="0"/>
        <w:widowControl w:val="0"/>
        <w:kinsoku w:val="0"/>
        <w:wordWrap w:val="0"/>
        <w:overflowPunct/>
        <w:topLinePunct w:val="0"/>
        <w:bidi w:val="0"/>
        <w:adjustRightInd w:val="0"/>
        <w:spacing w:beforeLines="0" w:line="480" w:lineRule="exact"/>
        <w:ind w:left="0" w:leftChars="0" w:firstLine="480" w:firstLineChars="200"/>
        <w:textAlignment w:val="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iCs w:val="0"/>
          <w:color w:val="auto"/>
          <w:kern w:val="2"/>
          <w:sz w:val="24"/>
          <w:szCs w:val="24"/>
          <w:highlight w:val="none"/>
          <w:u w:val="none"/>
        </w:rPr>
        <w:sym w:font="Wingdings" w:char="00A8"/>
      </w:r>
      <w:r>
        <w:rPr>
          <w:rFonts w:hint="eastAsia" w:ascii="宋体" w:hAnsi="宋体" w:eastAsia="宋体" w:cs="宋体"/>
          <w:iCs w:val="0"/>
          <w:color w:val="auto"/>
          <w:kern w:val="2"/>
          <w:sz w:val="24"/>
          <w:szCs w:val="24"/>
          <w:highlight w:val="none"/>
          <w:u w:val="none"/>
        </w:rPr>
        <w:t>是</w:t>
      </w:r>
      <w:r>
        <w:rPr>
          <w:rFonts w:hint="eastAsia" w:ascii="宋体" w:hAnsi="宋体" w:eastAsia="宋体" w:cs="宋体"/>
          <w:iCs w:val="0"/>
          <w:color w:val="auto"/>
          <w:kern w:val="2"/>
          <w:sz w:val="24"/>
          <w:szCs w:val="24"/>
          <w:highlight w:val="none"/>
          <w:u w:val="none"/>
          <w:lang w:eastAsia="zh-CN"/>
        </w:rPr>
        <w:t>，绿色产品政府采购相关政策确定的底级品目名称：</w:t>
      </w:r>
      <w:r>
        <w:rPr>
          <w:rFonts w:hint="eastAsia" w:ascii="宋体" w:hAnsi="宋体" w:eastAsia="宋体" w:cs="宋体"/>
          <w:color w:val="auto"/>
          <w:sz w:val="24"/>
          <w:szCs w:val="24"/>
          <w:highlight w:val="none"/>
          <w:u w:val="single"/>
          <w:lang w:val="en-US" w:eastAsia="zh-CN"/>
        </w:rPr>
        <w:t xml:space="preserve">         </w:t>
      </w:r>
    </w:p>
    <w:p w14:paraId="67024214">
      <w:pPr>
        <w:pStyle w:val="29"/>
        <w:keepNext w:val="0"/>
        <w:keepLines w:val="0"/>
        <w:pageBreakBefore w:val="0"/>
        <w:widowControl w:val="0"/>
        <w:kinsoku w:val="0"/>
        <w:wordWrap w:val="0"/>
        <w:overflowPunct/>
        <w:topLinePunct w:val="0"/>
        <w:bidi w:val="0"/>
        <w:adjustRightInd w:val="0"/>
        <w:spacing w:beforeLines="0" w:line="480" w:lineRule="exact"/>
        <w:ind w:left="0" w:leftChars="0" w:firstLine="480" w:firstLineChars="200"/>
        <w:textAlignment w:val="auto"/>
        <w:rPr>
          <w:rFonts w:hint="eastAsia" w:ascii="宋体" w:hAnsi="宋体" w:eastAsia="宋体" w:cs="宋体"/>
          <w:iCs/>
          <w:color w:val="auto"/>
          <w:sz w:val="24"/>
          <w:szCs w:val="24"/>
          <w:highlight w:val="none"/>
          <w:lang w:val="en-US" w:eastAsia="zh-CN"/>
        </w:rPr>
      </w:pPr>
      <w:r>
        <w:rPr>
          <w:rFonts w:hint="eastAsia" w:ascii="宋体" w:hAnsi="宋体" w:eastAsia="宋体" w:cs="宋体"/>
          <w:iCs/>
          <w:color w:val="auto"/>
          <w:sz w:val="24"/>
          <w:szCs w:val="24"/>
          <w:highlight w:val="none"/>
        </w:rPr>
        <w:sym w:font="Wingdings" w:char="00A8"/>
      </w:r>
      <w:r>
        <w:rPr>
          <w:rFonts w:hint="eastAsia" w:ascii="宋体" w:hAnsi="宋体" w:eastAsia="宋体" w:cs="宋体"/>
          <w:iCs/>
          <w:color w:val="auto"/>
          <w:sz w:val="24"/>
          <w:szCs w:val="24"/>
          <w:highlight w:val="none"/>
          <w:lang w:eastAsia="zh-CN"/>
        </w:rPr>
        <w:t>强制采购</w:t>
      </w:r>
      <w:r>
        <w:rPr>
          <w:rFonts w:hint="eastAsia" w:ascii="宋体" w:hAnsi="宋体" w:eastAsia="宋体" w:cs="宋体"/>
          <w:iCs/>
          <w:color w:val="auto"/>
          <w:sz w:val="24"/>
          <w:szCs w:val="24"/>
          <w:highlight w:val="none"/>
          <w:lang w:val="en-US" w:eastAsia="zh-CN"/>
        </w:rPr>
        <w:t xml:space="preserve">       </w:t>
      </w:r>
      <w:r>
        <w:rPr>
          <w:rFonts w:hint="eastAsia" w:ascii="宋体" w:hAnsi="宋体" w:eastAsia="宋体" w:cs="宋体"/>
          <w:iCs/>
          <w:color w:val="auto"/>
          <w:sz w:val="24"/>
          <w:szCs w:val="24"/>
          <w:highlight w:val="none"/>
        </w:rPr>
        <w:sym w:font="Wingdings" w:char="00A8"/>
      </w:r>
      <w:r>
        <w:rPr>
          <w:rFonts w:hint="eastAsia" w:ascii="宋体" w:hAnsi="宋体" w:eastAsia="宋体" w:cs="宋体"/>
          <w:iCs/>
          <w:color w:val="auto"/>
          <w:sz w:val="24"/>
          <w:szCs w:val="24"/>
          <w:highlight w:val="none"/>
          <w:lang w:eastAsia="zh-CN"/>
        </w:rPr>
        <w:t>优先采购</w:t>
      </w:r>
      <w:r>
        <w:rPr>
          <w:rFonts w:hint="eastAsia" w:ascii="宋体" w:hAnsi="宋体" w:eastAsia="宋体" w:cs="宋体"/>
          <w:iCs/>
          <w:color w:val="auto"/>
          <w:sz w:val="24"/>
          <w:szCs w:val="24"/>
          <w:highlight w:val="none"/>
          <w:lang w:val="en-US" w:eastAsia="zh-CN"/>
        </w:rPr>
        <w:t xml:space="preserve">    </w:t>
      </w:r>
    </w:p>
    <w:p w14:paraId="582CFF5F">
      <w:pPr>
        <w:pStyle w:val="29"/>
        <w:keepNext w:val="0"/>
        <w:keepLines w:val="0"/>
        <w:pageBreakBefore w:val="0"/>
        <w:widowControl w:val="0"/>
        <w:kinsoku w:val="0"/>
        <w:wordWrap w:val="0"/>
        <w:overflowPunct/>
        <w:topLinePunct w:val="0"/>
        <w:bidi w:val="0"/>
        <w:adjustRightInd w:val="0"/>
        <w:spacing w:beforeLines="0" w:line="480" w:lineRule="exact"/>
        <w:ind w:left="0" w:leftChars="0" w:firstLine="480" w:firstLineChars="200"/>
        <w:textAlignment w:val="auto"/>
        <w:rPr>
          <w:rFonts w:hint="eastAsia" w:ascii="宋体" w:hAnsi="宋体" w:eastAsia="宋体" w:cs="宋体"/>
          <w:b w:val="0"/>
          <w:bCs w:val="0"/>
          <w:color w:val="auto"/>
          <w:sz w:val="24"/>
          <w:szCs w:val="24"/>
          <w:highlight w:val="none"/>
          <w:u w:val="none"/>
          <w:lang w:val="en-US" w:eastAsia="zh-CN"/>
        </w:rPr>
      </w:pPr>
      <w:r>
        <w:rPr>
          <w:rFonts w:hint="eastAsia" w:ascii="宋体" w:hAnsi="宋体" w:eastAsia="宋体" w:cs="宋体"/>
          <w:iCs w:val="0"/>
          <w:color w:val="auto"/>
          <w:kern w:val="2"/>
          <w:sz w:val="24"/>
          <w:szCs w:val="24"/>
          <w:highlight w:val="none"/>
          <w:u w:val="none"/>
        </w:rPr>
        <w:sym w:font="Wingdings" w:char="00A8"/>
      </w:r>
      <w:r>
        <w:rPr>
          <w:rFonts w:hint="eastAsia" w:ascii="宋体" w:hAnsi="宋体" w:eastAsia="宋体" w:cs="宋体"/>
          <w:iCs w:val="0"/>
          <w:color w:val="auto"/>
          <w:kern w:val="2"/>
          <w:sz w:val="24"/>
          <w:szCs w:val="24"/>
          <w:highlight w:val="none"/>
          <w:u w:val="none"/>
        </w:rPr>
        <w:t>否</w:t>
      </w:r>
    </w:p>
    <w:p w14:paraId="571C1DE6">
      <w:pPr>
        <w:keepNext w:val="0"/>
        <w:keepLines w:val="0"/>
        <w:pageBreakBefore w:val="0"/>
        <w:widowControl w:val="0"/>
        <w:numPr>
          <w:ilvl w:val="-1"/>
          <w:numId w:val="0"/>
        </w:numPr>
        <w:kinsoku w:val="0"/>
        <w:wordWrap w:val="0"/>
        <w:overflowPunct/>
        <w:topLinePunct w:val="0"/>
        <w:autoSpaceDE/>
        <w:autoSpaceDN/>
        <w:bidi w:val="0"/>
        <w:adjustRightInd w:val="0"/>
        <w:snapToGrid w:val="0"/>
        <w:spacing w:before="0" w:beforeLines="0" w:line="48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11.涉及商品包装和快递包装的，是否参考</w:t>
      </w:r>
      <w:r>
        <w:rPr>
          <w:rFonts w:hint="eastAsia" w:ascii="宋体" w:hAnsi="宋体" w:eastAsia="宋体" w:cs="宋体"/>
          <w:color w:val="auto"/>
          <w:sz w:val="24"/>
          <w:szCs w:val="24"/>
          <w:highlight w:val="none"/>
        </w:rPr>
        <w:t>《商品包装政府采购需求标准（试行）》、《快递包装政府采购需求标准（试行）》</w:t>
      </w:r>
      <w:r>
        <w:rPr>
          <w:rFonts w:hint="eastAsia" w:ascii="宋体" w:hAnsi="宋体" w:eastAsia="宋体" w:cs="宋体"/>
          <w:color w:val="auto"/>
          <w:sz w:val="24"/>
          <w:szCs w:val="24"/>
          <w:highlight w:val="none"/>
          <w:lang w:eastAsia="zh-CN"/>
        </w:rPr>
        <w:t>明确产品及相关快递服务的具体包装要求：</w:t>
      </w:r>
    </w:p>
    <w:p w14:paraId="43C13A00">
      <w:pPr>
        <w:keepNext w:val="0"/>
        <w:keepLines w:val="0"/>
        <w:pageBreakBefore w:val="0"/>
        <w:widowControl w:val="0"/>
        <w:numPr>
          <w:ilvl w:val="-1"/>
          <w:numId w:val="0"/>
        </w:numPr>
        <w:kinsoku w:val="0"/>
        <w:wordWrap w:val="0"/>
        <w:overflowPunct/>
        <w:topLinePunct w:val="0"/>
        <w:autoSpaceDE/>
        <w:autoSpaceDN/>
        <w:bidi w:val="0"/>
        <w:adjustRightInd w:val="0"/>
        <w:snapToGrid w:val="0"/>
        <w:spacing w:before="0" w:beforeLines="0" w:line="480" w:lineRule="exact"/>
        <w:ind w:firstLine="480" w:firstLineChars="200"/>
        <w:textAlignment w:val="auto"/>
        <w:rPr>
          <w:rFonts w:hint="eastAsia" w:ascii="宋体" w:hAnsi="宋体" w:eastAsia="宋体" w:cs="宋体"/>
          <w:iCs w:val="0"/>
          <w:color w:val="auto"/>
          <w:sz w:val="24"/>
          <w:szCs w:val="24"/>
          <w:highlight w:val="none"/>
          <w:lang w:val="en-US" w:eastAsia="zh-CN"/>
        </w:rPr>
      </w:pPr>
      <w:r>
        <w:rPr>
          <w:rFonts w:hint="eastAsia" w:ascii="宋体" w:hAnsi="宋体" w:eastAsia="宋体" w:cs="宋体"/>
          <w:iCs w:val="0"/>
          <w:color w:val="auto"/>
          <w:sz w:val="24"/>
          <w:szCs w:val="24"/>
          <w:highlight w:val="none"/>
        </w:rPr>
        <w:sym w:font="Wingdings" w:char="00A8"/>
      </w:r>
      <w:r>
        <w:rPr>
          <w:rFonts w:hint="eastAsia" w:ascii="宋体" w:hAnsi="宋体" w:eastAsia="宋体" w:cs="宋体"/>
          <w:iCs w:val="0"/>
          <w:color w:val="auto"/>
          <w:sz w:val="24"/>
          <w:szCs w:val="24"/>
          <w:highlight w:val="none"/>
        </w:rPr>
        <w:t xml:space="preserve">是       </w:t>
      </w:r>
      <w:r>
        <w:rPr>
          <w:rFonts w:hint="eastAsia" w:ascii="宋体" w:hAnsi="宋体" w:eastAsia="宋体" w:cs="宋体"/>
          <w:iCs w:val="0"/>
          <w:color w:val="auto"/>
          <w:sz w:val="24"/>
          <w:szCs w:val="24"/>
          <w:highlight w:val="none"/>
        </w:rPr>
        <w:sym w:font="Wingdings" w:char="00A8"/>
      </w:r>
      <w:r>
        <w:rPr>
          <w:rFonts w:hint="eastAsia" w:ascii="宋体" w:hAnsi="宋体" w:eastAsia="宋体" w:cs="宋体"/>
          <w:iCs w:val="0"/>
          <w:color w:val="auto"/>
          <w:sz w:val="24"/>
          <w:szCs w:val="24"/>
          <w:highlight w:val="none"/>
        </w:rPr>
        <w:t>否</w:t>
      </w:r>
      <w:r>
        <w:rPr>
          <w:rFonts w:hint="eastAsia" w:ascii="宋体" w:hAnsi="宋体" w:eastAsia="宋体" w:cs="宋体"/>
          <w:iCs w:val="0"/>
          <w:color w:val="auto"/>
          <w:sz w:val="24"/>
          <w:szCs w:val="24"/>
          <w:highlight w:val="none"/>
          <w:lang w:val="en-US" w:eastAsia="zh-CN"/>
        </w:rPr>
        <w:t xml:space="preserve">      </w:t>
      </w:r>
      <w:r>
        <w:rPr>
          <w:rFonts w:hint="eastAsia" w:ascii="宋体" w:hAnsi="宋体" w:eastAsia="宋体" w:cs="宋体"/>
          <w:iCs w:val="0"/>
          <w:color w:val="auto"/>
          <w:sz w:val="24"/>
          <w:szCs w:val="24"/>
          <w:highlight w:val="none"/>
        </w:rPr>
        <w:sym w:font="Wingdings" w:char="00A8"/>
      </w:r>
      <w:r>
        <w:rPr>
          <w:rFonts w:hint="eastAsia" w:ascii="宋体" w:hAnsi="宋体" w:eastAsia="宋体" w:cs="宋体"/>
          <w:iCs w:val="0"/>
          <w:color w:val="auto"/>
          <w:sz w:val="24"/>
          <w:szCs w:val="24"/>
          <w:highlight w:val="none"/>
          <w:lang w:eastAsia="zh-CN"/>
        </w:rPr>
        <w:t>不涉及</w:t>
      </w:r>
    </w:p>
    <w:p w14:paraId="2E938295">
      <w:pPr>
        <w:keepNext w:val="0"/>
        <w:keepLines w:val="0"/>
        <w:pageBreakBefore w:val="0"/>
        <w:widowControl w:val="0"/>
        <w:numPr>
          <w:ilvl w:val="0"/>
          <w:numId w:val="0"/>
        </w:numPr>
        <w:kinsoku w:val="0"/>
        <w:wordWrap w:val="0"/>
        <w:overflowPunct/>
        <w:topLinePunct w:val="0"/>
        <w:autoSpaceDE/>
        <w:autoSpaceDN/>
        <w:bidi w:val="0"/>
        <w:adjustRightInd w:val="0"/>
        <w:snapToGrid w:val="0"/>
        <w:spacing w:before="0" w:beforeLines="0" w:line="480" w:lineRule="exact"/>
        <w:ind w:firstLine="482" w:firstLineChars="200"/>
        <w:textAlignment w:val="auto"/>
        <w:rPr>
          <w:rFonts w:hint="eastAsia" w:ascii="宋体" w:hAnsi="宋体" w:eastAsia="宋体" w:cs="Times New Roman"/>
          <w:b/>
          <w:color w:val="auto"/>
          <w:sz w:val="24"/>
          <w:szCs w:val="24"/>
          <w:highlight w:val="none"/>
          <w:lang w:val="en-US" w:eastAsia="zh-CN"/>
        </w:rPr>
      </w:pPr>
      <w:r>
        <w:rPr>
          <w:rFonts w:hint="eastAsia" w:ascii="宋体" w:hAnsi="宋体" w:eastAsia="宋体" w:cs="Times New Roman"/>
          <w:b/>
          <w:color w:val="auto"/>
          <w:sz w:val="24"/>
          <w:szCs w:val="24"/>
          <w:highlight w:val="none"/>
          <w:lang w:val="en-US" w:eastAsia="zh-CN"/>
        </w:rPr>
        <w:t>二、合同金额</w:t>
      </w:r>
    </w:p>
    <w:p w14:paraId="0BE7C124">
      <w:pPr>
        <w:keepNext w:val="0"/>
        <w:keepLines w:val="0"/>
        <w:pageBreakBefore w:val="0"/>
        <w:widowControl w:val="0"/>
        <w:kinsoku w:val="0"/>
        <w:wordWrap w:val="0"/>
        <w:overflowPunct/>
        <w:topLinePunct w:val="0"/>
        <w:autoSpaceDE/>
        <w:autoSpaceDN/>
        <w:bidi w:val="0"/>
        <w:adjustRightInd w:val="0"/>
        <w:snapToGrid w:val="0"/>
        <w:spacing w:before="0" w:beforeLines="0"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合同金额小写：</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1BE3F704">
      <w:pPr>
        <w:keepNext w:val="0"/>
        <w:keepLines w:val="0"/>
        <w:pageBreakBefore w:val="0"/>
        <w:widowControl w:val="0"/>
        <w:kinsoku w:val="0"/>
        <w:wordWrap w:val="0"/>
        <w:overflowPunct/>
        <w:topLinePunct w:val="0"/>
        <w:autoSpaceDE/>
        <w:autoSpaceDN/>
        <w:bidi w:val="0"/>
        <w:adjustRightInd w:val="0"/>
        <w:snapToGrid w:val="0"/>
        <w:spacing w:before="0" w:beforeLines="0" w:line="480" w:lineRule="exact"/>
        <w:ind w:left="0" w:firstLine="480" w:firstLineChars="2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大写：</w:t>
      </w:r>
      <w:r>
        <w:rPr>
          <w:rFonts w:hint="eastAsia" w:ascii="宋体" w:hAnsi="宋体" w:cs="宋体"/>
          <w:color w:val="auto"/>
          <w:sz w:val="24"/>
          <w:szCs w:val="24"/>
          <w:highlight w:val="none"/>
          <w:lang w:eastAsia="zh-CN"/>
        </w:rPr>
        <w:t>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14C0741F">
      <w:pPr>
        <w:keepNext w:val="0"/>
        <w:keepLines w:val="0"/>
        <w:pageBreakBefore w:val="0"/>
        <w:widowControl w:val="0"/>
        <w:kinsoku w:val="0"/>
        <w:wordWrap w:val="0"/>
        <w:overflowPunct/>
        <w:topLinePunct w:val="0"/>
        <w:autoSpaceDE/>
        <w:autoSpaceDN/>
        <w:bidi w:val="0"/>
        <w:adjustRightInd w:val="0"/>
        <w:snapToGrid w:val="0"/>
        <w:spacing w:before="0" w:beforeLines="0" w:line="480" w:lineRule="exact"/>
        <w:ind w:firstLine="482" w:firstLineChars="200"/>
        <w:textAlignment w:val="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单价和最高限价详见附件。</w:t>
      </w:r>
    </w:p>
    <w:p w14:paraId="1665A181">
      <w:pPr>
        <w:keepNext w:val="0"/>
        <w:keepLines w:val="0"/>
        <w:pageBreakBefore w:val="0"/>
        <w:widowControl w:val="0"/>
        <w:kinsoku w:val="0"/>
        <w:wordWrap w:val="0"/>
        <w:overflowPunct/>
        <w:topLinePunct w:val="0"/>
        <w:autoSpaceDE/>
        <w:autoSpaceDN/>
        <w:bidi w:val="0"/>
        <w:adjustRightInd w:val="0"/>
        <w:snapToGrid w:val="0"/>
        <w:spacing w:before="0" w:beforeLines="0"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分包金额</w:t>
      </w:r>
      <w:r>
        <w:rPr>
          <w:rFonts w:hint="eastAsia" w:ascii="宋体" w:hAnsi="宋体" w:eastAsia="宋体" w:cs="宋体"/>
          <w:color w:val="auto"/>
          <w:sz w:val="24"/>
          <w:szCs w:val="24"/>
          <w:highlight w:val="none"/>
          <w:lang w:eastAsia="zh-CN"/>
        </w:rPr>
        <w:t>（如有）</w:t>
      </w:r>
      <w:r>
        <w:rPr>
          <w:rFonts w:hint="eastAsia" w:ascii="宋体" w:hAnsi="宋体" w:eastAsia="宋体" w:cs="宋体"/>
          <w:color w:val="auto"/>
          <w:sz w:val="24"/>
          <w:szCs w:val="24"/>
          <w:highlight w:val="none"/>
        </w:rPr>
        <w:t>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rPr>
        <w:t xml:space="preserve">   </w:t>
      </w:r>
    </w:p>
    <w:p w14:paraId="4A50556E">
      <w:pPr>
        <w:keepNext w:val="0"/>
        <w:keepLines w:val="0"/>
        <w:pageBreakBefore w:val="0"/>
        <w:widowControl w:val="0"/>
        <w:kinsoku w:val="0"/>
        <w:wordWrap w:val="0"/>
        <w:overflowPunct/>
        <w:topLinePunct w:val="0"/>
        <w:autoSpaceDE/>
        <w:autoSpaceDN/>
        <w:bidi w:val="0"/>
        <w:adjustRightInd w:val="0"/>
        <w:snapToGrid w:val="0"/>
        <w:spacing w:before="0" w:beforeLines="0" w:line="480" w:lineRule="exact"/>
        <w:ind w:firstLine="480" w:firstLineChars="2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rPr>
        <w:t xml:space="preserve">         </w:t>
      </w:r>
    </w:p>
    <w:p w14:paraId="3EA6EBC1">
      <w:pPr>
        <w:keepNext w:val="0"/>
        <w:keepLines w:val="0"/>
        <w:pageBreakBefore w:val="0"/>
        <w:widowControl w:val="0"/>
        <w:numPr>
          <w:ilvl w:val="-1"/>
          <w:numId w:val="0"/>
        </w:numPr>
        <w:kinsoku w:val="0"/>
        <w:wordWrap w:val="0"/>
        <w:overflowPunct/>
        <w:topLinePunct w:val="0"/>
        <w:bidi w:val="0"/>
        <w:adjustRightInd w:val="0"/>
        <w:snapToGrid w:val="0"/>
        <w:spacing w:before="0" w:beforeLines="0" w:line="480" w:lineRule="exact"/>
        <w:ind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2.</w:t>
      </w:r>
      <w:r>
        <w:rPr>
          <w:rFonts w:hint="eastAsia" w:ascii="宋体" w:hAnsi="宋体" w:eastAsia="宋体" w:cs="宋体"/>
          <w:color w:val="auto"/>
          <w:sz w:val="24"/>
          <w:szCs w:val="24"/>
          <w:highlight w:val="none"/>
        </w:rPr>
        <w:t>合同定价方式</w:t>
      </w:r>
      <w:r>
        <w:rPr>
          <w:rFonts w:hint="eastAsia" w:ascii="宋体" w:hAnsi="宋体" w:eastAsia="宋体" w:cs="宋体"/>
          <w:color w:val="auto"/>
          <w:sz w:val="24"/>
          <w:szCs w:val="24"/>
          <w:highlight w:val="none"/>
          <w:lang w:eastAsia="zh-CN"/>
        </w:rPr>
        <w:t>（采用组合定价方式的，可以勾选多项）</w:t>
      </w:r>
      <w:r>
        <w:rPr>
          <w:rFonts w:hint="eastAsia" w:ascii="宋体" w:hAnsi="宋体" w:eastAsia="宋体" w:cs="宋体"/>
          <w:color w:val="auto"/>
          <w:sz w:val="24"/>
          <w:szCs w:val="24"/>
          <w:highlight w:val="none"/>
        </w:rPr>
        <w:t>：</w:t>
      </w:r>
    </w:p>
    <w:p w14:paraId="0EEAE6C6">
      <w:pPr>
        <w:keepNext w:val="0"/>
        <w:keepLines w:val="0"/>
        <w:pageBreakBefore w:val="0"/>
        <w:widowControl w:val="0"/>
        <w:kinsoku w:val="0"/>
        <w:wordWrap w:val="0"/>
        <w:overflowPunct/>
        <w:topLinePunct w:val="0"/>
        <w:bidi w:val="0"/>
        <w:adjustRightInd w:val="0"/>
        <w:snapToGrid w:val="0"/>
        <w:spacing w:before="0" w:beforeLines="0" w:line="480" w:lineRule="exact"/>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iCs/>
          <w:color w:val="auto"/>
          <w:sz w:val="24"/>
          <w:szCs w:val="24"/>
          <w:highlight w:val="none"/>
          <w:lang w:val="en-US" w:eastAsia="zh-CN"/>
        </w:rPr>
        <w:t xml:space="preserve">  </w:t>
      </w:r>
      <w:r>
        <w:rPr>
          <w:rFonts w:hint="eastAsia" w:ascii="宋体" w:hAnsi="宋体" w:eastAsia="宋体" w:cs="宋体"/>
          <w:iCs/>
          <w:color w:val="auto"/>
          <w:sz w:val="24"/>
          <w:szCs w:val="24"/>
          <w:highlight w:val="none"/>
        </w:rPr>
        <w:sym w:font="Wingdings" w:char="00A8"/>
      </w:r>
      <w:r>
        <w:rPr>
          <w:rFonts w:hint="eastAsia" w:ascii="宋体" w:hAnsi="宋体" w:eastAsia="宋体" w:cs="宋体"/>
          <w:iCs/>
          <w:color w:val="auto"/>
          <w:sz w:val="24"/>
          <w:szCs w:val="24"/>
          <w:highlight w:val="none"/>
        </w:rPr>
        <w:t xml:space="preserve">固定总价 </w:t>
      </w:r>
      <w:r>
        <w:rPr>
          <w:rFonts w:hint="eastAsia" w:ascii="宋体" w:hAnsi="宋体" w:eastAsia="宋体" w:cs="宋体"/>
          <w:iCs/>
          <w:color w:val="auto"/>
          <w:sz w:val="24"/>
          <w:szCs w:val="24"/>
          <w:highlight w:val="none"/>
        </w:rPr>
        <w:sym w:font="Wingdings" w:char="00FE"/>
      </w:r>
      <w:r>
        <w:rPr>
          <w:rFonts w:hint="eastAsia" w:ascii="宋体" w:hAnsi="宋体" w:eastAsia="宋体" w:cs="宋体"/>
          <w:iCs/>
          <w:color w:val="auto"/>
          <w:sz w:val="24"/>
          <w:szCs w:val="24"/>
          <w:highlight w:val="none"/>
        </w:rPr>
        <w:t>固定单价</w:t>
      </w:r>
      <w:r>
        <w:rPr>
          <w:rFonts w:hint="eastAsia" w:ascii="宋体" w:hAnsi="宋体" w:eastAsia="宋体" w:cs="宋体"/>
          <w:iCs/>
          <w:color w:val="auto"/>
          <w:sz w:val="24"/>
          <w:szCs w:val="24"/>
          <w:highlight w:val="none"/>
          <w:lang w:val="en-US" w:eastAsia="zh-CN"/>
        </w:rPr>
        <w:t xml:space="preserve"> </w:t>
      </w:r>
      <w:r>
        <w:rPr>
          <w:rFonts w:hint="eastAsia" w:ascii="宋体" w:hAnsi="宋体" w:eastAsia="宋体" w:cs="宋体"/>
          <w:iCs/>
          <w:color w:val="auto"/>
          <w:sz w:val="24"/>
          <w:szCs w:val="24"/>
          <w:highlight w:val="none"/>
        </w:rPr>
        <w:sym w:font="Wingdings" w:char="00A8"/>
      </w:r>
      <w:r>
        <w:rPr>
          <w:rFonts w:hint="eastAsia" w:ascii="宋体" w:hAnsi="宋体" w:eastAsia="宋体" w:cs="宋体"/>
          <w:iCs/>
          <w:color w:val="auto"/>
          <w:sz w:val="24"/>
          <w:szCs w:val="24"/>
          <w:highlight w:val="none"/>
          <w:lang w:eastAsia="zh-CN"/>
        </w:rPr>
        <w:t>固定费率</w:t>
      </w:r>
      <w:r>
        <w:rPr>
          <w:rFonts w:hint="eastAsia" w:ascii="宋体" w:hAnsi="宋体" w:eastAsia="宋体" w:cs="宋体"/>
          <w:iCs/>
          <w:color w:val="auto"/>
          <w:sz w:val="24"/>
          <w:szCs w:val="24"/>
          <w:highlight w:val="none"/>
        </w:rPr>
        <w:t xml:space="preserve"> </w:t>
      </w:r>
      <w:r>
        <w:rPr>
          <w:rFonts w:hint="eastAsia" w:ascii="宋体" w:hAnsi="宋体" w:eastAsia="宋体" w:cs="宋体"/>
          <w:iCs/>
          <w:color w:val="auto"/>
          <w:sz w:val="24"/>
          <w:szCs w:val="24"/>
          <w:highlight w:val="none"/>
        </w:rPr>
        <w:sym w:font="Wingdings" w:char="00A8"/>
      </w:r>
      <w:r>
        <w:rPr>
          <w:rFonts w:hint="eastAsia" w:ascii="宋体" w:hAnsi="宋体" w:eastAsia="宋体" w:cs="宋体"/>
          <w:iCs/>
          <w:color w:val="auto"/>
          <w:sz w:val="24"/>
          <w:szCs w:val="24"/>
          <w:highlight w:val="none"/>
        </w:rPr>
        <w:t xml:space="preserve">成本补偿 </w:t>
      </w:r>
      <w:r>
        <w:rPr>
          <w:rFonts w:hint="eastAsia" w:ascii="宋体" w:hAnsi="宋体" w:eastAsia="宋体" w:cs="宋体"/>
          <w:iCs/>
          <w:color w:val="auto"/>
          <w:sz w:val="24"/>
          <w:szCs w:val="24"/>
          <w:highlight w:val="none"/>
        </w:rPr>
        <w:sym w:font="Wingdings" w:char="00A8"/>
      </w:r>
      <w:r>
        <w:rPr>
          <w:rFonts w:hint="eastAsia" w:ascii="宋体" w:hAnsi="宋体" w:eastAsia="宋体" w:cs="宋体"/>
          <w:iCs/>
          <w:color w:val="auto"/>
          <w:sz w:val="24"/>
          <w:szCs w:val="24"/>
          <w:highlight w:val="none"/>
        </w:rPr>
        <w:t>绩效激励</w:t>
      </w:r>
      <w:r>
        <w:rPr>
          <w:rFonts w:hint="eastAsia" w:ascii="宋体" w:hAnsi="宋体" w:eastAsia="宋体" w:cs="宋体"/>
          <w:iCs/>
          <w:color w:val="auto"/>
          <w:sz w:val="24"/>
          <w:szCs w:val="24"/>
          <w:highlight w:val="none"/>
          <w:lang w:val="en-US" w:eastAsia="zh-CN"/>
        </w:rPr>
        <w:t xml:space="preserve"> </w:t>
      </w:r>
      <w:r>
        <w:rPr>
          <w:rFonts w:hint="eastAsia" w:ascii="宋体" w:hAnsi="宋体" w:eastAsia="宋体" w:cs="宋体"/>
          <w:iCs/>
          <w:color w:val="auto"/>
          <w:sz w:val="24"/>
          <w:szCs w:val="24"/>
          <w:highlight w:val="none"/>
        </w:rPr>
        <w:sym w:font="Wingdings" w:char="00A8"/>
      </w:r>
      <w:r>
        <w:rPr>
          <w:rFonts w:hint="eastAsia" w:ascii="宋体" w:hAnsi="宋体" w:eastAsia="宋体" w:cs="宋体"/>
          <w:iCs/>
          <w:color w:val="auto"/>
          <w:sz w:val="24"/>
          <w:szCs w:val="24"/>
          <w:highlight w:val="none"/>
          <w:lang w:eastAsia="zh-CN"/>
        </w:rPr>
        <w:t>其他</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rPr>
        <w:t xml:space="preserve">  </w:t>
      </w:r>
    </w:p>
    <w:p w14:paraId="22A984FB">
      <w:pPr>
        <w:pStyle w:val="42"/>
        <w:keepNext w:val="0"/>
        <w:keepLines w:val="0"/>
        <w:pageBreakBefore w:val="0"/>
        <w:widowControl w:val="0"/>
        <w:kinsoku w:val="0"/>
        <w:wordWrap w:val="0"/>
        <w:overflowPunct/>
        <w:topLinePunct w:val="0"/>
        <w:bidi w:val="0"/>
        <w:spacing w:beforeLines="0" w:line="48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付款方式（按项目实际勾选填写）：</w:t>
      </w:r>
    </w:p>
    <w:p w14:paraId="2682AA5B">
      <w:pPr>
        <w:keepNext w:val="0"/>
        <w:keepLines w:val="0"/>
        <w:pageBreakBefore w:val="0"/>
        <w:widowControl w:val="0"/>
        <w:kinsoku w:val="0"/>
        <w:wordWrap w:val="0"/>
        <w:overflowPunct/>
        <w:topLinePunct w:val="0"/>
        <w:bidi w:val="0"/>
        <w:adjustRightInd w:val="0"/>
        <w:snapToGrid w:val="0"/>
        <w:spacing w:before="0" w:beforeLines="0" w:line="480" w:lineRule="exact"/>
        <w:ind w:firstLine="720" w:firstLineChars="3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rPr>
        <w:t>全额付款：</w:t>
      </w:r>
      <w:r>
        <w:rPr>
          <w:rFonts w:hint="eastAsia" w:ascii="宋体" w:hAnsi="宋体" w:eastAsia="宋体" w:cs="宋体"/>
          <w:color w:val="auto"/>
          <w:sz w:val="24"/>
          <w:szCs w:val="24"/>
          <w:highlight w:val="none"/>
          <w:u w:val="single"/>
        </w:rPr>
        <w:t xml:space="preserve">     （应</w:t>
      </w:r>
      <w:r>
        <w:rPr>
          <w:rFonts w:hint="eastAsia" w:ascii="宋体" w:hAnsi="宋体" w:eastAsia="宋体" w:cs="宋体"/>
          <w:color w:val="auto"/>
          <w:sz w:val="24"/>
          <w:szCs w:val="24"/>
          <w:highlight w:val="none"/>
          <w:u w:val="single"/>
          <w:lang w:eastAsia="zh-CN"/>
        </w:rPr>
        <w:t>明确</w:t>
      </w:r>
      <w:r>
        <w:rPr>
          <w:rFonts w:hint="eastAsia" w:ascii="宋体" w:hAnsi="宋体" w:eastAsia="宋体" w:cs="宋体"/>
          <w:color w:val="auto"/>
          <w:sz w:val="24"/>
          <w:szCs w:val="24"/>
          <w:highlight w:val="none"/>
          <w:u w:val="single"/>
        </w:rPr>
        <w:t>一次性支付合同款项</w:t>
      </w:r>
      <w:r>
        <w:rPr>
          <w:rFonts w:hint="eastAsia" w:ascii="宋体" w:hAnsi="宋体" w:eastAsia="宋体" w:cs="宋体"/>
          <w:color w:val="auto"/>
          <w:sz w:val="24"/>
          <w:szCs w:val="24"/>
          <w:highlight w:val="none"/>
          <w:u w:val="single"/>
          <w:lang w:eastAsia="zh-CN"/>
        </w:rPr>
        <w:t>的条件</w:t>
      </w:r>
      <w:r>
        <w:rPr>
          <w:rFonts w:hint="eastAsia" w:ascii="宋体" w:hAnsi="宋体" w:eastAsia="宋体" w:cs="宋体"/>
          <w:color w:val="auto"/>
          <w:sz w:val="24"/>
          <w:szCs w:val="24"/>
          <w:highlight w:val="none"/>
          <w:u w:val="single"/>
        </w:rPr>
        <w:t xml:space="preserve">）                    </w:t>
      </w:r>
    </w:p>
    <w:p w14:paraId="03A28497">
      <w:pPr>
        <w:keepNext w:val="0"/>
        <w:keepLines w:val="0"/>
        <w:pageBreakBefore w:val="0"/>
        <w:widowControl w:val="0"/>
        <w:kinsoku w:val="0"/>
        <w:wordWrap w:val="0"/>
        <w:overflowPunct/>
        <w:topLinePunct w:val="0"/>
        <w:bidi w:val="0"/>
        <w:snapToGrid w:val="0"/>
        <w:spacing w:beforeLines="0" w:line="480" w:lineRule="exact"/>
        <w:ind w:firstLine="720" w:firstLineChars="3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sym w:font="Wingdings" w:char="00FE"/>
      </w:r>
      <w:r>
        <w:rPr>
          <w:rFonts w:hint="eastAsia" w:ascii="宋体" w:hAnsi="宋体" w:eastAsia="宋体" w:cs="宋体"/>
          <w:color w:val="auto"/>
          <w:sz w:val="24"/>
          <w:szCs w:val="24"/>
          <w:highlight w:val="none"/>
        </w:rPr>
        <w:t>分期付款：</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合同签订时双方另行协商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lang w:eastAsia="zh-CN"/>
        </w:rPr>
        <w:t>，</w:t>
      </w:r>
      <w:r>
        <w:rPr>
          <w:rFonts w:hint="eastAsia" w:ascii="宋体" w:hAnsi="宋体" w:eastAsia="宋体" w:cs="宋体"/>
          <w:color w:val="auto"/>
          <w:sz w:val="24"/>
          <w:szCs w:val="24"/>
          <w:highlight w:val="none"/>
          <w:lang w:eastAsia="zh-CN"/>
        </w:rPr>
        <w:t>其中涉及预付款的</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（应明确预付款的支付比例和支付条件） </w:t>
      </w:r>
    </w:p>
    <w:p w14:paraId="03BC212F">
      <w:pPr>
        <w:keepNext w:val="0"/>
        <w:keepLines w:val="0"/>
        <w:pageBreakBefore w:val="0"/>
        <w:widowControl w:val="0"/>
        <w:kinsoku w:val="0"/>
        <w:wordWrap w:val="0"/>
        <w:overflowPunct/>
        <w:topLinePunct w:val="0"/>
        <w:bidi w:val="0"/>
        <w:adjustRightInd w:val="0"/>
        <w:snapToGrid w:val="0"/>
        <w:spacing w:before="0" w:beforeLines="0" w:line="480" w:lineRule="exact"/>
        <w:ind w:firstLine="720" w:firstLineChars="3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rPr>
        <w:t>成本补偿：</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rPr>
        <w:t xml:space="preserve">   </w:t>
      </w:r>
    </w:p>
    <w:p w14:paraId="24850815">
      <w:pPr>
        <w:keepNext w:val="0"/>
        <w:keepLines w:val="0"/>
        <w:pageBreakBefore w:val="0"/>
        <w:widowControl w:val="0"/>
        <w:kinsoku w:val="0"/>
        <w:wordWrap w:val="0"/>
        <w:overflowPunct/>
        <w:topLinePunct w:val="0"/>
        <w:bidi w:val="0"/>
        <w:adjustRightInd w:val="0"/>
        <w:snapToGrid w:val="0"/>
        <w:spacing w:before="0" w:beforeLines="0" w:line="480" w:lineRule="exact"/>
        <w:ind w:firstLine="720" w:firstLineChars="3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rPr>
        <w:t>绩效激励：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rPr>
        <w:t xml:space="preserve">   </w:t>
      </w:r>
    </w:p>
    <w:p w14:paraId="40F7571C">
      <w:pPr>
        <w:keepNext w:val="0"/>
        <w:keepLines w:val="0"/>
        <w:pageBreakBefore w:val="0"/>
        <w:widowControl w:val="0"/>
        <w:numPr>
          <w:ilvl w:val="0"/>
          <w:numId w:val="0"/>
        </w:numPr>
        <w:kinsoku w:val="0"/>
        <w:wordWrap w:val="0"/>
        <w:overflowPunct/>
        <w:topLinePunct w:val="0"/>
        <w:autoSpaceDE/>
        <w:autoSpaceDN/>
        <w:bidi w:val="0"/>
        <w:adjustRightInd w:val="0"/>
        <w:snapToGrid w:val="0"/>
        <w:spacing w:before="0" w:beforeLines="0" w:line="480" w:lineRule="exact"/>
        <w:ind w:firstLine="482" w:firstLineChars="200"/>
        <w:textAlignment w:val="auto"/>
        <w:rPr>
          <w:rFonts w:hint="eastAsia" w:ascii="宋体" w:hAnsi="宋体" w:eastAsia="宋体" w:cs="Times New Roman"/>
          <w:b/>
          <w:color w:val="auto"/>
          <w:sz w:val="24"/>
          <w:szCs w:val="24"/>
          <w:highlight w:val="none"/>
          <w:lang w:val="en-US" w:eastAsia="zh-CN"/>
        </w:rPr>
      </w:pPr>
      <w:r>
        <w:rPr>
          <w:rFonts w:hint="eastAsia" w:ascii="宋体" w:hAnsi="宋体" w:eastAsia="宋体" w:cs="Times New Roman"/>
          <w:b/>
          <w:color w:val="auto"/>
          <w:sz w:val="24"/>
          <w:szCs w:val="24"/>
          <w:highlight w:val="none"/>
          <w:lang w:val="en-US" w:eastAsia="zh-CN"/>
        </w:rPr>
        <w:t>三、合同履行</w:t>
      </w:r>
    </w:p>
    <w:p w14:paraId="7776B14D">
      <w:pPr>
        <w:keepNext w:val="0"/>
        <w:keepLines w:val="0"/>
        <w:pageBreakBefore w:val="0"/>
        <w:widowControl w:val="0"/>
        <w:kinsoku w:val="0"/>
        <w:wordWrap w:val="0"/>
        <w:overflowPunct/>
        <w:topLinePunct w:val="0"/>
        <w:bidi w:val="0"/>
        <w:adjustRightInd w:val="0"/>
        <w:snapToGrid w:val="0"/>
        <w:spacing w:before="0" w:beforeLines="0"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起始日期：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日，完成日期：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21F2D964">
      <w:pPr>
        <w:keepNext w:val="0"/>
        <w:keepLines w:val="0"/>
        <w:pageBreakBefore w:val="0"/>
        <w:widowControl w:val="0"/>
        <w:kinsoku w:val="0"/>
        <w:wordWrap w:val="0"/>
        <w:overflowPunct/>
        <w:topLinePunct w:val="0"/>
        <w:bidi w:val="0"/>
        <w:adjustRightInd w:val="0"/>
        <w:snapToGrid w:val="0"/>
        <w:spacing w:before="0" w:beforeLines="0" w:line="480" w:lineRule="exact"/>
        <w:ind w:firstLine="480" w:firstLineChars="2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履约</w:t>
      </w:r>
      <w:r>
        <w:rPr>
          <w:rFonts w:hint="eastAsia" w:ascii="宋体" w:hAnsi="宋体" w:eastAsia="宋体" w:cs="宋体"/>
          <w:color w:val="auto"/>
          <w:sz w:val="24"/>
          <w:szCs w:val="24"/>
          <w:highlight w:val="none"/>
        </w:rPr>
        <w:t>地点</w:t>
      </w:r>
      <w:r>
        <w:rPr>
          <w:rFonts w:hint="eastAsia" w:ascii="宋体" w:hAnsi="宋体" w:eastAsia="宋体" w:cs="宋体"/>
          <w:b w:val="0"/>
          <w:bCs/>
          <w:color w:val="auto"/>
          <w:sz w:val="24"/>
          <w:szCs w:val="24"/>
          <w:highlight w:val="none"/>
        </w:rPr>
        <w:t>：</w:t>
      </w:r>
      <w:r>
        <w:rPr>
          <w:rFonts w:hint="eastAsia" w:ascii="宋体" w:hAnsi="宋体" w:eastAsia="宋体" w:cs="宋体"/>
          <w:color w:val="auto"/>
          <w:sz w:val="24"/>
          <w:szCs w:val="24"/>
          <w:highlight w:val="none"/>
          <w:u w:val="single"/>
        </w:rPr>
        <w:t xml:space="preserve">                             </w:t>
      </w:r>
    </w:p>
    <w:p w14:paraId="731C2F22">
      <w:pPr>
        <w:keepNext w:val="0"/>
        <w:keepLines w:val="0"/>
        <w:pageBreakBefore w:val="0"/>
        <w:widowControl w:val="0"/>
        <w:kinsoku w:val="0"/>
        <w:wordWrap w:val="0"/>
        <w:overflowPunct/>
        <w:topLinePunct w:val="0"/>
        <w:bidi w:val="0"/>
        <w:adjustRightInd w:val="0"/>
        <w:snapToGrid w:val="0"/>
        <w:spacing w:before="0" w:beforeLines="0" w:line="480" w:lineRule="exact"/>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履约担保：</w:t>
      </w:r>
      <w:r>
        <w:rPr>
          <w:rFonts w:hint="eastAsia" w:ascii="宋体" w:hAnsi="宋体" w:eastAsia="宋体" w:cs="宋体"/>
          <w:color w:val="auto"/>
          <w:sz w:val="24"/>
          <w:szCs w:val="24"/>
          <w:highlight w:val="none"/>
          <w:lang w:val="en-US" w:eastAsia="zh-CN"/>
        </w:rPr>
        <w:t>是否收取履约保证金：</w:t>
      </w: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lang w:eastAsia="zh-CN"/>
        </w:rPr>
        <w:t>是</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sym w:font="Wingdings" w:char="00FE"/>
      </w:r>
      <w:r>
        <w:rPr>
          <w:rFonts w:hint="eastAsia" w:ascii="宋体" w:hAnsi="宋体" w:eastAsia="宋体" w:cs="宋体"/>
          <w:color w:val="auto"/>
          <w:sz w:val="24"/>
          <w:szCs w:val="24"/>
          <w:highlight w:val="none"/>
          <w:lang w:eastAsia="zh-CN"/>
        </w:rPr>
        <w:t>否</w:t>
      </w:r>
    </w:p>
    <w:p w14:paraId="5C143820">
      <w:pPr>
        <w:pStyle w:val="29"/>
        <w:keepNext w:val="0"/>
        <w:keepLines w:val="0"/>
        <w:pageBreakBefore w:val="0"/>
        <w:widowControl w:val="0"/>
        <w:kinsoku w:val="0"/>
        <w:wordWrap w:val="0"/>
        <w:overflowPunct/>
        <w:topLinePunct w:val="0"/>
        <w:bidi w:val="0"/>
        <w:spacing w:beforeLines="0" w:line="480" w:lineRule="exact"/>
        <w:ind w:firstLine="960" w:firstLineChars="4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收取履约保证金形式：</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w:t>
      </w:r>
      <w:r>
        <w:rPr>
          <w:rFonts w:hint="eastAsia" w:ascii="宋体" w:hAnsi="宋体" w:eastAsia="宋体" w:cs="宋体"/>
          <w:bCs/>
          <w:color w:val="auto"/>
          <w:sz w:val="24"/>
          <w:szCs w:val="24"/>
          <w:highlight w:val="none"/>
          <w:u w:val="single"/>
        </w:rPr>
        <w:t xml:space="preserve">           </w:t>
      </w:r>
    </w:p>
    <w:p w14:paraId="0EE2C477">
      <w:pPr>
        <w:pStyle w:val="29"/>
        <w:keepNext w:val="0"/>
        <w:keepLines w:val="0"/>
        <w:pageBreakBefore w:val="0"/>
        <w:widowControl w:val="0"/>
        <w:kinsoku w:val="0"/>
        <w:wordWrap w:val="0"/>
        <w:overflowPunct/>
        <w:topLinePunct w:val="0"/>
        <w:bidi w:val="0"/>
        <w:spacing w:beforeLines="0" w:line="480" w:lineRule="exact"/>
        <w:ind w:firstLine="960" w:firstLineChars="4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收取履约保证金金额：</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w:t>
      </w:r>
      <w:r>
        <w:rPr>
          <w:rFonts w:hint="eastAsia" w:ascii="宋体" w:hAnsi="宋体" w:eastAsia="宋体" w:cs="宋体"/>
          <w:bCs/>
          <w:color w:val="auto"/>
          <w:sz w:val="24"/>
          <w:szCs w:val="24"/>
          <w:highlight w:val="none"/>
          <w:u w:val="single"/>
        </w:rPr>
        <w:t xml:space="preserve">           </w:t>
      </w:r>
    </w:p>
    <w:p w14:paraId="4EAAAF37">
      <w:pPr>
        <w:keepNext w:val="0"/>
        <w:keepLines w:val="0"/>
        <w:pageBreakBefore w:val="0"/>
        <w:widowControl w:val="0"/>
        <w:kinsoku w:val="0"/>
        <w:wordWrap w:val="0"/>
        <w:overflowPunct/>
        <w:topLinePunct w:val="0"/>
        <w:bidi w:val="0"/>
        <w:snapToGrid w:val="0"/>
        <w:spacing w:beforeLines="0" w:line="480" w:lineRule="exact"/>
        <w:ind w:firstLine="960" w:firstLineChars="4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u w:val="none"/>
          <w:lang w:val="en-US" w:eastAsia="zh-CN"/>
        </w:rPr>
        <w:t>履约担保期限</w:t>
      </w:r>
      <w:r>
        <w:rPr>
          <w:rFonts w:hint="eastAsia" w:ascii="宋体" w:hAnsi="宋体" w:eastAsia="宋体" w:cs="宋体"/>
          <w:bCs/>
          <w:color w:val="auto"/>
          <w:sz w:val="24"/>
          <w:szCs w:val="24"/>
          <w:highlight w:val="none"/>
          <w:u w:val="none"/>
          <w:lang w:eastAsia="zh-CN"/>
        </w:rPr>
        <w:t>：</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            </w:t>
      </w:r>
    </w:p>
    <w:p w14:paraId="6519B52F">
      <w:pPr>
        <w:keepNext w:val="0"/>
        <w:keepLines w:val="0"/>
        <w:pageBreakBefore w:val="0"/>
        <w:widowControl w:val="0"/>
        <w:kinsoku w:val="0"/>
        <w:wordWrap w:val="0"/>
        <w:overflowPunct/>
        <w:topLinePunct w:val="0"/>
        <w:bidi w:val="0"/>
        <w:adjustRightInd w:val="0"/>
        <w:snapToGrid w:val="0"/>
        <w:spacing w:before="0" w:beforeLines="0" w:line="48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4.</w:t>
      </w:r>
      <w:r>
        <w:rPr>
          <w:rFonts w:hint="eastAsia" w:ascii="宋体" w:hAnsi="宋体" w:eastAsia="宋体" w:cs="宋体"/>
          <w:bCs/>
          <w:color w:val="auto"/>
          <w:sz w:val="24"/>
          <w:szCs w:val="24"/>
          <w:highlight w:val="none"/>
        </w:rPr>
        <w:t>分期履行要求：</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w:t>
      </w:r>
      <w:r>
        <w:rPr>
          <w:rFonts w:hint="eastAsia" w:ascii="宋体" w:hAnsi="宋体" w:eastAsia="宋体" w:cs="宋体"/>
          <w:bCs/>
          <w:color w:val="auto"/>
          <w:sz w:val="24"/>
          <w:szCs w:val="24"/>
          <w:highlight w:val="none"/>
          <w:u w:val="single"/>
        </w:rPr>
        <w:t xml:space="preserve">                </w:t>
      </w:r>
    </w:p>
    <w:p w14:paraId="42B548DF">
      <w:pPr>
        <w:keepNext w:val="0"/>
        <w:keepLines w:val="0"/>
        <w:pageBreakBefore w:val="0"/>
        <w:widowControl w:val="0"/>
        <w:kinsoku w:val="0"/>
        <w:wordWrap w:val="0"/>
        <w:overflowPunct/>
        <w:topLinePunct w:val="0"/>
        <w:bidi w:val="0"/>
        <w:adjustRightInd w:val="0"/>
        <w:snapToGrid w:val="0"/>
        <w:spacing w:before="0" w:beforeLines="0" w:line="480" w:lineRule="exact"/>
        <w:ind w:firstLine="480" w:firstLineChars="200"/>
        <w:textAlignment w:val="auto"/>
        <w:rPr>
          <w:rFonts w:hint="eastAsia" w:ascii="宋体" w:hAnsi="宋体" w:eastAsia="宋体" w:cs="宋体"/>
          <w:color w:val="auto"/>
          <w:sz w:val="24"/>
          <w:szCs w:val="24"/>
          <w:highlight w:val="none"/>
          <w:u w:val="single"/>
        </w:rPr>
      </w:pPr>
      <w:r>
        <w:rPr>
          <w:rFonts w:hint="eastAsia" w:ascii="宋体" w:hAnsi="宋体" w:eastAsia="宋体" w:cs="宋体"/>
          <w:bCs/>
          <w:color w:val="auto"/>
          <w:sz w:val="24"/>
          <w:szCs w:val="24"/>
          <w:highlight w:val="none"/>
          <w:lang w:val="en-US" w:eastAsia="zh-CN"/>
        </w:rPr>
        <w:t>5.</w:t>
      </w:r>
      <w:r>
        <w:rPr>
          <w:rFonts w:hint="eastAsia" w:ascii="宋体" w:hAnsi="宋体" w:eastAsia="宋体" w:cs="宋体"/>
          <w:bCs/>
          <w:color w:val="auto"/>
          <w:sz w:val="24"/>
          <w:szCs w:val="24"/>
          <w:highlight w:val="none"/>
          <w:lang w:eastAsia="zh-CN"/>
        </w:rPr>
        <w:t>风险处置措施和替代方案</w:t>
      </w:r>
      <w:r>
        <w:rPr>
          <w:rFonts w:hint="eastAsia" w:ascii="宋体" w:hAnsi="宋体" w:eastAsia="宋体" w:cs="宋体"/>
          <w:bCs/>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rPr>
        <w:t xml:space="preserve">       </w:t>
      </w:r>
    </w:p>
    <w:p w14:paraId="025BB38E">
      <w:pPr>
        <w:keepNext w:val="0"/>
        <w:keepLines w:val="0"/>
        <w:pageBreakBefore w:val="0"/>
        <w:widowControl w:val="0"/>
        <w:numPr>
          <w:ilvl w:val="0"/>
          <w:numId w:val="0"/>
        </w:numPr>
        <w:kinsoku w:val="0"/>
        <w:wordWrap w:val="0"/>
        <w:overflowPunct/>
        <w:topLinePunct w:val="0"/>
        <w:autoSpaceDE/>
        <w:autoSpaceDN/>
        <w:bidi w:val="0"/>
        <w:adjustRightInd w:val="0"/>
        <w:snapToGrid w:val="0"/>
        <w:spacing w:before="0" w:beforeLines="0" w:line="480" w:lineRule="exact"/>
        <w:ind w:firstLine="482" w:firstLineChars="200"/>
        <w:textAlignment w:val="auto"/>
        <w:rPr>
          <w:rFonts w:hint="eastAsia" w:ascii="宋体" w:hAnsi="宋体" w:eastAsia="宋体" w:cs="Times New Roman"/>
          <w:b/>
          <w:color w:val="auto"/>
          <w:sz w:val="24"/>
          <w:szCs w:val="24"/>
          <w:highlight w:val="none"/>
          <w:lang w:val="en-US" w:eastAsia="zh-CN"/>
        </w:rPr>
      </w:pPr>
      <w:r>
        <w:rPr>
          <w:rFonts w:hint="eastAsia" w:ascii="宋体" w:hAnsi="宋体" w:eastAsia="宋体" w:cs="Times New Roman"/>
          <w:b/>
          <w:color w:val="auto"/>
          <w:sz w:val="24"/>
          <w:szCs w:val="24"/>
          <w:highlight w:val="none"/>
          <w:lang w:val="en-US" w:eastAsia="zh-CN"/>
        </w:rPr>
        <w:t>四、合同验收</w:t>
      </w:r>
    </w:p>
    <w:p w14:paraId="0E7BE02F">
      <w:pPr>
        <w:keepNext w:val="0"/>
        <w:keepLines w:val="0"/>
        <w:pageBreakBefore w:val="0"/>
        <w:widowControl w:val="0"/>
        <w:numPr>
          <w:ilvl w:val="0"/>
          <w:numId w:val="0"/>
        </w:numPr>
        <w:kinsoku w:val="0"/>
        <w:wordWrap w:val="0"/>
        <w:overflowPunct/>
        <w:topLinePunct w:val="0"/>
        <w:bidi w:val="0"/>
        <w:adjustRightInd w:val="0"/>
        <w:snapToGrid w:val="0"/>
        <w:spacing w:before="0" w:beforeLines="0" w:line="48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验收组织方式：</w:t>
      </w:r>
      <w:r>
        <w:rPr>
          <w:rFonts w:hint="eastAsia" w:ascii="宋体" w:hAnsi="宋体" w:eastAsia="宋体" w:cs="宋体"/>
          <w:color w:val="auto"/>
          <w:sz w:val="24"/>
          <w:szCs w:val="24"/>
          <w:highlight w:val="none"/>
        </w:rPr>
        <w:sym w:font="Wingdings" w:char="00A8"/>
      </w:r>
      <w:r>
        <w:rPr>
          <w:rFonts w:hint="eastAsia" w:ascii="宋体" w:hAnsi="宋体" w:eastAsia="宋体" w:cs="宋体"/>
          <w:bCs/>
          <w:color w:val="auto"/>
          <w:sz w:val="24"/>
          <w:szCs w:val="24"/>
          <w:highlight w:val="none"/>
        </w:rPr>
        <w:t xml:space="preserve">自行组织 </w:t>
      </w:r>
      <w:r>
        <w:rPr>
          <w:rFonts w:hint="eastAsia" w:ascii="宋体" w:hAnsi="宋体" w:eastAsia="宋体" w:cs="宋体"/>
          <w:color w:val="auto"/>
          <w:sz w:val="24"/>
          <w:szCs w:val="24"/>
          <w:highlight w:val="none"/>
        </w:rPr>
        <w:sym w:font="Wingdings" w:char="00A8"/>
      </w:r>
      <w:r>
        <w:rPr>
          <w:rFonts w:hint="eastAsia" w:ascii="宋体" w:hAnsi="宋体" w:eastAsia="宋体" w:cs="宋体"/>
          <w:bCs/>
          <w:color w:val="auto"/>
          <w:sz w:val="24"/>
          <w:szCs w:val="24"/>
          <w:highlight w:val="none"/>
        </w:rPr>
        <w:t>委托第三方组织</w:t>
      </w:r>
    </w:p>
    <w:p w14:paraId="7CCF2E96">
      <w:pPr>
        <w:keepNext w:val="0"/>
        <w:keepLines w:val="0"/>
        <w:pageBreakBefore w:val="0"/>
        <w:widowControl w:val="0"/>
        <w:numPr>
          <w:ilvl w:val="0"/>
          <w:numId w:val="0"/>
        </w:numPr>
        <w:kinsoku w:val="0"/>
        <w:wordWrap w:val="0"/>
        <w:overflowPunct/>
        <w:topLinePunct w:val="0"/>
        <w:bidi w:val="0"/>
        <w:adjustRightInd w:val="0"/>
        <w:snapToGrid w:val="0"/>
        <w:spacing w:before="0" w:beforeLines="0" w:line="48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验收主体：</w:t>
      </w:r>
      <w:r>
        <w:rPr>
          <w:rFonts w:hint="eastAsia" w:ascii="宋体" w:hAnsi="宋体" w:eastAsia="宋体" w:cs="宋体"/>
          <w:bCs/>
          <w:color w:val="auto"/>
          <w:sz w:val="24"/>
          <w:szCs w:val="24"/>
          <w:highlight w:val="none"/>
          <w:u w:val="single"/>
        </w:rPr>
        <w:t xml:space="preserve">               </w:t>
      </w:r>
      <w:r>
        <w:rPr>
          <w:rFonts w:hint="eastAsia" w:ascii="宋体" w:hAnsi="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p>
    <w:p w14:paraId="13DF153E">
      <w:pPr>
        <w:keepNext w:val="0"/>
        <w:keepLines w:val="0"/>
        <w:pageBreakBefore w:val="0"/>
        <w:widowControl w:val="0"/>
        <w:kinsoku w:val="0"/>
        <w:wordWrap w:val="0"/>
        <w:overflowPunct/>
        <w:topLinePunct w:val="0"/>
        <w:bidi w:val="0"/>
        <w:adjustRightInd w:val="0"/>
        <w:snapToGrid w:val="0"/>
        <w:spacing w:before="0" w:beforeLines="0" w:line="48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是否邀请本项目的其他供应商</w:t>
      </w:r>
      <w:r>
        <w:rPr>
          <w:rFonts w:hint="eastAsia" w:ascii="宋体" w:hAnsi="宋体" w:eastAsia="宋体" w:cs="宋体"/>
          <w:bCs/>
          <w:color w:val="auto"/>
          <w:sz w:val="24"/>
          <w:szCs w:val="24"/>
          <w:highlight w:val="none"/>
          <w:lang w:eastAsia="zh-CN"/>
        </w:rPr>
        <w:t>参加验收</w:t>
      </w:r>
      <w:r>
        <w:rPr>
          <w:rFonts w:hint="eastAsia" w:ascii="宋体" w:hAnsi="宋体" w:eastAsia="宋体" w:cs="宋体"/>
          <w:bCs/>
          <w:color w:val="auto"/>
          <w:sz w:val="24"/>
          <w:szCs w:val="24"/>
          <w:highlight w:val="none"/>
        </w:rPr>
        <w:t>：</w:t>
      </w:r>
      <w:r>
        <w:rPr>
          <w:rFonts w:hint="eastAsia" w:ascii="宋体" w:hAnsi="宋体" w:eastAsia="宋体" w:cs="宋体"/>
          <w:color w:val="auto"/>
          <w:sz w:val="24"/>
          <w:szCs w:val="24"/>
          <w:highlight w:val="none"/>
        </w:rPr>
        <w:sym w:font="Wingdings" w:char="00A8"/>
      </w:r>
      <w:r>
        <w:rPr>
          <w:rFonts w:hint="eastAsia" w:ascii="宋体" w:hAnsi="宋体" w:eastAsia="宋体" w:cs="宋体"/>
          <w:bCs/>
          <w:color w:val="auto"/>
          <w:sz w:val="24"/>
          <w:szCs w:val="24"/>
          <w:highlight w:val="none"/>
        </w:rPr>
        <w:t xml:space="preserve">是  </w:t>
      </w:r>
      <w:r>
        <w:rPr>
          <w:rFonts w:hint="eastAsia" w:ascii="宋体" w:hAnsi="宋体" w:eastAsia="宋体" w:cs="宋体"/>
          <w:color w:val="auto"/>
          <w:sz w:val="24"/>
          <w:szCs w:val="24"/>
          <w:highlight w:val="none"/>
        </w:rPr>
        <w:sym w:font="Wingdings" w:char="00A8"/>
      </w:r>
      <w:r>
        <w:rPr>
          <w:rFonts w:hint="eastAsia" w:ascii="宋体" w:hAnsi="宋体" w:eastAsia="宋体" w:cs="宋体"/>
          <w:bCs/>
          <w:color w:val="auto"/>
          <w:sz w:val="24"/>
          <w:szCs w:val="24"/>
          <w:highlight w:val="none"/>
        </w:rPr>
        <w:t>否</w:t>
      </w:r>
    </w:p>
    <w:p w14:paraId="2F492189">
      <w:pPr>
        <w:keepNext w:val="0"/>
        <w:keepLines w:val="0"/>
        <w:pageBreakBefore w:val="0"/>
        <w:widowControl w:val="0"/>
        <w:kinsoku w:val="0"/>
        <w:wordWrap w:val="0"/>
        <w:overflowPunct/>
        <w:topLinePunct w:val="0"/>
        <w:bidi w:val="0"/>
        <w:adjustRightInd w:val="0"/>
        <w:snapToGrid w:val="0"/>
        <w:spacing w:before="0" w:beforeLines="0" w:line="48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是否邀请专家</w:t>
      </w:r>
      <w:r>
        <w:rPr>
          <w:rFonts w:hint="eastAsia" w:ascii="宋体" w:hAnsi="宋体" w:eastAsia="宋体" w:cs="宋体"/>
          <w:bCs/>
          <w:color w:val="auto"/>
          <w:sz w:val="24"/>
          <w:szCs w:val="24"/>
          <w:highlight w:val="none"/>
          <w:lang w:eastAsia="zh-CN"/>
        </w:rPr>
        <w:t>参加验收</w:t>
      </w:r>
      <w:r>
        <w:rPr>
          <w:rFonts w:hint="eastAsia" w:ascii="宋体" w:hAnsi="宋体" w:eastAsia="宋体" w:cs="宋体"/>
          <w:bCs/>
          <w:color w:val="auto"/>
          <w:sz w:val="24"/>
          <w:szCs w:val="24"/>
          <w:highlight w:val="none"/>
        </w:rPr>
        <w:t>：</w:t>
      </w:r>
      <w:r>
        <w:rPr>
          <w:rFonts w:hint="eastAsia" w:ascii="宋体" w:hAnsi="宋体" w:eastAsia="宋体" w:cs="宋体"/>
          <w:color w:val="auto"/>
          <w:sz w:val="24"/>
          <w:szCs w:val="24"/>
          <w:highlight w:val="none"/>
        </w:rPr>
        <w:sym w:font="Wingdings" w:char="00A8"/>
      </w:r>
      <w:r>
        <w:rPr>
          <w:rFonts w:hint="eastAsia" w:ascii="宋体" w:hAnsi="宋体" w:eastAsia="宋体" w:cs="宋体"/>
          <w:bCs/>
          <w:color w:val="auto"/>
          <w:sz w:val="24"/>
          <w:szCs w:val="24"/>
          <w:highlight w:val="none"/>
        </w:rPr>
        <w:t xml:space="preserve">是  </w:t>
      </w:r>
      <w:r>
        <w:rPr>
          <w:rFonts w:hint="eastAsia" w:ascii="宋体" w:hAnsi="宋体" w:eastAsia="宋体" w:cs="宋体"/>
          <w:color w:val="auto"/>
          <w:sz w:val="24"/>
          <w:szCs w:val="24"/>
          <w:highlight w:val="none"/>
        </w:rPr>
        <w:sym w:font="Wingdings" w:char="00A8"/>
      </w:r>
      <w:r>
        <w:rPr>
          <w:rFonts w:hint="eastAsia" w:ascii="宋体" w:hAnsi="宋体" w:eastAsia="宋体" w:cs="宋体"/>
          <w:bCs/>
          <w:color w:val="auto"/>
          <w:sz w:val="24"/>
          <w:szCs w:val="24"/>
          <w:highlight w:val="none"/>
        </w:rPr>
        <w:t>否</w:t>
      </w:r>
    </w:p>
    <w:p w14:paraId="579ACB27">
      <w:pPr>
        <w:keepNext w:val="0"/>
        <w:keepLines w:val="0"/>
        <w:pageBreakBefore w:val="0"/>
        <w:widowControl w:val="0"/>
        <w:kinsoku w:val="0"/>
        <w:wordWrap w:val="0"/>
        <w:overflowPunct/>
        <w:topLinePunct w:val="0"/>
        <w:bidi w:val="0"/>
        <w:adjustRightInd w:val="0"/>
        <w:snapToGrid w:val="0"/>
        <w:spacing w:before="0" w:beforeLines="0" w:line="48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是否邀请服务对象</w:t>
      </w:r>
      <w:r>
        <w:rPr>
          <w:rFonts w:hint="eastAsia" w:ascii="宋体" w:hAnsi="宋体" w:eastAsia="宋体" w:cs="宋体"/>
          <w:bCs/>
          <w:color w:val="auto"/>
          <w:sz w:val="24"/>
          <w:szCs w:val="24"/>
          <w:highlight w:val="none"/>
          <w:lang w:eastAsia="zh-CN"/>
        </w:rPr>
        <w:t>参加验收</w:t>
      </w:r>
      <w:r>
        <w:rPr>
          <w:rFonts w:hint="eastAsia" w:ascii="宋体" w:hAnsi="宋体" w:eastAsia="宋体" w:cs="宋体"/>
          <w:bCs/>
          <w:color w:val="auto"/>
          <w:sz w:val="24"/>
          <w:szCs w:val="24"/>
          <w:highlight w:val="none"/>
        </w:rPr>
        <w:t>：</w:t>
      </w:r>
      <w:r>
        <w:rPr>
          <w:rFonts w:hint="eastAsia" w:ascii="宋体" w:hAnsi="宋体" w:eastAsia="宋体" w:cs="宋体"/>
          <w:color w:val="auto"/>
          <w:sz w:val="24"/>
          <w:szCs w:val="24"/>
          <w:highlight w:val="none"/>
        </w:rPr>
        <w:sym w:font="Wingdings" w:char="00A8"/>
      </w:r>
      <w:r>
        <w:rPr>
          <w:rFonts w:hint="eastAsia" w:ascii="宋体" w:hAnsi="宋体" w:eastAsia="宋体" w:cs="宋体"/>
          <w:bCs/>
          <w:color w:val="auto"/>
          <w:sz w:val="24"/>
          <w:szCs w:val="24"/>
          <w:highlight w:val="none"/>
        </w:rPr>
        <w:t xml:space="preserve">是  </w:t>
      </w:r>
      <w:r>
        <w:rPr>
          <w:rFonts w:hint="eastAsia" w:ascii="宋体" w:hAnsi="宋体" w:eastAsia="宋体" w:cs="宋体"/>
          <w:color w:val="auto"/>
          <w:sz w:val="24"/>
          <w:szCs w:val="24"/>
          <w:highlight w:val="none"/>
        </w:rPr>
        <w:sym w:font="Wingdings" w:char="00A8"/>
      </w:r>
      <w:r>
        <w:rPr>
          <w:rFonts w:hint="eastAsia" w:ascii="宋体" w:hAnsi="宋体" w:eastAsia="宋体" w:cs="宋体"/>
          <w:bCs/>
          <w:color w:val="auto"/>
          <w:sz w:val="24"/>
          <w:szCs w:val="24"/>
          <w:highlight w:val="none"/>
        </w:rPr>
        <w:t>否</w:t>
      </w:r>
    </w:p>
    <w:p w14:paraId="58D76844">
      <w:pPr>
        <w:keepNext w:val="0"/>
        <w:keepLines w:val="0"/>
        <w:pageBreakBefore w:val="0"/>
        <w:widowControl w:val="0"/>
        <w:kinsoku w:val="0"/>
        <w:wordWrap w:val="0"/>
        <w:overflowPunct/>
        <w:topLinePunct w:val="0"/>
        <w:bidi w:val="0"/>
        <w:adjustRightInd w:val="0"/>
        <w:snapToGrid w:val="0"/>
        <w:spacing w:before="0" w:beforeLines="0" w:line="48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是否邀请第三方检测机构</w:t>
      </w:r>
      <w:r>
        <w:rPr>
          <w:rFonts w:hint="eastAsia" w:ascii="宋体" w:hAnsi="宋体" w:eastAsia="宋体" w:cs="宋体"/>
          <w:bCs/>
          <w:color w:val="auto"/>
          <w:sz w:val="24"/>
          <w:szCs w:val="24"/>
          <w:highlight w:val="none"/>
          <w:lang w:eastAsia="zh-CN"/>
        </w:rPr>
        <w:t>参加验收</w:t>
      </w:r>
      <w:r>
        <w:rPr>
          <w:rFonts w:hint="eastAsia" w:ascii="宋体" w:hAnsi="宋体" w:eastAsia="宋体" w:cs="宋体"/>
          <w:bCs/>
          <w:color w:val="auto"/>
          <w:sz w:val="24"/>
          <w:szCs w:val="24"/>
          <w:highlight w:val="none"/>
        </w:rPr>
        <w:t>：</w:t>
      </w:r>
      <w:r>
        <w:rPr>
          <w:rFonts w:hint="eastAsia" w:ascii="宋体" w:hAnsi="宋体" w:eastAsia="宋体" w:cs="宋体"/>
          <w:color w:val="auto"/>
          <w:sz w:val="24"/>
          <w:szCs w:val="24"/>
          <w:highlight w:val="none"/>
        </w:rPr>
        <w:sym w:font="Wingdings" w:char="00A8"/>
      </w:r>
      <w:r>
        <w:rPr>
          <w:rFonts w:hint="eastAsia" w:ascii="宋体" w:hAnsi="宋体" w:eastAsia="宋体" w:cs="宋体"/>
          <w:bCs/>
          <w:color w:val="auto"/>
          <w:sz w:val="24"/>
          <w:szCs w:val="24"/>
          <w:highlight w:val="none"/>
        </w:rPr>
        <w:t xml:space="preserve">是  </w:t>
      </w:r>
      <w:r>
        <w:rPr>
          <w:rFonts w:hint="eastAsia" w:ascii="宋体" w:hAnsi="宋体" w:eastAsia="宋体" w:cs="宋体"/>
          <w:color w:val="auto"/>
          <w:sz w:val="24"/>
          <w:szCs w:val="24"/>
          <w:highlight w:val="none"/>
        </w:rPr>
        <w:sym w:font="Wingdings" w:char="00A8"/>
      </w:r>
      <w:r>
        <w:rPr>
          <w:rFonts w:hint="eastAsia" w:ascii="宋体" w:hAnsi="宋体" w:eastAsia="宋体" w:cs="宋体"/>
          <w:bCs/>
          <w:color w:val="auto"/>
          <w:sz w:val="24"/>
          <w:szCs w:val="24"/>
          <w:highlight w:val="none"/>
        </w:rPr>
        <w:t>否</w:t>
      </w:r>
    </w:p>
    <w:p w14:paraId="18AAA7E7">
      <w:pPr>
        <w:keepNext w:val="0"/>
        <w:keepLines w:val="0"/>
        <w:pageBreakBefore w:val="0"/>
        <w:widowControl w:val="0"/>
        <w:kinsoku w:val="0"/>
        <w:wordWrap w:val="0"/>
        <w:overflowPunct/>
        <w:topLinePunct w:val="0"/>
        <w:bidi w:val="0"/>
        <w:adjustRightInd w:val="0"/>
        <w:snapToGrid w:val="0"/>
        <w:spacing w:before="0" w:beforeLines="0" w:line="48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是否进行抽查检测：</w:t>
      </w:r>
      <w:r>
        <w:rPr>
          <w:rFonts w:hint="eastAsia" w:ascii="宋体" w:hAnsi="宋体" w:eastAsia="宋体" w:cs="宋体"/>
          <w:color w:val="auto"/>
          <w:sz w:val="24"/>
          <w:szCs w:val="24"/>
          <w:highlight w:val="none"/>
        </w:rPr>
        <w:sym w:font="Wingdings" w:char="00A8"/>
      </w:r>
      <w:r>
        <w:rPr>
          <w:rFonts w:hint="eastAsia" w:ascii="宋体" w:hAnsi="宋体" w:eastAsia="宋体" w:cs="宋体"/>
          <w:bCs/>
          <w:color w:val="auto"/>
          <w:sz w:val="24"/>
          <w:szCs w:val="24"/>
          <w:highlight w:val="none"/>
        </w:rPr>
        <w:t>是</w:t>
      </w:r>
      <w:r>
        <w:rPr>
          <w:rFonts w:hint="eastAsia" w:ascii="宋体" w:hAnsi="宋体" w:eastAsia="宋体" w:cs="宋体"/>
          <w:bCs/>
          <w:color w:val="auto"/>
          <w:sz w:val="24"/>
          <w:szCs w:val="24"/>
          <w:highlight w:val="none"/>
          <w:lang w:eastAsia="zh-CN"/>
        </w:rPr>
        <w:t>，抽查比例：</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 </w:t>
      </w:r>
      <w:r>
        <w:rPr>
          <w:rFonts w:hint="eastAsia" w:ascii="宋体" w:hAnsi="宋体" w:eastAsia="宋体" w:cs="宋体"/>
          <w:color w:val="auto"/>
          <w:sz w:val="24"/>
          <w:szCs w:val="24"/>
          <w:highlight w:val="none"/>
        </w:rPr>
        <w:sym w:font="Wingdings" w:char="00A8"/>
      </w:r>
      <w:r>
        <w:rPr>
          <w:rFonts w:hint="eastAsia" w:ascii="宋体" w:hAnsi="宋体" w:eastAsia="宋体" w:cs="宋体"/>
          <w:bCs/>
          <w:color w:val="auto"/>
          <w:sz w:val="24"/>
          <w:szCs w:val="24"/>
          <w:highlight w:val="none"/>
        </w:rPr>
        <w:t>否</w:t>
      </w:r>
    </w:p>
    <w:p w14:paraId="2D612DCE">
      <w:pPr>
        <w:keepNext w:val="0"/>
        <w:keepLines w:val="0"/>
        <w:pageBreakBefore w:val="0"/>
        <w:widowControl w:val="0"/>
        <w:kinsoku w:val="0"/>
        <w:wordWrap w:val="0"/>
        <w:overflowPunct/>
        <w:topLinePunct w:val="0"/>
        <w:bidi w:val="0"/>
        <w:adjustRightInd w:val="0"/>
        <w:snapToGrid w:val="0"/>
        <w:spacing w:before="0" w:beforeLines="0" w:line="480" w:lineRule="exact"/>
        <w:ind w:firstLine="480" w:firstLineChars="200"/>
        <w:textAlignment w:val="auto"/>
        <w:rPr>
          <w:rFonts w:hint="eastAsia" w:ascii="宋体" w:hAnsi="宋体" w:eastAsia="宋体" w:cs="宋体"/>
          <w:bCs/>
          <w:color w:val="auto"/>
          <w:sz w:val="24"/>
          <w:szCs w:val="24"/>
          <w:highlight w:val="none"/>
          <w:u w:val="single"/>
          <w:lang w:eastAsia="zh-CN"/>
        </w:rPr>
      </w:pPr>
      <w:r>
        <w:rPr>
          <w:rFonts w:hint="eastAsia" w:ascii="宋体" w:hAnsi="宋体" w:eastAsia="宋体" w:cs="宋体"/>
          <w:bCs/>
          <w:color w:val="auto"/>
          <w:sz w:val="24"/>
          <w:szCs w:val="24"/>
          <w:highlight w:val="none"/>
          <w:lang w:val="en-US" w:eastAsia="zh-CN"/>
        </w:rPr>
        <w:t>是否存在破坏性检测：</w:t>
      </w:r>
      <w:r>
        <w:rPr>
          <w:rFonts w:hint="eastAsia" w:ascii="宋体" w:hAnsi="宋体" w:eastAsia="宋体" w:cs="宋体"/>
          <w:color w:val="auto"/>
          <w:sz w:val="24"/>
          <w:szCs w:val="24"/>
          <w:highlight w:val="none"/>
        </w:rPr>
        <w:sym w:font="Wingdings" w:char="00A8"/>
      </w:r>
      <w:r>
        <w:rPr>
          <w:rFonts w:hint="eastAsia" w:ascii="宋体" w:hAnsi="宋体" w:eastAsia="宋体" w:cs="宋体"/>
          <w:bCs/>
          <w:color w:val="auto"/>
          <w:sz w:val="24"/>
          <w:szCs w:val="24"/>
          <w:highlight w:val="none"/>
        </w:rPr>
        <w:t>是</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u w:val="single"/>
          <w:lang w:eastAsia="zh-CN"/>
        </w:rPr>
        <w:t>（应明确对被破坏的检测产品的处理方式）</w:t>
      </w:r>
    </w:p>
    <w:p w14:paraId="048F3A21">
      <w:pPr>
        <w:keepNext w:val="0"/>
        <w:keepLines w:val="0"/>
        <w:pageBreakBefore w:val="0"/>
        <w:widowControl w:val="0"/>
        <w:kinsoku w:val="0"/>
        <w:wordWrap w:val="0"/>
        <w:overflowPunct/>
        <w:topLinePunct w:val="0"/>
        <w:bidi w:val="0"/>
        <w:adjustRightInd w:val="0"/>
        <w:snapToGrid w:val="0"/>
        <w:spacing w:before="0" w:beforeLines="0" w:line="480" w:lineRule="exact"/>
        <w:ind w:firstLine="480" w:firstLineChars="200"/>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color w:val="auto"/>
          <w:sz w:val="24"/>
          <w:szCs w:val="24"/>
          <w:highlight w:val="none"/>
        </w:rPr>
        <w:sym w:font="Wingdings" w:char="00A8"/>
      </w:r>
      <w:r>
        <w:rPr>
          <w:rFonts w:hint="eastAsia" w:ascii="宋体" w:hAnsi="宋体" w:eastAsia="宋体" w:cs="宋体"/>
          <w:bCs/>
          <w:color w:val="auto"/>
          <w:sz w:val="24"/>
          <w:szCs w:val="24"/>
          <w:highlight w:val="none"/>
        </w:rPr>
        <w:t>否</w:t>
      </w:r>
    </w:p>
    <w:p w14:paraId="092BB66A">
      <w:pPr>
        <w:keepNext w:val="0"/>
        <w:keepLines w:val="0"/>
        <w:pageBreakBefore w:val="0"/>
        <w:widowControl w:val="0"/>
        <w:kinsoku w:val="0"/>
        <w:wordWrap w:val="0"/>
        <w:overflowPunct/>
        <w:topLinePunct w:val="0"/>
        <w:bidi w:val="0"/>
        <w:adjustRightInd w:val="0"/>
        <w:snapToGrid w:val="0"/>
        <w:spacing w:before="0" w:beforeLines="0" w:line="480" w:lineRule="exact"/>
        <w:ind w:firstLine="480" w:firstLineChars="200"/>
        <w:textAlignment w:val="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验收组织的其他事项：</w:t>
      </w:r>
      <w:r>
        <w:rPr>
          <w:rFonts w:hint="eastAsia" w:ascii="宋体" w:hAnsi="宋体" w:eastAsia="宋体" w:cs="宋体"/>
          <w:bCs/>
          <w:color w:val="auto"/>
          <w:sz w:val="24"/>
          <w:szCs w:val="24"/>
          <w:highlight w:val="none"/>
          <w:u w:val="single"/>
        </w:rPr>
        <w:t xml:space="preserve">                </w:t>
      </w:r>
    </w:p>
    <w:p w14:paraId="665B6FA5">
      <w:pPr>
        <w:keepNext w:val="0"/>
        <w:keepLines w:val="0"/>
        <w:pageBreakBefore w:val="0"/>
        <w:widowControl w:val="0"/>
        <w:kinsoku w:val="0"/>
        <w:wordWrap w:val="0"/>
        <w:overflowPunct/>
        <w:topLinePunct w:val="0"/>
        <w:bidi w:val="0"/>
        <w:adjustRightInd w:val="0"/>
        <w:snapToGrid w:val="0"/>
        <w:spacing w:before="0" w:beforeLines="0" w:line="480" w:lineRule="exact"/>
        <w:ind w:firstLine="480" w:firstLineChars="200"/>
        <w:textAlignment w:val="auto"/>
        <w:rPr>
          <w:rFonts w:hint="eastAsia" w:ascii="宋体" w:hAnsi="宋体" w:eastAsia="宋体" w:cs="宋体"/>
          <w:bCs/>
          <w:color w:val="auto"/>
          <w:sz w:val="24"/>
          <w:szCs w:val="24"/>
          <w:highlight w:val="none"/>
          <w:u w:val="single"/>
          <w:lang w:val="en-US" w:eastAsia="zh-CN"/>
        </w:rPr>
      </w:pP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rPr>
        <w:t>履约验收时间：</w:t>
      </w:r>
      <w:r>
        <w:rPr>
          <w:rFonts w:hint="eastAsia" w:ascii="宋体" w:hAnsi="宋体" w:eastAsia="宋体" w:cs="宋体"/>
          <w:bCs/>
          <w:color w:val="auto"/>
          <w:sz w:val="24"/>
          <w:szCs w:val="24"/>
          <w:highlight w:val="none"/>
          <w:u w:val="single"/>
        </w:rPr>
        <w:t>（计划于何时验收/供应商提出验收申请之日起   日内组织验收）</w:t>
      </w:r>
      <w:r>
        <w:rPr>
          <w:rFonts w:hint="eastAsia" w:ascii="宋体" w:hAnsi="宋体" w:eastAsia="宋体" w:cs="宋体"/>
          <w:bCs/>
          <w:color w:val="auto"/>
          <w:sz w:val="24"/>
          <w:szCs w:val="24"/>
          <w:highlight w:val="none"/>
          <w:u w:val="single"/>
          <w:lang w:val="en-US" w:eastAsia="zh-CN"/>
        </w:rPr>
        <w:t xml:space="preserve"> </w:t>
      </w:r>
    </w:p>
    <w:p w14:paraId="67404109">
      <w:pPr>
        <w:keepNext w:val="0"/>
        <w:keepLines w:val="0"/>
        <w:pageBreakBefore w:val="0"/>
        <w:widowControl w:val="0"/>
        <w:kinsoku w:val="0"/>
        <w:wordWrap w:val="0"/>
        <w:overflowPunct/>
        <w:topLinePunct w:val="0"/>
        <w:bidi w:val="0"/>
        <w:adjustRightInd w:val="0"/>
        <w:snapToGrid w:val="0"/>
        <w:spacing w:before="0" w:beforeLines="0" w:line="48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履约验收方式：</w:t>
      </w:r>
      <w:r>
        <w:rPr>
          <w:rFonts w:hint="eastAsia" w:ascii="宋体" w:hAnsi="宋体" w:eastAsia="宋体" w:cs="宋体"/>
          <w:color w:val="auto"/>
          <w:sz w:val="24"/>
          <w:szCs w:val="24"/>
          <w:highlight w:val="none"/>
        </w:rPr>
        <w:sym w:font="Wingdings" w:char="00A8"/>
      </w:r>
      <w:r>
        <w:rPr>
          <w:rFonts w:hint="eastAsia" w:ascii="宋体" w:hAnsi="宋体" w:eastAsia="宋体" w:cs="宋体"/>
          <w:bCs/>
          <w:color w:val="auto"/>
          <w:sz w:val="24"/>
          <w:szCs w:val="24"/>
          <w:highlight w:val="none"/>
        </w:rPr>
        <w:t xml:space="preserve">一次性验收         </w:t>
      </w:r>
    </w:p>
    <w:p w14:paraId="40097154">
      <w:pPr>
        <w:keepNext w:val="0"/>
        <w:keepLines w:val="0"/>
        <w:pageBreakBefore w:val="0"/>
        <w:widowControl w:val="0"/>
        <w:kinsoku w:val="0"/>
        <w:wordWrap w:val="0"/>
        <w:overflowPunct/>
        <w:topLinePunct w:val="0"/>
        <w:bidi w:val="0"/>
        <w:adjustRightInd w:val="0"/>
        <w:snapToGrid w:val="0"/>
        <w:spacing w:before="0" w:beforeLines="0" w:line="480" w:lineRule="exact"/>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rPr>
        <w:sym w:font="Wingdings" w:char="00A8"/>
      </w:r>
      <w:r>
        <w:rPr>
          <w:rFonts w:hint="eastAsia" w:ascii="宋体" w:hAnsi="宋体" w:eastAsia="宋体" w:cs="宋体"/>
          <w:bCs/>
          <w:color w:val="auto"/>
          <w:sz w:val="24"/>
          <w:szCs w:val="24"/>
          <w:highlight w:val="none"/>
        </w:rPr>
        <w:t>分期/分项验收</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eastAsia="zh-CN"/>
        </w:rPr>
        <w:t>（应明确分期</w:t>
      </w:r>
      <w:r>
        <w:rPr>
          <w:rFonts w:hint="eastAsia" w:ascii="宋体" w:hAnsi="宋体" w:eastAsia="宋体" w:cs="宋体"/>
          <w:bCs/>
          <w:color w:val="auto"/>
          <w:sz w:val="24"/>
          <w:szCs w:val="24"/>
          <w:highlight w:val="none"/>
          <w:u w:val="single"/>
          <w:lang w:val="en" w:eastAsia="zh-CN"/>
        </w:rPr>
        <w:t>/分项验收的工作安排</w:t>
      </w:r>
      <w:r>
        <w:rPr>
          <w:rFonts w:hint="eastAsia" w:ascii="宋体" w:hAnsi="宋体" w:eastAsia="宋体" w:cs="宋体"/>
          <w:bCs/>
          <w:color w:val="auto"/>
          <w:sz w:val="24"/>
          <w:szCs w:val="24"/>
          <w:highlight w:val="none"/>
          <w:u w:val="single"/>
          <w:lang w:eastAsia="zh-CN"/>
        </w:rPr>
        <w:t>）</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p>
    <w:p w14:paraId="71199AF4">
      <w:pPr>
        <w:keepNext w:val="0"/>
        <w:keepLines w:val="0"/>
        <w:pageBreakBefore w:val="0"/>
        <w:widowControl w:val="0"/>
        <w:kinsoku w:val="0"/>
        <w:wordWrap w:val="0"/>
        <w:overflowPunct/>
        <w:topLinePunct w:val="0"/>
        <w:bidi w:val="0"/>
        <w:adjustRightInd w:val="0"/>
        <w:snapToGrid w:val="0"/>
        <w:spacing w:before="0" w:beforeLines="0" w:line="48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4.</w:t>
      </w:r>
      <w:r>
        <w:rPr>
          <w:rFonts w:hint="eastAsia" w:ascii="宋体" w:hAnsi="宋体" w:eastAsia="宋体" w:cs="宋体"/>
          <w:bCs/>
          <w:color w:val="auto"/>
          <w:sz w:val="24"/>
          <w:szCs w:val="24"/>
          <w:highlight w:val="none"/>
        </w:rPr>
        <w:t>履约验收程序：</w:t>
      </w:r>
      <w:r>
        <w:rPr>
          <w:rFonts w:hint="eastAsia" w:ascii="宋体" w:hAnsi="宋体" w:eastAsia="宋体" w:cs="宋体"/>
          <w:bCs/>
          <w:color w:val="auto"/>
          <w:sz w:val="24"/>
          <w:szCs w:val="24"/>
          <w:highlight w:val="none"/>
          <w:u w:val="single"/>
        </w:rPr>
        <w:t xml:space="preserve">                                         </w:t>
      </w:r>
    </w:p>
    <w:p w14:paraId="4F5C660F">
      <w:pPr>
        <w:keepNext w:val="0"/>
        <w:keepLines w:val="0"/>
        <w:pageBreakBefore w:val="0"/>
        <w:widowControl w:val="0"/>
        <w:kinsoku w:val="0"/>
        <w:wordWrap w:val="0"/>
        <w:overflowPunct/>
        <w:topLinePunct w:val="0"/>
        <w:bidi w:val="0"/>
        <w:adjustRightInd w:val="0"/>
        <w:snapToGrid w:val="0"/>
        <w:spacing w:before="0" w:beforeLines="0" w:line="480" w:lineRule="exact"/>
        <w:ind w:firstLine="480" w:firstLineChars="200"/>
        <w:textAlignment w:val="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lang w:val="en-US" w:eastAsia="zh-CN"/>
        </w:rPr>
        <w:t>5.</w:t>
      </w:r>
      <w:r>
        <w:rPr>
          <w:rFonts w:hint="eastAsia" w:ascii="宋体" w:hAnsi="宋体" w:eastAsia="宋体" w:cs="宋体"/>
          <w:bCs/>
          <w:color w:val="auto"/>
          <w:sz w:val="24"/>
          <w:szCs w:val="24"/>
          <w:highlight w:val="none"/>
        </w:rPr>
        <w:t>履约验收的内容：</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eastAsia="zh-CN"/>
        </w:rPr>
        <w:t>（应当包括每一项技术和商务要求的履约情况，特别是落实政府采购扶持中小企业，支持绿色发展和乡村振兴等政策情况）</w:t>
      </w:r>
      <w:r>
        <w:rPr>
          <w:rFonts w:hint="eastAsia" w:ascii="宋体" w:hAnsi="宋体" w:eastAsia="宋体" w:cs="宋体"/>
          <w:bCs/>
          <w:color w:val="auto"/>
          <w:sz w:val="24"/>
          <w:szCs w:val="24"/>
          <w:highlight w:val="none"/>
          <w:u w:val="single"/>
        </w:rPr>
        <w:t xml:space="preserve">                                      </w:t>
      </w:r>
    </w:p>
    <w:p w14:paraId="0823FF60">
      <w:pPr>
        <w:keepNext w:val="0"/>
        <w:keepLines w:val="0"/>
        <w:pageBreakBefore w:val="0"/>
        <w:widowControl w:val="0"/>
        <w:kinsoku w:val="0"/>
        <w:wordWrap w:val="0"/>
        <w:overflowPunct/>
        <w:topLinePunct w:val="0"/>
        <w:bidi w:val="0"/>
        <w:adjustRightInd w:val="0"/>
        <w:snapToGrid w:val="0"/>
        <w:spacing w:before="0" w:beforeLines="0" w:line="480" w:lineRule="exact"/>
        <w:ind w:firstLine="480" w:firstLineChars="200"/>
        <w:textAlignment w:val="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lang w:val="en-US" w:eastAsia="zh-CN"/>
        </w:rPr>
        <w:t>6.</w:t>
      </w:r>
      <w:r>
        <w:rPr>
          <w:rFonts w:hint="eastAsia" w:ascii="宋体" w:hAnsi="宋体" w:eastAsia="宋体" w:cs="宋体"/>
          <w:bCs/>
          <w:color w:val="auto"/>
          <w:sz w:val="24"/>
          <w:szCs w:val="24"/>
          <w:highlight w:val="none"/>
        </w:rPr>
        <w:t>履约验收标准：</w:t>
      </w:r>
      <w:r>
        <w:rPr>
          <w:rFonts w:hint="eastAsia" w:ascii="宋体" w:hAnsi="宋体" w:eastAsia="宋体" w:cs="宋体"/>
          <w:bCs/>
          <w:color w:val="auto"/>
          <w:sz w:val="24"/>
          <w:szCs w:val="24"/>
          <w:highlight w:val="none"/>
          <w:u w:val="single"/>
        </w:rPr>
        <w:t xml:space="preserve">                                         </w:t>
      </w:r>
    </w:p>
    <w:p w14:paraId="559E9A42">
      <w:pPr>
        <w:pStyle w:val="29"/>
        <w:keepNext w:val="0"/>
        <w:keepLines w:val="0"/>
        <w:pageBreakBefore w:val="0"/>
        <w:widowControl w:val="0"/>
        <w:kinsoku w:val="0"/>
        <w:wordWrap w:val="0"/>
        <w:overflowPunct/>
        <w:topLinePunct w:val="0"/>
        <w:bidi w:val="0"/>
        <w:adjustRightInd w:val="0"/>
        <w:spacing w:beforeLines="0" w:line="480" w:lineRule="exact"/>
        <w:ind w:left="0" w:lef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u w:val="none"/>
          <w:lang w:val="en-US" w:eastAsia="zh-CN"/>
        </w:rPr>
        <w:t>7.</w:t>
      </w:r>
      <w:r>
        <w:rPr>
          <w:rFonts w:hint="eastAsia" w:ascii="宋体" w:hAnsi="宋体" w:eastAsia="宋体" w:cs="宋体"/>
          <w:bCs/>
          <w:color w:val="auto"/>
          <w:sz w:val="24"/>
          <w:szCs w:val="24"/>
          <w:highlight w:val="none"/>
          <w:u w:val="none"/>
          <w:lang w:eastAsia="zh-CN"/>
        </w:rPr>
        <w:t>是否以采购活动中供应商提供的样品作为参考：</w:t>
      </w:r>
      <w:r>
        <w:rPr>
          <w:rFonts w:hint="eastAsia" w:ascii="宋体" w:hAnsi="宋体" w:eastAsia="宋体" w:cs="宋体"/>
          <w:color w:val="auto"/>
          <w:sz w:val="24"/>
          <w:szCs w:val="24"/>
          <w:highlight w:val="none"/>
        </w:rPr>
        <w:sym w:font="Wingdings" w:char="00A8"/>
      </w:r>
      <w:r>
        <w:rPr>
          <w:rFonts w:hint="eastAsia" w:ascii="宋体" w:hAnsi="宋体" w:eastAsia="宋体" w:cs="宋体"/>
          <w:bCs/>
          <w:color w:val="auto"/>
          <w:sz w:val="24"/>
          <w:szCs w:val="24"/>
          <w:highlight w:val="none"/>
        </w:rPr>
        <w:t xml:space="preserve">是  </w:t>
      </w:r>
      <w:r>
        <w:rPr>
          <w:rFonts w:hint="eastAsia" w:ascii="宋体" w:hAnsi="宋体" w:eastAsia="宋体" w:cs="宋体"/>
          <w:color w:val="auto"/>
          <w:sz w:val="24"/>
          <w:szCs w:val="24"/>
          <w:highlight w:val="none"/>
        </w:rPr>
        <w:sym w:font="Wingdings" w:char="00A8"/>
      </w:r>
      <w:r>
        <w:rPr>
          <w:rFonts w:hint="eastAsia" w:ascii="宋体" w:hAnsi="宋体" w:eastAsia="宋体" w:cs="宋体"/>
          <w:bCs/>
          <w:color w:val="auto"/>
          <w:sz w:val="24"/>
          <w:szCs w:val="24"/>
          <w:highlight w:val="none"/>
        </w:rPr>
        <w:t>否</w:t>
      </w:r>
    </w:p>
    <w:p w14:paraId="1D347309">
      <w:pPr>
        <w:keepNext w:val="0"/>
        <w:keepLines w:val="0"/>
        <w:pageBreakBefore w:val="0"/>
        <w:widowControl w:val="0"/>
        <w:kinsoku w:val="0"/>
        <w:wordWrap w:val="0"/>
        <w:overflowPunct/>
        <w:topLinePunct w:val="0"/>
        <w:bidi w:val="0"/>
        <w:adjustRightInd w:val="0"/>
        <w:snapToGrid w:val="0"/>
        <w:spacing w:before="0" w:beforeLines="0" w:line="480" w:lineRule="exact"/>
        <w:ind w:firstLine="480" w:firstLineChars="200"/>
        <w:textAlignment w:val="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lang w:val="en-US" w:eastAsia="zh-CN"/>
        </w:rPr>
        <w:t>8.</w:t>
      </w:r>
      <w:r>
        <w:rPr>
          <w:rFonts w:hint="eastAsia" w:ascii="宋体" w:hAnsi="宋体" w:eastAsia="宋体" w:cs="宋体"/>
          <w:bCs/>
          <w:color w:val="auto"/>
          <w:sz w:val="24"/>
          <w:szCs w:val="24"/>
          <w:highlight w:val="none"/>
        </w:rPr>
        <w:t>履约验收其他事项：</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i w:val="0"/>
          <w:iCs w:val="0"/>
          <w:color w:val="auto"/>
          <w:sz w:val="24"/>
          <w:szCs w:val="24"/>
          <w:highlight w:val="none"/>
          <w:u w:val="single"/>
        </w:rPr>
        <w:t>（产权过户登记等）</w:t>
      </w:r>
      <w:r>
        <w:rPr>
          <w:rFonts w:hint="eastAsia" w:ascii="宋体" w:hAnsi="宋体" w:eastAsia="宋体" w:cs="宋体"/>
          <w:bCs/>
          <w:color w:val="auto"/>
          <w:sz w:val="24"/>
          <w:szCs w:val="24"/>
          <w:highlight w:val="none"/>
          <w:u w:val="single"/>
        </w:rPr>
        <w:t xml:space="preserve">          </w:t>
      </w:r>
    </w:p>
    <w:p w14:paraId="7088EF12">
      <w:pPr>
        <w:keepNext w:val="0"/>
        <w:keepLines w:val="0"/>
        <w:pageBreakBefore w:val="0"/>
        <w:widowControl w:val="0"/>
        <w:numPr>
          <w:ilvl w:val="0"/>
          <w:numId w:val="0"/>
        </w:numPr>
        <w:kinsoku w:val="0"/>
        <w:wordWrap w:val="0"/>
        <w:overflowPunct/>
        <w:topLinePunct w:val="0"/>
        <w:autoSpaceDE/>
        <w:autoSpaceDN/>
        <w:bidi w:val="0"/>
        <w:adjustRightInd w:val="0"/>
        <w:snapToGrid w:val="0"/>
        <w:spacing w:before="0" w:beforeLines="0" w:line="480" w:lineRule="exact"/>
        <w:ind w:firstLine="482" w:firstLineChars="200"/>
        <w:textAlignment w:val="auto"/>
        <w:rPr>
          <w:rFonts w:hint="eastAsia" w:ascii="宋体" w:hAnsi="宋体" w:eastAsia="宋体" w:cs="Times New Roman"/>
          <w:b/>
          <w:color w:val="auto"/>
          <w:sz w:val="24"/>
          <w:szCs w:val="24"/>
          <w:highlight w:val="none"/>
          <w:lang w:val="en-US" w:eastAsia="zh-CN"/>
        </w:rPr>
      </w:pPr>
      <w:r>
        <w:rPr>
          <w:rFonts w:hint="eastAsia" w:ascii="宋体" w:hAnsi="宋体" w:eastAsia="宋体" w:cs="Times New Roman"/>
          <w:b/>
          <w:color w:val="auto"/>
          <w:sz w:val="24"/>
          <w:szCs w:val="24"/>
          <w:highlight w:val="none"/>
          <w:lang w:val="en-US" w:eastAsia="zh-CN"/>
        </w:rPr>
        <w:t>五、组成合同的文件</w:t>
      </w:r>
    </w:p>
    <w:p w14:paraId="25E7525A">
      <w:pPr>
        <w:keepNext w:val="0"/>
        <w:keepLines w:val="0"/>
        <w:pageBreakBefore w:val="0"/>
        <w:widowControl w:val="0"/>
        <w:kinsoku w:val="0"/>
        <w:wordWrap w:val="0"/>
        <w:overflowPunct/>
        <w:topLinePunct w:val="0"/>
        <w:bidi w:val="0"/>
        <w:adjustRightInd w:val="0"/>
        <w:snapToGrid w:val="0"/>
        <w:spacing w:before="0" w:beforeLines="0"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本协议书与下列文件一起构成合同文件，如下述文件之间有任何抵触、矛盾或歧义，应按以下顺序解释：</w:t>
      </w:r>
    </w:p>
    <w:p w14:paraId="4C285AB5">
      <w:pPr>
        <w:keepNext w:val="0"/>
        <w:keepLines w:val="0"/>
        <w:pageBreakBefore w:val="0"/>
        <w:widowControl w:val="0"/>
        <w:kinsoku w:val="0"/>
        <w:wordWrap w:val="0"/>
        <w:overflowPunct/>
        <w:topLinePunct w:val="0"/>
        <w:bidi w:val="0"/>
        <w:adjustRightInd w:val="0"/>
        <w:snapToGrid w:val="0"/>
        <w:spacing w:before="0" w:beforeLines="0" w:line="480" w:lineRule="exact"/>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政府采购</w:t>
      </w:r>
      <w:r>
        <w:rPr>
          <w:rFonts w:hint="eastAsia" w:ascii="宋体" w:hAnsi="宋体" w:eastAsia="宋体" w:cs="宋体"/>
          <w:color w:val="auto"/>
          <w:sz w:val="24"/>
          <w:szCs w:val="24"/>
          <w:highlight w:val="none"/>
        </w:rPr>
        <w:t>合同协议书及其变更、补充</w:t>
      </w:r>
      <w:r>
        <w:rPr>
          <w:rFonts w:hint="eastAsia" w:ascii="宋体" w:hAnsi="宋体" w:eastAsia="宋体" w:cs="宋体"/>
          <w:color w:val="auto"/>
          <w:sz w:val="24"/>
          <w:szCs w:val="24"/>
          <w:highlight w:val="none"/>
          <w:lang w:eastAsia="zh-CN"/>
        </w:rPr>
        <w:t>协议</w:t>
      </w:r>
    </w:p>
    <w:p w14:paraId="708A5B66">
      <w:pPr>
        <w:keepNext w:val="0"/>
        <w:keepLines w:val="0"/>
        <w:pageBreakBefore w:val="0"/>
        <w:widowControl w:val="0"/>
        <w:kinsoku w:val="0"/>
        <w:wordWrap w:val="0"/>
        <w:overflowPunct/>
        <w:topLinePunct w:val="0"/>
        <w:bidi w:val="0"/>
        <w:adjustRightInd w:val="0"/>
        <w:snapToGrid w:val="0"/>
        <w:spacing w:before="0" w:beforeLines="0"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政府采购合同专用条款</w:t>
      </w:r>
    </w:p>
    <w:p w14:paraId="202131CF">
      <w:pPr>
        <w:keepNext w:val="0"/>
        <w:keepLines w:val="0"/>
        <w:pageBreakBefore w:val="0"/>
        <w:widowControl w:val="0"/>
        <w:kinsoku w:val="0"/>
        <w:wordWrap w:val="0"/>
        <w:overflowPunct/>
        <w:topLinePunct w:val="0"/>
        <w:bidi w:val="0"/>
        <w:adjustRightInd w:val="0"/>
        <w:snapToGrid w:val="0"/>
        <w:spacing w:before="0" w:beforeLines="0"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政府采购合同通用条款</w:t>
      </w:r>
    </w:p>
    <w:p w14:paraId="69981A89">
      <w:pPr>
        <w:keepNext w:val="0"/>
        <w:keepLines w:val="0"/>
        <w:pageBreakBefore w:val="0"/>
        <w:widowControl w:val="0"/>
        <w:kinsoku w:val="0"/>
        <w:wordWrap w:val="0"/>
        <w:overflowPunct/>
        <w:topLinePunct w:val="0"/>
        <w:bidi w:val="0"/>
        <w:adjustRightInd w:val="0"/>
        <w:snapToGrid w:val="0"/>
        <w:spacing w:before="0" w:beforeLines="0"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中标</w:t>
      </w:r>
      <w:r>
        <w:rPr>
          <w:rFonts w:hint="eastAsia" w:ascii="宋体" w:hAnsi="宋体" w:eastAsia="宋体" w:cs="宋体"/>
          <w:color w:val="auto"/>
          <w:sz w:val="24"/>
          <w:szCs w:val="24"/>
          <w:highlight w:val="none"/>
          <w:lang w:eastAsia="zh-CN"/>
        </w:rPr>
        <w:t>（成交）</w:t>
      </w:r>
      <w:r>
        <w:rPr>
          <w:rFonts w:hint="eastAsia" w:ascii="宋体" w:hAnsi="宋体" w:eastAsia="宋体" w:cs="宋体"/>
          <w:color w:val="auto"/>
          <w:sz w:val="24"/>
          <w:szCs w:val="24"/>
          <w:highlight w:val="none"/>
        </w:rPr>
        <w:t>通知书</w:t>
      </w:r>
    </w:p>
    <w:p w14:paraId="0A22B91E">
      <w:pPr>
        <w:keepNext w:val="0"/>
        <w:keepLines w:val="0"/>
        <w:pageBreakBefore w:val="0"/>
        <w:widowControl w:val="0"/>
        <w:kinsoku w:val="0"/>
        <w:wordWrap w:val="0"/>
        <w:overflowPunct/>
        <w:topLinePunct w:val="0"/>
        <w:bidi w:val="0"/>
        <w:adjustRightInd w:val="0"/>
        <w:snapToGrid w:val="0"/>
        <w:spacing w:before="0" w:beforeLines="0"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投标文件</w:t>
      </w:r>
    </w:p>
    <w:p w14:paraId="3DC4F004">
      <w:pPr>
        <w:keepNext w:val="0"/>
        <w:keepLines w:val="0"/>
        <w:pageBreakBefore w:val="0"/>
        <w:widowControl w:val="0"/>
        <w:kinsoku w:val="0"/>
        <w:wordWrap w:val="0"/>
        <w:overflowPunct/>
        <w:topLinePunct w:val="0"/>
        <w:bidi w:val="0"/>
        <w:adjustRightInd w:val="0"/>
        <w:snapToGrid w:val="0"/>
        <w:spacing w:before="0" w:beforeLines="0"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采购文件</w:t>
      </w:r>
    </w:p>
    <w:p w14:paraId="292A2116">
      <w:pPr>
        <w:keepNext w:val="0"/>
        <w:keepLines w:val="0"/>
        <w:pageBreakBefore w:val="0"/>
        <w:widowControl w:val="0"/>
        <w:kinsoku w:val="0"/>
        <w:wordWrap w:val="0"/>
        <w:overflowPunct/>
        <w:topLinePunct w:val="0"/>
        <w:bidi w:val="0"/>
        <w:adjustRightInd w:val="0"/>
        <w:snapToGrid w:val="0"/>
        <w:spacing w:before="0" w:beforeLines="0"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有关技术文件，图纸</w:t>
      </w:r>
    </w:p>
    <w:p w14:paraId="289D15B2">
      <w:pPr>
        <w:pStyle w:val="29"/>
        <w:keepNext w:val="0"/>
        <w:keepLines w:val="0"/>
        <w:pageBreakBefore w:val="0"/>
        <w:widowControl w:val="0"/>
        <w:kinsoku w:val="0"/>
        <w:wordWrap w:val="0"/>
        <w:overflowPunct/>
        <w:topLinePunct w:val="0"/>
        <w:bidi w:val="0"/>
        <w:spacing w:beforeLines="0" w:line="480" w:lineRule="exact"/>
        <w:textAlignment w:val="auto"/>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sz w:val="24"/>
          <w:szCs w:val="24"/>
          <w:highlight w:val="none"/>
          <w:lang w:val="en-US" w:eastAsia="zh-CN"/>
        </w:rPr>
        <w:t>8.</w:t>
      </w:r>
      <w:r>
        <w:rPr>
          <w:rFonts w:hint="eastAsia" w:ascii="宋体" w:hAnsi="宋体" w:eastAsia="宋体" w:cs="宋体"/>
          <w:bCs w:val="0"/>
          <w:color w:val="auto"/>
          <w:kern w:val="2"/>
          <w:sz w:val="24"/>
          <w:szCs w:val="24"/>
          <w:highlight w:val="none"/>
          <w:lang w:eastAsia="zh-CN"/>
        </w:rPr>
        <w:t>国家法律、行政法规和规章制度规定或合同约定的作为合同组成部分的其他文件</w:t>
      </w:r>
    </w:p>
    <w:p w14:paraId="1E9FA0AF">
      <w:pPr>
        <w:keepNext w:val="0"/>
        <w:keepLines w:val="0"/>
        <w:pageBreakBefore w:val="0"/>
        <w:widowControl w:val="0"/>
        <w:numPr>
          <w:ilvl w:val="0"/>
          <w:numId w:val="0"/>
        </w:numPr>
        <w:kinsoku w:val="0"/>
        <w:wordWrap w:val="0"/>
        <w:overflowPunct/>
        <w:topLinePunct w:val="0"/>
        <w:autoSpaceDE/>
        <w:autoSpaceDN/>
        <w:bidi w:val="0"/>
        <w:adjustRightInd w:val="0"/>
        <w:snapToGrid w:val="0"/>
        <w:spacing w:before="0" w:beforeLines="0" w:line="480" w:lineRule="exact"/>
        <w:ind w:firstLine="482" w:firstLineChars="200"/>
        <w:textAlignment w:val="auto"/>
        <w:rPr>
          <w:rFonts w:hint="eastAsia" w:ascii="宋体" w:hAnsi="宋体" w:eastAsia="宋体" w:cs="Times New Roman"/>
          <w:b/>
          <w:color w:val="auto"/>
          <w:sz w:val="24"/>
          <w:szCs w:val="24"/>
          <w:highlight w:val="none"/>
          <w:lang w:val="en-US" w:eastAsia="zh-CN"/>
        </w:rPr>
      </w:pPr>
      <w:r>
        <w:rPr>
          <w:rFonts w:hint="eastAsia" w:ascii="宋体" w:hAnsi="宋体" w:eastAsia="宋体" w:cs="Times New Roman"/>
          <w:b/>
          <w:color w:val="auto"/>
          <w:sz w:val="24"/>
          <w:szCs w:val="24"/>
          <w:highlight w:val="none"/>
          <w:lang w:val="en-US" w:eastAsia="zh-CN"/>
        </w:rPr>
        <w:t>六、合同生效</w:t>
      </w:r>
    </w:p>
    <w:p w14:paraId="24162AAC">
      <w:pPr>
        <w:keepNext w:val="0"/>
        <w:keepLines w:val="0"/>
        <w:pageBreakBefore w:val="0"/>
        <w:widowControl w:val="0"/>
        <w:kinsoku w:val="0"/>
        <w:wordWrap w:val="0"/>
        <w:overflowPunct/>
        <w:topLinePunct w:val="0"/>
        <w:bidi w:val="0"/>
        <w:adjustRightInd w:val="0"/>
        <w:snapToGrid w:val="0"/>
        <w:spacing w:before="0" w:beforeLines="0"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本合同自</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生效。</w:t>
      </w:r>
    </w:p>
    <w:p w14:paraId="20EA863B">
      <w:pPr>
        <w:keepNext w:val="0"/>
        <w:keepLines w:val="0"/>
        <w:pageBreakBefore w:val="0"/>
        <w:widowControl w:val="0"/>
        <w:numPr>
          <w:ilvl w:val="0"/>
          <w:numId w:val="0"/>
        </w:numPr>
        <w:kinsoku w:val="0"/>
        <w:wordWrap w:val="0"/>
        <w:overflowPunct/>
        <w:topLinePunct w:val="0"/>
        <w:autoSpaceDE/>
        <w:autoSpaceDN/>
        <w:bidi w:val="0"/>
        <w:adjustRightInd w:val="0"/>
        <w:snapToGrid w:val="0"/>
        <w:spacing w:before="0" w:beforeLines="0" w:line="480" w:lineRule="exact"/>
        <w:ind w:firstLine="482" w:firstLineChars="200"/>
        <w:textAlignment w:val="auto"/>
        <w:rPr>
          <w:rFonts w:hint="eastAsia" w:ascii="宋体" w:hAnsi="宋体" w:eastAsia="宋体" w:cs="Times New Roman"/>
          <w:b/>
          <w:color w:val="auto"/>
          <w:sz w:val="24"/>
          <w:szCs w:val="24"/>
          <w:highlight w:val="none"/>
          <w:lang w:val="en-US" w:eastAsia="zh-CN"/>
        </w:rPr>
      </w:pPr>
      <w:r>
        <w:rPr>
          <w:rFonts w:hint="eastAsia" w:ascii="宋体" w:hAnsi="宋体" w:eastAsia="宋体" w:cs="Times New Roman"/>
          <w:b/>
          <w:color w:val="auto"/>
          <w:sz w:val="24"/>
          <w:szCs w:val="24"/>
          <w:highlight w:val="none"/>
          <w:lang w:val="en-US" w:eastAsia="zh-CN"/>
        </w:rPr>
        <w:t>七、合同份数</w:t>
      </w:r>
    </w:p>
    <w:p w14:paraId="4D12DDF8">
      <w:pPr>
        <w:keepNext w:val="0"/>
        <w:keepLines w:val="0"/>
        <w:pageBreakBefore w:val="0"/>
        <w:widowControl w:val="0"/>
        <w:kinsoku w:val="0"/>
        <w:wordWrap w:val="0"/>
        <w:overflowPunct/>
        <w:topLinePunct w:val="0"/>
        <w:bidi w:val="0"/>
        <w:adjustRightInd w:val="0"/>
        <w:snapToGrid w:val="0"/>
        <w:spacing w:before="0" w:beforeLines="0"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本合同一式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份，</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份，</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份，均具有同等法律效力。</w:t>
      </w:r>
    </w:p>
    <w:p w14:paraId="3BA9F9B6">
      <w:pPr>
        <w:keepNext w:val="0"/>
        <w:keepLines w:val="0"/>
        <w:pageBreakBefore w:val="0"/>
        <w:widowControl w:val="0"/>
        <w:kinsoku w:val="0"/>
        <w:wordWrap w:val="0"/>
        <w:overflowPunct/>
        <w:topLinePunct w:val="0"/>
        <w:bidi w:val="0"/>
        <w:adjustRightInd w:val="0"/>
        <w:snapToGrid w:val="0"/>
        <w:spacing w:before="0" w:beforeLines="0"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合同订立时间：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73613EA9">
      <w:pPr>
        <w:keepNext w:val="0"/>
        <w:keepLines w:val="0"/>
        <w:pageBreakBefore w:val="0"/>
        <w:widowControl w:val="0"/>
        <w:kinsoku w:val="0"/>
        <w:wordWrap w:val="0"/>
        <w:overflowPunct/>
        <w:topLinePunct w:val="0"/>
        <w:bidi w:val="0"/>
        <w:adjustRightInd w:val="0"/>
        <w:snapToGrid w:val="0"/>
        <w:spacing w:before="0" w:beforeLines="0"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合同订立地点：</w:t>
      </w:r>
      <w:r>
        <w:rPr>
          <w:rFonts w:hint="eastAsia" w:ascii="宋体" w:hAnsi="宋体" w:eastAsia="宋体" w:cs="宋体"/>
          <w:color w:val="auto"/>
          <w:sz w:val="24"/>
          <w:szCs w:val="24"/>
          <w:highlight w:val="none"/>
          <w:u w:val="single"/>
        </w:rPr>
        <w:t xml:space="preserve">                           </w:t>
      </w:r>
    </w:p>
    <w:p w14:paraId="00DF422F">
      <w:pPr>
        <w:keepNext w:val="0"/>
        <w:keepLines w:val="0"/>
        <w:pageBreakBefore w:val="0"/>
        <w:widowControl w:val="0"/>
        <w:kinsoku w:val="0"/>
        <w:wordWrap w:val="0"/>
        <w:overflowPunct/>
        <w:topLinePunct w:val="0"/>
        <w:bidi w:val="0"/>
        <w:adjustRightInd w:val="0"/>
        <w:snapToGrid w:val="0"/>
        <w:spacing w:before="0" w:beforeLines="0"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附件：具体标</w:t>
      </w:r>
      <w:r>
        <w:rPr>
          <w:rFonts w:hint="eastAsia" w:ascii="宋体" w:hAnsi="宋体" w:eastAsia="宋体" w:cs="宋体"/>
          <w:color w:val="auto"/>
          <w:sz w:val="24"/>
          <w:szCs w:val="24"/>
          <w:highlight w:val="none"/>
          <w:lang w:eastAsia="zh-CN"/>
        </w:rPr>
        <w:t>的及其</w:t>
      </w:r>
      <w:r>
        <w:rPr>
          <w:rFonts w:hint="eastAsia" w:ascii="宋体" w:hAnsi="宋体" w:eastAsia="宋体" w:cs="宋体"/>
          <w:color w:val="auto"/>
          <w:sz w:val="24"/>
          <w:szCs w:val="24"/>
          <w:highlight w:val="none"/>
          <w:u w:val="none"/>
          <w:lang w:val="en-US" w:eastAsia="zh-CN"/>
        </w:rPr>
        <w:t>技术要求和商务要求</w:t>
      </w:r>
      <w:r>
        <w:rPr>
          <w:rFonts w:hint="eastAsia" w:ascii="宋体" w:hAnsi="宋体" w:eastAsia="宋体" w:cs="宋体"/>
          <w:color w:val="auto"/>
          <w:sz w:val="24"/>
          <w:szCs w:val="24"/>
          <w:highlight w:val="none"/>
        </w:rPr>
        <w:t>、联合协议、分包</w:t>
      </w:r>
      <w:r>
        <w:rPr>
          <w:rFonts w:hint="eastAsia" w:ascii="宋体" w:hAnsi="宋体" w:eastAsia="宋体" w:cs="宋体"/>
          <w:color w:val="auto"/>
          <w:sz w:val="24"/>
          <w:szCs w:val="24"/>
          <w:highlight w:val="none"/>
          <w:lang w:eastAsia="zh-CN"/>
        </w:rPr>
        <w:t>意向</w:t>
      </w:r>
      <w:r>
        <w:rPr>
          <w:rFonts w:hint="eastAsia" w:ascii="宋体" w:hAnsi="宋体" w:eastAsia="宋体" w:cs="宋体"/>
          <w:color w:val="auto"/>
          <w:sz w:val="24"/>
          <w:szCs w:val="24"/>
          <w:highlight w:val="none"/>
        </w:rPr>
        <w:t>协议等。</w:t>
      </w:r>
    </w:p>
    <w:p w14:paraId="0137F543">
      <w:pPr>
        <w:keepNext w:val="0"/>
        <w:keepLines w:val="0"/>
        <w:pageBreakBefore w:val="0"/>
        <w:widowControl w:val="0"/>
        <w:kinsoku w:val="0"/>
        <w:wordWrap w:val="0"/>
        <w:overflowPunct/>
        <w:topLinePunct w:val="0"/>
        <w:bidi w:val="0"/>
        <w:adjustRightInd w:val="0"/>
        <w:snapToGrid w:val="0"/>
        <w:spacing w:before="0" w:beforeLines="0" w:line="480" w:lineRule="exact"/>
        <w:ind w:firstLine="480" w:firstLineChars="200"/>
        <w:textAlignment w:val="auto"/>
        <w:rPr>
          <w:rFonts w:hint="eastAsia" w:ascii="宋体" w:hAnsi="宋体" w:eastAsia="宋体" w:cs="宋体"/>
          <w:color w:val="auto"/>
          <w:sz w:val="24"/>
          <w:szCs w:val="24"/>
          <w:highlight w:val="none"/>
        </w:rPr>
      </w:pPr>
    </w:p>
    <w:tbl>
      <w:tblPr>
        <w:tblStyle w:val="21"/>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1904"/>
        <w:gridCol w:w="2841"/>
        <w:gridCol w:w="1933"/>
        <w:gridCol w:w="2585"/>
      </w:tblGrid>
      <w:tr w14:paraId="2BE476E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2561" w:type="pct"/>
            <w:gridSpan w:val="2"/>
            <w:tcBorders>
              <w:bottom w:val="single" w:color="auto" w:sz="2" w:space="0"/>
              <w:right w:val="single" w:color="auto" w:sz="2" w:space="0"/>
            </w:tcBorders>
            <w:vAlign w:val="center"/>
          </w:tcPr>
          <w:p w14:paraId="2F01A54A">
            <w:pPr>
              <w:keepNext w:val="0"/>
              <w:keepLines w:val="0"/>
              <w:pageBreakBefore w:val="0"/>
              <w:widowControl w:val="0"/>
              <w:kinsoku w:val="0"/>
              <w:wordWrap w:val="0"/>
              <w:bidi w:val="0"/>
              <w:adjustRightInd w:val="0"/>
              <w:snapToGrid w:val="0"/>
              <w:spacing w:line="300" w:lineRule="exact"/>
              <w:jc w:val="center"/>
              <w:textAlignment w:val="auto"/>
              <w:rPr>
                <w:color w:val="auto"/>
                <w:highlight w:val="none"/>
              </w:rPr>
            </w:pPr>
            <w:r>
              <w:rPr>
                <w:color w:val="auto"/>
                <w:szCs w:val="21"/>
                <w:highlight w:val="none"/>
              </w:rPr>
              <w:t>甲方</w:t>
            </w:r>
            <w:r>
              <w:rPr>
                <w:rFonts w:hint="eastAsia"/>
                <w:color w:val="auto"/>
                <w:szCs w:val="21"/>
                <w:highlight w:val="none"/>
              </w:rPr>
              <w:t>（采购人）</w:t>
            </w:r>
          </w:p>
        </w:tc>
        <w:tc>
          <w:tcPr>
            <w:tcW w:w="2438" w:type="pct"/>
            <w:gridSpan w:val="2"/>
            <w:tcBorders>
              <w:left w:val="single" w:color="auto" w:sz="2" w:space="0"/>
              <w:bottom w:val="single" w:color="auto" w:sz="2" w:space="0"/>
            </w:tcBorders>
            <w:vAlign w:val="center"/>
          </w:tcPr>
          <w:p w14:paraId="423881C0">
            <w:pPr>
              <w:keepNext w:val="0"/>
              <w:keepLines w:val="0"/>
              <w:pageBreakBefore w:val="0"/>
              <w:widowControl w:val="0"/>
              <w:kinsoku w:val="0"/>
              <w:wordWrap w:val="0"/>
              <w:bidi w:val="0"/>
              <w:adjustRightInd w:val="0"/>
              <w:snapToGrid w:val="0"/>
              <w:spacing w:line="300" w:lineRule="exact"/>
              <w:jc w:val="center"/>
              <w:textAlignment w:val="auto"/>
              <w:rPr>
                <w:color w:val="auto"/>
                <w:highlight w:val="none"/>
              </w:rPr>
            </w:pPr>
            <w:r>
              <w:rPr>
                <w:color w:val="auto"/>
                <w:szCs w:val="21"/>
                <w:highlight w:val="none"/>
              </w:rPr>
              <w:t>乙方</w:t>
            </w:r>
            <w:r>
              <w:rPr>
                <w:rFonts w:hint="eastAsia"/>
                <w:color w:val="auto"/>
                <w:szCs w:val="21"/>
                <w:highlight w:val="none"/>
              </w:rPr>
              <w:t>（供应商）</w:t>
            </w:r>
          </w:p>
        </w:tc>
      </w:tr>
      <w:tr w14:paraId="641BF92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028" w:type="pct"/>
            <w:tcBorders>
              <w:top w:val="single" w:color="auto" w:sz="2" w:space="0"/>
              <w:bottom w:val="single" w:color="auto" w:sz="2" w:space="0"/>
              <w:right w:val="single" w:color="auto" w:sz="2" w:space="0"/>
            </w:tcBorders>
            <w:vAlign w:val="center"/>
          </w:tcPr>
          <w:p w14:paraId="0C833CB4">
            <w:pPr>
              <w:keepNext w:val="0"/>
              <w:keepLines w:val="0"/>
              <w:pageBreakBefore w:val="0"/>
              <w:widowControl w:val="0"/>
              <w:kinsoku w:val="0"/>
              <w:wordWrap w:val="0"/>
              <w:bidi w:val="0"/>
              <w:adjustRightInd w:val="0"/>
              <w:snapToGrid w:val="0"/>
              <w:spacing w:line="300" w:lineRule="exact"/>
              <w:jc w:val="center"/>
              <w:textAlignment w:val="auto"/>
              <w:rPr>
                <w:color w:val="auto"/>
                <w:szCs w:val="21"/>
                <w:highlight w:val="none"/>
              </w:rPr>
            </w:pPr>
            <w:r>
              <w:rPr>
                <w:color w:val="auto"/>
                <w:szCs w:val="21"/>
                <w:highlight w:val="none"/>
              </w:rPr>
              <w:t>单位名称</w:t>
            </w:r>
            <w:r>
              <w:rPr>
                <w:rFonts w:hint="eastAsia"/>
                <w:color w:val="auto"/>
                <w:szCs w:val="21"/>
                <w:highlight w:val="none"/>
              </w:rPr>
              <w:t>（公章</w:t>
            </w:r>
            <w:r>
              <w:rPr>
                <w:rFonts w:hint="eastAsia"/>
                <w:color w:val="auto"/>
                <w:szCs w:val="21"/>
                <w:highlight w:val="none"/>
                <w:lang w:eastAsia="zh-CN"/>
              </w:rPr>
              <w:t>或合同章</w:t>
            </w:r>
            <w:r>
              <w:rPr>
                <w:rFonts w:hint="eastAsia"/>
                <w:color w:val="auto"/>
                <w:szCs w:val="21"/>
                <w:highlight w:val="none"/>
              </w:rPr>
              <w:t>）</w:t>
            </w:r>
          </w:p>
        </w:tc>
        <w:tc>
          <w:tcPr>
            <w:tcW w:w="1533" w:type="pct"/>
            <w:tcBorders>
              <w:top w:val="single" w:color="auto" w:sz="2" w:space="0"/>
              <w:left w:val="single" w:color="auto" w:sz="2" w:space="0"/>
              <w:bottom w:val="single" w:color="auto" w:sz="2" w:space="0"/>
              <w:right w:val="single" w:color="auto" w:sz="2" w:space="0"/>
            </w:tcBorders>
            <w:vAlign w:val="center"/>
          </w:tcPr>
          <w:p w14:paraId="0AFC83B6">
            <w:pPr>
              <w:keepNext w:val="0"/>
              <w:keepLines w:val="0"/>
              <w:pageBreakBefore w:val="0"/>
              <w:widowControl w:val="0"/>
              <w:kinsoku w:val="0"/>
              <w:wordWrap w:val="0"/>
              <w:bidi w:val="0"/>
              <w:adjustRightInd w:val="0"/>
              <w:snapToGrid w:val="0"/>
              <w:spacing w:line="300" w:lineRule="exact"/>
              <w:jc w:val="center"/>
              <w:textAlignment w:val="auto"/>
              <w:rPr>
                <w:color w:val="auto"/>
                <w:szCs w:val="21"/>
                <w:highlight w:val="none"/>
              </w:rPr>
            </w:pPr>
          </w:p>
        </w:tc>
        <w:tc>
          <w:tcPr>
            <w:tcW w:w="1043" w:type="pct"/>
            <w:tcBorders>
              <w:top w:val="single" w:color="auto" w:sz="2" w:space="0"/>
              <w:left w:val="single" w:color="auto" w:sz="2" w:space="0"/>
              <w:bottom w:val="single" w:color="auto" w:sz="2" w:space="0"/>
              <w:right w:val="single" w:color="auto" w:sz="2" w:space="0"/>
            </w:tcBorders>
            <w:vAlign w:val="center"/>
          </w:tcPr>
          <w:p w14:paraId="1BF9D1CB">
            <w:pPr>
              <w:keepNext w:val="0"/>
              <w:keepLines w:val="0"/>
              <w:pageBreakBefore w:val="0"/>
              <w:widowControl w:val="0"/>
              <w:kinsoku w:val="0"/>
              <w:wordWrap w:val="0"/>
              <w:bidi w:val="0"/>
              <w:adjustRightInd w:val="0"/>
              <w:snapToGrid w:val="0"/>
              <w:spacing w:line="300" w:lineRule="exact"/>
              <w:jc w:val="center"/>
              <w:textAlignment w:val="auto"/>
              <w:rPr>
                <w:color w:val="auto"/>
                <w:szCs w:val="21"/>
                <w:highlight w:val="none"/>
              </w:rPr>
            </w:pPr>
            <w:r>
              <w:rPr>
                <w:color w:val="auto"/>
                <w:szCs w:val="21"/>
                <w:highlight w:val="none"/>
              </w:rPr>
              <w:t>单位名称</w:t>
            </w:r>
            <w:r>
              <w:rPr>
                <w:rFonts w:hint="eastAsia"/>
                <w:color w:val="auto"/>
                <w:szCs w:val="21"/>
                <w:highlight w:val="none"/>
              </w:rPr>
              <w:t>（公章</w:t>
            </w:r>
            <w:r>
              <w:rPr>
                <w:rFonts w:hint="eastAsia"/>
                <w:color w:val="auto"/>
                <w:szCs w:val="21"/>
                <w:highlight w:val="none"/>
                <w:lang w:eastAsia="zh-CN"/>
              </w:rPr>
              <w:t>或合同章</w:t>
            </w:r>
            <w:r>
              <w:rPr>
                <w:rFonts w:hint="eastAsia"/>
                <w:color w:val="auto"/>
                <w:szCs w:val="21"/>
                <w:highlight w:val="none"/>
              </w:rPr>
              <w:t>）</w:t>
            </w:r>
          </w:p>
        </w:tc>
        <w:tc>
          <w:tcPr>
            <w:tcW w:w="1394" w:type="pct"/>
            <w:tcBorders>
              <w:top w:val="single" w:color="auto" w:sz="2" w:space="0"/>
              <w:left w:val="single" w:color="auto" w:sz="2" w:space="0"/>
              <w:bottom w:val="single" w:color="auto" w:sz="2" w:space="0"/>
            </w:tcBorders>
            <w:vAlign w:val="center"/>
          </w:tcPr>
          <w:p w14:paraId="59879E1E">
            <w:pPr>
              <w:keepNext w:val="0"/>
              <w:keepLines w:val="0"/>
              <w:pageBreakBefore w:val="0"/>
              <w:widowControl w:val="0"/>
              <w:kinsoku w:val="0"/>
              <w:wordWrap w:val="0"/>
              <w:bidi w:val="0"/>
              <w:adjustRightInd w:val="0"/>
              <w:snapToGrid w:val="0"/>
              <w:spacing w:line="300" w:lineRule="exact"/>
              <w:jc w:val="center"/>
              <w:textAlignment w:val="auto"/>
              <w:rPr>
                <w:color w:val="auto"/>
                <w:spacing w:val="20"/>
                <w:szCs w:val="21"/>
                <w:highlight w:val="none"/>
              </w:rPr>
            </w:pPr>
          </w:p>
        </w:tc>
      </w:tr>
      <w:tr w14:paraId="343F7EB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PrEx>
        <w:trPr>
          <w:trHeight w:val="1171" w:hRule="atLeast"/>
        </w:trPr>
        <w:tc>
          <w:tcPr>
            <w:tcW w:w="1028" w:type="pct"/>
            <w:vMerge w:val="restart"/>
            <w:tcBorders>
              <w:top w:val="single" w:color="auto" w:sz="2" w:space="0"/>
              <w:right w:val="single" w:color="auto" w:sz="2" w:space="0"/>
            </w:tcBorders>
            <w:vAlign w:val="center"/>
          </w:tcPr>
          <w:p w14:paraId="390951E2">
            <w:pPr>
              <w:keepNext w:val="0"/>
              <w:keepLines w:val="0"/>
              <w:pageBreakBefore w:val="0"/>
              <w:widowControl w:val="0"/>
              <w:kinsoku w:val="0"/>
              <w:wordWrap w:val="0"/>
              <w:bidi w:val="0"/>
              <w:adjustRightInd w:val="0"/>
              <w:snapToGrid w:val="0"/>
              <w:spacing w:line="300" w:lineRule="exact"/>
              <w:jc w:val="center"/>
              <w:textAlignment w:val="auto"/>
              <w:rPr>
                <w:color w:val="auto"/>
                <w:szCs w:val="21"/>
                <w:highlight w:val="none"/>
              </w:rPr>
            </w:pPr>
            <w:r>
              <w:rPr>
                <w:color w:val="auto"/>
                <w:szCs w:val="21"/>
                <w:highlight w:val="none"/>
              </w:rPr>
              <w:t>法定代表人</w:t>
            </w:r>
          </w:p>
          <w:p w14:paraId="6E84D9DB">
            <w:pPr>
              <w:keepNext w:val="0"/>
              <w:keepLines w:val="0"/>
              <w:pageBreakBefore w:val="0"/>
              <w:widowControl w:val="0"/>
              <w:kinsoku w:val="0"/>
              <w:wordWrap w:val="0"/>
              <w:bidi w:val="0"/>
              <w:adjustRightInd w:val="0"/>
              <w:snapToGrid w:val="0"/>
              <w:spacing w:line="300" w:lineRule="exact"/>
              <w:ind w:firstLine="100" w:firstLineChars="48"/>
              <w:jc w:val="center"/>
              <w:textAlignment w:val="auto"/>
              <w:rPr>
                <w:color w:val="auto"/>
                <w:szCs w:val="21"/>
                <w:highlight w:val="none"/>
              </w:rPr>
            </w:pPr>
            <w:r>
              <w:rPr>
                <w:rFonts w:hint="eastAsia"/>
                <w:color w:val="auto"/>
                <w:szCs w:val="21"/>
                <w:highlight w:val="none"/>
              </w:rPr>
              <w:t>或其</w:t>
            </w:r>
            <w:r>
              <w:rPr>
                <w:color w:val="auto"/>
                <w:szCs w:val="21"/>
                <w:highlight w:val="none"/>
              </w:rPr>
              <w:t>委托代理人</w:t>
            </w:r>
            <w:r>
              <w:rPr>
                <w:rFonts w:hint="eastAsia"/>
                <w:color w:val="auto"/>
                <w:szCs w:val="21"/>
                <w:highlight w:val="none"/>
              </w:rPr>
              <w:t>（签章）</w:t>
            </w:r>
          </w:p>
        </w:tc>
        <w:tc>
          <w:tcPr>
            <w:tcW w:w="1533" w:type="pct"/>
            <w:vMerge w:val="restart"/>
            <w:tcBorders>
              <w:top w:val="single" w:color="auto" w:sz="2" w:space="0"/>
              <w:left w:val="single" w:color="auto" w:sz="2" w:space="0"/>
              <w:right w:val="single" w:color="auto" w:sz="2" w:space="0"/>
            </w:tcBorders>
            <w:vAlign w:val="center"/>
          </w:tcPr>
          <w:p w14:paraId="38866A4D">
            <w:pPr>
              <w:keepNext w:val="0"/>
              <w:keepLines w:val="0"/>
              <w:pageBreakBefore w:val="0"/>
              <w:widowControl w:val="0"/>
              <w:kinsoku w:val="0"/>
              <w:wordWrap w:val="0"/>
              <w:bidi w:val="0"/>
              <w:adjustRightInd w:val="0"/>
              <w:snapToGrid w:val="0"/>
              <w:spacing w:line="300" w:lineRule="exact"/>
              <w:jc w:val="center"/>
              <w:textAlignment w:val="auto"/>
              <w:rPr>
                <w:color w:val="auto"/>
                <w:szCs w:val="21"/>
                <w:highlight w:val="none"/>
              </w:rPr>
            </w:pPr>
          </w:p>
        </w:tc>
        <w:tc>
          <w:tcPr>
            <w:tcW w:w="1043" w:type="pct"/>
            <w:tcBorders>
              <w:top w:val="single" w:color="auto" w:sz="2" w:space="0"/>
              <w:left w:val="single" w:color="auto" w:sz="2" w:space="0"/>
              <w:right w:val="single" w:color="auto" w:sz="2" w:space="0"/>
            </w:tcBorders>
            <w:vAlign w:val="center"/>
          </w:tcPr>
          <w:p w14:paraId="6A6D8D2A">
            <w:pPr>
              <w:keepNext w:val="0"/>
              <w:keepLines w:val="0"/>
              <w:pageBreakBefore w:val="0"/>
              <w:widowControl w:val="0"/>
              <w:kinsoku w:val="0"/>
              <w:wordWrap w:val="0"/>
              <w:bidi w:val="0"/>
              <w:adjustRightInd w:val="0"/>
              <w:snapToGrid w:val="0"/>
              <w:spacing w:line="300" w:lineRule="exact"/>
              <w:jc w:val="center"/>
              <w:textAlignment w:val="auto"/>
              <w:rPr>
                <w:color w:val="auto"/>
                <w:szCs w:val="21"/>
                <w:highlight w:val="none"/>
              </w:rPr>
            </w:pPr>
            <w:r>
              <w:rPr>
                <w:color w:val="auto"/>
                <w:szCs w:val="21"/>
                <w:highlight w:val="none"/>
              </w:rPr>
              <w:t>法定代表人</w:t>
            </w:r>
          </w:p>
          <w:p w14:paraId="5822424D">
            <w:pPr>
              <w:keepNext w:val="0"/>
              <w:keepLines w:val="0"/>
              <w:pageBreakBefore w:val="0"/>
              <w:widowControl w:val="0"/>
              <w:kinsoku w:val="0"/>
              <w:wordWrap w:val="0"/>
              <w:bidi w:val="0"/>
              <w:adjustRightInd w:val="0"/>
              <w:snapToGrid w:val="0"/>
              <w:spacing w:line="300" w:lineRule="exact"/>
              <w:jc w:val="center"/>
              <w:textAlignment w:val="auto"/>
              <w:rPr>
                <w:color w:val="auto"/>
                <w:szCs w:val="21"/>
                <w:highlight w:val="none"/>
              </w:rPr>
            </w:pPr>
            <w:r>
              <w:rPr>
                <w:rFonts w:hint="eastAsia"/>
                <w:color w:val="auto"/>
                <w:szCs w:val="21"/>
                <w:highlight w:val="none"/>
              </w:rPr>
              <w:t>或其</w:t>
            </w:r>
            <w:r>
              <w:rPr>
                <w:color w:val="auto"/>
                <w:szCs w:val="21"/>
                <w:highlight w:val="none"/>
              </w:rPr>
              <w:t>委托代理人</w:t>
            </w:r>
            <w:r>
              <w:rPr>
                <w:rFonts w:hint="eastAsia"/>
                <w:color w:val="auto"/>
                <w:szCs w:val="21"/>
                <w:highlight w:val="none"/>
              </w:rPr>
              <w:t>（签章）</w:t>
            </w:r>
          </w:p>
        </w:tc>
        <w:tc>
          <w:tcPr>
            <w:tcW w:w="1394" w:type="pct"/>
            <w:tcBorders>
              <w:top w:val="single" w:color="auto" w:sz="2" w:space="0"/>
              <w:left w:val="single" w:color="auto" w:sz="2" w:space="0"/>
              <w:bottom w:val="single" w:color="auto" w:sz="2" w:space="0"/>
            </w:tcBorders>
            <w:vAlign w:val="center"/>
          </w:tcPr>
          <w:p w14:paraId="5127F880">
            <w:pPr>
              <w:keepNext w:val="0"/>
              <w:keepLines w:val="0"/>
              <w:pageBreakBefore w:val="0"/>
              <w:widowControl w:val="0"/>
              <w:kinsoku w:val="0"/>
              <w:wordWrap w:val="0"/>
              <w:bidi w:val="0"/>
              <w:adjustRightInd w:val="0"/>
              <w:snapToGrid w:val="0"/>
              <w:spacing w:line="300" w:lineRule="exact"/>
              <w:jc w:val="center"/>
              <w:textAlignment w:val="auto"/>
              <w:rPr>
                <w:color w:val="auto"/>
                <w:szCs w:val="21"/>
                <w:highlight w:val="none"/>
              </w:rPr>
            </w:pPr>
          </w:p>
        </w:tc>
      </w:tr>
      <w:tr w14:paraId="2054BDE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028" w:type="pct"/>
            <w:vMerge w:val="continue"/>
            <w:tcBorders>
              <w:bottom w:val="single" w:color="auto" w:sz="2" w:space="0"/>
              <w:right w:val="single" w:color="auto" w:sz="2" w:space="0"/>
            </w:tcBorders>
            <w:vAlign w:val="center"/>
          </w:tcPr>
          <w:p w14:paraId="3ED3BC78">
            <w:pPr>
              <w:keepNext w:val="0"/>
              <w:keepLines w:val="0"/>
              <w:pageBreakBefore w:val="0"/>
              <w:widowControl w:val="0"/>
              <w:kinsoku w:val="0"/>
              <w:wordWrap w:val="0"/>
              <w:bidi w:val="0"/>
              <w:adjustRightInd w:val="0"/>
              <w:snapToGrid w:val="0"/>
              <w:spacing w:line="300" w:lineRule="exact"/>
              <w:jc w:val="center"/>
              <w:textAlignment w:val="auto"/>
              <w:rPr>
                <w:color w:val="auto"/>
                <w:szCs w:val="21"/>
                <w:highlight w:val="none"/>
              </w:rPr>
            </w:pPr>
          </w:p>
        </w:tc>
        <w:tc>
          <w:tcPr>
            <w:tcW w:w="1533" w:type="pct"/>
            <w:vMerge w:val="continue"/>
            <w:tcBorders>
              <w:left w:val="single" w:color="auto" w:sz="2" w:space="0"/>
              <w:bottom w:val="single" w:color="auto" w:sz="2" w:space="0"/>
              <w:right w:val="single" w:color="auto" w:sz="2" w:space="0"/>
            </w:tcBorders>
            <w:vAlign w:val="center"/>
          </w:tcPr>
          <w:p w14:paraId="5B548B9F">
            <w:pPr>
              <w:keepNext w:val="0"/>
              <w:keepLines w:val="0"/>
              <w:pageBreakBefore w:val="0"/>
              <w:widowControl w:val="0"/>
              <w:kinsoku w:val="0"/>
              <w:wordWrap w:val="0"/>
              <w:bidi w:val="0"/>
              <w:adjustRightInd w:val="0"/>
              <w:snapToGrid w:val="0"/>
              <w:spacing w:line="300" w:lineRule="exact"/>
              <w:jc w:val="center"/>
              <w:textAlignment w:val="auto"/>
              <w:rPr>
                <w:color w:val="auto"/>
                <w:szCs w:val="21"/>
                <w:highlight w:val="none"/>
              </w:rPr>
            </w:pPr>
          </w:p>
        </w:tc>
        <w:tc>
          <w:tcPr>
            <w:tcW w:w="1043" w:type="pct"/>
            <w:tcBorders>
              <w:top w:val="single" w:color="auto" w:sz="2" w:space="0"/>
              <w:left w:val="single" w:color="auto" w:sz="2" w:space="0"/>
              <w:bottom w:val="single" w:color="auto" w:sz="2" w:space="0"/>
              <w:right w:val="single" w:color="auto" w:sz="2" w:space="0"/>
            </w:tcBorders>
            <w:vAlign w:val="center"/>
          </w:tcPr>
          <w:p w14:paraId="19C81EA5">
            <w:pPr>
              <w:keepNext w:val="0"/>
              <w:keepLines w:val="0"/>
              <w:pageBreakBefore w:val="0"/>
              <w:widowControl w:val="0"/>
              <w:kinsoku w:val="0"/>
              <w:wordWrap w:val="0"/>
              <w:bidi w:val="0"/>
              <w:adjustRightInd w:val="0"/>
              <w:snapToGrid w:val="0"/>
              <w:spacing w:line="300" w:lineRule="exact"/>
              <w:jc w:val="center"/>
              <w:textAlignment w:val="auto"/>
              <w:rPr>
                <w:rFonts w:hint="eastAsia" w:eastAsia="宋体"/>
                <w:color w:val="auto"/>
                <w:szCs w:val="21"/>
                <w:highlight w:val="none"/>
                <w:lang w:eastAsia="zh-CN"/>
              </w:rPr>
            </w:pPr>
            <w:r>
              <w:rPr>
                <w:rFonts w:hint="eastAsia"/>
                <w:color w:val="auto"/>
                <w:szCs w:val="21"/>
                <w:highlight w:val="none"/>
                <w:lang w:eastAsia="zh-CN"/>
              </w:rPr>
              <w:t>拥有者性别</w:t>
            </w:r>
          </w:p>
        </w:tc>
        <w:tc>
          <w:tcPr>
            <w:tcW w:w="1394" w:type="pct"/>
            <w:tcBorders>
              <w:top w:val="single" w:color="auto" w:sz="2" w:space="0"/>
              <w:left w:val="single" w:color="auto" w:sz="2" w:space="0"/>
              <w:bottom w:val="single" w:color="auto" w:sz="2" w:space="0"/>
            </w:tcBorders>
            <w:vAlign w:val="center"/>
          </w:tcPr>
          <w:p w14:paraId="69FA1600">
            <w:pPr>
              <w:keepNext w:val="0"/>
              <w:keepLines w:val="0"/>
              <w:pageBreakBefore w:val="0"/>
              <w:widowControl w:val="0"/>
              <w:kinsoku w:val="0"/>
              <w:wordWrap w:val="0"/>
              <w:bidi w:val="0"/>
              <w:adjustRightInd w:val="0"/>
              <w:snapToGrid w:val="0"/>
              <w:spacing w:line="300" w:lineRule="exact"/>
              <w:jc w:val="center"/>
              <w:textAlignment w:val="auto"/>
              <w:rPr>
                <w:color w:val="auto"/>
                <w:spacing w:val="20"/>
                <w:szCs w:val="21"/>
                <w:highlight w:val="none"/>
              </w:rPr>
            </w:pPr>
          </w:p>
        </w:tc>
      </w:tr>
      <w:tr w14:paraId="568A4D4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028" w:type="pct"/>
            <w:tcBorders>
              <w:top w:val="single" w:color="auto" w:sz="2" w:space="0"/>
              <w:bottom w:val="single" w:color="auto" w:sz="2" w:space="0"/>
              <w:right w:val="single" w:color="auto" w:sz="2" w:space="0"/>
            </w:tcBorders>
            <w:vAlign w:val="center"/>
          </w:tcPr>
          <w:p w14:paraId="1643281E">
            <w:pPr>
              <w:keepNext w:val="0"/>
              <w:keepLines w:val="0"/>
              <w:pageBreakBefore w:val="0"/>
              <w:widowControl w:val="0"/>
              <w:kinsoku w:val="0"/>
              <w:wordWrap w:val="0"/>
              <w:bidi w:val="0"/>
              <w:adjustRightInd w:val="0"/>
              <w:snapToGrid w:val="0"/>
              <w:spacing w:line="300" w:lineRule="exact"/>
              <w:jc w:val="center"/>
              <w:textAlignment w:val="auto"/>
              <w:rPr>
                <w:rFonts w:hint="eastAsia" w:eastAsia="宋体"/>
                <w:color w:val="auto"/>
                <w:szCs w:val="21"/>
                <w:highlight w:val="none"/>
                <w:lang w:eastAsia="zh-CN"/>
              </w:rPr>
            </w:pPr>
            <w:r>
              <w:rPr>
                <w:rFonts w:hint="eastAsia"/>
                <w:color w:val="auto"/>
                <w:szCs w:val="21"/>
                <w:highlight w:val="none"/>
                <w:lang w:eastAsia="zh-CN"/>
              </w:rPr>
              <w:t>住</w:t>
            </w:r>
            <w:r>
              <w:rPr>
                <w:rFonts w:hint="eastAsia"/>
                <w:color w:val="auto"/>
                <w:szCs w:val="21"/>
                <w:highlight w:val="none"/>
                <w:lang w:val="en-US" w:eastAsia="zh-CN"/>
              </w:rPr>
              <w:t xml:space="preserve">  </w:t>
            </w:r>
            <w:r>
              <w:rPr>
                <w:rFonts w:hint="eastAsia"/>
                <w:color w:val="auto"/>
                <w:szCs w:val="21"/>
                <w:highlight w:val="none"/>
                <w:lang w:eastAsia="zh-CN"/>
              </w:rPr>
              <w:t>所</w:t>
            </w:r>
          </w:p>
        </w:tc>
        <w:tc>
          <w:tcPr>
            <w:tcW w:w="1533" w:type="pct"/>
            <w:tcBorders>
              <w:top w:val="single" w:color="auto" w:sz="2" w:space="0"/>
              <w:left w:val="single" w:color="auto" w:sz="2" w:space="0"/>
              <w:bottom w:val="single" w:color="auto" w:sz="2" w:space="0"/>
              <w:right w:val="single" w:color="auto" w:sz="2" w:space="0"/>
            </w:tcBorders>
            <w:vAlign w:val="center"/>
          </w:tcPr>
          <w:p w14:paraId="691D7200">
            <w:pPr>
              <w:keepNext w:val="0"/>
              <w:keepLines w:val="0"/>
              <w:pageBreakBefore w:val="0"/>
              <w:widowControl w:val="0"/>
              <w:kinsoku w:val="0"/>
              <w:wordWrap w:val="0"/>
              <w:bidi w:val="0"/>
              <w:adjustRightInd w:val="0"/>
              <w:snapToGrid w:val="0"/>
              <w:spacing w:line="300" w:lineRule="exact"/>
              <w:jc w:val="center"/>
              <w:textAlignment w:val="auto"/>
              <w:rPr>
                <w:color w:val="auto"/>
                <w:szCs w:val="21"/>
                <w:highlight w:val="none"/>
              </w:rPr>
            </w:pPr>
          </w:p>
        </w:tc>
        <w:tc>
          <w:tcPr>
            <w:tcW w:w="1043" w:type="pct"/>
            <w:tcBorders>
              <w:top w:val="single" w:color="auto" w:sz="2" w:space="0"/>
              <w:left w:val="single" w:color="auto" w:sz="2" w:space="0"/>
              <w:bottom w:val="single" w:color="auto" w:sz="2" w:space="0"/>
              <w:right w:val="single" w:color="auto" w:sz="2" w:space="0"/>
            </w:tcBorders>
            <w:vAlign w:val="center"/>
          </w:tcPr>
          <w:p w14:paraId="6914DF64">
            <w:pPr>
              <w:keepNext w:val="0"/>
              <w:keepLines w:val="0"/>
              <w:pageBreakBefore w:val="0"/>
              <w:widowControl w:val="0"/>
              <w:kinsoku w:val="0"/>
              <w:wordWrap w:val="0"/>
              <w:bidi w:val="0"/>
              <w:adjustRightInd w:val="0"/>
              <w:snapToGrid w:val="0"/>
              <w:spacing w:line="300" w:lineRule="exact"/>
              <w:jc w:val="center"/>
              <w:textAlignment w:val="auto"/>
              <w:rPr>
                <w:rFonts w:hint="eastAsia" w:eastAsia="宋体"/>
                <w:color w:val="auto"/>
                <w:szCs w:val="21"/>
                <w:highlight w:val="none"/>
                <w:lang w:eastAsia="zh-CN"/>
              </w:rPr>
            </w:pPr>
            <w:r>
              <w:rPr>
                <w:rFonts w:hint="eastAsia"/>
                <w:color w:val="auto"/>
                <w:szCs w:val="21"/>
                <w:highlight w:val="none"/>
                <w:lang w:eastAsia="zh-CN"/>
              </w:rPr>
              <w:t>住</w:t>
            </w:r>
            <w:r>
              <w:rPr>
                <w:rFonts w:hint="eastAsia"/>
                <w:color w:val="auto"/>
                <w:szCs w:val="21"/>
                <w:highlight w:val="none"/>
                <w:lang w:val="en-US" w:eastAsia="zh-CN"/>
              </w:rPr>
              <w:t xml:space="preserve">  </w:t>
            </w:r>
            <w:r>
              <w:rPr>
                <w:rFonts w:hint="eastAsia"/>
                <w:color w:val="auto"/>
                <w:szCs w:val="21"/>
                <w:highlight w:val="none"/>
                <w:lang w:eastAsia="zh-CN"/>
              </w:rPr>
              <w:t>所</w:t>
            </w:r>
          </w:p>
        </w:tc>
        <w:tc>
          <w:tcPr>
            <w:tcW w:w="1394" w:type="pct"/>
            <w:tcBorders>
              <w:top w:val="single" w:color="auto" w:sz="2" w:space="0"/>
              <w:left w:val="single" w:color="auto" w:sz="2" w:space="0"/>
              <w:bottom w:val="single" w:color="auto" w:sz="2" w:space="0"/>
            </w:tcBorders>
            <w:vAlign w:val="center"/>
          </w:tcPr>
          <w:p w14:paraId="795BC6F4">
            <w:pPr>
              <w:keepNext w:val="0"/>
              <w:keepLines w:val="0"/>
              <w:pageBreakBefore w:val="0"/>
              <w:widowControl w:val="0"/>
              <w:kinsoku w:val="0"/>
              <w:wordWrap w:val="0"/>
              <w:bidi w:val="0"/>
              <w:adjustRightInd w:val="0"/>
              <w:snapToGrid w:val="0"/>
              <w:spacing w:line="300" w:lineRule="exact"/>
              <w:jc w:val="center"/>
              <w:textAlignment w:val="auto"/>
              <w:rPr>
                <w:color w:val="auto"/>
                <w:spacing w:val="20"/>
                <w:szCs w:val="21"/>
                <w:highlight w:val="none"/>
              </w:rPr>
            </w:pPr>
          </w:p>
        </w:tc>
      </w:tr>
      <w:tr w14:paraId="4DF2084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028" w:type="pct"/>
            <w:tcBorders>
              <w:top w:val="single" w:color="auto" w:sz="2" w:space="0"/>
              <w:bottom w:val="single" w:color="auto" w:sz="2" w:space="0"/>
              <w:right w:val="single" w:color="auto" w:sz="2" w:space="0"/>
            </w:tcBorders>
            <w:vAlign w:val="center"/>
          </w:tcPr>
          <w:p w14:paraId="56CC0996">
            <w:pPr>
              <w:keepNext w:val="0"/>
              <w:keepLines w:val="0"/>
              <w:pageBreakBefore w:val="0"/>
              <w:widowControl w:val="0"/>
              <w:kinsoku w:val="0"/>
              <w:wordWrap w:val="0"/>
              <w:bidi w:val="0"/>
              <w:adjustRightInd w:val="0"/>
              <w:snapToGrid w:val="0"/>
              <w:spacing w:line="300" w:lineRule="exact"/>
              <w:jc w:val="center"/>
              <w:textAlignment w:val="auto"/>
              <w:rPr>
                <w:color w:val="auto"/>
                <w:szCs w:val="21"/>
                <w:highlight w:val="none"/>
              </w:rPr>
            </w:pPr>
            <w:r>
              <w:rPr>
                <w:color w:val="auto"/>
                <w:szCs w:val="21"/>
                <w:highlight w:val="none"/>
              </w:rPr>
              <w:t>联 系 人</w:t>
            </w:r>
          </w:p>
        </w:tc>
        <w:tc>
          <w:tcPr>
            <w:tcW w:w="1533" w:type="pct"/>
            <w:tcBorders>
              <w:top w:val="single" w:color="auto" w:sz="2" w:space="0"/>
              <w:left w:val="single" w:color="auto" w:sz="2" w:space="0"/>
              <w:bottom w:val="single" w:color="auto" w:sz="2" w:space="0"/>
              <w:right w:val="single" w:color="auto" w:sz="2" w:space="0"/>
            </w:tcBorders>
            <w:vAlign w:val="center"/>
          </w:tcPr>
          <w:p w14:paraId="2256080A">
            <w:pPr>
              <w:keepNext w:val="0"/>
              <w:keepLines w:val="0"/>
              <w:pageBreakBefore w:val="0"/>
              <w:widowControl w:val="0"/>
              <w:kinsoku w:val="0"/>
              <w:wordWrap w:val="0"/>
              <w:bidi w:val="0"/>
              <w:adjustRightInd w:val="0"/>
              <w:snapToGrid w:val="0"/>
              <w:spacing w:line="300" w:lineRule="exact"/>
              <w:jc w:val="center"/>
              <w:textAlignment w:val="auto"/>
              <w:rPr>
                <w:color w:val="auto"/>
                <w:szCs w:val="21"/>
                <w:highlight w:val="none"/>
              </w:rPr>
            </w:pPr>
          </w:p>
        </w:tc>
        <w:tc>
          <w:tcPr>
            <w:tcW w:w="1043" w:type="pct"/>
            <w:tcBorders>
              <w:top w:val="single" w:color="auto" w:sz="2" w:space="0"/>
              <w:left w:val="single" w:color="auto" w:sz="2" w:space="0"/>
              <w:bottom w:val="single" w:color="auto" w:sz="2" w:space="0"/>
              <w:right w:val="single" w:color="auto" w:sz="2" w:space="0"/>
            </w:tcBorders>
            <w:vAlign w:val="center"/>
          </w:tcPr>
          <w:p w14:paraId="3F1C0467">
            <w:pPr>
              <w:keepNext w:val="0"/>
              <w:keepLines w:val="0"/>
              <w:pageBreakBefore w:val="0"/>
              <w:widowControl w:val="0"/>
              <w:kinsoku w:val="0"/>
              <w:wordWrap w:val="0"/>
              <w:bidi w:val="0"/>
              <w:adjustRightInd w:val="0"/>
              <w:snapToGrid w:val="0"/>
              <w:spacing w:line="300" w:lineRule="exact"/>
              <w:jc w:val="center"/>
              <w:textAlignment w:val="auto"/>
              <w:rPr>
                <w:color w:val="auto"/>
                <w:szCs w:val="21"/>
                <w:highlight w:val="none"/>
              </w:rPr>
            </w:pPr>
            <w:r>
              <w:rPr>
                <w:color w:val="auto"/>
                <w:szCs w:val="21"/>
                <w:highlight w:val="none"/>
              </w:rPr>
              <w:t>联 系 人</w:t>
            </w:r>
          </w:p>
        </w:tc>
        <w:tc>
          <w:tcPr>
            <w:tcW w:w="1394" w:type="pct"/>
            <w:tcBorders>
              <w:top w:val="single" w:color="auto" w:sz="2" w:space="0"/>
              <w:left w:val="single" w:color="auto" w:sz="2" w:space="0"/>
              <w:bottom w:val="single" w:color="auto" w:sz="2" w:space="0"/>
            </w:tcBorders>
            <w:vAlign w:val="center"/>
          </w:tcPr>
          <w:p w14:paraId="2CAFE2AD">
            <w:pPr>
              <w:keepNext w:val="0"/>
              <w:keepLines w:val="0"/>
              <w:pageBreakBefore w:val="0"/>
              <w:widowControl w:val="0"/>
              <w:kinsoku w:val="0"/>
              <w:wordWrap w:val="0"/>
              <w:bidi w:val="0"/>
              <w:adjustRightInd w:val="0"/>
              <w:snapToGrid w:val="0"/>
              <w:spacing w:line="300" w:lineRule="exact"/>
              <w:jc w:val="center"/>
              <w:textAlignment w:val="auto"/>
              <w:rPr>
                <w:color w:val="auto"/>
                <w:spacing w:val="20"/>
                <w:szCs w:val="21"/>
                <w:highlight w:val="none"/>
              </w:rPr>
            </w:pPr>
          </w:p>
        </w:tc>
      </w:tr>
      <w:tr w14:paraId="2AEF823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028" w:type="pct"/>
            <w:tcBorders>
              <w:top w:val="single" w:color="auto" w:sz="2" w:space="0"/>
              <w:bottom w:val="single" w:color="auto" w:sz="2" w:space="0"/>
              <w:right w:val="single" w:color="auto" w:sz="2" w:space="0"/>
            </w:tcBorders>
            <w:vAlign w:val="center"/>
          </w:tcPr>
          <w:p w14:paraId="073A5DD4">
            <w:pPr>
              <w:keepNext w:val="0"/>
              <w:keepLines w:val="0"/>
              <w:pageBreakBefore w:val="0"/>
              <w:widowControl w:val="0"/>
              <w:kinsoku w:val="0"/>
              <w:wordWrap w:val="0"/>
              <w:bidi w:val="0"/>
              <w:adjustRightInd w:val="0"/>
              <w:snapToGrid w:val="0"/>
              <w:spacing w:line="300" w:lineRule="exact"/>
              <w:jc w:val="center"/>
              <w:textAlignment w:val="auto"/>
              <w:rPr>
                <w:color w:val="auto"/>
                <w:szCs w:val="21"/>
                <w:highlight w:val="none"/>
              </w:rPr>
            </w:pPr>
            <w:r>
              <w:rPr>
                <w:color w:val="auto"/>
                <w:szCs w:val="21"/>
                <w:highlight w:val="none"/>
              </w:rPr>
              <w:t>联系电话</w:t>
            </w:r>
          </w:p>
        </w:tc>
        <w:tc>
          <w:tcPr>
            <w:tcW w:w="1533" w:type="pct"/>
            <w:tcBorders>
              <w:top w:val="single" w:color="auto" w:sz="2" w:space="0"/>
              <w:left w:val="single" w:color="auto" w:sz="2" w:space="0"/>
              <w:bottom w:val="single" w:color="auto" w:sz="2" w:space="0"/>
              <w:right w:val="single" w:color="auto" w:sz="2" w:space="0"/>
            </w:tcBorders>
            <w:vAlign w:val="center"/>
          </w:tcPr>
          <w:p w14:paraId="34CA196F">
            <w:pPr>
              <w:keepNext w:val="0"/>
              <w:keepLines w:val="0"/>
              <w:pageBreakBefore w:val="0"/>
              <w:widowControl w:val="0"/>
              <w:kinsoku w:val="0"/>
              <w:wordWrap w:val="0"/>
              <w:bidi w:val="0"/>
              <w:adjustRightInd w:val="0"/>
              <w:snapToGrid w:val="0"/>
              <w:spacing w:line="300" w:lineRule="exact"/>
              <w:jc w:val="center"/>
              <w:textAlignment w:val="auto"/>
              <w:rPr>
                <w:color w:val="auto"/>
                <w:szCs w:val="21"/>
                <w:highlight w:val="none"/>
              </w:rPr>
            </w:pPr>
          </w:p>
        </w:tc>
        <w:tc>
          <w:tcPr>
            <w:tcW w:w="1043" w:type="pct"/>
            <w:tcBorders>
              <w:top w:val="single" w:color="auto" w:sz="2" w:space="0"/>
              <w:left w:val="single" w:color="auto" w:sz="2" w:space="0"/>
              <w:bottom w:val="single" w:color="auto" w:sz="2" w:space="0"/>
              <w:right w:val="single" w:color="auto" w:sz="2" w:space="0"/>
            </w:tcBorders>
            <w:vAlign w:val="center"/>
          </w:tcPr>
          <w:p w14:paraId="5D841043">
            <w:pPr>
              <w:keepNext w:val="0"/>
              <w:keepLines w:val="0"/>
              <w:pageBreakBefore w:val="0"/>
              <w:widowControl w:val="0"/>
              <w:kinsoku w:val="0"/>
              <w:wordWrap w:val="0"/>
              <w:bidi w:val="0"/>
              <w:adjustRightInd w:val="0"/>
              <w:snapToGrid w:val="0"/>
              <w:spacing w:line="300" w:lineRule="exact"/>
              <w:jc w:val="center"/>
              <w:textAlignment w:val="auto"/>
              <w:rPr>
                <w:color w:val="auto"/>
                <w:szCs w:val="21"/>
                <w:highlight w:val="none"/>
              </w:rPr>
            </w:pPr>
            <w:r>
              <w:rPr>
                <w:color w:val="auto"/>
                <w:szCs w:val="21"/>
                <w:highlight w:val="none"/>
              </w:rPr>
              <w:t>联系电话</w:t>
            </w:r>
          </w:p>
        </w:tc>
        <w:tc>
          <w:tcPr>
            <w:tcW w:w="1394" w:type="pct"/>
            <w:tcBorders>
              <w:top w:val="single" w:color="auto" w:sz="2" w:space="0"/>
              <w:left w:val="single" w:color="auto" w:sz="2" w:space="0"/>
              <w:bottom w:val="single" w:color="auto" w:sz="2" w:space="0"/>
            </w:tcBorders>
            <w:vAlign w:val="center"/>
          </w:tcPr>
          <w:p w14:paraId="7EE2BB68">
            <w:pPr>
              <w:keepNext w:val="0"/>
              <w:keepLines w:val="0"/>
              <w:pageBreakBefore w:val="0"/>
              <w:widowControl w:val="0"/>
              <w:kinsoku w:val="0"/>
              <w:wordWrap w:val="0"/>
              <w:bidi w:val="0"/>
              <w:adjustRightInd w:val="0"/>
              <w:snapToGrid w:val="0"/>
              <w:spacing w:line="300" w:lineRule="exact"/>
              <w:jc w:val="center"/>
              <w:textAlignment w:val="auto"/>
              <w:rPr>
                <w:color w:val="auto"/>
                <w:spacing w:val="20"/>
                <w:szCs w:val="21"/>
                <w:highlight w:val="none"/>
              </w:rPr>
            </w:pPr>
          </w:p>
        </w:tc>
      </w:tr>
      <w:tr w14:paraId="0879E87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028" w:type="pct"/>
            <w:tcBorders>
              <w:top w:val="single" w:color="auto" w:sz="2" w:space="0"/>
              <w:bottom w:val="single" w:color="auto" w:sz="2" w:space="0"/>
              <w:right w:val="single" w:color="auto" w:sz="2" w:space="0"/>
            </w:tcBorders>
            <w:vAlign w:val="center"/>
          </w:tcPr>
          <w:p w14:paraId="0DE12DA7">
            <w:pPr>
              <w:keepNext w:val="0"/>
              <w:keepLines w:val="0"/>
              <w:pageBreakBefore w:val="0"/>
              <w:widowControl w:val="0"/>
              <w:kinsoku w:val="0"/>
              <w:wordWrap w:val="0"/>
              <w:bidi w:val="0"/>
              <w:adjustRightInd w:val="0"/>
              <w:snapToGrid w:val="0"/>
              <w:spacing w:line="300" w:lineRule="exact"/>
              <w:jc w:val="center"/>
              <w:textAlignment w:val="auto"/>
              <w:rPr>
                <w:rFonts w:hint="eastAsia" w:eastAsia="宋体"/>
                <w:color w:val="auto"/>
                <w:szCs w:val="21"/>
                <w:highlight w:val="none"/>
                <w:lang w:eastAsia="zh-CN"/>
              </w:rPr>
            </w:pPr>
            <w:r>
              <w:rPr>
                <w:rFonts w:hint="eastAsia"/>
                <w:color w:val="auto"/>
                <w:szCs w:val="21"/>
                <w:highlight w:val="none"/>
                <w:lang w:eastAsia="zh-CN"/>
              </w:rPr>
              <w:t>通信地址</w:t>
            </w:r>
          </w:p>
        </w:tc>
        <w:tc>
          <w:tcPr>
            <w:tcW w:w="1533" w:type="pct"/>
            <w:tcBorders>
              <w:top w:val="single" w:color="auto" w:sz="2" w:space="0"/>
              <w:left w:val="single" w:color="auto" w:sz="2" w:space="0"/>
              <w:bottom w:val="single" w:color="auto" w:sz="2" w:space="0"/>
              <w:right w:val="single" w:color="auto" w:sz="2" w:space="0"/>
            </w:tcBorders>
            <w:vAlign w:val="center"/>
          </w:tcPr>
          <w:p w14:paraId="65A52F56">
            <w:pPr>
              <w:keepNext w:val="0"/>
              <w:keepLines w:val="0"/>
              <w:pageBreakBefore w:val="0"/>
              <w:widowControl w:val="0"/>
              <w:kinsoku w:val="0"/>
              <w:wordWrap w:val="0"/>
              <w:bidi w:val="0"/>
              <w:adjustRightInd w:val="0"/>
              <w:snapToGrid w:val="0"/>
              <w:spacing w:line="300" w:lineRule="exact"/>
              <w:jc w:val="center"/>
              <w:textAlignment w:val="auto"/>
              <w:rPr>
                <w:color w:val="auto"/>
                <w:szCs w:val="21"/>
                <w:highlight w:val="none"/>
              </w:rPr>
            </w:pPr>
          </w:p>
        </w:tc>
        <w:tc>
          <w:tcPr>
            <w:tcW w:w="1043" w:type="pct"/>
            <w:tcBorders>
              <w:top w:val="single" w:color="auto" w:sz="2" w:space="0"/>
              <w:left w:val="single" w:color="auto" w:sz="2" w:space="0"/>
              <w:bottom w:val="single" w:color="auto" w:sz="2" w:space="0"/>
              <w:right w:val="single" w:color="auto" w:sz="2" w:space="0"/>
            </w:tcBorders>
            <w:vAlign w:val="center"/>
          </w:tcPr>
          <w:p w14:paraId="0FBBC2A1">
            <w:pPr>
              <w:keepNext w:val="0"/>
              <w:keepLines w:val="0"/>
              <w:pageBreakBefore w:val="0"/>
              <w:widowControl w:val="0"/>
              <w:kinsoku w:val="0"/>
              <w:wordWrap w:val="0"/>
              <w:bidi w:val="0"/>
              <w:adjustRightInd w:val="0"/>
              <w:snapToGrid w:val="0"/>
              <w:spacing w:line="300" w:lineRule="exact"/>
              <w:jc w:val="center"/>
              <w:textAlignment w:val="auto"/>
              <w:rPr>
                <w:color w:val="auto"/>
                <w:szCs w:val="21"/>
                <w:highlight w:val="none"/>
              </w:rPr>
            </w:pPr>
            <w:r>
              <w:rPr>
                <w:rFonts w:hint="eastAsia"/>
                <w:color w:val="auto"/>
                <w:szCs w:val="21"/>
                <w:highlight w:val="none"/>
                <w:lang w:eastAsia="zh-CN"/>
              </w:rPr>
              <w:t>通信地址</w:t>
            </w:r>
          </w:p>
        </w:tc>
        <w:tc>
          <w:tcPr>
            <w:tcW w:w="1394" w:type="pct"/>
            <w:tcBorders>
              <w:top w:val="single" w:color="auto" w:sz="2" w:space="0"/>
              <w:left w:val="single" w:color="auto" w:sz="2" w:space="0"/>
              <w:bottom w:val="single" w:color="auto" w:sz="2" w:space="0"/>
            </w:tcBorders>
            <w:vAlign w:val="center"/>
          </w:tcPr>
          <w:p w14:paraId="388DE31B">
            <w:pPr>
              <w:keepNext w:val="0"/>
              <w:keepLines w:val="0"/>
              <w:pageBreakBefore w:val="0"/>
              <w:widowControl w:val="0"/>
              <w:kinsoku w:val="0"/>
              <w:wordWrap w:val="0"/>
              <w:bidi w:val="0"/>
              <w:adjustRightInd w:val="0"/>
              <w:snapToGrid w:val="0"/>
              <w:spacing w:line="300" w:lineRule="exact"/>
              <w:jc w:val="center"/>
              <w:textAlignment w:val="auto"/>
              <w:rPr>
                <w:color w:val="auto"/>
                <w:spacing w:val="20"/>
                <w:szCs w:val="21"/>
                <w:highlight w:val="none"/>
              </w:rPr>
            </w:pPr>
          </w:p>
        </w:tc>
      </w:tr>
      <w:tr w14:paraId="67FABD1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028" w:type="pct"/>
            <w:tcBorders>
              <w:top w:val="single" w:color="auto" w:sz="2" w:space="0"/>
              <w:bottom w:val="single" w:color="auto" w:sz="2" w:space="0"/>
              <w:right w:val="single" w:color="auto" w:sz="2" w:space="0"/>
            </w:tcBorders>
            <w:vAlign w:val="center"/>
          </w:tcPr>
          <w:p w14:paraId="4763A7B9">
            <w:pPr>
              <w:keepNext w:val="0"/>
              <w:keepLines w:val="0"/>
              <w:pageBreakBefore w:val="0"/>
              <w:widowControl w:val="0"/>
              <w:kinsoku w:val="0"/>
              <w:wordWrap w:val="0"/>
              <w:bidi w:val="0"/>
              <w:adjustRightInd w:val="0"/>
              <w:snapToGrid w:val="0"/>
              <w:spacing w:line="300" w:lineRule="exact"/>
              <w:jc w:val="center"/>
              <w:textAlignment w:val="auto"/>
              <w:rPr>
                <w:color w:val="auto"/>
                <w:szCs w:val="21"/>
                <w:highlight w:val="none"/>
              </w:rPr>
            </w:pPr>
            <w:r>
              <w:rPr>
                <w:color w:val="auto"/>
                <w:szCs w:val="21"/>
                <w:highlight w:val="none"/>
              </w:rPr>
              <w:t>邮政编码</w:t>
            </w:r>
          </w:p>
        </w:tc>
        <w:tc>
          <w:tcPr>
            <w:tcW w:w="1533" w:type="pct"/>
            <w:tcBorders>
              <w:top w:val="single" w:color="auto" w:sz="2" w:space="0"/>
              <w:left w:val="single" w:color="auto" w:sz="2" w:space="0"/>
              <w:bottom w:val="single" w:color="auto" w:sz="2" w:space="0"/>
              <w:right w:val="single" w:color="auto" w:sz="2" w:space="0"/>
            </w:tcBorders>
            <w:vAlign w:val="center"/>
          </w:tcPr>
          <w:p w14:paraId="48A5961B">
            <w:pPr>
              <w:keepNext w:val="0"/>
              <w:keepLines w:val="0"/>
              <w:pageBreakBefore w:val="0"/>
              <w:widowControl w:val="0"/>
              <w:kinsoku w:val="0"/>
              <w:wordWrap w:val="0"/>
              <w:bidi w:val="0"/>
              <w:adjustRightInd w:val="0"/>
              <w:snapToGrid w:val="0"/>
              <w:spacing w:line="300" w:lineRule="exact"/>
              <w:jc w:val="center"/>
              <w:textAlignment w:val="auto"/>
              <w:rPr>
                <w:color w:val="auto"/>
                <w:szCs w:val="21"/>
                <w:highlight w:val="none"/>
              </w:rPr>
            </w:pPr>
          </w:p>
        </w:tc>
        <w:tc>
          <w:tcPr>
            <w:tcW w:w="1043" w:type="pct"/>
            <w:tcBorders>
              <w:top w:val="single" w:color="auto" w:sz="2" w:space="0"/>
              <w:left w:val="single" w:color="auto" w:sz="2" w:space="0"/>
              <w:bottom w:val="single" w:color="auto" w:sz="2" w:space="0"/>
              <w:right w:val="single" w:color="auto" w:sz="2" w:space="0"/>
            </w:tcBorders>
            <w:vAlign w:val="center"/>
          </w:tcPr>
          <w:p w14:paraId="3D180F1F">
            <w:pPr>
              <w:keepNext w:val="0"/>
              <w:keepLines w:val="0"/>
              <w:pageBreakBefore w:val="0"/>
              <w:widowControl w:val="0"/>
              <w:kinsoku w:val="0"/>
              <w:wordWrap w:val="0"/>
              <w:bidi w:val="0"/>
              <w:adjustRightInd w:val="0"/>
              <w:snapToGrid w:val="0"/>
              <w:spacing w:line="300" w:lineRule="exact"/>
              <w:jc w:val="center"/>
              <w:textAlignment w:val="auto"/>
              <w:rPr>
                <w:color w:val="auto"/>
                <w:szCs w:val="21"/>
                <w:highlight w:val="none"/>
              </w:rPr>
            </w:pPr>
            <w:r>
              <w:rPr>
                <w:color w:val="auto"/>
                <w:szCs w:val="21"/>
                <w:highlight w:val="none"/>
              </w:rPr>
              <w:t>邮政编码</w:t>
            </w:r>
          </w:p>
        </w:tc>
        <w:tc>
          <w:tcPr>
            <w:tcW w:w="1394" w:type="pct"/>
            <w:tcBorders>
              <w:top w:val="single" w:color="auto" w:sz="2" w:space="0"/>
              <w:left w:val="single" w:color="auto" w:sz="2" w:space="0"/>
              <w:bottom w:val="single" w:color="auto" w:sz="2" w:space="0"/>
            </w:tcBorders>
            <w:vAlign w:val="center"/>
          </w:tcPr>
          <w:p w14:paraId="60658F66">
            <w:pPr>
              <w:keepNext w:val="0"/>
              <w:keepLines w:val="0"/>
              <w:pageBreakBefore w:val="0"/>
              <w:widowControl w:val="0"/>
              <w:kinsoku w:val="0"/>
              <w:wordWrap w:val="0"/>
              <w:bidi w:val="0"/>
              <w:adjustRightInd w:val="0"/>
              <w:snapToGrid w:val="0"/>
              <w:spacing w:line="300" w:lineRule="exact"/>
              <w:jc w:val="center"/>
              <w:textAlignment w:val="auto"/>
              <w:rPr>
                <w:color w:val="auto"/>
                <w:spacing w:val="20"/>
                <w:szCs w:val="21"/>
                <w:highlight w:val="none"/>
              </w:rPr>
            </w:pPr>
          </w:p>
        </w:tc>
      </w:tr>
      <w:tr w14:paraId="4E210DB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028" w:type="pct"/>
            <w:tcBorders>
              <w:top w:val="single" w:color="auto" w:sz="2" w:space="0"/>
              <w:bottom w:val="single" w:color="auto" w:sz="2" w:space="0"/>
              <w:right w:val="single" w:color="auto" w:sz="2" w:space="0"/>
            </w:tcBorders>
            <w:vAlign w:val="center"/>
          </w:tcPr>
          <w:p w14:paraId="72BC616F">
            <w:pPr>
              <w:keepNext w:val="0"/>
              <w:keepLines w:val="0"/>
              <w:pageBreakBefore w:val="0"/>
              <w:widowControl w:val="0"/>
              <w:kinsoku w:val="0"/>
              <w:wordWrap w:val="0"/>
              <w:bidi w:val="0"/>
              <w:adjustRightInd w:val="0"/>
              <w:snapToGrid w:val="0"/>
              <w:spacing w:line="300" w:lineRule="exact"/>
              <w:jc w:val="center"/>
              <w:textAlignment w:val="auto"/>
              <w:rPr>
                <w:color w:val="auto"/>
                <w:szCs w:val="21"/>
                <w:highlight w:val="none"/>
              </w:rPr>
            </w:pPr>
            <w:r>
              <w:rPr>
                <w:rFonts w:hint="eastAsia"/>
                <w:color w:val="auto"/>
                <w:szCs w:val="21"/>
                <w:highlight w:val="none"/>
              </w:rPr>
              <w:t>电子邮箱</w:t>
            </w:r>
          </w:p>
        </w:tc>
        <w:tc>
          <w:tcPr>
            <w:tcW w:w="1533" w:type="pct"/>
            <w:tcBorders>
              <w:top w:val="single" w:color="auto" w:sz="2" w:space="0"/>
              <w:left w:val="single" w:color="auto" w:sz="2" w:space="0"/>
              <w:bottom w:val="single" w:color="auto" w:sz="2" w:space="0"/>
              <w:right w:val="single" w:color="auto" w:sz="2" w:space="0"/>
            </w:tcBorders>
            <w:vAlign w:val="center"/>
          </w:tcPr>
          <w:p w14:paraId="29EC4860">
            <w:pPr>
              <w:keepNext w:val="0"/>
              <w:keepLines w:val="0"/>
              <w:pageBreakBefore w:val="0"/>
              <w:widowControl w:val="0"/>
              <w:kinsoku w:val="0"/>
              <w:wordWrap w:val="0"/>
              <w:bidi w:val="0"/>
              <w:adjustRightInd w:val="0"/>
              <w:snapToGrid w:val="0"/>
              <w:spacing w:line="300" w:lineRule="exact"/>
              <w:jc w:val="center"/>
              <w:textAlignment w:val="auto"/>
              <w:rPr>
                <w:color w:val="auto"/>
                <w:szCs w:val="21"/>
                <w:highlight w:val="none"/>
              </w:rPr>
            </w:pPr>
          </w:p>
        </w:tc>
        <w:tc>
          <w:tcPr>
            <w:tcW w:w="1043" w:type="pct"/>
            <w:tcBorders>
              <w:top w:val="single" w:color="auto" w:sz="2" w:space="0"/>
              <w:left w:val="single" w:color="auto" w:sz="2" w:space="0"/>
              <w:bottom w:val="single" w:color="auto" w:sz="2" w:space="0"/>
              <w:right w:val="single" w:color="auto" w:sz="2" w:space="0"/>
            </w:tcBorders>
            <w:vAlign w:val="center"/>
          </w:tcPr>
          <w:p w14:paraId="559EC31D">
            <w:pPr>
              <w:keepNext w:val="0"/>
              <w:keepLines w:val="0"/>
              <w:pageBreakBefore w:val="0"/>
              <w:widowControl w:val="0"/>
              <w:kinsoku w:val="0"/>
              <w:wordWrap w:val="0"/>
              <w:bidi w:val="0"/>
              <w:adjustRightInd w:val="0"/>
              <w:snapToGrid w:val="0"/>
              <w:spacing w:line="300" w:lineRule="exact"/>
              <w:jc w:val="center"/>
              <w:textAlignment w:val="auto"/>
              <w:rPr>
                <w:color w:val="auto"/>
                <w:szCs w:val="21"/>
                <w:highlight w:val="none"/>
              </w:rPr>
            </w:pPr>
            <w:r>
              <w:rPr>
                <w:rFonts w:hint="eastAsia"/>
                <w:color w:val="auto"/>
                <w:szCs w:val="21"/>
                <w:highlight w:val="none"/>
              </w:rPr>
              <w:t>电子邮箱</w:t>
            </w:r>
          </w:p>
        </w:tc>
        <w:tc>
          <w:tcPr>
            <w:tcW w:w="1394" w:type="pct"/>
            <w:tcBorders>
              <w:top w:val="single" w:color="auto" w:sz="2" w:space="0"/>
              <w:left w:val="single" w:color="auto" w:sz="2" w:space="0"/>
              <w:bottom w:val="single" w:color="auto" w:sz="2" w:space="0"/>
            </w:tcBorders>
            <w:vAlign w:val="center"/>
          </w:tcPr>
          <w:p w14:paraId="6FB858A5">
            <w:pPr>
              <w:keepNext w:val="0"/>
              <w:keepLines w:val="0"/>
              <w:pageBreakBefore w:val="0"/>
              <w:widowControl w:val="0"/>
              <w:kinsoku w:val="0"/>
              <w:wordWrap w:val="0"/>
              <w:bidi w:val="0"/>
              <w:adjustRightInd w:val="0"/>
              <w:snapToGrid w:val="0"/>
              <w:spacing w:line="300" w:lineRule="exact"/>
              <w:jc w:val="center"/>
              <w:textAlignment w:val="auto"/>
              <w:rPr>
                <w:color w:val="auto"/>
                <w:spacing w:val="20"/>
                <w:szCs w:val="21"/>
                <w:highlight w:val="none"/>
              </w:rPr>
            </w:pPr>
          </w:p>
        </w:tc>
      </w:tr>
      <w:tr w14:paraId="1BE0B1D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028" w:type="pct"/>
            <w:tcBorders>
              <w:top w:val="single" w:color="auto" w:sz="2" w:space="0"/>
              <w:bottom w:val="single" w:color="auto" w:sz="2" w:space="0"/>
              <w:right w:val="single" w:color="auto" w:sz="2" w:space="0"/>
            </w:tcBorders>
            <w:vAlign w:val="center"/>
          </w:tcPr>
          <w:p w14:paraId="784D67D4">
            <w:pPr>
              <w:keepNext w:val="0"/>
              <w:keepLines w:val="0"/>
              <w:pageBreakBefore w:val="0"/>
              <w:widowControl w:val="0"/>
              <w:kinsoku w:val="0"/>
              <w:wordWrap w:val="0"/>
              <w:bidi w:val="0"/>
              <w:adjustRightInd w:val="0"/>
              <w:snapToGrid w:val="0"/>
              <w:spacing w:line="300" w:lineRule="exact"/>
              <w:jc w:val="center"/>
              <w:textAlignment w:val="auto"/>
              <w:rPr>
                <w:color w:val="auto"/>
                <w:szCs w:val="21"/>
                <w:highlight w:val="none"/>
              </w:rPr>
            </w:pPr>
            <w:r>
              <w:rPr>
                <w:rFonts w:hint="eastAsia"/>
                <w:color w:val="auto"/>
                <w:szCs w:val="21"/>
                <w:highlight w:val="none"/>
              </w:rPr>
              <w:t>统一社会信用代码</w:t>
            </w:r>
          </w:p>
        </w:tc>
        <w:tc>
          <w:tcPr>
            <w:tcW w:w="1533" w:type="pct"/>
            <w:tcBorders>
              <w:top w:val="single" w:color="auto" w:sz="2" w:space="0"/>
              <w:left w:val="single" w:color="auto" w:sz="2" w:space="0"/>
              <w:bottom w:val="single" w:color="auto" w:sz="2" w:space="0"/>
              <w:right w:val="single" w:color="auto" w:sz="2" w:space="0"/>
            </w:tcBorders>
            <w:vAlign w:val="center"/>
          </w:tcPr>
          <w:p w14:paraId="6E9D30A1">
            <w:pPr>
              <w:keepNext w:val="0"/>
              <w:keepLines w:val="0"/>
              <w:pageBreakBefore w:val="0"/>
              <w:widowControl w:val="0"/>
              <w:kinsoku w:val="0"/>
              <w:wordWrap w:val="0"/>
              <w:bidi w:val="0"/>
              <w:adjustRightInd w:val="0"/>
              <w:snapToGrid w:val="0"/>
              <w:spacing w:line="300" w:lineRule="exact"/>
              <w:jc w:val="center"/>
              <w:textAlignment w:val="auto"/>
              <w:rPr>
                <w:color w:val="auto"/>
                <w:szCs w:val="21"/>
                <w:highlight w:val="none"/>
              </w:rPr>
            </w:pPr>
          </w:p>
        </w:tc>
        <w:tc>
          <w:tcPr>
            <w:tcW w:w="1043" w:type="pct"/>
            <w:tcBorders>
              <w:top w:val="single" w:color="auto" w:sz="2" w:space="0"/>
              <w:left w:val="single" w:color="auto" w:sz="2" w:space="0"/>
              <w:bottom w:val="single" w:color="auto" w:sz="2" w:space="0"/>
              <w:right w:val="single" w:color="auto" w:sz="2" w:space="0"/>
            </w:tcBorders>
            <w:vAlign w:val="center"/>
          </w:tcPr>
          <w:p w14:paraId="6B696A1C">
            <w:pPr>
              <w:keepNext w:val="0"/>
              <w:keepLines w:val="0"/>
              <w:pageBreakBefore w:val="0"/>
              <w:widowControl w:val="0"/>
              <w:kinsoku w:val="0"/>
              <w:wordWrap w:val="0"/>
              <w:bidi w:val="0"/>
              <w:adjustRightInd w:val="0"/>
              <w:snapToGrid w:val="0"/>
              <w:spacing w:line="300" w:lineRule="exact"/>
              <w:jc w:val="center"/>
              <w:textAlignment w:val="auto"/>
              <w:rPr>
                <w:color w:val="auto"/>
                <w:szCs w:val="21"/>
                <w:highlight w:val="none"/>
              </w:rPr>
            </w:pPr>
            <w:r>
              <w:rPr>
                <w:rFonts w:hint="eastAsia"/>
                <w:color w:val="auto"/>
                <w:szCs w:val="21"/>
                <w:highlight w:val="none"/>
              </w:rPr>
              <w:t>统一社会信用代码</w:t>
            </w:r>
          </w:p>
        </w:tc>
        <w:tc>
          <w:tcPr>
            <w:tcW w:w="1394" w:type="pct"/>
            <w:tcBorders>
              <w:top w:val="single" w:color="auto" w:sz="2" w:space="0"/>
              <w:left w:val="single" w:color="auto" w:sz="2" w:space="0"/>
              <w:bottom w:val="single" w:color="auto" w:sz="2" w:space="0"/>
            </w:tcBorders>
            <w:vAlign w:val="center"/>
          </w:tcPr>
          <w:p w14:paraId="270AC7AE">
            <w:pPr>
              <w:keepNext w:val="0"/>
              <w:keepLines w:val="0"/>
              <w:pageBreakBefore w:val="0"/>
              <w:widowControl w:val="0"/>
              <w:kinsoku w:val="0"/>
              <w:wordWrap w:val="0"/>
              <w:bidi w:val="0"/>
              <w:adjustRightInd w:val="0"/>
              <w:snapToGrid w:val="0"/>
              <w:spacing w:line="300" w:lineRule="exact"/>
              <w:jc w:val="center"/>
              <w:textAlignment w:val="auto"/>
              <w:rPr>
                <w:color w:val="auto"/>
                <w:spacing w:val="20"/>
                <w:szCs w:val="21"/>
                <w:highlight w:val="none"/>
              </w:rPr>
            </w:pPr>
          </w:p>
        </w:tc>
      </w:tr>
      <w:tr w14:paraId="5E99D0A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028" w:type="pct"/>
            <w:tcBorders>
              <w:top w:val="single" w:color="auto" w:sz="2" w:space="0"/>
              <w:bottom w:val="single" w:color="auto" w:sz="2" w:space="0"/>
              <w:right w:val="single" w:color="auto" w:sz="2" w:space="0"/>
            </w:tcBorders>
            <w:vAlign w:val="center"/>
          </w:tcPr>
          <w:p w14:paraId="41589CC1">
            <w:pPr>
              <w:keepNext w:val="0"/>
              <w:keepLines w:val="0"/>
              <w:pageBreakBefore w:val="0"/>
              <w:widowControl w:val="0"/>
              <w:kinsoku w:val="0"/>
              <w:wordWrap w:val="0"/>
              <w:bidi w:val="0"/>
              <w:adjustRightInd w:val="0"/>
              <w:snapToGrid w:val="0"/>
              <w:spacing w:line="300" w:lineRule="exact"/>
              <w:jc w:val="center"/>
              <w:textAlignment w:val="auto"/>
              <w:rPr>
                <w:color w:val="auto"/>
                <w:szCs w:val="21"/>
                <w:highlight w:val="none"/>
              </w:rPr>
            </w:pPr>
          </w:p>
        </w:tc>
        <w:tc>
          <w:tcPr>
            <w:tcW w:w="1533" w:type="pct"/>
            <w:tcBorders>
              <w:top w:val="single" w:color="auto" w:sz="2" w:space="0"/>
              <w:left w:val="single" w:color="auto" w:sz="2" w:space="0"/>
              <w:bottom w:val="single" w:color="auto" w:sz="2" w:space="0"/>
              <w:right w:val="single" w:color="auto" w:sz="2" w:space="0"/>
            </w:tcBorders>
            <w:vAlign w:val="center"/>
          </w:tcPr>
          <w:p w14:paraId="1C0BA75A">
            <w:pPr>
              <w:keepNext w:val="0"/>
              <w:keepLines w:val="0"/>
              <w:pageBreakBefore w:val="0"/>
              <w:widowControl w:val="0"/>
              <w:kinsoku w:val="0"/>
              <w:wordWrap w:val="0"/>
              <w:bidi w:val="0"/>
              <w:adjustRightInd w:val="0"/>
              <w:snapToGrid w:val="0"/>
              <w:spacing w:line="300" w:lineRule="exact"/>
              <w:jc w:val="center"/>
              <w:textAlignment w:val="auto"/>
              <w:rPr>
                <w:color w:val="auto"/>
                <w:szCs w:val="21"/>
                <w:highlight w:val="none"/>
              </w:rPr>
            </w:pPr>
          </w:p>
        </w:tc>
        <w:tc>
          <w:tcPr>
            <w:tcW w:w="1043" w:type="pct"/>
            <w:tcBorders>
              <w:top w:val="single" w:color="auto" w:sz="2" w:space="0"/>
              <w:left w:val="single" w:color="auto" w:sz="2" w:space="0"/>
              <w:bottom w:val="single" w:color="auto" w:sz="2" w:space="0"/>
              <w:right w:val="single" w:color="auto" w:sz="2" w:space="0"/>
            </w:tcBorders>
            <w:vAlign w:val="center"/>
          </w:tcPr>
          <w:p w14:paraId="4391F746">
            <w:pPr>
              <w:keepNext w:val="0"/>
              <w:keepLines w:val="0"/>
              <w:pageBreakBefore w:val="0"/>
              <w:widowControl w:val="0"/>
              <w:kinsoku w:val="0"/>
              <w:wordWrap w:val="0"/>
              <w:bidi w:val="0"/>
              <w:adjustRightInd w:val="0"/>
              <w:snapToGrid w:val="0"/>
              <w:spacing w:line="300" w:lineRule="exact"/>
              <w:jc w:val="center"/>
              <w:textAlignment w:val="auto"/>
              <w:rPr>
                <w:color w:val="auto"/>
                <w:szCs w:val="21"/>
                <w:highlight w:val="none"/>
              </w:rPr>
            </w:pPr>
            <w:r>
              <w:rPr>
                <w:color w:val="auto"/>
                <w:szCs w:val="21"/>
                <w:highlight w:val="none"/>
              </w:rPr>
              <w:t>开户名称</w:t>
            </w:r>
          </w:p>
        </w:tc>
        <w:tc>
          <w:tcPr>
            <w:tcW w:w="1394" w:type="pct"/>
            <w:tcBorders>
              <w:top w:val="single" w:color="auto" w:sz="2" w:space="0"/>
              <w:left w:val="single" w:color="auto" w:sz="2" w:space="0"/>
              <w:bottom w:val="single" w:color="auto" w:sz="2" w:space="0"/>
            </w:tcBorders>
            <w:vAlign w:val="center"/>
          </w:tcPr>
          <w:p w14:paraId="2D77F349">
            <w:pPr>
              <w:keepNext w:val="0"/>
              <w:keepLines w:val="0"/>
              <w:pageBreakBefore w:val="0"/>
              <w:widowControl w:val="0"/>
              <w:kinsoku w:val="0"/>
              <w:wordWrap w:val="0"/>
              <w:bidi w:val="0"/>
              <w:adjustRightInd w:val="0"/>
              <w:snapToGrid w:val="0"/>
              <w:spacing w:line="300" w:lineRule="exact"/>
              <w:jc w:val="center"/>
              <w:textAlignment w:val="auto"/>
              <w:rPr>
                <w:color w:val="auto"/>
                <w:spacing w:val="20"/>
                <w:szCs w:val="21"/>
                <w:highlight w:val="none"/>
              </w:rPr>
            </w:pPr>
          </w:p>
        </w:tc>
      </w:tr>
      <w:tr w14:paraId="5D72BA9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028" w:type="pct"/>
            <w:tcBorders>
              <w:top w:val="single" w:color="auto" w:sz="2" w:space="0"/>
              <w:bottom w:val="single" w:color="auto" w:sz="2" w:space="0"/>
              <w:right w:val="single" w:color="auto" w:sz="2" w:space="0"/>
            </w:tcBorders>
            <w:vAlign w:val="center"/>
          </w:tcPr>
          <w:p w14:paraId="5EA81E58">
            <w:pPr>
              <w:keepNext w:val="0"/>
              <w:keepLines w:val="0"/>
              <w:pageBreakBefore w:val="0"/>
              <w:widowControl w:val="0"/>
              <w:kinsoku w:val="0"/>
              <w:wordWrap w:val="0"/>
              <w:bidi w:val="0"/>
              <w:adjustRightInd w:val="0"/>
              <w:snapToGrid w:val="0"/>
              <w:spacing w:line="300" w:lineRule="exact"/>
              <w:jc w:val="center"/>
              <w:textAlignment w:val="auto"/>
              <w:rPr>
                <w:color w:val="auto"/>
                <w:szCs w:val="21"/>
                <w:highlight w:val="none"/>
              </w:rPr>
            </w:pPr>
          </w:p>
        </w:tc>
        <w:tc>
          <w:tcPr>
            <w:tcW w:w="1533" w:type="pct"/>
            <w:tcBorders>
              <w:top w:val="single" w:color="auto" w:sz="2" w:space="0"/>
              <w:left w:val="single" w:color="auto" w:sz="2" w:space="0"/>
              <w:bottom w:val="single" w:color="auto" w:sz="2" w:space="0"/>
              <w:right w:val="single" w:color="auto" w:sz="2" w:space="0"/>
            </w:tcBorders>
            <w:vAlign w:val="center"/>
          </w:tcPr>
          <w:p w14:paraId="698AAA2A">
            <w:pPr>
              <w:keepNext w:val="0"/>
              <w:keepLines w:val="0"/>
              <w:pageBreakBefore w:val="0"/>
              <w:widowControl w:val="0"/>
              <w:kinsoku w:val="0"/>
              <w:wordWrap w:val="0"/>
              <w:bidi w:val="0"/>
              <w:adjustRightInd w:val="0"/>
              <w:snapToGrid w:val="0"/>
              <w:spacing w:line="300" w:lineRule="exact"/>
              <w:jc w:val="center"/>
              <w:textAlignment w:val="auto"/>
              <w:rPr>
                <w:color w:val="auto"/>
                <w:szCs w:val="21"/>
                <w:highlight w:val="none"/>
              </w:rPr>
            </w:pPr>
          </w:p>
        </w:tc>
        <w:tc>
          <w:tcPr>
            <w:tcW w:w="1043" w:type="pct"/>
            <w:tcBorders>
              <w:top w:val="single" w:color="auto" w:sz="2" w:space="0"/>
              <w:left w:val="single" w:color="auto" w:sz="2" w:space="0"/>
              <w:bottom w:val="single" w:color="auto" w:sz="2" w:space="0"/>
              <w:right w:val="single" w:color="auto" w:sz="2" w:space="0"/>
            </w:tcBorders>
            <w:vAlign w:val="center"/>
          </w:tcPr>
          <w:p w14:paraId="73DD47CF">
            <w:pPr>
              <w:keepNext w:val="0"/>
              <w:keepLines w:val="0"/>
              <w:pageBreakBefore w:val="0"/>
              <w:widowControl w:val="0"/>
              <w:kinsoku w:val="0"/>
              <w:wordWrap w:val="0"/>
              <w:bidi w:val="0"/>
              <w:adjustRightInd w:val="0"/>
              <w:snapToGrid w:val="0"/>
              <w:spacing w:line="300" w:lineRule="exact"/>
              <w:jc w:val="center"/>
              <w:textAlignment w:val="auto"/>
              <w:rPr>
                <w:color w:val="auto"/>
                <w:szCs w:val="21"/>
                <w:highlight w:val="none"/>
              </w:rPr>
            </w:pPr>
            <w:r>
              <w:rPr>
                <w:color w:val="auto"/>
                <w:szCs w:val="21"/>
                <w:highlight w:val="none"/>
              </w:rPr>
              <w:t>开户银行</w:t>
            </w:r>
          </w:p>
        </w:tc>
        <w:tc>
          <w:tcPr>
            <w:tcW w:w="1394" w:type="pct"/>
            <w:tcBorders>
              <w:top w:val="single" w:color="auto" w:sz="2" w:space="0"/>
              <w:left w:val="single" w:color="auto" w:sz="2" w:space="0"/>
              <w:bottom w:val="single" w:color="auto" w:sz="2" w:space="0"/>
            </w:tcBorders>
            <w:vAlign w:val="center"/>
          </w:tcPr>
          <w:p w14:paraId="2E5BAFA1">
            <w:pPr>
              <w:keepNext w:val="0"/>
              <w:keepLines w:val="0"/>
              <w:pageBreakBefore w:val="0"/>
              <w:widowControl w:val="0"/>
              <w:kinsoku w:val="0"/>
              <w:wordWrap w:val="0"/>
              <w:bidi w:val="0"/>
              <w:adjustRightInd w:val="0"/>
              <w:snapToGrid w:val="0"/>
              <w:spacing w:line="300" w:lineRule="exact"/>
              <w:jc w:val="center"/>
              <w:textAlignment w:val="auto"/>
              <w:rPr>
                <w:color w:val="auto"/>
                <w:spacing w:val="20"/>
                <w:szCs w:val="21"/>
                <w:highlight w:val="none"/>
              </w:rPr>
            </w:pPr>
          </w:p>
        </w:tc>
      </w:tr>
      <w:tr w14:paraId="7265E20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028" w:type="pct"/>
            <w:tcBorders>
              <w:top w:val="single" w:color="auto" w:sz="2" w:space="0"/>
              <w:bottom w:val="single" w:color="auto" w:sz="2" w:space="0"/>
              <w:right w:val="single" w:color="auto" w:sz="2" w:space="0"/>
            </w:tcBorders>
            <w:vAlign w:val="center"/>
          </w:tcPr>
          <w:p w14:paraId="1D398E80">
            <w:pPr>
              <w:keepNext w:val="0"/>
              <w:keepLines w:val="0"/>
              <w:pageBreakBefore w:val="0"/>
              <w:widowControl w:val="0"/>
              <w:kinsoku w:val="0"/>
              <w:wordWrap w:val="0"/>
              <w:bidi w:val="0"/>
              <w:adjustRightInd w:val="0"/>
              <w:snapToGrid w:val="0"/>
              <w:spacing w:line="300" w:lineRule="exact"/>
              <w:jc w:val="center"/>
              <w:textAlignment w:val="auto"/>
              <w:rPr>
                <w:color w:val="auto"/>
                <w:szCs w:val="21"/>
                <w:highlight w:val="none"/>
              </w:rPr>
            </w:pPr>
          </w:p>
        </w:tc>
        <w:tc>
          <w:tcPr>
            <w:tcW w:w="1533" w:type="pct"/>
            <w:tcBorders>
              <w:top w:val="single" w:color="auto" w:sz="2" w:space="0"/>
              <w:left w:val="single" w:color="auto" w:sz="2" w:space="0"/>
              <w:bottom w:val="single" w:color="auto" w:sz="2" w:space="0"/>
              <w:right w:val="single" w:color="auto" w:sz="2" w:space="0"/>
            </w:tcBorders>
            <w:vAlign w:val="center"/>
          </w:tcPr>
          <w:p w14:paraId="5DCA530F">
            <w:pPr>
              <w:keepNext w:val="0"/>
              <w:keepLines w:val="0"/>
              <w:pageBreakBefore w:val="0"/>
              <w:widowControl w:val="0"/>
              <w:kinsoku w:val="0"/>
              <w:wordWrap w:val="0"/>
              <w:bidi w:val="0"/>
              <w:adjustRightInd w:val="0"/>
              <w:snapToGrid w:val="0"/>
              <w:spacing w:line="300" w:lineRule="exact"/>
              <w:jc w:val="center"/>
              <w:textAlignment w:val="auto"/>
              <w:rPr>
                <w:color w:val="auto"/>
                <w:szCs w:val="21"/>
                <w:highlight w:val="none"/>
              </w:rPr>
            </w:pPr>
          </w:p>
        </w:tc>
        <w:tc>
          <w:tcPr>
            <w:tcW w:w="1043" w:type="pct"/>
            <w:tcBorders>
              <w:top w:val="single" w:color="auto" w:sz="2" w:space="0"/>
              <w:left w:val="single" w:color="auto" w:sz="2" w:space="0"/>
              <w:bottom w:val="single" w:color="auto" w:sz="2" w:space="0"/>
              <w:right w:val="single" w:color="auto" w:sz="2" w:space="0"/>
            </w:tcBorders>
            <w:vAlign w:val="center"/>
          </w:tcPr>
          <w:p w14:paraId="52174CCE">
            <w:pPr>
              <w:keepNext w:val="0"/>
              <w:keepLines w:val="0"/>
              <w:pageBreakBefore w:val="0"/>
              <w:widowControl w:val="0"/>
              <w:kinsoku w:val="0"/>
              <w:wordWrap w:val="0"/>
              <w:bidi w:val="0"/>
              <w:adjustRightInd w:val="0"/>
              <w:snapToGrid w:val="0"/>
              <w:spacing w:line="300" w:lineRule="exact"/>
              <w:jc w:val="center"/>
              <w:textAlignment w:val="auto"/>
              <w:rPr>
                <w:color w:val="auto"/>
                <w:szCs w:val="21"/>
                <w:highlight w:val="none"/>
              </w:rPr>
            </w:pPr>
            <w:r>
              <w:rPr>
                <w:color w:val="auto"/>
                <w:szCs w:val="21"/>
                <w:highlight w:val="none"/>
              </w:rPr>
              <w:t>银行账号</w:t>
            </w:r>
          </w:p>
        </w:tc>
        <w:tc>
          <w:tcPr>
            <w:tcW w:w="1394" w:type="pct"/>
            <w:tcBorders>
              <w:top w:val="single" w:color="auto" w:sz="2" w:space="0"/>
              <w:left w:val="single" w:color="auto" w:sz="2" w:space="0"/>
              <w:bottom w:val="single" w:color="auto" w:sz="2" w:space="0"/>
            </w:tcBorders>
            <w:vAlign w:val="center"/>
          </w:tcPr>
          <w:p w14:paraId="125F8FA7">
            <w:pPr>
              <w:keepNext w:val="0"/>
              <w:keepLines w:val="0"/>
              <w:pageBreakBefore w:val="0"/>
              <w:widowControl w:val="0"/>
              <w:kinsoku w:val="0"/>
              <w:wordWrap w:val="0"/>
              <w:bidi w:val="0"/>
              <w:adjustRightInd w:val="0"/>
              <w:snapToGrid w:val="0"/>
              <w:spacing w:line="300" w:lineRule="exact"/>
              <w:jc w:val="center"/>
              <w:textAlignment w:val="auto"/>
              <w:rPr>
                <w:color w:val="auto"/>
                <w:spacing w:val="20"/>
                <w:szCs w:val="21"/>
                <w:highlight w:val="none"/>
              </w:rPr>
            </w:pPr>
          </w:p>
        </w:tc>
      </w:tr>
    </w:tbl>
    <w:p w14:paraId="5B6EC335">
      <w:pPr>
        <w:keepNext w:val="0"/>
        <w:keepLines w:val="0"/>
        <w:pageBreakBefore w:val="0"/>
        <w:widowControl w:val="0"/>
        <w:kinsoku w:val="0"/>
        <w:wordWrap w:val="0"/>
        <w:overflowPunct/>
        <w:topLinePunct w:val="0"/>
        <w:bidi w:val="0"/>
        <w:adjustRightInd w:val="0"/>
        <w:snapToGrid w:val="0"/>
        <w:spacing w:before="0" w:beforeLines="0" w:line="480" w:lineRule="exact"/>
        <w:ind w:firstLine="420" w:firstLineChars="200"/>
        <w:textAlignment w:val="auto"/>
        <w:rPr>
          <w:rFonts w:hint="eastAsia"/>
          <w:color w:val="auto"/>
          <w:highlight w:val="none"/>
        </w:rPr>
      </w:pPr>
      <w:r>
        <w:rPr>
          <w:rFonts w:hint="eastAsia"/>
          <w:color w:val="auto"/>
          <w:highlight w:val="none"/>
        </w:rPr>
        <w:br w:type="page"/>
      </w:r>
    </w:p>
    <w:p w14:paraId="5972D352">
      <w:pPr>
        <w:keepNext w:val="0"/>
        <w:keepLines w:val="0"/>
        <w:pageBreakBefore w:val="0"/>
        <w:widowControl w:val="0"/>
        <w:kinsoku w:val="0"/>
        <w:wordWrap w:val="0"/>
        <w:bidi w:val="0"/>
        <w:adjustRightInd w:val="0"/>
        <w:snapToGrid w:val="0"/>
        <w:spacing w:before="156" w:beforeLines="50"/>
        <w:jc w:val="center"/>
        <w:textAlignment w:val="auto"/>
        <w:outlineLvl w:val="1"/>
        <w:rPr>
          <w:rFonts w:hint="eastAsia" w:ascii="宋体" w:hAnsi="宋体" w:eastAsia="宋体" w:cs="宋体"/>
          <w:color w:val="auto"/>
          <w:sz w:val="28"/>
          <w:szCs w:val="28"/>
          <w:highlight w:val="none"/>
        </w:rPr>
      </w:pPr>
      <w:bookmarkStart w:id="85" w:name="_Toc27624"/>
      <w:bookmarkStart w:id="86" w:name="_Toc22797"/>
      <w:bookmarkStart w:id="87" w:name="_Toc17566"/>
      <w:r>
        <w:rPr>
          <w:rFonts w:hint="eastAsia" w:ascii="宋体" w:hAnsi="宋体" w:eastAsia="宋体" w:cs="宋体"/>
          <w:b w:val="0"/>
          <w:bCs w:val="0"/>
          <w:color w:val="auto"/>
          <w:sz w:val="28"/>
          <w:szCs w:val="28"/>
          <w:highlight w:val="none"/>
        </w:rPr>
        <w:t>第二节 政府采购合同通用条款</w:t>
      </w:r>
      <w:bookmarkEnd w:id="85"/>
      <w:bookmarkEnd w:id="86"/>
      <w:bookmarkEnd w:id="87"/>
    </w:p>
    <w:p w14:paraId="3CE6773D">
      <w:pPr>
        <w:keepNext w:val="0"/>
        <w:keepLines w:val="0"/>
        <w:pageBreakBefore w:val="0"/>
        <w:widowControl w:val="0"/>
        <w:tabs>
          <w:tab w:val="left" w:pos="8820"/>
          <w:tab w:val="left" w:pos="9345"/>
          <w:tab w:val="left" w:pos="9765"/>
        </w:tabs>
        <w:kinsoku w:val="0"/>
        <w:wordWrap w:val="0"/>
        <w:overflowPunct/>
        <w:topLinePunct w:val="0"/>
        <w:bidi w:val="0"/>
        <w:adjustRightInd w:val="0"/>
        <w:snapToGrid w:val="0"/>
        <w:spacing w:before="0" w:line="480" w:lineRule="exact"/>
        <w:ind w:firstLine="482" w:firstLineChars="20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1.</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bCs/>
          <w:color w:val="auto"/>
          <w:sz w:val="24"/>
          <w:szCs w:val="24"/>
          <w:highlight w:val="none"/>
        </w:rPr>
        <w:t>定义</w:t>
      </w:r>
    </w:p>
    <w:p w14:paraId="2B4EFFC7">
      <w:pPr>
        <w:keepNext w:val="0"/>
        <w:keepLines w:val="0"/>
        <w:pageBreakBefore w:val="0"/>
        <w:widowControl w:val="0"/>
        <w:kinsoku w:val="0"/>
        <w:wordWrap w:val="0"/>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1.1合同当事人</w:t>
      </w:r>
    </w:p>
    <w:p w14:paraId="42C25533">
      <w:pPr>
        <w:keepNext w:val="0"/>
        <w:keepLines w:val="0"/>
        <w:pageBreakBefore w:val="0"/>
        <w:widowControl w:val="0"/>
        <w:kinsoku w:val="0"/>
        <w:wordWrap w:val="0"/>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（1）采购人（以下称甲方）是指使用财政性资金，通过政府采购方式向供应商购买货物</w:t>
      </w:r>
      <w:r>
        <w:rPr>
          <w:rFonts w:hint="eastAsia" w:ascii="宋体" w:hAnsi="宋体" w:eastAsia="宋体" w:cs="宋体"/>
          <w:color w:val="auto"/>
          <w:sz w:val="24"/>
          <w:szCs w:val="24"/>
          <w:highlight w:val="none"/>
          <w:lang w:val="en-US" w:eastAsia="zh-CN"/>
        </w:rPr>
        <w:t>及其相关服务的</w:t>
      </w:r>
      <w:r>
        <w:rPr>
          <w:rFonts w:hint="eastAsia" w:ascii="宋体" w:hAnsi="宋体" w:eastAsia="宋体" w:cs="宋体"/>
          <w:color w:val="auto"/>
          <w:sz w:val="24"/>
          <w:szCs w:val="24"/>
          <w:highlight w:val="none"/>
        </w:rPr>
        <w:t>国家机关、事业单位、团体组织。</w:t>
      </w:r>
    </w:p>
    <w:p w14:paraId="743053C4">
      <w:pPr>
        <w:keepNext w:val="0"/>
        <w:keepLines w:val="0"/>
        <w:pageBreakBefore w:val="0"/>
        <w:widowControl w:val="0"/>
        <w:kinsoku w:val="0"/>
        <w:wordWrap w:val="0"/>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（2）供应商（以下称</w:t>
      </w:r>
      <w:r>
        <w:rPr>
          <w:rFonts w:hint="eastAsia" w:ascii="宋体" w:hAnsi="宋体" w:eastAsia="宋体" w:cs="宋体"/>
          <w:color w:val="auto"/>
          <w:sz w:val="24"/>
          <w:szCs w:val="24"/>
          <w:highlight w:val="none"/>
          <w:lang w:eastAsia="zh-CN"/>
        </w:rPr>
        <w:t>乙</w:t>
      </w:r>
      <w:r>
        <w:rPr>
          <w:rFonts w:hint="eastAsia" w:ascii="宋体" w:hAnsi="宋体" w:eastAsia="宋体" w:cs="宋体"/>
          <w:color w:val="auto"/>
          <w:sz w:val="24"/>
          <w:szCs w:val="24"/>
          <w:highlight w:val="none"/>
        </w:rPr>
        <w:t>方）是指参加政府采购活动并且中标（成交），向采购人提供</w:t>
      </w:r>
      <w:r>
        <w:rPr>
          <w:rFonts w:hint="eastAsia" w:ascii="宋体" w:hAnsi="宋体" w:eastAsia="宋体" w:cs="宋体"/>
          <w:color w:val="auto"/>
          <w:sz w:val="24"/>
          <w:szCs w:val="24"/>
          <w:highlight w:val="none"/>
          <w:lang w:val="en-US" w:eastAsia="zh-CN"/>
        </w:rPr>
        <w:t>合同约定的货物及其相关服务的法人、非法人组织或者自然人</w:t>
      </w:r>
      <w:r>
        <w:rPr>
          <w:rFonts w:hint="eastAsia" w:ascii="宋体" w:hAnsi="宋体" w:eastAsia="宋体" w:cs="宋体"/>
          <w:color w:val="auto"/>
          <w:sz w:val="24"/>
          <w:szCs w:val="24"/>
          <w:highlight w:val="none"/>
        </w:rPr>
        <w:t>。</w:t>
      </w:r>
    </w:p>
    <w:p w14:paraId="3F7CEFF8">
      <w:pPr>
        <w:keepNext w:val="0"/>
        <w:keepLines w:val="0"/>
        <w:pageBreakBefore w:val="0"/>
        <w:widowControl w:val="0"/>
        <w:kinsoku w:val="0"/>
        <w:wordWrap w:val="0"/>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（3）其他合同主体是指除采购人和供应商以外，</w:t>
      </w:r>
      <w:r>
        <w:rPr>
          <w:rFonts w:hint="eastAsia" w:ascii="宋体" w:hAnsi="宋体" w:eastAsia="宋体" w:cs="宋体"/>
          <w:bCs/>
          <w:color w:val="auto"/>
          <w:sz w:val="24"/>
          <w:szCs w:val="24"/>
          <w:highlight w:val="none"/>
        </w:rPr>
        <w:t>依法参与合同缔结或履行，享有权利、承担义务的合同当事人</w:t>
      </w:r>
      <w:r>
        <w:rPr>
          <w:rFonts w:hint="eastAsia" w:ascii="宋体" w:hAnsi="宋体" w:eastAsia="宋体" w:cs="宋体"/>
          <w:color w:val="auto"/>
          <w:sz w:val="24"/>
          <w:szCs w:val="24"/>
          <w:highlight w:val="none"/>
        </w:rPr>
        <w:t>。</w:t>
      </w:r>
    </w:p>
    <w:p w14:paraId="2F89F178">
      <w:pPr>
        <w:keepNext w:val="0"/>
        <w:keepLines w:val="0"/>
        <w:pageBreakBefore w:val="0"/>
        <w:widowControl w:val="0"/>
        <w:tabs>
          <w:tab w:val="left" w:pos="570"/>
          <w:tab w:val="left" w:pos="9240"/>
          <w:tab w:val="left" w:pos="9555"/>
        </w:tabs>
        <w:kinsoku w:val="0"/>
        <w:wordWrap w:val="0"/>
        <w:overflowPunct/>
        <w:topLinePunct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1.2本合同下列术语应解释为：</w:t>
      </w:r>
    </w:p>
    <w:p w14:paraId="4C41D0F8">
      <w:pPr>
        <w:keepNext w:val="0"/>
        <w:keepLines w:val="0"/>
        <w:pageBreakBefore w:val="0"/>
        <w:widowControl w:val="0"/>
        <w:kinsoku w:val="0"/>
        <w:wordWrap w:val="0"/>
        <w:overflowPunct/>
        <w:topLinePunct w:val="0"/>
        <w:bidi w:val="0"/>
        <w:adjustRightInd w:val="0"/>
        <w:snapToGrid w:val="0"/>
        <w:spacing w:before="0" w:beforeLines="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（1）“合同”系指</w:t>
      </w:r>
      <w:r>
        <w:rPr>
          <w:rFonts w:hint="eastAsia" w:ascii="宋体" w:hAnsi="宋体" w:eastAsia="宋体" w:cs="宋体"/>
          <w:bCs/>
          <w:color w:val="auto"/>
          <w:sz w:val="24"/>
          <w:szCs w:val="24"/>
          <w:highlight w:val="none"/>
        </w:rPr>
        <w:t>合同当事人意思表示达成一致的任何协议，包括签署的</w:t>
      </w:r>
      <w:r>
        <w:rPr>
          <w:rFonts w:hint="eastAsia" w:ascii="宋体" w:hAnsi="宋体" w:eastAsia="宋体" w:cs="宋体"/>
          <w:color w:val="auto"/>
          <w:sz w:val="24"/>
          <w:szCs w:val="24"/>
          <w:highlight w:val="none"/>
          <w:lang w:eastAsia="zh-CN"/>
        </w:rPr>
        <w:t>政府采购</w:t>
      </w:r>
      <w:r>
        <w:rPr>
          <w:rFonts w:hint="eastAsia" w:ascii="宋体" w:hAnsi="宋体" w:eastAsia="宋体" w:cs="宋体"/>
          <w:color w:val="auto"/>
          <w:sz w:val="24"/>
          <w:szCs w:val="24"/>
          <w:highlight w:val="none"/>
        </w:rPr>
        <w:t>合同协议书及其变更、补充</w:t>
      </w:r>
      <w:r>
        <w:rPr>
          <w:rFonts w:hint="eastAsia" w:ascii="宋体" w:hAnsi="宋体" w:eastAsia="宋体" w:cs="宋体"/>
          <w:color w:val="auto"/>
          <w:sz w:val="24"/>
          <w:szCs w:val="24"/>
          <w:highlight w:val="none"/>
          <w:lang w:eastAsia="zh-CN"/>
        </w:rPr>
        <w:t>协议，</w:t>
      </w:r>
      <w:r>
        <w:rPr>
          <w:rFonts w:hint="eastAsia" w:ascii="宋体" w:hAnsi="宋体" w:eastAsia="宋体" w:cs="宋体"/>
          <w:color w:val="auto"/>
          <w:sz w:val="24"/>
          <w:szCs w:val="24"/>
          <w:highlight w:val="none"/>
        </w:rPr>
        <w:t>政府采购合同专用条款</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政府采购合同通用条款</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中标</w:t>
      </w:r>
      <w:r>
        <w:rPr>
          <w:rFonts w:hint="eastAsia" w:ascii="宋体" w:hAnsi="宋体" w:eastAsia="宋体" w:cs="宋体"/>
          <w:color w:val="auto"/>
          <w:sz w:val="24"/>
          <w:szCs w:val="24"/>
          <w:highlight w:val="none"/>
          <w:lang w:eastAsia="zh-CN"/>
        </w:rPr>
        <w:t>（成交）</w:t>
      </w:r>
      <w:r>
        <w:rPr>
          <w:rFonts w:hint="eastAsia" w:ascii="宋体" w:hAnsi="宋体" w:eastAsia="宋体" w:cs="宋体"/>
          <w:color w:val="auto"/>
          <w:sz w:val="24"/>
          <w:szCs w:val="24"/>
          <w:highlight w:val="none"/>
        </w:rPr>
        <w:t>通知书</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投标（响应）文件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采购文件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有关技术文件</w:t>
      </w:r>
      <w:r>
        <w:rPr>
          <w:rFonts w:hint="eastAsia" w:ascii="宋体" w:hAnsi="宋体" w:eastAsia="宋体" w:cs="宋体"/>
          <w:color w:val="auto"/>
          <w:sz w:val="24"/>
          <w:szCs w:val="24"/>
          <w:highlight w:val="none"/>
          <w:lang w:eastAsia="zh-CN"/>
        </w:rPr>
        <w:t>和</w:t>
      </w:r>
      <w:r>
        <w:rPr>
          <w:rFonts w:hint="eastAsia" w:ascii="宋体" w:hAnsi="宋体" w:eastAsia="宋体" w:cs="宋体"/>
          <w:color w:val="auto"/>
          <w:sz w:val="24"/>
          <w:szCs w:val="24"/>
          <w:highlight w:val="none"/>
        </w:rPr>
        <w:t>图纸</w:t>
      </w:r>
      <w:r>
        <w:rPr>
          <w:rFonts w:hint="eastAsia" w:ascii="宋体" w:hAnsi="宋体" w:eastAsia="宋体" w:cs="宋体"/>
          <w:color w:val="auto"/>
          <w:sz w:val="24"/>
          <w:szCs w:val="24"/>
          <w:highlight w:val="none"/>
          <w:lang w:eastAsia="zh-CN"/>
        </w:rPr>
        <w:t>，以及</w:t>
      </w:r>
      <w:r>
        <w:rPr>
          <w:rFonts w:hint="eastAsia" w:ascii="宋体" w:hAnsi="宋体" w:eastAsia="宋体" w:cs="宋体"/>
          <w:bCs w:val="0"/>
          <w:color w:val="auto"/>
          <w:kern w:val="2"/>
          <w:sz w:val="24"/>
          <w:szCs w:val="24"/>
          <w:highlight w:val="none"/>
          <w:lang w:eastAsia="zh-CN"/>
        </w:rPr>
        <w:t>国家法律、行政法规和规章制度规定或合同约定的作为合同组成部分的其他文件</w:t>
      </w:r>
      <w:r>
        <w:rPr>
          <w:rFonts w:hint="eastAsia" w:ascii="宋体" w:hAnsi="宋体" w:eastAsia="宋体" w:cs="宋体"/>
          <w:color w:val="auto"/>
          <w:sz w:val="24"/>
          <w:szCs w:val="24"/>
          <w:highlight w:val="none"/>
        </w:rPr>
        <w:t>。</w:t>
      </w:r>
    </w:p>
    <w:p w14:paraId="4F62C13B">
      <w:pPr>
        <w:keepNext w:val="0"/>
        <w:keepLines w:val="0"/>
        <w:pageBreakBefore w:val="0"/>
        <w:widowControl w:val="0"/>
        <w:tabs>
          <w:tab w:val="left" w:pos="570"/>
          <w:tab w:val="left" w:pos="9240"/>
          <w:tab w:val="left" w:pos="9555"/>
        </w:tabs>
        <w:kinsoku w:val="0"/>
        <w:wordWrap w:val="0"/>
        <w:overflowPunct/>
        <w:topLinePunct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）“合同价</w:t>
      </w:r>
      <w:r>
        <w:rPr>
          <w:rFonts w:hint="eastAsia" w:ascii="宋体" w:hAnsi="宋体" w:eastAsia="宋体" w:cs="宋体"/>
          <w:color w:val="auto"/>
          <w:sz w:val="24"/>
          <w:szCs w:val="24"/>
          <w:highlight w:val="none"/>
          <w:lang w:val="en-US" w:eastAsia="zh-CN"/>
        </w:rPr>
        <w:t>款</w:t>
      </w:r>
      <w:r>
        <w:rPr>
          <w:rFonts w:hint="eastAsia" w:ascii="宋体" w:hAnsi="宋体" w:eastAsia="宋体" w:cs="宋体"/>
          <w:color w:val="auto"/>
          <w:sz w:val="24"/>
          <w:szCs w:val="24"/>
          <w:highlight w:val="none"/>
        </w:rPr>
        <w:t>”系指根据本合同规定乙方在全面履行合同义务后甲方应支付给乙方的价款。</w:t>
      </w:r>
    </w:p>
    <w:p w14:paraId="3D73DB64">
      <w:pPr>
        <w:keepNext w:val="0"/>
        <w:keepLines w:val="0"/>
        <w:pageBreakBefore w:val="0"/>
        <w:widowControl w:val="0"/>
        <w:tabs>
          <w:tab w:val="left" w:pos="570"/>
          <w:tab w:val="left" w:pos="9240"/>
          <w:tab w:val="left" w:pos="9555"/>
        </w:tabs>
        <w:kinsoku w:val="0"/>
        <w:wordWrap w:val="0"/>
        <w:overflowPunct/>
        <w:topLinePunct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）“货物”系指乙方根据本合同规定须向甲方提供的各种形态和种类的物品，包括原材料、设备、产品（包括软件）及相关的工具、手册及</w:t>
      </w:r>
      <w:r>
        <w:rPr>
          <w:rFonts w:hint="eastAsia" w:ascii="宋体" w:hAnsi="宋体" w:eastAsia="宋体" w:cs="宋体"/>
          <w:color w:val="auto"/>
          <w:sz w:val="24"/>
          <w:szCs w:val="24"/>
          <w:highlight w:val="none"/>
          <w:lang w:val="en"/>
        </w:rPr>
        <w:t>其他</w:t>
      </w:r>
      <w:r>
        <w:rPr>
          <w:rFonts w:hint="eastAsia" w:ascii="宋体" w:hAnsi="宋体" w:eastAsia="宋体" w:cs="宋体"/>
          <w:color w:val="auto"/>
          <w:sz w:val="24"/>
          <w:szCs w:val="24"/>
          <w:highlight w:val="none"/>
        </w:rPr>
        <w:t>技术资料和材料</w:t>
      </w:r>
      <w:r>
        <w:rPr>
          <w:rFonts w:hint="eastAsia" w:ascii="宋体" w:hAnsi="宋体" w:eastAsia="宋体" w:cs="宋体"/>
          <w:color w:val="auto"/>
          <w:sz w:val="24"/>
          <w:szCs w:val="24"/>
          <w:highlight w:val="none"/>
          <w:lang w:eastAsia="zh-CN"/>
        </w:rPr>
        <w:t>等</w:t>
      </w:r>
      <w:r>
        <w:rPr>
          <w:rFonts w:hint="eastAsia" w:ascii="宋体" w:hAnsi="宋体" w:eastAsia="宋体" w:cs="宋体"/>
          <w:color w:val="auto"/>
          <w:sz w:val="24"/>
          <w:szCs w:val="24"/>
          <w:highlight w:val="none"/>
        </w:rPr>
        <w:t>。</w:t>
      </w:r>
    </w:p>
    <w:p w14:paraId="25F6863A">
      <w:pPr>
        <w:keepNext w:val="0"/>
        <w:keepLines w:val="0"/>
        <w:pageBreakBefore w:val="0"/>
        <w:widowControl w:val="0"/>
        <w:kinsoku w:val="0"/>
        <w:wordWrap w:val="0"/>
        <w:overflowPunct/>
        <w:topLinePunct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相关</w:t>
      </w:r>
      <w:r>
        <w:rPr>
          <w:rFonts w:hint="eastAsia" w:ascii="宋体" w:hAnsi="宋体" w:eastAsia="宋体" w:cs="宋体"/>
          <w:color w:val="auto"/>
          <w:sz w:val="24"/>
          <w:szCs w:val="24"/>
          <w:highlight w:val="none"/>
        </w:rPr>
        <w:t>服务”系指根据合同规定，乙方应提供的</w:t>
      </w:r>
      <w:r>
        <w:rPr>
          <w:rFonts w:hint="eastAsia" w:ascii="宋体" w:hAnsi="宋体" w:eastAsia="宋体" w:cs="宋体"/>
          <w:color w:val="auto"/>
          <w:sz w:val="24"/>
          <w:szCs w:val="24"/>
          <w:highlight w:val="none"/>
          <w:lang w:val="en-US" w:eastAsia="zh-CN"/>
        </w:rPr>
        <w:t>与货物有关的</w:t>
      </w:r>
      <w:r>
        <w:rPr>
          <w:rFonts w:hint="eastAsia" w:ascii="宋体" w:hAnsi="宋体" w:eastAsia="宋体" w:cs="宋体"/>
          <w:color w:val="auto"/>
          <w:sz w:val="24"/>
          <w:szCs w:val="24"/>
          <w:highlight w:val="none"/>
        </w:rPr>
        <w:t>技术、管理和</w:t>
      </w:r>
      <w:r>
        <w:rPr>
          <w:rFonts w:hint="eastAsia" w:ascii="宋体" w:hAnsi="宋体" w:eastAsia="宋体" w:cs="宋体"/>
          <w:color w:val="auto"/>
          <w:sz w:val="24"/>
          <w:szCs w:val="24"/>
          <w:highlight w:val="none"/>
          <w:lang w:val="en"/>
        </w:rPr>
        <w:t>其他</w:t>
      </w:r>
      <w:r>
        <w:rPr>
          <w:rFonts w:hint="eastAsia" w:ascii="宋体" w:hAnsi="宋体" w:eastAsia="宋体" w:cs="宋体"/>
          <w:color w:val="auto"/>
          <w:sz w:val="24"/>
          <w:szCs w:val="24"/>
          <w:highlight w:val="none"/>
        </w:rPr>
        <w:t>服务，包括但不限于：管理和质量保证、运输、保险、检验、现场准备、安装、集成、调试、培训、维修、</w:t>
      </w:r>
      <w:r>
        <w:rPr>
          <w:rFonts w:hint="eastAsia" w:ascii="宋体" w:hAnsi="宋体" w:eastAsia="宋体" w:cs="宋体"/>
          <w:color w:val="auto"/>
          <w:sz w:val="24"/>
          <w:szCs w:val="24"/>
          <w:highlight w:val="none"/>
          <w:lang w:eastAsia="zh-CN"/>
        </w:rPr>
        <w:t>废弃处置、</w:t>
      </w:r>
      <w:r>
        <w:rPr>
          <w:rFonts w:hint="eastAsia" w:ascii="宋体" w:hAnsi="宋体" w:eastAsia="宋体" w:cs="宋体"/>
          <w:color w:val="auto"/>
          <w:sz w:val="24"/>
          <w:szCs w:val="24"/>
          <w:highlight w:val="none"/>
        </w:rPr>
        <w:t>技术支持等以及合同中规定乙方应承担的</w:t>
      </w:r>
      <w:r>
        <w:rPr>
          <w:rFonts w:hint="eastAsia" w:ascii="宋体" w:hAnsi="宋体" w:eastAsia="宋体" w:cs="宋体"/>
          <w:color w:val="auto"/>
          <w:sz w:val="24"/>
          <w:szCs w:val="24"/>
          <w:highlight w:val="none"/>
          <w:lang w:val="en"/>
        </w:rPr>
        <w:t>其他</w:t>
      </w:r>
      <w:r>
        <w:rPr>
          <w:rFonts w:hint="eastAsia" w:ascii="宋体" w:hAnsi="宋体" w:eastAsia="宋体" w:cs="宋体"/>
          <w:color w:val="auto"/>
          <w:sz w:val="24"/>
          <w:szCs w:val="24"/>
          <w:highlight w:val="none"/>
        </w:rPr>
        <w:t>义务。</w:t>
      </w:r>
    </w:p>
    <w:p w14:paraId="63BDA677">
      <w:pPr>
        <w:keepNext w:val="0"/>
        <w:keepLines w:val="0"/>
        <w:pageBreakBefore w:val="0"/>
        <w:widowControl w:val="0"/>
        <w:kinsoku w:val="0"/>
        <w:wordWrap w:val="0"/>
        <w:overflowPunct/>
        <w:topLinePunct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）“分包”系指中标</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成交</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供应商按采购文件、投标（响应）文件的规定，根据分包意向协议，将中标</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成交</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项目中的部分履约内容，分给具有相应资质条件的供应商履行合同的行为。</w:t>
      </w:r>
    </w:p>
    <w:p w14:paraId="56D872CC">
      <w:pPr>
        <w:keepNext w:val="0"/>
        <w:keepLines w:val="0"/>
        <w:pageBreakBefore w:val="0"/>
        <w:widowControl w:val="0"/>
        <w:tabs>
          <w:tab w:val="left" w:pos="570"/>
          <w:tab w:val="left" w:pos="9240"/>
          <w:tab w:val="left" w:pos="9555"/>
        </w:tabs>
        <w:kinsoku w:val="0"/>
        <w:wordWrap w:val="0"/>
        <w:overflowPunct/>
        <w:topLinePunct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）“联合体”系指</w:t>
      </w:r>
      <w:r>
        <w:rPr>
          <w:rFonts w:hint="eastAsia" w:ascii="宋体" w:hAnsi="宋体" w:eastAsia="宋体" w:cs="宋体"/>
          <w:color w:val="auto"/>
          <w:sz w:val="24"/>
          <w:szCs w:val="24"/>
          <w:highlight w:val="none"/>
          <w:lang w:eastAsia="zh-CN"/>
        </w:rPr>
        <w:t>由</w:t>
      </w:r>
      <w:r>
        <w:rPr>
          <w:rFonts w:hint="eastAsia" w:ascii="宋体" w:hAnsi="宋体" w:eastAsia="宋体" w:cs="宋体"/>
          <w:color w:val="auto"/>
          <w:sz w:val="24"/>
          <w:szCs w:val="24"/>
          <w:highlight w:val="none"/>
        </w:rPr>
        <w:t>两个以上的自然人、法人或者</w:t>
      </w:r>
      <w:r>
        <w:rPr>
          <w:rFonts w:hint="eastAsia" w:ascii="宋体" w:hAnsi="宋体" w:eastAsia="宋体" w:cs="宋体"/>
          <w:color w:val="auto"/>
          <w:sz w:val="24"/>
          <w:szCs w:val="24"/>
          <w:highlight w:val="none"/>
          <w:lang w:val="en-US" w:eastAsia="zh-CN"/>
        </w:rPr>
        <w:t>非法人</w:t>
      </w:r>
      <w:r>
        <w:rPr>
          <w:rFonts w:hint="eastAsia" w:ascii="宋体" w:hAnsi="宋体" w:eastAsia="宋体" w:cs="宋体"/>
          <w:color w:val="auto"/>
          <w:sz w:val="24"/>
          <w:szCs w:val="24"/>
          <w:highlight w:val="none"/>
        </w:rPr>
        <w:t>组织组成，</w:t>
      </w:r>
      <w:r>
        <w:rPr>
          <w:rFonts w:hint="eastAsia" w:ascii="宋体" w:hAnsi="宋体" w:eastAsia="宋体" w:cs="宋体"/>
          <w:color w:val="auto"/>
          <w:sz w:val="24"/>
          <w:szCs w:val="24"/>
          <w:highlight w:val="none"/>
          <w:lang w:eastAsia="zh-CN"/>
        </w:rPr>
        <w:t>以一个供应商的身份共同参加政府采购的主体。</w:t>
      </w:r>
      <w:r>
        <w:rPr>
          <w:rFonts w:hint="eastAsia" w:ascii="宋体" w:hAnsi="宋体" w:eastAsia="宋体" w:cs="宋体"/>
          <w:color w:val="auto"/>
          <w:sz w:val="24"/>
          <w:szCs w:val="24"/>
          <w:highlight w:val="none"/>
        </w:rPr>
        <w:t>联合体各方应在签订合同协议书前向甲方提交联合协议，且明确牵头人及各成员单位的工作分工、权利、义务、责任，联合体各方应共同与甲方签订合同，就合同约定的事项对</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承担连带责任。联合体具体要求见【</w:t>
      </w:r>
      <w:r>
        <w:rPr>
          <w:rFonts w:hint="eastAsia" w:ascii="宋体" w:hAnsi="宋体" w:eastAsia="宋体" w:cs="宋体"/>
          <w:b/>
          <w:bCs/>
          <w:color w:val="auto"/>
          <w:sz w:val="24"/>
          <w:szCs w:val="24"/>
          <w:highlight w:val="none"/>
        </w:rPr>
        <w:t>政府采购合同专用条款</w:t>
      </w:r>
      <w:r>
        <w:rPr>
          <w:rFonts w:hint="eastAsia" w:ascii="宋体" w:hAnsi="宋体" w:eastAsia="宋体" w:cs="宋体"/>
          <w:color w:val="auto"/>
          <w:sz w:val="24"/>
          <w:szCs w:val="24"/>
          <w:highlight w:val="none"/>
        </w:rPr>
        <w:t>】。</w:t>
      </w:r>
    </w:p>
    <w:p w14:paraId="0229D020">
      <w:pPr>
        <w:keepNext w:val="0"/>
        <w:keepLines w:val="0"/>
        <w:pageBreakBefore w:val="0"/>
        <w:widowControl w:val="0"/>
        <w:tabs>
          <w:tab w:val="left" w:pos="570"/>
          <w:tab w:val="left" w:pos="9240"/>
          <w:tab w:val="left" w:pos="9555"/>
        </w:tabs>
        <w:kinsoku w:val="0"/>
        <w:wordWrap w:val="0"/>
        <w:overflowPunct/>
        <w:topLinePunct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）其他术语解释，见【</w:t>
      </w:r>
      <w:r>
        <w:rPr>
          <w:rFonts w:hint="eastAsia" w:ascii="宋体" w:hAnsi="宋体" w:eastAsia="宋体" w:cs="宋体"/>
          <w:b/>
          <w:bCs/>
          <w:color w:val="auto"/>
          <w:sz w:val="24"/>
          <w:szCs w:val="24"/>
          <w:highlight w:val="none"/>
        </w:rPr>
        <w:t>政府采购合同专用条款</w:t>
      </w:r>
      <w:r>
        <w:rPr>
          <w:rFonts w:hint="eastAsia" w:ascii="宋体" w:hAnsi="宋体" w:eastAsia="宋体" w:cs="宋体"/>
          <w:color w:val="auto"/>
          <w:sz w:val="24"/>
          <w:szCs w:val="24"/>
          <w:highlight w:val="none"/>
        </w:rPr>
        <w:t>】。</w:t>
      </w:r>
    </w:p>
    <w:p w14:paraId="19B3FF22">
      <w:pPr>
        <w:keepNext w:val="0"/>
        <w:keepLines w:val="0"/>
        <w:pageBreakBefore w:val="0"/>
        <w:widowControl w:val="0"/>
        <w:tabs>
          <w:tab w:val="left" w:pos="8820"/>
          <w:tab w:val="left" w:pos="9345"/>
          <w:tab w:val="left" w:pos="9765"/>
        </w:tabs>
        <w:kinsoku w:val="0"/>
        <w:wordWrap w:val="0"/>
        <w:overflowPunct/>
        <w:topLinePunct w:val="0"/>
        <w:bidi w:val="0"/>
        <w:adjustRightInd w:val="0"/>
        <w:snapToGrid w:val="0"/>
        <w:spacing w:before="0" w:line="480" w:lineRule="exact"/>
        <w:ind w:firstLine="482" w:firstLineChars="200"/>
        <w:jc w:val="lef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2.</w:t>
      </w:r>
      <w:r>
        <w:rPr>
          <w:rFonts w:hint="eastAsia" w:ascii="宋体" w:hAnsi="宋体" w:eastAsia="宋体" w:cs="宋体"/>
          <w:b/>
          <w:color w:val="auto"/>
          <w:sz w:val="24"/>
          <w:szCs w:val="24"/>
          <w:highlight w:val="none"/>
        </w:rPr>
        <w:t>合同标的及金额</w:t>
      </w:r>
    </w:p>
    <w:p w14:paraId="39E74430">
      <w:pPr>
        <w:keepNext w:val="0"/>
        <w:keepLines w:val="0"/>
        <w:pageBreakBefore w:val="0"/>
        <w:widowControl w:val="0"/>
        <w:kinsoku w:val="0"/>
        <w:wordWrap w:val="0"/>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b/>
          <w:bCs/>
          <w:i/>
          <w:iCs/>
          <w:color w:val="auto"/>
          <w:sz w:val="24"/>
          <w:szCs w:val="24"/>
          <w:highlight w:val="none"/>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rPr>
        <w:t>.1 合同标的及金额应与中标（成交）结果一致。乙方为履行本合同而发生的所有费用均应包含在合同</w:t>
      </w:r>
      <w:r>
        <w:rPr>
          <w:rFonts w:hint="eastAsia" w:ascii="宋体" w:hAnsi="宋体" w:eastAsia="宋体" w:cs="宋体"/>
          <w:color w:val="auto"/>
          <w:sz w:val="24"/>
          <w:szCs w:val="24"/>
          <w:highlight w:val="none"/>
          <w:lang w:eastAsia="zh-CN"/>
        </w:rPr>
        <w:t>价款</w:t>
      </w:r>
      <w:r>
        <w:rPr>
          <w:rFonts w:hint="eastAsia" w:ascii="宋体" w:hAnsi="宋体" w:eastAsia="宋体" w:cs="宋体"/>
          <w:color w:val="auto"/>
          <w:sz w:val="24"/>
          <w:szCs w:val="24"/>
          <w:highlight w:val="none"/>
        </w:rPr>
        <w:t>中，甲方不再另行支付</w:t>
      </w:r>
      <w:r>
        <w:rPr>
          <w:rFonts w:hint="eastAsia" w:ascii="宋体" w:hAnsi="宋体" w:eastAsia="宋体" w:cs="宋体"/>
          <w:color w:val="auto"/>
          <w:sz w:val="24"/>
          <w:szCs w:val="24"/>
          <w:highlight w:val="none"/>
          <w:lang w:val="en"/>
        </w:rPr>
        <w:t>其他</w:t>
      </w:r>
      <w:r>
        <w:rPr>
          <w:rFonts w:hint="eastAsia" w:ascii="宋体" w:hAnsi="宋体" w:eastAsia="宋体" w:cs="宋体"/>
          <w:color w:val="auto"/>
          <w:sz w:val="24"/>
          <w:szCs w:val="24"/>
          <w:highlight w:val="none"/>
        </w:rPr>
        <w:t>任何费用。</w:t>
      </w:r>
    </w:p>
    <w:p w14:paraId="395254FF">
      <w:pPr>
        <w:keepNext w:val="0"/>
        <w:keepLines w:val="0"/>
        <w:pageBreakBefore w:val="0"/>
        <w:widowControl w:val="0"/>
        <w:tabs>
          <w:tab w:val="left" w:pos="8820"/>
          <w:tab w:val="left" w:pos="9345"/>
          <w:tab w:val="left" w:pos="9765"/>
        </w:tabs>
        <w:kinsoku w:val="0"/>
        <w:wordWrap w:val="0"/>
        <w:overflowPunct/>
        <w:topLinePunct w:val="0"/>
        <w:bidi w:val="0"/>
        <w:adjustRightInd w:val="0"/>
        <w:snapToGrid w:val="0"/>
        <w:spacing w:before="0" w:line="480" w:lineRule="exact"/>
        <w:ind w:firstLine="482" w:firstLineChars="200"/>
        <w:jc w:val="left"/>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3.履行合同的时间、地点和方式</w:t>
      </w:r>
    </w:p>
    <w:p w14:paraId="462E1E82">
      <w:pPr>
        <w:keepNext w:val="0"/>
        <w:keepLines w:val="0"/>
        <w:pageBreakBefore w:val="0"/>
        <w:widowControl w:val="0"/>
        <w:kinsoku w:val="0"/>
        <w:wordWrap w:val="0"/>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rPr>
        <w:t>.1 乙方应当在约定的时间、地点</w:t>
      </w:r>
      <w:r>
        <w:rPr>
          <w:rFonts w:hint="eastAsia" w:ascii="宋体" w:hAnsi="宋体" w:eastAsia="宋体" w:cs="宋体"/>
          <w:color w:val="auto"/>
          <w:sz w:val="24"/>
          <w:szCs w:val="24"/>
          <w:highlight w:val="none"/>
          <w:lang w:eastAsia="zh-CN"/>
        </w:rPr>
        <w:t>，按照约定</w:t>
      </w:r>
      <w:r>
        <w:rPr>
          <w:rFonts w:hint="eastAsia" w:ascii="宋体" w:hAnsi="宋体" w:eastAsia="宋体" w:cs="宋体"/>
          <w:color w:val="auto"/>
          <w:sz w:val="24"/>
          <w:szCs w:val="24"/>
          <w:highlight w:val="none"/>
        </w:rPr>
        <w:t>方式履行合同。</w:t>
      </w:r>
    </w:p>
    <w:p w14:paraId="2CC5DF45">
      <w:pPr>
        <w:keepNext w:val="0"/>
        <w:keepLines w:val="0"/>
        <w:pageBreakBefore w:val="0"/>
        <w:widowControl w:val="0"/>
        <w:tabs>
          <w:tab w:val="left" w:pos="8820"/>
          <w:tab w:val="left" w:pos="9345"/>
          <w:tab w:val="left" w:pos="9765"/>
        </w:tabs>
        <w:kinsoku w:val="0"/>
        <w:wordWrap w:val="0"/>
        <w:overflowPunct/>
        <w:topLinePunct w:val="0"/>
        <w:bidi w:val="0"/>
        <w:adjustRightInd w:val="0"/>
        <w:snapToGrid w:val="0"/>
        <w:spacing w:before="0" w:line="480" w:lineRule="exact"/>
        <w:ind w:firstLine="482" w:firstLineChars="200"/>
        <w:jc w:val="left"/>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4.甲方的权利和义务</w:t>
      </w:r>
    </w:p>
    <w:p w14:paraId="6492FF27">
      <w:pPr>
        <w:keepNext w:val="0"/>
        <w:keepLines w:val="0"/>
        <w:pageBreakBefore w:val="0"/>
        <w:widowControl w:val="0"/>
        <w:kinsoku w:val="0"/>
        <w:wordWrap w:val="0"/>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4</w:t>
      </w:r>
      <w:r>
        <w:rPr>
          <w:rFonts w:hint="eastAsia" w:ascii="宋体" w:hAnsi="宋体" w:eastAsia="宋体" w:cs="宋体"/>
          <w:color w:val="auto"/>
          <w:sz w:val="24"/>
          <w:szCs w:val="24"/>
          <w:highlight w:val="none"/>
        </w:rPr>
        <w:t>.1 签署合同后，甲方</w:t>
      </w:r>
      <w:r>
        <w:rPr>
          <w:rFonts w:hint="eastAsia" w:ascii="宋体" w:hAnsi="宋体" w:eastAsia="宋体" w:cs="宋体"/>
          <w:color w:val="auto"/>
          <w:sz w:val="24"/>
          <w:szCs w:val="24"/>
          <w:highlight w:val="none"/>
          <w:lang w:eastAsia="zh-CN"/>
        </w:rPr>
        <w:t>应</w:t>
      </w:r>
      <w:r>
        <w:rPr>
          <w:rFonts w:hint="eastAsia" w:ascii="宋体" w:hAnsi="宋体" w:eastAsia="宋体" w:cs="宋体"/>
          <w:color w:val="auto"/>
          <w:sz w:val="24"/>
          <w:szCs w:val="24"/>
          <w:highlight w:val="none"/>
        </w:rPr>
        <w:t>确定</w:t>
      </w:r>
      <w:r>
        <w:rPr>
          <w:rFonts w:hint="eastAsia" w:ascii="宋体" w:hAnsi="宋体" w:eastAsia="宋体" w:cs="宋体"/>
          <w:color w:val="auto"/>
          <w:sz w:val="24"/>
          <w:szCs w:val="24"/>
          <w:highlight w:val="none"/>
          <w:lang w:val="en-US" w:eastAsia="zh-CN"/>
        </w:rPr>
        <w:t>项目负责人（或项目联系人）</w:t>
      </w:r>
      <w:r>
        <w:rPr>
          <w:rFonts w:hint="eastAsia" w:ascii="宋体" w:hAnsi="宋体" w:eastAsia="宋体" w:cs="宋体"/>
          <w:color w:val="auto"/>
          <w:sz w:val="24"/>
          <w:szCs w:val="24"/>
          <w:highlight w:val="none"/>
        </w:rPr>
        <w:t>，负责与本合同有关的事务。甲方有权对乙方的履约行为进行检查，并及时确认乙方提交的事项。甲方应当配合乙方完成相关项目实施工作。</w:t>
      </w:r>
    </w:p>
    <w:p w14:paraId="571B49A3">
      <w:pPr>
        <w:keepNext w:val="0"/>
        <w:keepLines w:val="0"/>
        <w:pageBreakBefore w:val="0"/>
        <w:widowControl w:val="0"/>
        <w:kinsoku w:val="0"/>
        <w:wordWrap w:val="0"/>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4</w:t>
      </w:r>
      <w:r>
        <w:rPr>
          <w:rFonts w:hint="eastAsia" w:ascii="宋体" w:hAnsi="宋体" w:eastAsia="宋体" w:cs="宋体"/>
          <w:color w:val="auto"/>
          <w:sz w:val="24"/>
          <w:szCs w:val="24"/>
          <w:highlight w:val="none"/>
        </w:rPr>
        <w:t>.2 甲方有权要求乙方按时提交各阶段有关安排计划，并有权定期核对乙方提供货物数量、规格、质量等内容。甲方有权督促乙方工作并要求乙方更换不符合要求的货物。</w:t>
      </w:r>
    </w:p>
    <w:p w14:paraId="004B3D93">
      <w:pPr>
        <w:keepNext w:val="0"/>
        <w:keepLines w:val="0"/>
        <w:pageBreakBefore w:val="0"/>
        <w:widowControl w:val="0"/>
        <w:kinsoku w:val="0"/>
        <w:wordWrap w:val="0"/>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4</w:t>
      </w:r>
      <w:r>
        <w:rPr>
          <w:rFonts w:hint="eastAsia" w:ascii="宋体" w:hAnsi="宋体" w:eastAsia="宋体" w:cs="宋体"/>
          <w:color w:val="auto"/>
          <w:sz w:val="24"/>
          <w:szCs w:val="24"/>
          <w:highlight w:val="none"/>
        </w:rPr>
        <w:t>.3 甲方有权要求乙方对缺陷部分予以修复，并按合同约定享有货物保修及其他合同约定的权利。</w:t>
      </w:r>
    </w:p>
    <w:p w14:paraId="71BB5B25">
      <w:pPr>
        <w:keepNext w:val="0"/>
        <w:keepLines w:val="0"/>
        <w:pageBreakBefore w:val="0"/>
        <w:widowControl w:val="0"/>
        <w:kinsoku w:val="0"/>
        <w:wordWrap w:val="0"/>
        <w:overflowPunct/>
        <w:topLinePunct w:val="0"/>
        <w:bidi w:val="0"/>
        <w:snapToGrid w:val="0"/>
        <w:spacing w:line="48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4.4 甲方应当按照合同约定及时对交付的货物进行验收，</w:t>
      </w:r>
      <w:r>
        <w:rPr>
          <w:rFonts w:hint="eastAsia" w:ascii="宋体" w:hAnsi="宋体" w:eastAsia="宋体" w:cs="宋体"/>
          <w:b w:val="0"/>
          <w:bCs w:val="0"/>
          <w:color w:val="auto"/>
          <w:sz w:val="24"/>
          <w:szCs w:val="24"/>
          <w:highlight w:val="none"/>
          <w:lang w:eastAsia="zh-CN"/>
        </w:rPr>
        <w:t>未</w:t>
      </w:r>
      <w:r>
        <w:rPr>
          <w:rFonts w:hint="eastAsia" w:ascii="宋体" w:hAnsi="宋体" w:eastAsia="宋体" w:cs="宋体"/>
          <w:color w:val="auto"/>
          <w:sz w:val="24"/>
          <w:szCs w:val="24"/>
          <w:highlight w:val="none"/>
          <w:lang w:val="en-US" w:eastAsia="zh-CN"/>
        </w:rPr>
        <w:t>在</w:t>
      </w:r>
      <w:r>
        <w:rPr>
          <w:rFonts w:hint="eastAsia" w:ascii="宋体" w:hAnsi="宋体" w:eastAsia="宋体" w:cs="宋体"/>
          <w:b/>
          <w:bCs/>
          <w:color w:val="auto"/>
          <w:sz w:val="24"/>
          <w:szCs w:val="24"/>
          <w:highlight w:val="none"/>
        </w:rPr>
        <w:t>【政府采购合同专用条款】</w:t>
      </w:r>
      <w:r>
        <w:rPr>
          <w:rFonts w:hint="eastAsia" w:ascii="宋体" w:hAnsi="宋体" w:eastAsia="宋体" w:cs="宋体"/>
          <w:b w:val="0"/>
          <w:bCs w:val="0"/>
          <w:color w:val="auto"/>
          <w:sz w:val="24"/>
          <w:szCs w:val="24"/>
          <w:highlight w:val="none"/>
          <w:lang w:eastAsia="zh-CN"/>
        </w:rPr>
        <w:t>约定的期限内对乙方履约提出任何异议或者向乙方作出任何说明的，</w:t>
      </w:r>
      <w:r>
        <w:rPr>
          <w:rFonts w:hint="eastAsia" w:ascii="宋体" w:hAnsi="宋体" w:eastAsia="宋体" w:cs="宋体"/>
          <w:color w:val="auto"/>
          <w:sz w:val="24"/>
          <w:szCs w:val="24"/>
          <w:highlight w:val="none"/>
          <w:lang w:val="en-US" w:eastAsia="zh-CN"/>
        </w:rPr>
        <w:t>视为验收通过。</w:t>
      </w:r>
    </w:p>
    <w:p w14:paraId="6AEF0FE4">
      <w:pPr>
        <w:keepNext w:val="0"/>
        <w:keepLines w:val="0"/>
        <w:pageBreakBefore w:val="0"/>
        <w:widowControl w:val="0"/>
        <w:kinsoku w:val="0"/>
        <w:wordWrap w:val="0"/>
        <w:overflowPunct/>
        <w:topLinePunct w:val="0"/>
        <w:autoSpaceDE w:val="0"/>
        <w:autoSpaceDN w:val="0"/>
        <w:bidi w:val="0"/>
        <w:adjustRightInd w:val="0"/>
        <w:snapToGrid w:val="0"/>
        <w:spacing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4</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 xml:space="preserve"> 甲方应当根据合同约定</w:t>
      </w:r>
      <w:r>
        <w:rPr>
          <w:rFonts w:hint="eastAsia" w:ascii="宋体" w:hAnsi="宋体" w:eastAsia="宋体" w:cs="宋体"/>
          <w:color w:val="auto"/>
          <w:sz w:val="24"/>
          <w:szCs w:val="24"/>
          <w:highlight w:val="none"/>
          <w:lang w:eastAsia="zh-CN"/>
        </w:rPr>
        <w:t>及</w:t>
      </w:r>
      <w:r>
        <w:rPr>
          <w:rFonts w:hint="eastAsia" w:ascii="宋体" w:hAnsi="宋体" w:eastAsia="宋体" w:cs="宋体"/>
          <w:color w:val="auto"/>
          <w:sz w:val="24"/>
          <w:szCs w:val="24"/>
          <w:highlight w:val="none"/>
        </w:rPr>
        <w:t>时向乙方支付</w:t>
      </w:r>
      <w:r>
        <w:rPr>
          <w:rFonts w:hint="eastAsia" w:ascii="宋体" w:hAnsi="宋体" w:eastAsia="宋体" w:cs="宋体"/>
          <w:color w:val="auto"/>
          <w:sz w:val="24"/>
          <w:szCs w:val="24"/>
          <w:highlight w:val="none"/>
          <w:lang w:eastAsia="zh-CN"/>
        </w:rPr>
        <w:t>合同价款，不得以内部人员变更、履行内部付款流程等为由，拒绝或迟延支付。</w:t>
      </w:r>
    </w:p>
    <w:p w14:paraId="17A158E1">
      <w:pPr>
        <w:keepNext w:val="0"/>
        <w:keepLines w:val="0"/>
        <w:pageBreakBefore w:val="0"/>
        <w:widowControl w:val="0"/>
        <w:kinsoku w:val="0"/>
        <w:wordWrap w:val="0"/>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4</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 xml:space="preserve"> 国家法律法规规定</w:t>
      </w:r>
      <w:r>
        <w:rPr>
          <w:rFonts w:hint="eastAsia" w:ascii="宋体" w:hAnsi="宋体" w:eastAsia="宋体" w:cs="宋体"/>
          <w:color w:val="auto"/>
          <w:sz w:val="24"/>
          <w:szCs w:val="24"/>
          <w:highlight w:val="none"/>
          <w:lang w:eastAsia="zh-CN"/>
        </w:rPr>
        <w:t>及</w:t>
      </w:r>
      <w:r>
        <w:rPr>
          <w:rFonts w:hint="eastAsia" w:ascii="宋体" w:hAnsi="宋体" w:eastAsia="宋体" w:cs="宋体"/>
          <w:b/>
          <w:bCs/>
          <w:color w:val="auto"/>
          <w:sz w:val="24"/>
          <w:szCs w:val="24"/>
          <w:highlight w:val="none"/>
        </w:rPr>
        <w:t>【政府采购合同专用条款】</w:t>
      </w:r>
      <w:r>
        <w:rPr>
          <w:rFonts w:hint="eastAsia" w:ascii="宋体" w:hAnsi="宋体" w:eastAsia="宋体" w:cs="宋体"/>
          <w:color w:val="auto"/>
          <w:sz w:val="24"/>
          <w:szCs w:val="24"/>
          <w:highlight w:val="none"/>
          <w:lang w:eastAsia="zh-CN"/>
        </w:rPr>
        <w:t>约定应</w:t>
      </w:r>
      <w:r>
        <w:rPr>
          <w:rFonts w:hint="eastAsia" w:ascii="宋体" w:hAnsi="宋体" w:eastAsia="宋体" w:cs="宋体"/>
          <w:color w:val="auto"/>
          <w:sz w:val="24"/>
          <w:szCs w:val="24"/>
          <w:highlight w:val="none"/>
        </w:rPr>
        <w:t>由甲方承担的其他义务和责任。</w:t>
      </w:r>
    </w:p>
    <w:p w14:paraId="3FE81BC1">
      <w:pPr>
        <w:keepNext w:val="0"/>
        <w:keepLines w:val="0"/>
        <w:pageBreakBefore w:val="0"/>
        <w:widowControl w:val="0"/>
        <w:tabs>
          <w:tab w:val="left" w:pos="8820"/>
          <w:tab w:val="left" w:pos="9345"/>
          <w:tab w:val="left" w:pos="9765"/>
        </w:tabs>
        <w:kinsoku w:val="0"/>
        <w:wordWrap w:val="0"/>
        <w:overflowPunct/>
        <w:topLinePunct w:val="0"/>
        <w:bidi w:val="0"/>
        <w:adjustRightInd w:val="0"/>
        <w:snapToGrid w:val="0"/>
        <w:spacing w:before="0" w:line="480" w:lineRule="exact"/>
        <w:ind w:firstLine="482" w:firstLineChars="200"/>
        <w:jc w:val="left"/>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5.乙方的权利和义务</w:t>
      </w:r>
    </w:p>
    <w:p w14:paraId="7DD70BF5">
      <w:pPr>
        <w:keepNext w:val="0"/>
        <w:keepLines w:val="0"/>
        <w:pageBreakBefore w:val="0"/>
        <w:widowControl w:val="0"/>
        <w:kinsoku w:val="0"/>
        <w:wordWrap w:val="0"/>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5</w:t>
      </w:r>
      <w:r>
        <w:rPr>
          <w:rFonts w:hint="eastAsia" w:ascii="宋体" w:hAnsi="宋体" w:eastAsia="宋体" w:cs="宋体"/>
          <w:color w:val="auto"/>
          <w:sz w:val="24"/>
          <w:szCs w:val="24"/>
          <w:highlight w:val="none"/>
        </w:rPr>
        <w:t>.1 签署合同后，乙方</w:t>
      </w:r>
      <w:r>
        <w:rPr>
          <w:rFonts w:hint="eastAsia" w:ascii="宋体" w:hAnsi="宋体" w:eastAsia="宋体" w:cs="宋体"/>
          <w:color w:val="auto"/>
          <w:sz w:val="24"/>
          <w:szCs w:val="24"/>
          <w:highlight w:val="none"/>
          <w:lang w:eastAsia="zh-CN"/>
        </w:rPr>
        <w:t>应</w:t>
      </w:r>
      <w:r>
        <w:rPr>
          <w:rFonts w:hint="eastAsia" w:ascii="宋体" w:hAnsi="宋体" w:eastAsia="宋体" w:cs="宋体"/>
          <w:color w:val="auto"/>
          <w:sz w:val="24"/>
          <w:szCs w:val="24"/>
          <w:highlight w:val="none"/>
        </w:rPr>
        <w:t>确定</w:t>
      </w:r>
      <w:r>
        <w:rPr>
          <w:rFonts w:hint="eastAsia" w:ascii="宋体" w:hAnsi="宋体" w:eastAsia="宋体" w:cs="宋体"/>
          <w:color w:val="auto"/>
          <w:sz w:val="24"/>
          <w:szCs w:val="24"/>
          <w:highlight w:val="none"/>
          <w:lang w:val="en-US" w:eastAsia="zh-CN"/>
        </w:rPr>
        <w:t>项目负责人（或项目联系人）</w:t>
      </w:r>
      <w:r>
        <w:rPr>
          <w:rFonts w:hint="eastAsia" w:ascii="宋体" w:hAnsi="宋体" w:eastAsia="宋体" w:cs="宋体"/>
          <w:color w:val="auto"/>
          <w:sz w:val="24"/>
          <w:szCs w:val="24"/>
          <w:highlight w:val="none"/>
        </w:rPr>
        <w:t>，负责与本合同有关的事务。</w:t>
      </w:r>
    </w:p>
    <w:p w14:paraId="1C48CB82">
      <w:pPr>
        <w:keepNext w:val="0"/>
        <w:keepLines w:val="0"/>
        <w:pageBreakBefore w:val="0"/>
        <w:widowControl w:val="0"/>
        <w:kinsoku w:val="0"/>
        <w:wordWrap w:val="0"/>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5</w:t>
      </w:r>
      <w:r>
        <w:rPr>
          <w:rFonts w:hint="eastAsia" w:ascii="宋体" w:hAnsi="宋体" w:eastAsia="宋体" w:cs="宋体"/>
          <w:color w:val="auto"/>
          <w:sz w:val="24"/>
          <w:szCs w:val="24"/>
          <w:highlight w:val="none"/>
        </w:rPr>
        <w:t>.2 乙方应按照合同要求履约，充分合理安排，确保提供的货物</w:t>
      </w:r>
      <w:r>
        <w:rPr>
          <w:rFonts w:hint="eastAsia" w:ascii="宋体" w:hAnsi="宋体" w:eastAsia="宋体" w:cs="宋体"/>
          <w:color w:val="auto"/>
          <w:sz w:val="24"/>
          <w:szCs w:val="24"/>
          <w:highlight w:val="none"/>
          <w:lang w:eastAsia="zh-CN"/>
        </w:rPr>
        <w:t>及相关</w:t>
      </w:r>
      <w:r>
        <w:rPr>
          <w:rFonts w:hint="eastAsia" w:ascii="宋体" w:hAnsi="宋体" w:eastAsia="宋体" w:cs="宋体"/>
          <w:color w:val="auto"/>
          <w:sz w:val="24"/>
          <w:szCs w:val="24"/>
          <w:highlight w:val="none"/>
        </w:rPr>
        <w:t>服务符合合同</w:t>
      </w:r>
      <w:r>
        <w:rPr>
          <w:rFonts w:hint="eastAsia" w:ascii="宋体" w:hAnsi="宋体" w:eastAsia="宋体" w:cs="宋体"/>
          <w:color w:val="auto"/>
          <w:sz w:val="24"/>
          <w:szCs w:val="24"/>
          <w:highlight w:val="none"/>
          <w:lang w:eastAsia="zh-CN"/>
        </w:rPr>
        <w:t>有关</w:t>
      </w:r>
      <w:r>
        <w:rPr>
          <w:rFonts w:hint="eastAsia" w:ascii="宋体" w:hAnsi="宋体" w:eastAsia="宋体" w:cs="宋体"/>
          <w:color w:val="auto"/>
          <w:sz w:val="24"/>
          <w:szCs w:val="24"/>
          <w:highlight w:val="none"/>
        </w:rPr>
        <w:t>要求。接受项目行业管理部门及政府有关部门的指导，配合甲方的履约检查</w:t>
      </w:r>
      <w:r>
        <w:rPr>
          <w:rFonts w:hint="eastAsia" w:ascii="宋体" w:hAnsi="宋体" w:eastAsia="宋体" w:cs="宋体"/>
          <w:color w:val="auto"/>
          <w:sz w:val="24"/>
          <w:szCs w:val="24"/>
          <w:highlight w:val="none"/>
          <w:lang w:eastAsia="zh-CN"/>
        </w:rPr>
        <w:t>及验收</w:t>
      </w:r>
      <w:r>
        <w:rPr>
          <w:rFonts w:hint="eastAsia" w:ascii="宋体" w:hAnsi="宋体" w:eastAsia="宋体" w:cs="宋体"/>
          <w:color w:val="auto"/>
          <w:sz w:val="24"/>
          <w:szCs w:val="24"/>
          <w:highlight w:val="none"/>
        </w:rPr>
        <w:t>，并负责项目实施过程中的所有协调工作。</w:t>
      </w:r>
    </w:p>
    <w:p w14:paraId="299E526A">
      <w:pPr>
        <w:pStyle w:val="9"/>
        <w:keepNext w:val="0"/>
        <w:keepLines w:val="0"/>
        <w:pageBreakBefore w:val="0"/>
        <w:widowControl w:val="0"/>
        <w:kinsoku w:val="0"/>
        <w:wordWrap w:val="0"/>
        <w:overflowPunct/>
        <w:topLinePunct w:val="0"/>
        <w:bidi w:val="0"/>
        <w:spacing w:after="0"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5</w:t>
      </w:r>
      <w:r>
        <w:rPr>
          <w:rFonts w:hint="eastAsia" w:ascii="宋体" w:hAnsi="宋体" w:eastAsia="宋体" w:cs="宋体"/>
          <w:color w:val="auto"/>
          <w:sz w:val="24"/>
          <w:szCs w:val="24"/>
          <w:highlight w:val="none"/>
        </w:rPr>
        <w:t>.3乙方有权根据合同约定向甲方收取</w:t>
      </w:r>
      <w:r>
        <w:rPr>
          <w:rFonts w:hint="eastAsia" w:ascii="宋体" w:hAnsi="宋体" w:eastAsia="宋体" w:cs="宋体"/>
          <w:color w:val="auto"/>
          <w:sz w:val="24"/>
          <w:szCs w:val="24"/>
          <w:highlight w:val="none"/>
          <w:lang w:eastAsia="zh-CN"/>
        </w:rPr>
        <w:t>合同价款</w:t>
      </w:r>
      <w:r>
        <w:rPr>
          <w:rFonts w:hint="eastAsia" w:ascii="宋体" w:hAnsi="宋体" w:eastAsia="宋体" w:cs="宋体"/>
          <w:color w:val="auto"/>
          <w:sz w:val="24"/>
          <w:szCs w:val="24"/>
          <w:highlight w:val="none"/>
        </w:rPr>
        <w:t>。</w:t>
      </w:r>
    </w:p>
    <w:p w14:paraId="3FA88949">
      <w:pPr>
        <w:pStyle w:val="9"/>
        <w:keepNext w:val="0"/>
        <w:keepLines w:val="0"/>
        <w:pageBreakBefore w:val="0"/>
        <w:widowControl w:val="0"/>
        <w:kinsoku w:val="0"/>
        <w:wordWrap w:val="0"/>
        <w:overflowPunct/>
        <w:topLinePunct w:val="0"/>
        <w:bidi w:val="0"/>
        <w:spacing w:after="0"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5</w:t>
      </w:r>
      <w:r>
        <w:rPr>
          <w:rFonts w:hint="eastAsia" w:ascii="宋体" w:hAnsi="宋体" w:eastAsia="宋体" w:cs="宋体"/>
          <w:color w:val="auto"/>
          <w:sz w:val="24"/>
          <w:szCs w:val="24"/>
          <w:highlight w:val="none"/>
        </w:rPr>
        <w:t>.4国家法律法规规定</w:t>
      </w:r>
      <w:r>
        <w:rPr>
          <w:rFonts w:hint="eastAsia" w:ascii="宋体" w:hAnsi="宋体" w:eastAsia="宋体" w:cs="宋体"/>
          <w:color w:val="auto"/>
          <w:sz w:val="24"/>
          <w:szCs w:val="24"/>
          <w:highlight w:val="none"/>
          <w:lang w:eastAsia="zh-CN"/>
        </w:rPr>
        <w:t>及</w:t>
      </w:r>
      <w:r>
        <w:rPr>
          <w:rFonts w:hint="eastAsia" w:ascii="宋体" w:hAnsi="宋体" w:eastAsia="宋体" w:cs="宋体"/>
          <w:b/>
          <w:bCs/>
          <w:color w:val="auto"/>
          <w:sz w:val="24"/>
          <w:szCs w:val="24"/>
          <w:highlight w:val="none"/>
        </w:rPr>
        <w:t>【政府采购合同专用条款】</w:t>
      </w:r>
      <w:r>
        <w:rPr>
          <w:rFonts w:hint="eastAsia" w:ascii="宋体" w:hAnsi="宋体" w:eastAsia="宋体" w:cs="宋体"/>
          <w:b w:val="0"/>
          <w:bCs w:val="0"/>
          <w:color w:val="auto"/>
          <w:sz w:val="24"/>
          <w:szCs w:val="24"/>
          <w:highlight w:val="none"/>
          <w:lang w:eastAsia="zh-CN"/>
        </w:rPr>
        <w:t>约定应</w:t>
      </w:r>
      <w:r>
        <w:rPr>
          <w:rFonts w:hint="eastAsia" w:ascii="宋体" w:hAnsi="宋体" w:eastAsia="宋体" w:cs="宋体"/>
          <w:color w:val="auto"/>
          <w:sz w:val="24"/>
          <w:szCs w:val="24"/>
          <w:highlight w:val="none"/>
        </w:rPr>
        <w:t>由乙方承担的其他义务和责任。</w:t>
      </w:r>
    </w:p>
    <w:p w14:paraId="17364792">
      <w:pPr>
        <w:keepNext w:val="0"/>
        <w:keepLines w:val="0"/>
        <w:pageBreakBefore w:val="0"/>
        <w:widowControl w:val="0"/>
        <w:tabs>
          <w:tab w:val="left" w:pos="8820"/>
          <w:tab w:val="left" w:pos="9345"/>
          <w:tab w:val="left" w:pos="9765"/>
        </w:tabs>
        <w:kinsoku w:val="0"/>
        <w:wordWrap w:val="0"/>
        <w:overflowPunct/>
        <w:topLinePunct w:val="0"/>
        <w:bidi w:val="0"/>
        <w:adjustRightInd w:val="0"/>
        <w:snapToGrid w:val="0"/>
        <w:spacing w:before="0" w:line="480" w:lineRule="exact"/>
        <w:ind w:firstLine="482" w:firstLineChars="200"/>
        <w:jc w:val="left"/>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6.合同履行</w:t>
      </w:r>
    </w:p>
    <w:p w14:paraId="0DFE4A61">
      <w:pPr>
        <w:keepNext w:val="0"/>
        <w:keepLines w:val="0"/>
        <w:pageBreakBefore w:val="0"/>
        <w:widowControl w:val="0"/>
        <w:kinsoku w:val="0"/>
        <w:wordWrap w:val="0"/>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6</w:t>
      </w:r>
      <w:r>
        <w:rPr>
          <w:rFonts w:hint="eastAsia" w:ascii="宋体" w:hAnsi="宋体" w:eastAsia="宋体" w:cs="宋体"/>
          <w:color w:val="auto"/>
          <w:sz w:val="24"/>
          <w:szCs w:val="24"/>
          <w:highlight w:val="none"/>
        </w:rPr>
        <w:t>.1 甲乙双方应当按照</w:t>
      </w:r>
      <w:r>
        <w:rPr>
          <w:rFonts w:hint="eastAsia" w:ascii="宋体" w:hAnsi="宋体" w:eastAsia="宋体" w:cs="宋体"/>
          <w:b/>
          <w:bCs/>
          <w:color w:val="auto"/>
          <w:sz w:val="24"/>
          <w:szCs w:val="24"/>
          <w:highlight w:val="none"/>
        </w:rPr>
        <w:t>【政府采购合同专用条款】</w:t>
      </w:r>
      <w:r>
        <w:rPr>
          <w:rFonts w:hint="eastAsia" w:ascii="宋体" w:hAnsi="宋体" w:eastAsia="宋体" w:cs="宋体"/>
          <w:color w:val="auto"/>
          <w:sz w:val="24"/>
          <w:szCs w:val="24"/>
          <w:highlight w:val="none"/>
        </w:rPr>
        <w:t>约定顺序履行合同义务；如果没有先后顺序的，应当同时履行。</w:t>
      </w:r>
    </w:p>
    <w:p w14:paraId="52741364">
      <w:pPr>
        <w:keepNext w:val="0"/>
        <w:keepLines w:val="0"/>
        <w:pageBreakBefore w:val="0"/>
        <w:widowControl w:val="0"/>
        <w:kinsoku w:val="0"/>
        <w:wordWrap w:val="0"/>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6</w:t>
      </w:r>
      <w:r>
        <w:rPr>
          <w:rFonts w:hint="eastAsia" w:ascii="宋体" w:hAnsi="宋体" w:eastAsia="宋体" w:cs="宋体"/>
          <w:color w:val="auto"/>
          <w:sz w:val="24"/>
          <w:szCs w:val="24"/>
          <w:highlight w:val="none"/>
        </w:rPr>
        <w:t>.2 甲乙双方按照合同约定顺序履行合同义务时，应当先履行一方未履行的，后履行一方有权拒绝其履行请求。先履行一方履行不符合约定的，后履行一方有权拒绝其相应的履行请求。</w:t>
      </w:r>
    </w:p>
    <w:p w14:paraId="51CED93B">
      <w:pPr>
        <w:keepNext w:val="0"/>
        <w:keepLines w:val="0"/>
        <w:pageBreakBefore w:val="0"/>
        <w:widowControl w:val="0"/>
        <w:tabs>
          <w:tab w:val="left" w:pos="8820"/>
          <w:tab w:val="left" w:pos="9345"/>
          <w:tab w:val="left" w:pos="9765"/>
        </w:tabs>
        <w:kinsoku w:val="0"/>
        <w:wordWrap w:val="0"/>
        <w:overflowPunct/>
        <w:topLinePunct w:val="0"/>
        <w:bidi w:val="0"/>
        <w:adjustRightInd w:val="0"/>
        <w:snapToGrid w:val="0"/>
        <w:spacing w:before="0" w:line="480" w:lineRule="exact"/>
        <w:ind w:firstLine="482" w:firstLineChars="200"/>
        <w:jc w:val="left"/>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7.货物包装、运输、保险和交付要求</w:t>
      </w:r>
    </w:p>
    <w:p w14:paraId="00614C0D">
      <w:pPr>
        <w:keepNext w:val="0"/>
        <w:keepLines w:val="0"/>
        <w:pageBreakBefore w:val="0"/>
        <w:widowControl w:val="0"/>
        <w:kinsoku w:val="0"/>
        <w:wordWrap w:val="0"/>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7</w:t>
      </w:r>
      <w:r>
        <w:rPr>
          <w:rFonts w:hint="eastAsia" w:ascii="宋体" w:hAnsi="宋体" w:eastAsia="宋体" w:cs="宋体"/>
          <w:color w:val="auto"/>
          <w:sz w:val="24"/>
          <w:szCs w:val="24"/>
          <w:highlight w:val="none"/>
        </w:rPr>
        <w:t>.1 本合同</w:t>
      </w:r>
      <w:r>
        <w:rPr>
          <w:rFonts w:hint="eastAsia" w:ascii="宋体" w:hAnsi="宋体" w:eastAsia="宋体" w:cs="宋体"/>
          <w:bCs/>
          <w:color w:val="auto"/>
          <w:sz w:val="24"/>
          <w:szCs w:val="24"/>
          <w:highlight w:val="none"/>
        </w:rPr>
        <w:t>涉及商品包装</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快递包装的，</w:t>
      </w:r>
      <w:r>
        <w:rPr>
          <w:rFonts w:hint="eastAsia" w:ascii="宋体" w:hAnsi="宋体" w:eastAsia="宋体" w:cs="宋体"/>
          <w:color w:val="auto"/>
          <w:sz w:val="24"/>
          <w:szCs w:val="24"/>
          <w:highlight w:val="none"/>
        </w:rPr>
        <w:t>除</w:t>
      </w:r>
      <w:r>
        <w:rPr>
          <w:rFonts w:hint="eastAsia" w:ascii="宋体" w:hAnsi="宋体" w:eastAsia="宋体" w:cs="宋体"/>
          <w:b/>
          <w:color w:val="auto"/>
          <w:sz w:val="24"/>
          <w:szCs w:val="24"/>
          <w:highlight w:val="none"/>
        </w:rPr>
        <w:t>【政府采购合同专用条款】</w:t>
      </w:r>
      <w:r>
        <w:rPr>
          <w:rFonts w:hint="eastAsia" w:ascii="宋体" w:hAnsi="宋体" w:eastAsia="宋体" w:cs="宋体"/>
          <w:bCs/>
          <w:color w:val="auto"/>
          <w:sz w:val="24"/>
          <w:szCs w:val="24"/>
          <w:highlight w:val="none"/>
        </w:rPr>
        <w:t>另有</w:t>
      </w:r>
      <w:r>
        <w:rPr>
          <w:rFonts w:hint="eastAsia" w:ascii="宋体" w:hAnsi="宋体" w:eastAsia="宋体" w:cs="宋体"/>
          <w:bCs/>
          <w:color w:val="auto"/>
          <w:sz w:val="24"/>
          <w:szCs w:val="24"/>
          <w:highlight w:val="none"/>
          <w:lang w:eastAsia="zh-CN"/>
        </w:rPr>
        <w:t>约</w:t>
      </w:r>
      <w:r>
        <w:rPr>
          <w:rFonts w:hint="eastAsia" w:ascii="宋体" w:hAnsi="宋体" w:eastAsia="宋体" w:cs="宋体"/>
          <w:bCs/>
          <w:color w:val="auto"/>
          <w:sz w:val="24"/>
          <w:szCs w:val="24"/>
          <w:highlight w:val="none"/>
        </w:rPr>
        <w:t>定</w:t>
      </w:r>
      <w:r>
        <w:rPr>
          <w:rFonts w:hint="eastAsia" w:ascii="宋体" w:hAnsi="宋体" w:eastAsia="宋体" w:cs="宋体"/>
          <w:bCs/>
          <w:color w:val="auto"/>
          <w:sz w:val="24"/>
          <w:szCs w:val="24"/>
          <w:highlight w:val="none"/>
          <w:lang w:eastAsia="zh-CN"/>
        </w:rPr>
        <w:t>外</w:t>
      </w:r>
      <w:r>
        <w:rPr>
          <w:rFonts w:hint="eastAsia" w:ascii="宋体" w:hAnsi="宋体" w:eastAsia="宋体" w:cs="宋体"/>
          <w:bCs/>
          <w:color w:val="auto"/>
          <w:sz w:val="24"/>
          <w:szCs w:val="24"/>
          <w:highlight w:val="none"/>
        </w:rPr>
        <w:t>，</w:t>
      </w:r>
      <w:r>
        <w:rPr>
          <w:rFonts w:hint="eastAsia" w:ascii="宋体" w:hAnsi="宋体" w:eastAsia="宋体" w:cs="宋体"/>
          <w:color w:val="auto"/>
          <w:sz w:val="24"/>
          <w:szCs w:val="24"/>
          <w:highlight w:val="none"/>
        </w:rPr>
        <w:t>包装应适应远距离运输、防潮、防震、防锈和防野蛮装卸等要求，确保货物安全无损地运抵</w:t>
      </w:r>
      <w:r>
        <w:rPr>
          <w:rFonts w:hint="eastAsia" w:ascii="宋体" w:hAnsi="宋体" w:eastAsia="宋体" w:cs="宋体"/>
          <w:b/>
          <w:color w:val="auto"/>
          <w:sz w:val="24"/>
          <w:szCs w:val="24"/>
          <w:highlight w:val="none"/>
        </w:rPr>
        <w:t>【政府采购合同专用条款】</w:t>
      </w:r>
      <w:r>
        <w:rPr>
          <w:rFonts w:hint="eastAsia" w:ascii="宋体" w:hAnsi="宋体" w:eastAsia="宋体" w:cs="宋体"/>
          <w:b w:val="0"/>
          <w:bCs/>
          <w:color w:val="auto"/>
          <w:sz w:val="24"/>
          <w:szCs w:val="24"/>
          <w:highlight w:val="none"/>
          <w:lang w:eastAsia="zh-CN"/>
        </w:rPr>
        <w:t>约定的</w:t>
      </w:r>
      <w:r>
        <w:rPr>
          <w:rFonts w:hint="eastAsia" w:ascii="宋体" w:hAnsi="宋体" w:eastAsia="宋体" w:cs="宋体"/>
          <w:color w:val="auto"/>
          <w:sz w:val="24"/>
          <w:szCs w:val="24"/>
          <w:highlight w:val="none"/>
        </w:rPr>
        <w:t>指定现场。</w:t>
      </w:r>
    </w:p>
    <w:p w14:paraId="340E0965">
      <w:pPr>
        <w:keepNext w:val="0"/>
        <w:keepLines w:val="0"/>
        <w:pageBreakBefore w:val="0"/>
        <w:widowControl w:val="0"/>
        <w:kinsoku w:val="0"/>
        <w:wordWrap w:val="0"/>
        <w:overflowPunct/>
        <w:topLinePunct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7</w:t>
      </w:r>
      <w:r>
        <w:rPr>
          <w:rFonts w:hint="eastAsia" w:ascii="宋体" w:hAnsi="宋体" w:eastAsia="宋体" w:cs="宋体"/>
          <w:color w:val="auto"/>
          <w:sz w:val="24"/>
          <w:szCs w:val="24"/>
          <w:highlight w:val="none"/>
        </w:rPr>
        <w:t>.2 除</w:t>
      </w:r>
      <w:r>
        <w:rPr>
          <w:rFonts w:hint="eastAsia" w:ascii="宋体" w:hAnsi="宋体" w:eastAsia="宋体" w:cs="宋体"/>
          <w:b/>
          <w:color w:val="auto"/>
          <w:sz w:val="24"/>
          <w:szCs w:val="24"/>
          <w:highlight w:val="none"/>
        </w:rPr>
        <w:t>【政府采购合同专用条款】</w:t>
      </w:r>
      <w:r>
        <w:rPr>
          <w:rFonts w:hint="eastAsia" w:ascii="宋体" w:hAnsi="宋体" w:eastAsia="宋体" w:cs="宋体"/>
          <w:bCs/>
          <w:color w:val="auto"/>
          <w:sz w:val="24"/>
          <w:szCs w:val="24"/>
          <w:highlight w:val="none"/>
        </w:rPr>
        <w:t>另有</w:t>
      </w:r>
      <w:r>
        <w:rPr>
          <w:rFonts w:hint="eastAsia" w:ascii="宋体" w:hAnsi="宋体" w:eastAsia="宋体" w:cs="宋体"/>
          <w:bCs/>
          <w:color w:val="auto"/>
          <w:sz w:val="24"/>
          <w:szCs w:val="24"/>
          <w:highlight w:val="none"/>
          <w:lang w:eastAsia="zh-CN"/>
        </w:rPr>
        <w:t>约</w:t>
      </w:r>
      <w:r>
        <w:rPr>
          <w:rFonts w:hint="eastAsia" w:ascii="宋体" w:hAnsi="宋体" w:eastAsia="宋体" w:cs="宋体"/>
          <w:bCs/>
          <w:color w:val="auto"/>
          <w:sz w:val="24"/>
          <w:szCs w:val="24"/>
          <w:highlight w:val="none"/>
        </w:rPr>
        <w:t>定</w:t>
      </w:r>
      <w:r>
        <w:rPr>
          <w:rFonts w:hint="eastAsia" w:ascii="宋体" w:hAnsi="宋体" w:eastAsia="宋体" w:cs="宋体"/>
          <w:bCs/>
          <w:color w:val="auto"/>
          <w:sz w:val="24"/>
          <w:szCs w:val="24"/>
          <w:highlight w:val="none"/>
          <w:lang w:eastAsia="zh-CN"/>
        </w:rPr>
        <w:t>外</w:t>
      </w:r>
      <w:r>
        <w:rPr>
          <w:rFonts w:hint="eastAsia" w:ascii="宋体" w:hAnsi="宋体" w:eastAsia="宋体" w:cs="宋体"/>
          <w:bCs/>
          <w:color w:val="auto"/>
          <w:sz w:val="24"/>
          <w:szCs w:val="24"/>
          <w:highlight w:val="none"/>
        </w:rPr>
        <w:t>，</w:t>
      </w:r>
      <w:r>
        <w:rPr>
          <w:rFonts w:hint="eastAsia" w:ascii="宋体" w:hAnsi="宋体" w:eastAsia="宋体" w:cs="宋体"/>
          <w:color w:val="auto"/>
          <w:sz w:val="24"/>
          <w:szCs w:val="24"/>
          <w:highlight w:val="none"/>
        </w:rPr>
        <w:t>乙方负责办理将货物运抵本合同规定的交货地点</w:t>
      </w:r>
      <w:r>
        <w:rPr>
          <w:rFonts w:hint="eastAsia" w:ascii="宋体" w:hAnsi="宋体" w:eastAsia="宋体" w:cs="宋体"/>
          <w:color w:val="auto"/>
          <w:sz w:val="24"/>
          <w:szCs w:val="24"/>
          <w:highlight w:val="none"/>
          <w:lang w:eastAsia="zh-CN"/>
        </w:rPr>
        <w:t>，并装卸、交付至甲方</w:t>
      </w:r>
      <w:r>
        <w:rPr>
          <w:rFonts w:hint="eastAsia" w:ascii="宋体" w:hAnsi="宋体" w:eastAsia="宋体" w:cs="宋体"/>
          <w:color w:val="auto"/>
          <w:sz w:val="24"/>
          <w:szCs w:val="24"/>
          <w:highlight w:val="none"/>
        </w:rPr>
        <w:t>的一切运输事项，相关费用应</w:t>
      </w:r>
      <w:r>
        <w:rPr>
          <w:rFonts w:hint="eastAsia" w:ascii="宋体" w:hAnsi="宋体" w:eastAsia="宋体" w:cs="宋体"/>
          <w:color w:val="auto"/>
          <w:sz w:val="24"/>
          <w:szCs w:val="24"/>
          <w:highlight w:val="none"/>
          <w:lang w:eastAsia="zh-CN"/>
        </w:rPr>
        <w:t>包含</w:t>
      </w:r>
      <w:r>
        <w:rPr>
          <w:rFonts w:hint="eastAsia" w:ascii="宋体" w:hAnsi="宋体" w:eastAsia="宋体" w:cs="宋体"/>
          <w:color w:val="auto"/>
          <w:sz w:val="24"/>
          <w:szCs w:val="24"/>
          <w:highlight w:val="none"/>
        </w:rPr>
        <w:t>在合同</w:t>
      </w:r>
      <w:r>
        <w:rPr>
          <w:rFonts w:hint="eastAsia" w:ascii="宋体" w:hAnsi="宋体" w:eastAsia="宋体" w:cs="宋体"/>
          <w:color w:val="auto"/>
          <w:sz w:val="24"/>
          <w:szCs w:val="24"/>
          <w:highlight w:val="none"/>
          <w:lang w:eastAsia="zh-CN"/>
        </w:rPr>
        <w:t>价款</w:t>
      </w:r>
      <w:r>
        <w:rPr>
          <w:rFonts w:hint="eastAsia" w:ascii="宋体" w:hAnsi="宋体" w:eastAsia="宋体" w:cs="宋体"/>
          <w:color w:val="auto"/>
          <w:sz w:val="24"/>
          <w:szCs w:val="24"/>
          <w:highlight w:val="none"/>
        </w:rPr>
        <w:t>中。</w:t>
      </w:r>
    </w:p>
    <w:p w14:paraId="4164F129">
      <w:pPr>
        <w:keepNext w:val="0"/>
        <w:keepLines w:val="0"/>
        <w:pageBreakBefore w:val="0"/>
        <w:widowControl w:val="0"/>
        <w:kinsoku w:val="0"/>
        <w:wordWrap w:val="0"/>
        <w:overflowPunct/>
        <w:topLinePunct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7</w:t>
      </w:r>
      <w:r>
        <w:rPr>
          <w:rFonts w:hint="eastAsia" w:ascii="宋体" w:hAnsi="宋体" w:eastAsia="宋体" w:cs="宋体"/>
          <w:color w:val="auto"/>
          <w:sz w:val="24"/>
          <w:szCs w:val="24"/>
          <w:highlight w:val="none"/>
        </w:rPr>
        <w:t>.3 货物保险要求按</w:t>
      </w:r>
      <w:r>
        <w:rPr>
          <w:rFonts w:hint="eastAsia" w:ascii="宋体" w:hAnsi="宋体" w:eastAsia="宋体" w:cs="宋体"/>
          <w:b/>
          <w:color w:val="auto"/>
          <w:sz w:val="24"/>
          <w:szCs w:val="24"/>
          <w:highlight w:val="none"/>
        </w:rPr>
        <w:t>【政府采购合同专用条款】</w:t>
      </w:r>
      <w:r>
        <w:rPr>
          <w:rFonts w:hint="eastAsia" w:ascii="宋体" w:hAnsi="宋体" w:eastAsia="宋体" w:cs="宋体"/>
          <w:bCs/>
          <w:color w:val="auto"/>
          <w:sz w:val="24"/>
          <w:szCs w:val="24"/>
          <w:highlight w:val="none"/>
        </w:rPr>
        <w:t>规定执行</w:t>
      </w:r>
      <w:r>
        <w:rPr>
          <w:rFonts w:hint="eastAsia" w:ascii="宋体" w:hAnsi="宋体" w:eastAsia="宋体" w:cs="宋体"/>
          <w:color w:val="auto"/>
          <w:sz w:val="24"/>
          <w:szCs w:val="24"/>
          <w:highlight w:val="none"/>
        </w:rPr>
        <w:t>。</w:t>
      </w:r>
    </w:p>
    <w:p w14:paraId="453F96EC">
      <w:pPr>
        <w:keepNext w:val="0"/>
        <w:keepLines w:val="0"/>
        <w:pageBreakBefore w:val="0"/>
        <w:widowControl w:val="0"/>
        <w:kinsoku w:val="0"/>
        <w:wordWrap w:val="0"/>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7</w:t>
      </w:r>
      <w:r>
        <w:rPr>
          <w:rFonts w:hint="eastAsia" w:ascii="宋体" w:hAnsi="宋体" w:eastAsia="宋体" w:cs="宋体"/>
          <w:color w:val="auto"/>
          <w:sz w:val="24"/>
          <w:szCs w:val="24"/>
          <w:highlight w:val="none"/>
        </w:rPr>
        <w:t xml:space="preserve">.4 </w:t>
      </w:r>
      <w:r>
        <w:rPr>
          <w:rFonts w:hint="eastAsia" w:ascii="宋体" w:hAnsi="宋体" w:eastAsia="宋体" w:cs="宋体"/>
          <w:color w:val="auto"/>
          <w:sz w:val="24"/>
          <w:szCs w:val="24"/>
          <w:highlight w:val="none"/>
          <w:lang w:val="en-US" w:eastAsia="zh-CN"/>
        </w:rPr>
        <w:t>除采购活动</w:t>
      </w:r>
      <w:r>
        <w:rPr>
          <w:rFonts w:hint="eastAsia" w:ascii="宋体" w:hAnsi="宋体" w:eastAsia="宋体" w:cs="宋体"/>
          <w:color w:val="auto"/>
          <w:sz w:val="24"/>
          <w:szCs w:val="24"/>
          <w:highlight w:val="none"/>
        </w:rPr>
        <w:t>对商品包装</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快递包装</w:t>
      </w:r>
      <w:r>
        <w:rPr>
          <w:rFonts w:hint="eastAsia" w:ascii="宋体" w:hAnsi="宋体" w:eastAsia="宋体" w:cs="宋体"/>
          <w:color w:val="auto"/>
          <w:sz w:val="24"/>
          <w:szCs w:val="24"/>
          <w:highlight w:val="none"/>
          <w:lang w:val="en-US" w:eastAsia="zh-CN"/>
        </w:rPr>
        <w:t>达成具体约定外</w:t>
      </w:r>
      <w:r>
        <w:rPr>
          <w:rFonts w:hint="eastAsia" w:ascii="宋体" w:hAnsi="宋体" w:eastAsia="宋体" w:cs="宋体"/>
          <w:color w:val="auto"/>
          <w:sz w:val="24"/>
          <w:szCs w:val="24"/>
          <w:highlight w:val="none"/>
        </w:rPr>
        <w:t>，乙方提供产品及相关快递服务</w:t>
      </w:r>
      <w:r>
        <w:rPr>
          <w:rFonts w:hint="eastAsia" w:ascii="宋体" w:hAnsi="宋体" w:eastAsia="宋体" w:cs="宋体"/>
          <w:color w:val="auto"/>
          <w:sz w:val="24"/>
          <w:szCs w:val="24"/>
          <w:highlight w:val="none"/>
          <w:lang w:val="en-US" w:eastAsia="zh-CN"/>
        </w:rPr>
        <w:t>涉及到</w:t>
      </w:r>
      <w:r>
        <w:rPr>
          <w:rFonts w:hint="eastAsia" w:ascii="宋体" w:hAnsi="宋体" w:eastAsia="宋体" w:cs="宋体"/>
          <w:color w:val="auto"/>
          <w:sz w:val="24"/>
          <w:szCs w:val="24"/>
          <w:highlight w:val="none"/>
        </w:rPr>
        <w:t>具体包装要求</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rPr>
        <w:t>应</w:t>
      </w:r>
      <w:r>
        <w:rPr>
          <w:rFonts w:hint="eastAsia" w:ascii="宋体" w:hAnsi="宋体" w:eastAsia="宋体" w:cs="宋体"/>
          <w:color w:val="auto"/>
          <w:sz w:val="24"/>
          <w:szCs w:val="24"/>
          <w:highlight w:val="none"/>
          <w:lang w:val="en-US" w:eastAsia="zh-CN"/>
        </w:rPr>
        <w:t>不低于</w:t>
      </w:r>
      <w:r>
        <w:rPr>
          <w:rFonts w:hint="eastAsia" w:ascii="宋体" w:hAnsi="宋体" w:eastAsia="宋体" w:cs="宋体"/>
          <w:color w:val="auto"/>
          <w:sz w:val="24"/>
          <w:szCs w:val="24"/>
          <w:highlight w:val="none"/>
        </w:rPr>
        <w:t>《商品包装政府采购需求标准（试行）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快递包装政府采购需求标准（试行）》</w:t>
      </w:r>
      <w:r>
        <w:rPr>
          <w:rFonts w:hint="eastAsia" w:ascii="宋体" w:hAnsi="宋体" w:eastAsia="宋体" w:cs="宋体"/>
          <w:color w:val="auto"/>
          <w:sz w:val="24"/>
          <w:szCs w:val="24"/>
          <w:highlight w:val="none"/>
          <w:lang w:val="en-US" w:eastAsia="zh-CN"/>
        </w:rPr>
        <w:t>标准</w:t>
      </w:r>
      <w:r>
        <w:rPr>
          <w:rFonts w:hint="eastAsia" w:ascii="宋体" w:hAnsi="宋体" w:eastAsia="宋体" w:cs="宋体"/>
          <w:color w:val="auto"/>
          <w:sz w:val="24"/>
          <w:szCs w:val="24"/>
          <w:highlight w:val="none"/>
        </w:rPr>
        <w:t>，并作为履约验收的内容，必要时甲方可以要求乙方在履约验收环节出具检测报告。</w:t>
      </w:r>
    </w:p>
    <w:p w14:paraId="36DB0165">
      <w:pPr>
        <w:keepNext w:val="0"/>
        <w:keepLines w:val="0"/>
        <w:pageBreakBefore w:val="0"/>
        <w:widowControl w:val="0"/>
        <w:kinsoku w:val="0"/>
        <w:wordWrap w:val="0"/>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7.5 </w:t>
      </w:r>
      <w:r>
        <w:rPr>
          <w:rFonts w:hint="eastAsia" w:ascii="宋体" w:hAnsi="宋体" w:eastAsia="宋体" w:cs="宋体"/>
          <w:color w:val="auto"/>
          <w:sz w:val="24"/>
          <w:szCs w:val="24"/>
          <w:highlight w:val="none"/>
        </w:rPr>
        <w:t>乙方在运输到达之前</w:t>
      </w:r>
      <w:r>
        <w:rPr>
          <w:rFonts w:hint="eastAsia" w:ascii="宋体" w:hAnsi="宋体" w:eastAsia="宋体" w:cs="宋体"/>
          <w:color w:val="auto"/>
          <w:sz w:val="24"/>
          <w:szCs w:val="24"/>
          <w:highlight w:val="none"/>
          <w:lang w:eastAsia="zh-CN"/>
        </w:rPr>
        <w:t>应</w:t>
      </w:r>
      <w:r>
        <w:rPr>
          <w:rFonts w:hint="eastAsia" w:ascii="宋体" w:hAnsi="宋体" w:eastAsia="宋体" w:cs="宋体"/>
          <w:color w:val="auto"/>
          <w:sz w:val="24"/>
          <w:szCs w:val="24"/>
          <w:highlight w:val="none"/>
        </w:rPr>
        <w:t>提前通知</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，并提示货物运输装卸的注意事项</w:t>
      </w:r>
      <w:r>
        <w:rPr>
          <w:rFonts w:hint="eastAsia" w:ascii="宋体" w:hAnsi="宋体" w:eastAsia="宋体" w:cs="宋体"/>
          <w:color w:val="auto"/>
          <w:sz w:val="24"/>
          <w:szCs w:val="24"/>
          <w:highlight w:val="none"/>
          <w:lang w:eastAsia="zh-CN"/>
        </w:rPr>
        <w:t>，甲方配合乙方做好货物的接收工作。</w:t>
      </w:r>
    </w:p>
    <w:p w14:paraId="435C6802">
      <w:pPr>
        <w:pStyle w:val="29"/>
        <w:keepNext w:val="0"/>
        <w:keepLines w:val="0"/>
        <w:pageBreakBefore w:val="0"/>
        <w:widowControl w:val="0"/>
        <w:kinsoku w:val="0"/>
        <w:wordWrap w:val="0"/>
        <w:overflowPunct/>
        <w:topLinePunct w:val="0"/>
        <w:bidi w:val="0"/>
        <w:spacing w:line="48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2"/>
          <w:sz w:val="24"/>
          <w:szCs w:val="24"/>
          <w:highlight w:val="none"/>
          <w:lang w:val="en-US" w:eastAsia="zh-CN"/>
        </w:rPr>
        <w:t xml:space="preserve">7.6 </w:t>
      </w:r>
      <w:r>
        <w:rPr>
          <w:rFonts w:hint="eastAsia" w:ascii="宋体" w:hAnsi="宋体" w:eastAsia="宋体" w:cs="宋体"/>
          <w:color w:val="auto"/>
          <w:kern w:val="2"/>
          <w:sz w:val="24"/>
          <w:szCs w:val="24"/>
          <w:highlight w:val="none"/>
        </w:rPr>
        <w:t>如因包装</w:t>
      </w:r>
      <w:r>
        <w:rPr>
          <w:rFonts w:hint="eastAsia" w:ascii="宋体" w:hAnsi="宋体" w:eastAsia="宋体" w:cs="宋体"/>
          <w:color w:val="auto"/>
          <w:kern w:val="2"/>
          <w:sz w:val="24"/>
          <w:szCs w:val="24"/>
          <w:highlight w:val="none"/>
          <w:lang w:eastAsia="zh-CN"/>
        </w:rPr>
        <w:t>、运输</w:t>
      </w:r>
      <w:r>
        <w:rPr>
          <w:rFonts w:hint="eastAsia" w:ascii="宋体" w:hAnsi="宋体" w:eastAsia="宋体" w:cs="宋体"/>
          <w:color w:val="auto"/>
          <w:kern w:val="2"/>
          <w:sz w:val="24"/>
          <w:szCs w:val="24"/>
          <w:highlight w:val="none"/>
        </w:rPr>
        <w:t>问题导致货物</w:t>
      </w:r>
      <w:r>
        <w:rPr>
          <w:rFonts w:hint="eastAsia" w:ascii="宋体" w:hAnsi="宋体" w:eastAsia="宋体" w:cs="宋体"/>
          <w:color w:val="auto"/>
          <w:kern w:val="2"/>
          <w:sz w:val="24"/>
          <w:szCs w:val="24"/>
          <w:highlight w:val="none"/>
          <w:lang w:eastAsia="zh-CN"/>
        </w:rPr>
        <w:t>损毁、丢失</w:t>
      </w:r>
      <w:r>
        <w:rPr>
          <w:rFonts w:hint="eastAsia" w:ascii="宋体" w:hAnsi="宋体" w:eastAsia="宋体" w:cs="宋体"/>
          <w:color w:val="auto"/>
          <w:kern w:val="2"/>
          <w:sz w:val="24"/>
          <w:szCs w:val="24"/>
          <w:highlight w:val="none"/>
        </w:rPr>
        <w:t>或者品质下降，</w:t>
      </w:r>
      <w:r>
        <w:rPr>
          <w:rFonts w:hint="eastAsia" w:ascii="宋体" w:hAnsi="宋体" w:eastAsia="宋体" w:cs="宋体"/>
          <w:color w:val="auto"/>
          <w:kern w:val="2"/>
          <w:sz w:val="24"/>
          <w:szCs w:val="24"/>
          <w:highlight w:val="none"/>
          <w:lang w:eastAsia="zh-CN"/>
        </w:rPr>
        <w:t>甲方</w:t>
      </w:r>
      <w:r>
        <w:rPr>
          <w:rFonts w:hint="eastAsia" w:ascii="宋体" w:hAnsi="宋体" w:eastAsia="宋体" w:cs="宋体"/>
          <w:color w:val="auto"/>
          <w:kern w:val="2"/>
          <w:sz w:val="24"/>
          <w:szCs w:val="24"/>
          <w:highlight w:val="none"/>
        </w:rPr>
        <w:t>有权要求降价、换货、拒收部分或整批货物，由此</w:t>
      </w:r>
      <w:r>
        <w:rPr>
          <w:rFonts w:hint="eastAsia" w:ascii="宋体" w:hAnsi="宋体" w:eastAsia="宋体" w:cs="宋体"/>
          <w:color w:val="auto"/>
          <w:kern w:val="2"/>
          <w:sz w:val="24"/>
          <w:szCs w:val="24"/>
          <w:highlight w:val="none"/>
          <w:lang w:eastAsia="zh-CN"/>
        </w:rPr>
        <w:t>产生</w:t>
      </w:r>
      <w:r>
        <w:rPr>
          <w:rFonts w:hint="eastAsia" w:ascii="宋体" w:hAnsi="宋体" w:eastAsia="宋体" w:cs="宋体"/>
          <w:color w:val="auto"/>
          <w:kern w:val="2"/>
          <w:sz w:val="24"/>
          <w:szCs w:val="24"/>
          <w:highlight w:val="none"/>
        </w:rPr>
        <w:t>的费用和损失，均由</w:t>
      </w:r>
      <w:r>
        <w:rPr>
          <w:rFonts w:hint="eastAsia" w:ascii="宋体" w:hAnsi="宋体" w:eastAsia="宋体" w:cs="宋体"/>
          <w:color w:val="auto"/>
          <w:kern w:val="2"/>
          <w:sz w:val="24"/>
          <w:szCs w:val="24"/>
          <w:highlight w:val="none"/>
          <w:lang w:eastAsia="zh-CN"/>
        </w:rPr>
        <w:t>乙方</w:t>
      </w:r>
      <w:r>
        <w:rPr>
          <w:rFonts w:hint="eastAsia" w:ascii="宋体" w:hAnsi="宋体" w:eastAsia="宋体" w:cs="宋体"/>
          <w:color w:val="auto"/>
          <w:kern w:val="2"/>
          <w:sz w:val="24"/>
          <w:szCs w:val="24"/>
          <w:highlight w:val="none"/>
        </w:rPr>
        <w:t>承担。</w:t>
      </w:r>
    </w:p>
    <w:p w14:paraId="5BDA7B9E">
      <w:pPr>
        <w:keepNext w:val="0"/>
        <w:keepLines w:val="0"/>
        <w:pageBreakBefore w:val="0"/>
        <w:widowControl w:val="0"/>
        <w:tabs>
          <w:tab w:val="left" w:pos="8820"/>
          <w:tab w:val="left" w:pos="9345"/>
          <w:tab w:val="left" w:pos="9765"/>
        </w:tabs>
        <w:kinsoku w:val="0"/>
        <w:wordWrap w:val="0"/>
        <w:overflowPunct/>
        <w:topLinePunct w:val="0"/>
        <w:bidi w:val="0"/>
        <w:adjustRightInd w:val="0"/>
        <w:snapToGrid w:val="0"/>
        <w:spacing w:before="0" w:line="480" w:lineRule="exact"/>
        <w:ind w:firstLine="482" w:firstLineChars="200"/>
        <w:jc w:val="left"/>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8.质量标准和保证</w:t>
      </w:r>
    </w:p>
    <w:p w14:paraId="242B98FF">
      <w:pPr>
        <w:pStyle w:val="11"/>
        <w:keepNext w:val="0"/>
        <w:keepLines w:val="0"/>
        <w:pageBreakBefore w:val="0"/>
        <w:widowControl w:val="0"/>
        <w:kinsoku w:val="0"/>
        <w:wordWrap w:val="0"/>
        <w:overflowPunct/>
        <w:topLinePunct w:val="0"/>
        <w:bidi w:val="0"/>
        <w:adjustRightInd w:val="0"/>
        <w:snapToGrid w:val="0"/>
        <w:spacing w:before="0" w:line="480" w:lineRule="exact"/>
        <w:ind w:firstLine="480" w:firstLineChars="200"/>
        <w:jc w:val="left"/>
        <w:textAlignment w:val="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eastAsia="zh-CN"/>
        </w:rPr>
        <w:t>8</w:t>
      </w:r>
      <w:r>
        <w:rPr>
          <w:rFonts w:hint="eastAsia" w:ascii="宋体" w:hAnsi="宋体" w:eastAsia="宋体" w:cs="宋体"/>
          <w:color w:val="auto"/>
          <w:sz w:val="24"/>
          <w:szCs w:val="24"/>
          <w:highlight w:val="none"/>
        </w:rPr>
        <w:t>.1 质量标准</w:t>
      </w:r>
    </w:p>
    <w:p w14:paraId="0CC1CB01">
      <w:pPr>
        <w:keepNext w:val="0"/>
        <w:keepLines w:val="0"/>
        <w:pageBreakBefore w:val="0"/>
        <w:widowControl w:val="0"/>
        <w:kinsoku w:val="0"/>
        <w:wordWrap w:val="0"/>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（1）本合同下</w:t>
      </w:r>
      <w:r>
        <w:rPr>
          <w:rFonts w:hint="eastAsia" w:ascii="宋体" w:hAnsi="宋体" w:eastAsia="宋体" w:cs="宋体"/>
          <w:color w:val="auto"/>
          <w:sz w:val="24"/>
          <w:szCs w:val="24"/>
          <w:highlight w:val="none"/>
          <w:lang w:eastAsia="zh-CN"/>
        </w:rPr>
        <w:t>提供</w:t>
      </w:r>
      <w:r>
        <w:rPr>
          <w:rFonts w:hint="eastAsia" w:ascii="宋体" w:hAnsi="宋体" w:eastAsia="宋体" w:cs="宋体"/>
          <w:color w:val="auto"/>
          <w:sz w:val="24"/>
          <w:szCs w:val="24"/>
          <w:highlight w:val="none"/>
        </w:rPr>
        <w:t>的货物应符合</w:t>
      </w:r>
      <w:r>
        <w:rPr>
          <w:rFonts w:hint="eastAsia" w:ascii="宋体" w:hAnsi="宋体" w:eastAsia="宋体" w:cs="宋体"/>
          <w:color w:val="auto"/>
          <w:sz w:val="24"/>
          <w:szCs w:val="24"/>
          <w:highlight w:val="none"/>
          <w:lang w:eastAsia="zh-CN"/>
        </w:rPr>
        <w:t>合同约</w:t>
      </w:r>
      <w:r>
        <w:rPr>
          <w:rFonts w:hint="eastAsia" w:ascii="宋体" w:hAnsi="宋体" w:eastAsia="宋体" w:cs="宋体"/>
          <w:color w:val="auto"/>
          <w:sz w:val="24"/>
          <w:szCs w:val="24"/>
          <w:highlight w:val="none"/>
        </w:rPr>
        <w:t>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s="宋体"/>
          <w:color w:val="auto"/>
          <w:sz w:val="24"/>
          <w:szCs w:val="24"/>
          <w:highlight w:val="none"/>
          <w:lang w:eastAsia="zh-CN"/>
        </w:rPr>
        <w:t>。</w:t>
      </w:r>
    </w:p>
    <w:p w14:paraId="1BB232C9">
      <w:pPr>
        <w:pStyle w:val="11"/>
        <w:keepNext w:val="0"/>
        <w:keepLines w:val="0"/>
        <w:pageBreakBefore w:val="0"/>
        <w:widowControl w:val="0"/>
        <w:kinsoku w:val="0"/>
        <w:wordWrap w:val="0"/>
        <w:overflowPunct/>
        <w:topLinePunct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（2）采用中华人民共和国法定计量单位。</w:t>
      </w:r>
    </w:p>
    <w:p w14:paraId="79C91251">
      <w:pPr>
        <w:keepNext w:val="0"/>
        <w:keepLines w:val="0"/>
        <w:pageBreakBefore w:val="0"/>
        <w:widowControl w:val="0"/>
        <w:kinsoku w:val="0"/>
        <w:wordWrap w:val="0"/>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（3）乙方所</w:t>
      </w:r>
      <w:r>
        <w:rPr>
          <w:rFonts w:hint="eastAsia" w:ascii="宋体" w:hAnsi="宋体" w:eastAsia="宋体" w:cs="宋体"/>
          <w:color w:val="auto"/>
          <w:sz w:val="24"/>
          <w:szCs w:val="24"/>
          <w:highlight w:val="none"/>
          <w:lang w:eastAsia="zh-CN"/>
        </w:rPr>
        <w:t>提供</w:t>
      </w:r>
      <w:r>
        <w:rPr>
          <w:rFonts w:hint="eastAsia" w:ascii="宋体" w:hAnsi="宋体" w:eastAsia="宋体" w:cs="宋体"/>
          <w:color w:val="auto"/>
          <w:sz w:val="24"/>
          <w:szCs w:val="24"/>
          <w:highlight w:val="none"/>
        </w:rPr>
        <w:t>的货物应符合国家有关安全、环保、卫生</w:t>
      </w:r>
      <w:r>
        <w:rPr>
          <w:rFonts w:hint="eastAsia" w:ascii="宋体" w:hAnsi="宋体" w:eastAsia="宋体" w:cs="宋体"/>
          <w:color w:val="auto"/>
          <w:sz w:val="24"/>
          <w:szCs w:val="24"/>
          <w:highlight w:val="none"/>
          <w:lang w:eastAsia="zh-CN"/>
        </w:rPr>
        <w:t>的</w:t>
      </w:r>
      <w:r>
        <w:rPr>
          <w:rFonts w:hint="eastAsia" w:ascii="宋体" w:hAnsi="宋体" w:eastAsia="宋体" w:cs="宋体"/>
          <w:color w:val="auto"/>
          <w:sz w:val="24"/>
          <w:szCs w:val="24"/>
          <w:highlight w:val="none"/>
        </w:rPr>
        <w:t>规定。</w:t>
      </w:r>
    </w:p>
    <w:p w14:paraId="4ACEFE50">
      <w:pPr>
        <w:keepNext w:val="0"/>
        <w:keepLines w:val="0"/>
        <w:pageBreakBefore w:val="0"/>
        <w:widowControl w:val="0"/>
        <w:kinsoku w:val="0"/>
        <w:wordWrap w:val="0"/>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（4）乙方应向甲方提交所</w:t>
      </w:r>
      <w:r>
        <w:rPr>
          <w:rFonts w:hint="eastAsia" w:ascii="宋体" w:hAnsi="宋体" w:eastAsia="宋体" w:cs="宋体"/>
          <w:color w:val="auto"/>
          <w:sz w:val="24"/>
          <w:szCs w:val="24"/>
          <w:highlight w:val="none"/>
          <w:lang w:eastAsia="zh-CN"/>
        </w:rPr>
        <w:t>提供</w:t>
      </w:r>
      <w:r>
        <w:rPr>
          <w:rFonts w:hint="eastAsia" w:ascii="宋体" w:hAnsi="宋体" w:eastAsia="宋体" w:cs="宋体"/>
          <w:color w:val="auto"/>
          <w:sz w:val="24"/>
          <w:szCs w:val="24"/>
          <w:highlight w:val="none"/>
        </w:rPr>
        <w:t>货物的技术文件，包括相应的中文技术文件，如：产品目录、图纸、操作手册、使用说明、维护手册或服务指南</w:t>
      </w:r>
      <w:r>
        <w:rPr>
          <w:rFonts w:hint="eastAsia" w:ascii="宋体" w:hAnsi="宋体" w:eastAsia="宋体" w:cs="宋体"/>
          <w:color w:val="auto"/>
          <w:sz w:val="24"/>
          <w:szCs w:val="24"/>
          <w:highlight w:val="none"/>
          <w:lang w:eastAsia="zh-CN"/>
        </w:rPr>
        <w:t>等</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上述</w:t>
      </w:r>
      <w:r>
        <w:rPr>
          <w:rFonts w:hint="eastAsia" w:ascii="宋体" w:hAnsi="宋体" w:eastAsia="宋体" w:cs="宋体"/>
          <w:color w:val="auto"/>
          <w:sz w:val="24"/>
          <w:szCs w:val="24"/>
          <w:highlight w:val="none"/>
        </w:rPr>
        <w:t>文件应包装好随货物一同发运。</w:t>
      </w:r>
    </w:p>
    <w:p w14:paraId="624B2A78">
      <w:pPr>
        <w:keepNext w:val="0"/>
        <w:keepLines w:val="0"/>
        <w:pageBreakBefore w:val="0"/>
        <w:widowControl w:val="0"/>
        <w:kinsoku w:val="0"/>
        <w:wordWrap w:val="0"/>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8</w:t>
      </w:r>
      <w:r>
        <w:rPr>
          <w:rFonts w:hint="eastAsia" w:ascii="宋体" w:hAnsi="宋体" w:eastAsia="宋体" w:cs="宋体"/>
          <w:color w:val="auto"/>
          <w:sz w:val="24"/>
          <w:szCs w:val="24"/>
          <w:highlight w:val="none"/>
        </w:rPr>
        <w:t>.2 保证</w:t>
      </w:r>
    </w:p>
    <w:p w14:paraId="66EB4970">
      <w:pPr>
        <w:keepNext w:val="0"/>
        <w:keepLines w:val="0"/>
        <w:pageBreakBefore w:val="0"/>
        <w:widowControl w:val="0"/>
        <w:kinsoku w:val="0"/>
        <w:wordWrap w:val="0"/>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（1）乙方应保证</w:t>
      </w:r>
      <w:r>
        <w:rPr>
          <w:rFonts w:hint="eastAsia" w:ascii="宋体" w:hAnsi="宋体" w:eastAsia="宋体" w:cs="宋体"/>
          <w:color w:val="auto"/>
          <w:sz w:val="24"/>
          <w:szCs w:val="24"/>
          <w:highlight w:val="none"/>
          <w:lang w:eastAsia="zh-CN"/>
        </w:rPr>
        <w:t>提供的货物</w:t>
      </w:r>
      <w:r>
        <w:rPr>
          <w:rFonts w:hint="eastAsia" w:ascii="宋体" w:hAnsi="宋体" w:eastAsia="宋体" w:cs="宋体"/>
          <w:color w:val="auto"/>
          <w:sz w:val="24"/>
          <w:szCs w:val="24"/>
          <w:highlight w:val="none"/>
        </w:rPr>
        <w:t>完全符合合同规定的质量、规格和性能要求。乙方应保证货物在正确安装、正常使用和保养条件下，在其使用寿命期内具</w:t>
      </w:r>
      <w:r>
        <w:rPr>
          <w:rFonts w:hint="eastAsia" w:ascii="宋体" w:hAnsi="宋体" w:eastAsia="宋体" w:cs="宋体"/>
          <w:color w:val="auto"/>
          <w:sz w:val="24"/>
          <w:szCs w:val="24"/>
          <w:highlight w:val="none"/>
          <w:lang w:eastAsia="zh-CN"/>
        </w:rPr>
        <w:t>备合同约定</w:t>
      </w:r>
      <w:r>
        <w:rPr>
          <w:rFonts w:hint="eastAsia" w:ascii="宋体" w:hAnsi="宋体" w:eastAsia="宋体" w:cs="宋体"/>
          <w:color w:val="auto"/>
          <w:sz w:val="24"/>
          <w:szCs w:val="24"/>
          <w:highlight w:val="none"/>
        </w:rPr>
        <w:t>的性能。</w:t>
      </w:r>
      <w:r>
        <w:rPr>
          <w:rFonts w:hint="eastAsia" w:ascii="宋体" w:hAnsi="宋体" w:eastAsia="宋体" w:cs="宋体"/>
          <w:color w:val="auto"/>
          <w:sz w:val="24"/>
          <w:szCs w:val="24"/>
          <w:highlight w:val="none"/>
          <w:lang w:eastAsia="zh-CN"/>
        </w:rPr>
        <w:t>存在</w:t>
      </w:r>
      <w:r>
        <w:rPr>
          <w:rFonts w:hint="eastAsia" w:ascii="宋体" w:hAnsi="宋体" w:eastAsia="宋体" w:cs="宋体"/>
          <w:color w:val="auto"/>
          <w:sz w:val="24"/>
          <w:szCs w:val="24"/>
          <w:highlight w:val="none"/>
        </w:rPr>
        <w:t>质量保证期的，货物最终交付验收</w:t>
      </w:r>
      <w:r>
        <w:rPr>
          <w:rFonts w:hint="eastAsia" w:ascii="宋体" w:hAnsi="宋体" w:eastAsia="宋体" w:cs="宋体"/>
          <w:color w:val="auto"/>
          <w:sz w:val="24"/>
          <w:szCs w:val="24"/>
          <w:highlight w:val="none"/>
          <w:lang w:eastAsia="zh-CN"/>
        </w:rPr>
        <w:t>合格</w:t>
      </w:r>
      <w:r>
        <w:rPr>
          <w:rFonts w:hint="eastAsia" w:ascii="宋体" w:hAnsi="宋体" w:eastAsia="宋体" w:cs="宋体"/>
          <w:color w:val="auto"/>
          <w:sz w:val="24"/>
          <w:szCs w:val="24"/>
          <w:highlight w:val="none"/>
        </w:rPr>
        <w:t>后</w:t>
      </w:r>
      <w:r>
        <w:rPr>
          <w:rFonts w:hint="eastAsia" w:ascii="宋体" w:hAnsi="宋体" w:eastAsia="宋体" w:cs="宋体"/>
          <w:color w:val="auto"/>
          <w:sz w:val="24"/>
          <w:szCs w:val="24"/>
          <w:highlight w:val="none"/>
          <w:lang w:eastAsia="zh-CN"/>
        </w:rPr>
        <w:t>在</w:t>
      </w:r>
      <w:r>
        <w:rPr>
          <w:rFonts w:hint="eastAsia" w:ascii="宋体" w:hAnsi="宋体" w:eastAsia="宋体" w:cs="宋体"/>
          <w:b/>
          <w:color w:val="auto"/>
          <w:sz w:val="24"/>
          <w:szCs w:val="24"/>
          <w:highlight w:val="none"/>
        </w:rPr>
        <w:t>【政府采购合同专用条款】</w:t>
      </w:r>
      <w:r>
        <w:rPr>
          <w:rFonts w:hint="eastAsia" w:ascii="宋体" w:hAnsi="宋体" w:eastAsia="宋体" w:cs="宋体"/>
          <w:color w:val="auto"/>
          <w:sz w:val="24"/>
          <w:szCs w:val="24"/>
          <w:highlight w:val="none"/>
        </w:rPr>
        <w:t>规定或乙方</w:t>
      </w:r>
      <w:r>
        <w:rPr>
          <w:rFonts w:hint="eastAsia" w:ascii="宋体" w:hAnsi="宋体" w:eastAsia="宋体" w:cs="宋体"/>
          <w:color w:val="auto"/>
          <w:sz w:val="24"/>
          <w:szCs w:val="24"/>
          <w:highlight w:val="none"/>
          <w:lang w:eastAsia="zh-CN"/>
        </w:rPr>
        <w:t>书面</w:t>
      </w:r>
      <w:r>
        <w:rPr>
          <w:rFonts w:hint="eastAsia" w:ascii="宋体" w:hAnsi="宋体" w:eastAsia="宋体" w:cs="宋体"/>
          <w:color w:val="auto"/>
          <w:sz w:val="24"/>
          <w:szCs w:val="24"/>
          <w:highlight w:val="none"/>
        </w:rPr>
        <w:t>承诺（两者以较长的为准）的质量保证期内，本保证保持有效。</w:t>
      </w:r>
    </w:p>
    <w:p w14:paraId="3D9AAEB3">
      <w:pPr>
        <w:keepNext w:val="0"/>
        <w:keepLines w:val="0"/>
        <w:pageBreakBefore w:val="0"/>
        <w:widowControl w:val="0"/>
        <w:kinsoku w:val="0"/>
        <w:wordWrap w:val="0"/>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（2）在质量保证期内所发现的缺陷，甲方应尽快以书面形式通知乙方。</w:t>
      </w:r>
    </w:p>
    <w:p w14:paraId="6FC6112F">
      <w:pPr>
        <w:keepNext w:val="0"/>
        <w:keepLines w:val="0"/>
        <w:pageBreakBefore w:val="0"/>
        <w:widowControl w:val="0"/>
        <w:kinsoku w:val="0"/>
        <w:wordWrap w:val="0"/>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（3）乙方收到通知后</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应在</w:t>
      </w:r>
      <w:r>
        <w:rPr>
          <w:rFonts w:hint="eastAsia" w:ascii="宋体" w:hAnsi="宋体" w:eastAsia="宋体" w:cs="宋体"/>
          <w:b/>
          <w:color w:val="auto"/>
          <w:sz w:val="24"/>
          <w:szCs w:val="24"/>
          <w:highlight w:val="none"/>
        </w:rPr>
        <w:t>【政府采购合同专用条款】</w:t>
      </w:r>
      <w:r>
        <w:rPr>
          <w:rFonts w:hint="eastAsia" w:ascii="宋体" w:hAnsi="宋体" w:eastAsia="宋体" w:cs="宋体"/>
          <w:color w:val="auto"/>
          <w:sz w:val="24"/>
          <w:szCs w:val="24"/>
          <w:highlight w:val="none"/>
        </w:rPr>
        <w:t>规定的响应时间内以合理的速度免费维修或更换有缺陷的货物或部件。</w:t>
      </w:r>
    </w:p>
    <w:p w14:paraId="00CD0BE9">
      <w:pPr>
        <w:keepNext w:val="0"/>
        <w:keepLines w:val="0"/>
        <w:pageBreakBefore w:val="0"/>
        <w:widowControl w:val="0"/>
        <w:kinsoku w:val="0"/>
        <w:wordWrap w:val="0"/>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.1条规定以书面形式</w:t>
      </w:r>
      <w:r>
        <w:rPr>
          <w:rFonts w:hint="eastAsia" w:ascii="宋体" w:hAnsi="宋体" w:eastAsia="宋体" w:cs="宋体"/>
          <w:color w:val="auto"/>
          <w:sz w:val="24"/>
          <w:szCs w:val="24"/>
          <w:highlight w:val="none"/>
          <w:lang w:eastAsia="zh-CN"/>
        </w:rPr>
        <w:t>追究</w:t>
      </w:r>
      <w:r>
        <w:rPr>
          <w:rFonts w:hint="eastAsia" w:ascii="宋体" w:hAnsi="宋体" w:eastAsia="宋体" w:cs="宋体"/>
          <w:color w:val="auto"/>
          <w:sz w:val="24"/>
          <w:szCs w:val="24"/>
          <w:highlight w:val="none"/>
        </w:rPr>
        <w:t>乙方</w:t>
      </w:r>
      <w:r>
        <w:rPr>
          <w:rFonts w:hint="eastAsia" w:ascii="宋体" w:hAnsi="宋体" w:eastAsia="宋体" w:cs="宋体"/>
          <w:color w:val="auto"/>
          <w:sz w:val="24"/>
          <w:szCs w:val="24"/>
          <w:highlight w:val="none"/>
          <w:lang w:eastAsia="zh-CN"/>
        </w:rPr>
        <w:t>的违约责任</w:t>
      </w:r>
      <w:r>
        <w:rPr>
          <w:rFonts w:hint="eastAsia" w:ascii="宋体" w:hAnsi="宋体" w:eastAsia="宋体" w:cs="宋体"/>
          <w:color w:val="auto"/>
          <w:sz w:val="24"/>
          <w:szCs w:val="24"/>
          <w:highlight w:val="none"/>
        </w:rPr>
        <w:t>。</w:t>
      </w:r>
    </w:p>
    <w:p w14:paraId="7B1E3039">
      <w:pPr>
        <w:keepNext w:val="0"/>
        <w:keepLines w:val="0"/>
        <w:pageBreakBefore w:val="0"/>
        <w:widowControl w:val="0"/>
        <w:kinsoku w:val="0"/>
        <w:wordWrap w:val="0"/>
        <w:overflowPunct/>
        <w:topLinePunct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（5）乙方在约定的时间内未能弥补缺陷，甲方可采取必要的补救措施，但其风险和费用将由乙方承担，甲方根据合同</w:t>
      </w:r>
      <w:r>
        <w:rPr>
          <w:rFonts w:hint="eastAsia" w:ascii="宋体" w:hAnsi="宋体" w:eastAsia="宋体" w:cs="宋体"/>
          <w:color w:val="auto"/>
          <w:sz w:val="24"/>
          <w:szCs w:val="24"/>
          <w:highlight w:val="none"/>
          <w:lang w:eastAsia="zh-CN"/>
        </w:rPr>
        <w:t>约定</w:t>
      </w:r>
      <w:r>
        <w:rPr>
          <w:rFonts w:hint="eastAsia" w:ascii="宋体" w:hAnsi="宋体" w:eastAsia="宋体" w:cs="宋体"/>
          <w:color w:val="auto"/>
          <w:sz w:val="24"/>
          <w:szCs w:val="24"/>
          <w:highlight w:val="none"/>
        </w:rPr>
        <w:t>对乙方行使的其他权利不受影响。</w:t>
      </w:r>
    </w:p>
    <w:p w14:paraId="5A815DC9">
      <w:pPr>
        <w:keepNext w:val="0"/>
        <w:keepLines w:val="0"/>
        <w:pageBreakBefore w:val="0"/>
        <w:widowControl w:val="0"/>
        <w:tabs>
          <w:tab w:val="left" w:pos="8820"/>
          <w:tab w:val="left" w:pos="9345"/>
          <w:tab w:val="left" w:pos="9765"/>
        </w:tabs>
        <w:kinsoku w:val="0"/>
        <w:wordWrap w:val="0"/>
        <w:overflowPunct/>
        <w:topLinePunct w:val="0"/>
        <w:bidi w:val="0"/>
        <w:adjustRightInd w:val="0"/>
        <w:snapToGrid w:val="0"/>
        <w:spacing w:before="0" w:line="480" w:lineRule="exact"/>
        <w:ind w:firstLine="482" w:firstLineChars="200"/>
        <w:jc w:val="left"/>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9.权利瑕疵担保</w:t>
      </w:r>
    </w:p>
    <w:p w14:paraId="66D83CA5">
      <w:pPr>
        <w:keepNext w:val="0"/>
        <w:keepLines w:val="0"/>
        <w:pageBreakBefore w:val="0"/>
        <w:widowControl w:val="0"/>
        <w:kinsoku w:val="0"/>
        <w:wordWrap w:val="0"/>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9</w:t>
      </w:r>
      <w:r>
        <w:rPr>
          <w:rFonts w:hint="eastAsia" w:ascii="宋体" w:hAnsi="宋体" w:eastAsia="宋体" w:cs="宋体"/>
          <w:color w:val="auto"/>
          <w:sz w:val="24"/>
          <w:szCs w:val="24"/>
          <w:highlight w:val="none"/>
        </w:rPr>
        <w:t>.1 乙方保证对其出售的货物享有合法的权利。</w:t>
      </w:r>
    </w:p>
    <w:p w14:paraId="7C9D8B13">
      <w:pPr>
        <w:keepNext w:val="0"/>
        <w:keepLines w:val="0"/>
        <w:pageBreakBefore w:val="0"/>
        <w:widowControl w:val="0"/>
        <w:kinsoku w:val="0"/>
        <w:wordWrap w:val="0"/>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9</w:t>
      </w:r>
      <w:r>
        <w:rPr>
          <w:rFonts w:hint="eastAsia" w:ascii="宋体" w:hAnsi="宋体" w:eastAsia="宋体" w:cs="宋体"/>
          <w:color w:val="auto"/>
          <w:sz w:val="24"/>
          <w:szCs w:val="24"/>
          <w:highlight w:val="none"/>
        </w:rPr>
        <w:t>.2 乙方保证在交付的货物上不存在抵押权等担保物权。</w:t>
      </w:r>
    </w:p>
    <w:p w14:paraId="41A4E71C">
      <w:pPr>
        <w:keepNext w:val="0"/>
        <w:keepLines w:val="0"/>
        <w:pageBreakBefore w:val="0"/>
        <w:widowControl w:val="0"/>
        <w:kinsoku w:val="0"/>
        <w:wordWrap w:val="0"/>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9</w:t>
      </w:r>
      <w:r>
        <w:rPr>
          <w:rFonts w:hint="eastAsia" w:ascii="宋体" w:hAnsi="宋体" w:eastAsia="宋体" w:cs="宋体"/>
          <w:color w:val="auto"/>
          <w:sz w:val="24"/>
          <w:szCs w:val="24"/>
          <w:highlight w:val="none"/>
        </w:rPr>
        <w:t>.3 如甲方使用</w:t>
      </w:r>
      <w:r>
        <w:rPr>
          <w:rFonts w:hint="eastAsia" w:ascii="宋体" w:hAnsi="宋体" w:eastAsia="宋体" w:cs="宋体"/>
          <w:color w:val="auto"/>
          <w:sz w:val="24"/>
          <w:szCs w:val="24"/>
          <w:highlight w:val="none"/>
          <w:lang w:val="en-US" w:eastAsia="zh-CN"/>
        </w:rPr>
        <w:t>上述</w:t>
      </w:r>
      <w:r>
        <w:rPr>
          <w:rFonts w:hint="eastAsia" w:ascii="宋体" w:hAnsi="宋体" w:eastAsia="宋体" w:cs="宋体"/>
          <w:color w:val="auto"/>
          <w:sz w:val="24"/>
          <w:szCs w:val="24"/>
          <w:highlight w:val="none"/>
        </w:rPr>
        <w:t>货物构成</w:t>
      </w:r>
      <w:r>
        <w:rPr>
          <w:rFonts w:hint="eastAsia" w:ascii="宋体" w:hAnsi="宋体" w:eastAsia="宋体" w:cs="宋体"/>
          <w:color w:val="auto"/>
          <w:sz w:val="24"/>
          <w:szCs w:val="24"/>
          <w:highlight w:val="none"/>
          <w:lang w:val="en-US" w:eastAsia="zh-CN"/>
        </w:rPr>
        <w:t>对第三人</w:t>
      </w:r>
      <w:r>
        <w:rPr>
          <w:rFonts w:hint="eastAsia" w:ascii="宋体" w:hAnsi="宋体" w:eastAsia="宋体" w:cs="宋体"/>
          <w:color w:val="auto"/>
          <w:sz w:val="24"/>
          <w:szCs w:val="24"/>
          <w:highlight w:val="none"/>
        </w:rPr>
        <w:t>侵权的，则由乙方承担全部责任。</w:t>
      </w:r>
    </w:p>
    <w:p w14:paraId="41DE22B7">
      <w:pPr>
        <w:keepNext w:val="0"/>
        <w:keepLines w:val="0"/>
        <w:pageBreakBefore w:val="0"/>
        <w:widowControl w:val="0"/>
        <w:tabs>
          <w:tab w:val="left" w:pos="8820"/>
          <w:tab w:val="left" w:pos="9345"/>
          <w:tab w:val="left" w:pos="9765"/>
        </w:tabs>
        <w:kinsoku w:val="0"/>
        <w:wordWrap w:val="0"/>
        <w:overflowPunct/>
        <w:topLinePunct w:val="0"/>
        <w:bidi w:val="0"/>
        <w:adjustRightInd w:val="0"/>
        <w:snapToGrid w:val="0"/>
        <w:spacing w:before="0" w:line="480" w:lineRule="exact"/>
        <w:ind w:firstLine="482" w:firstLineChars="200"/>
        <w:jc w:val="left"/>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10.知识产权保护</w:t>
      </w:r>
    </w:p>
    <w:p w14:paraId="02A66891">
      <w:pPr>
        <w:keepNext w:val="0"/>
        <w:keepLines w:val="0"/>
        <w:pageBreakBefore w:val="0"/>
        <w:widowControl w:val="0"/>
        <w:kinsoku w:val="0"/>
        <w:wordWrap w:val="0"/>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0</w:t>
      </w:r>
      <w:r>
        <w:rPr>
          <w:rFonts w:hint="eastAsia" w:ascii="宋体" w:hAnsi="宋体" w:eastAsia="宋体" w:cs="宋体"/>
          <w:color w:val="auto"/>
          <w:sz w:val="24"/>
          <w:szCs w:val="24"/>
          <w:highlight w:val="none"/>
        </w:rPr>
        <w:t>.1 乙方对其所销售的货物应当享有知识产权或经权利人合法授权，保证没有侵犯任何第三人的知识产权等权利。</w:t>
      </w:r>
      <w:bookmarkStart w:id="88" w:name="_Hlk163047038"/>
      <w:r>
        <w:rPr>
          <w:rFonts w:hint="eastAsia" w:ascii="宋体" w:hAnsi="宋体" w:eastAsia="宋体" w:cs="宋体"/>
          <w:color w:val="auto"/>
          <w:sz w:val="24"/>
          <w:szCs w:val="24"/>
          <w:highlight w:val="none"/>
        </w:rPr>
        <w:t>因违反前述约定对第三人构成侵权的，应当由乙方向第三人承担法律责任；甲方依法向第三人赔偿后，有权向乙方追偿。甲方有其他损失的，乙方应当赔偿</w:t>
      </w:r>
      <w:bookmarkEnd w:id="88"/>
      <w:r>
        <w:rPr>
          <w:rFonts w:hint="eastAsia" w:ascii="宋体" w:hAnsi="宋体" w:eastAsia="宋体" w:cs="宋体"/>
          <w:color w:val="auto"/>
          <w:sz w:val="24"/>
          <w:szCs w:val="24"/>
          <w:highlight w:val="none"/>
        </w:rPr>
        <w:t>。</w:t>
      </w:r>
    </w:p>
    <w:p w14:paraId="7A01E726">
      <w:pPr>
        <w:keepNext w:val="0"/>
        <w:keepLines w:val="0"/>
        <w:pageBreakBefore w:val="0"/>
        <w:widowControl w:val="0"/>
        <w:tabs>
          <w:tab w:val="left" w:pos="8820"/>
          <w:tab w:val="left" w:pos="9345"/>
          <w:tab w:val="left" w:pos="9765"/>
        </w:tabs>
        <w:kinsoku w:val="0"/>
        <w:wordWrap w:val="0"/>
        <w:overflowPunct/>
        <w:topLinePunct w:val="0"/>
        <w:bidi w:val="0"/>
        <w:adjustRightInd w:val="0"/>
        <w:snapToGrid w:val="0"/>
        <w:spacing w:before="0" w:line="480" w:lineRule="exact"/>
        <w:ind w:firstLine="482" w:firstLineChars="200"/>
        <w:jc w:val="left"/>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11.保密义务</w:t>
      </w:r>
    </w:p>
    <w:p w14:paraId="692A7E4F">
      <w:pPr>
        <w:keepNext w:val="0"/>
        <w:keepLines w:val="0"/>
        <w:pageBreakBefore w:val="0"/>
        <w:widowControl w:val="0"/>
        <w:kinsoku w:val="0"/>
        <w:wordWrap w:val="0"/>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11.1 </w:t>
      </w:r>
      <w:r>
        <w:rPr>
          <w:rFonts w:hint="eastAsia" w:ascii="宋体" w:hAnsi="宋体" w:eastAsia="宋体" w:cs="宋体"/>
          <w:color w:val="auto"/>
          <w:sz w:val="24"/>
          <w:szCs w:val="24"/>
          <w:highlight w:val="none"/>
        </w:rPr>
        <w:t>甲、乙双方</w:t>
      </w:r>
      <w:r>
        <w:rPr>
          <w:rFonts w:hint="eastAsia" w:ascii="宋体" w:hAnsi="宋体" w:eastAsia="宋体" w:cs="宋体"/>
          <w:color w:val="auto"/>
          <w:sz w:val="24"/>
          <w:szCs w:val="24"/>
          <w:highlight w:val="none"/>
          <w:lang w:eastAsia="zh-CN"/>
        </w:rPr>
        <w:t>对</w:t>
      </w:r>
      <w:r>
        <w:rPr>
          <w:rFonts w:hint="eastAsia" w:ascii="宋体" w:hAnsi="宋体" w:eastAsia="宋体" w:cs="宋体"/>
          <w:color w:val="auto"/>
          <w:sz w:val="24"/>
          <w:szCs w:val="24"/>
          <w:highlight w:val="none"/>
        </w:rPr>
        <w:t>采购和合同履行过程中所获悉的</w:t>
      </w:r>
      <w:r>
        <w:rPr>
          <w:rFonts w:hint="eastAsia" w:ascii="宋体" w:hAnsi="宋体" w:eastAsia="宋体" w:cs="宋体"/>
          <w:color w:val="auto"/>
          <w:sz w:val="24"/>
          <w:szCs w:val="24"/>
          <w:highlight w:val="none"/>
          <w:lang w:eastAsia="zh-CN"/>
        </w:rPr>
        <w:t>国家秘密、工作秘密、</w:t>
      </w:r>
      <w:r>
        <w:rPr>
          <w:rFonts w:hint="eastAsia" w:ascii="宋体" w:hAnsi="宋体" w:eastAsia="宋体" w:cs="宋体"/>
          <w:color w:val="auto"/>
          <w:sz w:val="24"/>
          <w:szCs w:val="24"/>
          <w:highlight w:val="none"/>
        </w:rPr>
        <w:t>商业秘密或者其他应当保密的信息，均有保密义务</w:t>
      </w:r>
      <w:r>
        <w:rPr>
          <w:rFonts w:hint="eastAsia" w:ascii="宋体" w:hAnsi="宋体" w:eastAsia="宋体" w:cs="宋体"/>
          <w:color w:val="auto"/>
          <w:sz w:val="24"/>
          <w:szCs w:val="24"/>
          <w:highlight w:val="none"/>
          <w:lang w:eastAsia="zh-CN"/>
        </w:rPr>
        <w:t>且不受合同有效期所限，直至该信息成为公开信息</w:t>
      </w:r>
      <w:r>
        <w:rPr>
          <w:rFonts w:hint="eastAsia" w:ascii="宋体" w:hAnsi="宋体" w:eastAsia="宋体" w:cs="宋体"/>
          <w:color w:val="auto"/>
          <w:sz w:val="24"/>
          <w:szCs w:val="24"/>
          <w:highlight w:val="none"/>
        </w:rPr>
        <w:t>。泄露、不正当地使用</w:t>
      </w:r>
      <w:r>
        <w:rPr>
          <w:rFonts w:hint="eastAsia" w:ascii="宋体" w:hAnsi="宋体" w:eastAsia="宋体" w:cs="宋体"/>
          <w:color w:val="auto"/>
          <w:sz w:val="24"/>
          <w:szCs w:val="24"/>
          <w:highlight w:val="none"/>
          <w:lang w:eastAsia="zh-CN"/>
        </w:rPr>
        <w:t>国家秘密、工作秘密、</w:t>
      </w:r>
      <w:r>
        <w:rPr>
          <w:rFonts w:hint="eastAsia" w:ascii="宋体" w:hAnsi="宋体" w:eastAsia="宋体" w:cs="宋体"/>
          <w:color w:val="auto"/>
          <w:sz w:val="24"/>
          <w:szCs w:val="24"/>
          <w:highlight w:val="none"/>
        </w:rPr>
        <w:t>商业秘密或者</w:t>
      </w:r>
      <w:r>
        <w:rPr>
          <w:rFonts w:hint="eastAsia" w:ascii="宋体" w:hAnsi="宋体" w:eastAsia="宋体" w:cs="宋体"/>
          <w:color w:val="auto"/>
          <w:sz w:val="24"/>
          <w:szCs w:val="24"/>
          <w:highlight w:val="none"/>
          <w:lang w:eastAsia="zh-CN"/>
        </w:rPr>
        <w:t>其他应当保密的</w:t>
      </w:r>
      <w:r>
        <w:rPr>
          <w:rFonts w:hint="eastAsia" w:ascii="宋体" w:hAnsi="宋体" w:eastAsia="宋体" w:cs="宋体"/>
          <w:color w:val="auto"/>
          <w:sz w:val="24"/>
          <w:szCs w:val="24"/>
          <w:highlight w:val="none"/>
        </w:rPr>
        <w:t>信息，应当承担</w:t>
      </w:r>
      <w:r>
        <w:rPr>
          <w:rFonts w:hint="eastAsia" w:ascii="宋体" w:hAnsi="宋体" w:eastAsia="宋体" w:cs="宋体"/>
          <w:color w:val="auto"/>
          <w:sz w:val="24"/>
          <w:szCs w:val="24"/>
          <w:highlight w:val="none"/>
          <w:lang w:eastAsia="zh-CN"/>
        </w:rPr>
        <w:t>相应</w:t>
      </w:r>
      <w:r>
        <w:rPr>
          <w:rFonts w:hint="eastAsia" w:ascii="宋体" w:hAnsi="宋体" w:eastAsia="宋体" w:cs="宋体"/>
          <w:color w:val="auto"/>
          <w:sz w:val="24"/>
          <w:szCs w:val="24"/>
          <w:highlight w:val="none"/>
        </w:rPr>
        <w:t>责任。其他应当保密的信息由双方在</w:t>
      </w:r>
      <w:r>
        <w:rPr>
          <w:rFonts w:hint="eastAsia" w:ascii="宋体" w:hAnsi="宋体" w:eastAsia="宋体" w:cs="宋体"/>
          <w:b/>
          <w:bCs/>
          <w:color w:val="auto"/>
          <w:sz w:val="24"/>
          <w:szCs w:val="24"/>
          <w:highlight w:val="none"/>
        </w:rPr>
        <w:t>【政府采购合同专用条款】</w:t>
      </w:r>
      <w:r>
        <w:rPr>
          <w:rFonts w:hint="eastAsia" w:ascii="宋体" w:hAnsi="宋体" w:eastAsia="宋体" w:cs="宋体"/>
          <w:color w:val="auto"/>
          <w:sz w:val="24"/>
          <w:szCs w:val="24"/>
          <w:highlight w:val="none"/>
        </w:rPr>
        <w:t>中约定。</w:t>
      </w:r>
    </w:p>
    <w:p w14:paraId="21C0DF2B">
      <w:pPr>
        <w:keepNext w:val="0"/>
        <w:keepLines w:val="0"/>
        <w:pageBreakBefore w:val="0"/>
        <w:widowControl w:val="0"/>
        <w:tabs>
          <w:tab w:val="left" w:pos="8820"/>
          <w:tab w:val="left" w:pos="9345"/>
          <w:tab w:val="left" w:pos="9765"/>
        </w:tabs>
        <w:kinsoku w:val="0"/>
        <w:wordWrap w:val="0"/>
        <w:overflowPunct/>
        <w:topLinePunct w:val="0"/>
        <w:bidi w:val="0"/>
        <w:adjustRightInd w:val="0"/>
        <w:snapToGrid w:val="0"/>
        <w:spacing w:before="0" w:line="480" w:lineRule="exact"/>
        <w:ind w:firstLine="482" w:firstLineChars="200"/>
        <w:jc w:val="left"/>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12.合同价款支付</w:t>
      </w:r>
    </w:p>
    <w:p w14:paraId="183009A6">
      <w:pPr>
        <w:keepNext w:val="0"/>
        <w:keepLines w:val="0"/>
        <w:pageBreakBefore w:val="0"/>
        <w:widowControl w:val="0"/>
        <w:kinsoku w:val="0"/>
        <w:wordWrap w:val="0"/>
        <w:overflowPunct/>
        <w:topLinePunct w:val="0"/>
        <w:autoSpaceDE/>
        <w:autoSpaceDN/>
        <w:bidi w:val="0"/>
        <w:adjustRightInd w:val="0"/>
        <w:snapToGrid w:val="0"/>
        <w:spacing w:before="0" w:beforeAutospacing="0" w:afterAutospacing="0" w:line="480" w:lineRule="exact"/>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rPr>
        <w:t xml:space="preserve">.1 </w:t>
      </w:r>
      <w:r>
        <w:rPr>
          <w:rFonts w:hint="eastAsia" w:ascii="宋体" w:hAnsi="宋体" w:eastAsia="宋体" w:cs="宋体"/>
          <w:color w:val="auto"/>
          <w:sz w:val="24"/>
          <w:szCs w:val="24"/>
          <w:highlight w:val="none"/>
          <w:lang w:eastAsia="zh-CN"/>
        </w:rPr>
        <w:t>合同价款支付</w:t>
      </w:r>
      <w:r>
        <w:rPr>
          <w:rFonts w:hint="eastAsia" w:ascii="宋体" w:hAnsi="宋体" w:eastAsia="宋体" w:cs="宋体"/>
          <w:color w:val="auto"/>
          <w:sz w:val="24"/>
          <w:szCs w:val="24"/>
          <w:highlight w:val="none"/>
        </w:rPr>
        <w:t>按照国库集中支付</w:t>
      </w:r>
      <w:r>
        <w:rPr>
          <w:rFonts w:hint="eastAsia" w:ascii="宋体" w:hAnsi="宋体" w:eastAsia="宋体" w:cs="宋体"/>
          <w:color w:val="auto"/>
          <w:sz w:val="24"/>
          <w:szCs w:val="24"/>
          <w:highlight w:val="none"/>
          <w:lang w:eastAsia="zh-CN"/>
        </w:rPr>
        <w:t>制度及财政管理相关</w:t>
      </w:r>
      <w:r>
        <w:rPr>
          <w:rFonts w:hint="eastAsia" w:ascii="宋体" w:hAnsi="宋体" w:eastAsia="宋体" w:cs="宋体"/>
          <w:color w:val="auto"/>
          <w:sz w:val="24"/>
          <w:szCs w:val="24"/>
          <w:highlight w:val="none"/>
        </w:rPr>
        <w:t>规定执行。</w:t>
      </w:r>
    </w:p>
    <w:p w14:paraId="4941A3DE">
      <w:pPr>
        <w:keepNext w:val="0"/>
        <w:keepLines w:val="0"/>
        <w:pageBreakBefore w:val="0"/>
        <w:widowControl w:val="0"/>
        <w:kinsoku w:val="0"/>
        <w:wordWrap w:val="0"/>
        <w:overflowPunct/>
        <w:topLinePunct w:val="0"/>
        <w:autoSpaceDE/>
        <w:autoSpaceDN/>
        <w:bidi w:val="0"/>
        <w:spacing w:beforeAutospacing="0" w:after="0" w:afterAutospacing="0" w:line="480" w:lineRule="exact"/>
        <w:ind w:firstLine="480" w:firstLineChars="200"/>
        <w:textAlignment w:val="auto"/>
        <w:outlineLvl w:val="9"/>
        <w:rPr>
          <w:rFonts w:hint="eastAsia"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宋体"/>
          <w:b/>
          <w:bCs/>
          <w:color w:val="auto"/>
          <w:kern w:val="2"/>
          <w:sz w:val="24"/>
          <w:szCs w:val="24"/>
          <w:highlight w:val="none"/>
          <w:lang w:val="en-US" w:eastAsia="zh-CN" w:bidi="ar-SA"/>
        </w:rPr>
        <w:t>【政府采购合同专用条款】</w:t>
      </w:r>
      <w:r>
        <w:rPr>
          <w:rFonts w:hint="eastAsia" w:ascii="宋体" w:hAnsi="宋体" w:eastAsia="宋体" w:cs="宋体"/>
          <w:b w:val="0"/>
          <w:color w:val="auto"/>
          <w:kern w:val="2"/>
          <w:sz w:val="24"/>
          <w:szCs w:val="24"/>
          <w:highlight w:val="none"/>
          <w:lang w:val="en-US" w:eastAsia="zh-CN" w:bidi="ar-SA"/>
        </w:rPr>
        <w:t>中约定。</w:t>
      </w:r>
    </w:p>
    <w:p w14:paraId="722D4AD0">
      <w:pPr>
        <w:keepNext w:val="0"/>
        <w:keepLines w:val="0"/>
        <w:pageBreakBefore w:val="0"/>
        <w:widowControl w:val="0"/>
        <w:tabs>
          <w:tab w:val="left" w:pos="8820"/>
          <w:tab w:val="left" w:pos="9345"/>
          <w:tab w:val="left" w:pos="9765"/>
        </w:tabs>
        <w:kinsoku w:val="0"/>
        <w:wordWrap w:val="0"/>
        <w:overflowPunct/>
        <w:topLinePunct w:val="0"/>
        <w:bidi w:val="0"/>
        <w:adjustRightInd w:val="0"/>
        <w:snapToGrid w:val="0"/>
        <w:spacing w:before="0" w:line="480" w:lineRule="exact"/>
        <w:ind w:firstLine="482" w:firstLineChars="200"/>
        <w:jc w:val="left"/>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13.履约保证金</w:t>
      </w:r>
    </w:p>
    <w:p w14:paraId="7284E82A">
      <w:pPr>
        <w:keepNext w:val="0"/>
        <w:keepLines w:val="0"/>
        <w:pageBreakBefore w:val="0"/>
        <w:widowControl w:val="0"/>
        <w:kinsoku w:val="0"/>
        <w:wordWrap w:val="0"/>
        <w:overflowPunct/>
        <w:topLinePunct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rPr>
        <w:t>.1 乙方应当以支票、汇票、本票或者金融机构、担保机构出具的保函等非现金形式提交。</w:t>
      </w:r>
    </w:p>
    <w:p w14:paraId="6FBB7F86">
      <w:pPr>
        <w:keepNext w:val="0"/>
        <w:keepLines w:val="0"/>
        <w:pageBreakBefore w:val="0"/>
        <w:widowControl w:val="0"/>
        <w:kinsoku w:val="0"/>
        <w:wordWrap w:val="0"/>
        <w:overflowPunct/>
        <w:topLinePunct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rPr>
        <w:t>.2 如果乙方</w:t>
      </w:r>
      <w:r>
        <w:rPr>
          <w:rFonts w:hint="eastAsia" w:ascii="宋体" w:hAnsi="宋体" w:eastAsia="宋体" w:cs="宋体"/>
          <w:color w:val="auto"/>
          <w:sz w:val="24"/>
          <w:szCs w:val="24"/>
          <w:highlight w:val="none"/>
          <w:lang w:eastAsia="zh-CN"/>
        </w:rPr>
        <w:t>出现</w:t>
      </w:r>
      <w:r>
        <w:rPr>
          <w:rFonts w:hint="eastAsia" w:ascii="宋体" w:hAnsi="宋体" w:eastAsia="宋体" w:cs="宋体"/>
          <w:b/>
          <w:bCs/>
          <w:color w:val="auto"/>
          <w:sz w:val="24"/>
          <w:szCs w:val="24"/>
          <w:highlight w:val="none"/>
        </w:rPr>
        <w:t>【政府采购合同专用条款】</w:t>
      </w:r>
      <w:r>
        <w:rPr>
          <w:rFonts w:hint="eastAsia" w:ascii="宋体" w:hAnsi="宋体" w:eastAsia="宋体" w:cs="宋体"/>
          <w:b w:val="0"/>
          <w:bCs w:val="0"/>
          <w:color w:val="auto"/>
          <w:sz w:val="24"/>
          <w:szCs w:val="24"/>
          <w:highlight w:val="none"/>
          <w:lang w:eastAsia="zh-CN"/>
        </w:rPr>
        <w:t>约定情形的</w:t>
      </w:r>
      <w:r>
        <w:rPr>
          <w:rFonts w:hint="eastAsia" w:ascii="宋体" w:hAnsi="宋体" w:eastAsia="宋体" w:cs="宋体"/>
          <w:color w:val="auto"/>
          <w:sz w:val="24"/>
          <w:szCs w:val="24"/>
          <w:highlight w:val="none"/>
        </w:rPr>
        <w:t>，履约保证金不予退还；如果乙方未能按合同约定全面履行义务，甲方有权从履约保证金中取得补偿或赔偿，</w:t>
      </w:r>
      <w:r>
        <w:rPr>
          <w:rFonts w:hint="eastAsia" w:ascii="宋体" w:hAnsi="宋体" w:eastAsia="宋体" w:cs="宋体"/>
          <w:color w:val="auto"/>
          <w:sz w:val="24"/>
          <w:szCs w:val="24"/>
          <w:highlight w:val="none"/>
          <w:lang w:eastAsia="zh-CN"/>
        </w:rPr>
        <w:t>且</w:t>
      </w:r>
      <w:r>
        <w:rPr>
          <w:rFonts w:hint="eastAsia" w:ascii="宋体" w:hAnsi="宋体" w:eastAsia="宋体" w:cs="宋体"/>
          <w:color w:val="auto"/>
          <w:sz w:val="24"/>
          <w:szCs w:val="24"/>
          <w:highlight w:val="none"/>
        </w:rPr>
        <w:t>不影响甲方要求乙方承担合同约定的超过履约保证金的违约责任的权利。</w:t>
      </w:r>
    </w:p>
    <w:p w14:paraId="440B7469">
      <w:pPr>
        <w:keepNext w:val="0"/>
        <w:keepLines w:val="0"/>
        <w:pageBreakBefore w:val="0"/>
        <w:widowControl w:val="0"/>
        <w:kinsoku w:val="0"/>
        <w:wordWrap w:val="0"/>
        <w:overflowPunct/>
        <w:topLinePunct w:val="0"/>
        <w:bidi w:val="0"/>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rPr>
        <w:t>.3 甲方在项目通过验收后按照</w:t>
      </w:r>
      <w:r>
        <w:rPr>
          <w:rFonts w:hint="eastAsia" w:ascii="宋体" w:hAnsi="宋体" w:eastAsia="宋体" w:cs="宋体"/>
          <w:b/>
          <w:color w:val="auto"/>
          <w:sz w:val="24"/>
          <w:szCs w:val="24"/>
          <w:highlight w:val="none"/>
        </w:rPr>
        <w:t>【政府采购合同专用条款】</w:t>
      </w:r>
      <w:r>
        <w:rPr>
          <w:rFonts w:hint="eastAsia" w:ascii="宋体" w:hAnsi="宋体" w:eastAsia="宋体" w:cs="宋体"/>
          <w:color w:val="auto"/>
          <w:sz w:val="24"/>
          <w:szCs w:val="24"/>
          <w:highlight w:val="none"/>
        </w:rPr>
        <w:t>规定的时间内将履约保证金退还乙方；逾期退还的，乙方可要求甲方支付违约金，违约金按照</w:t>
      </w:r>
      <w:r>
        <w:rPr>
          <w:rFonts w:hint="eastAsia" w:ascii="宋体" w:hAnsi="宋体" w:eastAsia="宋体" w:cs="宋体"/>
          <w:b/>
          <w:color w:val="auto"/>
          <w:sz w:val="24"/>
          <w:szCs w:val="24"/>
          <w:highlight w:val="none"/>
        </w:rPr>
        <w:t>【政府采购合同专用条款】</w:t>
      </w:r>
      <w:r>
        <w:rPr>
          <w:rFonts w:hint="eastAsia" w:ascii="宋体" w:hAnsi="宋体" w:eastAsia="宋体" w:cs="宋体"/>
          <w:color w:val="auto"/>
          <w:sz w:val="24"/>
          <w:szCs w:val="24"/>
          <w:highlight w:val="none"/>
        </w:rPr>
        <w:t>规定支付。</w:t>
      </w:r>
    </w:p>
    <w:p w14:paraId="79EFBC81">
      <w:pPr>
        <w:keepNext w:val="0"/>
        <w:keepLines w:val="0"/>
        <w:pageBreakBefore w:val="0"/>
        <w:widowControl w:val="0"/>
        <w:tabs>
          <w:tab w:val="left" w:pos="8820"/>
          <w:tab w:val="left" w:pos="9345"/>
          <w:tab w:val="left" w:pos="9765"/>
        </w:tabs>
        <w:kinsoku w:val="0"/>
        <w:wordWrap w:val="0"/>
        <w:overflowPunct/>
        <w:topLinePunct w:val="0"/>
        <w:bidi w:val="0"/>
        <w:adjustRightInd w:val="0"/>
        <w:snapToGrid w:val="0"/>
        <w:spacing w:before="0" w:line="480" w:lineRule="exact"/>
        <w:ind w:firstLine="482" w:firstLineChars="200"/>
        <w:jc w:val="left"/>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14.售后服务</w:t>
      </w:r>
    </w:p>
    <w:p w14:paraId="7C4C313E">
      <w:pPr>
        <w:keepNext w:val="0"/>
        <w:keepLines w:val="0"/>
        <w:pageBreakBefore w:val="0"/>
        <w:widowControl w:val="0"/>
        <w:kinsoku w:val="0"/>
        <w:wordWrap w:val="0"/>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4</w:t>
      </w:r>
      <w:r>
        <w:rPr>
          <w:rFonts w:hint="eastAsia" w:ascii="宋体" w:hAnsi="宋体" w:eastAsia="宋体" w:cs="宋体"/>
          <w:color w:val="auto"/>
          <w:sz w:val="24"/>
          <w:szCs w:val="24"/>
          <w:highlight w:val="none"/>
        </w:rPr>
        <w:t>.1 除项目不涉及或采购活动中明确约定无须承担外，乙方还应提供下列服务：</w:t>
      </w:r>
    </w:p>
    <w:p w14:paraId="1AE4CED2">
      <w:pPr>
        <w:keepNext w:val="0"/>
        <w:keepLines w:val="0"/>
        <w:pageBreakBefore w:val="0"/>
        <w:widowControl w:val="0"/>
        <w:kinsoku w:val="0"/>
        <w:wordWrap w:val="0"/>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（1）货物的现场移动、安装、调试、启动监督及技术支持；</w:t>
      </w:r>
    </w:p>
    <w:p w14:paraId="300EA4EE">
      <w:pPr>
        <w:keepNext w:val="0"/>
        <w:keepLines w:val="0"/>
        <w:pageBreakBefore w:val="0"/>
        <w:widowControl w:val="0"/>
        <w:kinsoku w:val="0"/>
        <w:wordWrap w:val="0"/>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（2）提供货物组装和维修所需的专用工具和辅助材料；</w:t>
      </w:r>
    </w:p>
    <w:p w14:paraId="20C2ABC8">
      <w:pPr>
        <w:keepNext w:val="0"/>
        <w:keepLines w:val="0"/>
        <w:pageBreakBefore w:val="0"/>
        <w:widowControl w:val="0"/>
        <w:kinsoku w:val="0"/>
        <w:wordWrap w:val="0"/>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（3）在</w:t>
      </w:r>
      <w:r>
        <w:rPr>
          <w:rFonts w:hint="eastAsia" w:ascii="宋体" w:hAnsi="宋体" w:eastAsia="宋体" w:cs="宋体"/>
          <w:b/>
          <w:bCs/>
          <w:color w:val="auto"/>
          <w:sz w:val="24"/>
          <w:szCs w:val="24"/>
          <w:highlight w:val="none"/>
        </w:rPr>
        <w:t>【政府采购合同专用条款】</w:t>
      </w:r>
      <w:r>
        <w:rPr>
          <w:rFonts w:hint="eastAsia" w:ascii="宋体" w:hAnsi="宋体" w:eastAsia="宋体" w:cs="宋体"/>
          <w:color w:val="auto"/>
          <w:sz w:val="24"/>
          <w:szCs w:val="24"/>
          <w:highlight w:val="none"/>
          <w:lang w:eastAsia="zh-CN"/>
        </w:rPr>
        <w:t>约定</w:t>
      </w:r>
      <w:r>
        <w:rPr>
          <w:rFonts w:hint="eastAsia" w:ascii="宋体" w:hAnsi="宋体" w:eastAsia="宋体" w:cs="宋体"/>
          <w:color w:val="auto"/>
          <w:sz w:val="24"/>
          <w:szCs w:val="24"/>
          <w:highlight w:val="none"/>
        </w:rPr>
        <w:t>的期限内对所有的货物实施运行监督、维修，但前提条件是该服务并不能免除乙方在质量保证期内所承担的义务；</w:t>
      </w:r>
    </w:p>
    <w:p w14:paraId="68CE21F8">
      <w:pPr>
        <w:keepNext w:val="0"/>
        <w:keepLines w:val="0"/>
        <w:pageBreakBefore w:val="0"/>
        <w:widowControl w:val="0"/>
        <w:kinsoku w:val="0"/>
        <w:wordWrap w:val="0"/>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（4）在制造商</w:t>
      </w:r>
      <w:r>
        <w:rPr>
          <w:rFonts w:hint="eastAsia" w:ascii="宋体" w:hAnsi="宋体" w:eastAsia="宋体" w:cs="宋体"/>
          <w:color w:val="auto"/>
          <w:sz w:val="24"/>
          <w:szCs w:val="24"/>
          <w:highlight w:val="none"/>
          <w:lang w:eastAsia="zh-CN"/>
        </w:rPr>
        <w:t>所在地</w:t>
      </w:r>
      <w:r>
        <w:rPr>
          <w:rFonts w:hint="eastAsia" w:ascii="宋体" w:hAnsi="宋体" w:eastAsia="宋体" w:cs="宋体"/>
          <w:color w:val="auto"/>
          <w:sz w:val="24"/>
          <w:szCs w:val="24"/>
          <w:highlight w:val="none"/>
        </w:rPr>
        <w:t>或</w:t>
      </w:r>
      <w:r>
        <w:rPr>
          <w:rFonts w:hint="eastAsia" w:ascii="宋体" w:hAnsi="宋体" w:eastAsia="宋体" w:cs="宋体"/>
          <w:color w:val="auto"/>
          <w:sz w:val="24"/>
          <w:szCs w:val="24"/>
          <w:highlight w:val="none"/>
          <w:lang w:eastAsia="zh-CN"/>
        </w:rPr>
        <w:t>指定</w:t>
      </w:r>
      <w:r>
        <w:rPr>
          <w:rFonts w:hint="eastAsia" w:ascii="宋体" w:hAnsi="宋体" w:eastAsia="宋体" w:cs="宋体"/>
          <w:color w:val="auto"/>
          <w:sz w:val="24"/>
          <w:szCs w:val="24"/>
          <w:highlight w:val="none"/>
        </w:rPr>
        <w:t>现场就货物的安装、启动、运营、维护</w:t>
      </w:r>
      <w:r>
        <w:rPr>
          <w:rFonts w:hint="eastAsia" w:ascii="宋体" w:hAnsi="宋体" w:eastAsia="宋体" w:cs="宋体"/>
          <w:color w:val="auto"/>
          <w:sz w:val="24"/>
          <w:szCs w:val="24"/>
          <w:highlight w:val="none"/>
          <w:lang w:eastAsia="zh-CN"/>
        </w:rPr>
        <w:t>、废弃处置等</w:t>
      </w:r>
      <w:r>
        <w:rPr>
          <w:rFonts w:hint="eastAsia" w:ascii="宋体" w:hAnsi="宋体" w:eastAsia="宋体" w:cs="宋体"/>
          <w:color w:val="auto"/>
          <w:sz w:val="24"/>
          <w:szCs w:val="24"/>
          <w:highlight w:val="none"/>
        </w:rPr>
        <w:t>对甲方操作人员进行培训</w:t>
      </w:r>
      <w:r>
        <w:rPr>
          <w:rFonts w:hint="eastAsia" w:ascii="宋体" w:hAnsi="宋体" w:eastAsia="宋体" w:cs="宋体"/>
          <w:color w:val="auto"/>
          <w:sz w:val="24"/>
          <w:szCs w:val="24"/>
          <w:highlight w:val="none"/>
          <w:lang w:eastAsia="zh-CN"/>
        </w:rPr>
        <w:t>；</w:t>
      </w:r>
    </w:p>
    <w:p w14:paraId="06A7A05F">
      <w:pPr>
        <w:pStyle w:val="29"/>
        <w:keepNext w:val="0"/>
        <w:keepLines w:val="0"/>
        <w:pageBreakBefore w:val="0"/>
        <w:widowControl w:val="0"/>
        <w:kinsoku w:val="0"/>
        <w:wordWrap w:val="0"/>
        <w:overflowPunct/>
        <w:topLinePunct w:val="0"/>
        <w:bidi w:val="0"/>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（5）依照法律、行政法规的规定或者按照</w:t>
      </w:r>
      <w:r>
        <w:rPr>
          <w:rFonts w:hint="eastAsia" w:ascii="宋体" w:hAnsi="宋体" w:eastAsia="宋体" w:cs="宋体"/>
          <w:b/>
          <w:bCs/>
          <w:color w:val="auto"/>
          <w:sz w:val="24"/>
          <w:szCs w:val="24"/>
          <w:highlight w:val="none"/>
        </w:rPr>
        <w:t>【政府采购合同专用条款】</w:t>
      </w:r>
      <w:r>
        <w:rPr>
          <w:rFonts w:hint="eastAsia" w:ascii="宋体" w:hAnsi="宋体" w:eastAsia="宋体" w:cs="宋体"/>
          <w:color w:val="auto"/>
          <w:sz w:val="24"/>
          <w:szCs w:val="24"/>
          <w:highlight w:val="none"/>
        </w:rPr>
        <w:t>约定，货物在有效使用年限届满后应予回收的，乙方负有自行或者委托第三人对货物予以回收的义务；</w:t>
      </w:r>
    </w:p>
    <w:p w14:paraId="5426F3F1">
      <w:pPr>
        <w:keepNext w:val="0"/>
        <w:keepLines w:val="0"/>
        <w:pageBreakBefore w:val="0"/>
        <w:widowControl w:val="0"/>
        <w:kinsoku w:val="0"/>
        <w:wordWrap w:val="0"/>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w:t>
      </w:r>
      <w:r>
        <w:rPr>
          <w:rFonts w:hint="eastAsia" w:ascii="宋体" w:hAnsi="宋体" w:eastAsia="宋体" w:cs="宋体"/>
          <w:b/>
          <w:color w:val="auto"/>
          <w:sz w:val="24"/>
          <w:szCs w:val="24"/>
          <w:highlight w:val="none"/>
        </w:rPr>
        <w:t>【政府采购合同专用条款】</w:t>
      </w:r>
      <w:r>
        <w:rPr>
          <w:rFonts w:hint="eastAsia" w:ascii="宋体" w:hAnsi="宋体" w:eastAsia="宋体" w:cs="宋体"/>
          <w:color w:val="auto"/>
          <w:sz w:val="24"/>
          <w:szCs w:val="24"/>
          <w:highlight w:val="none"/>
        </w:rPr>
        <w:t>规定由乙方提供的其他服务。</w:t>
      </w:r>
    </w:p>
    <w:p w14:paraId="6EF7F6F5">
      <w:pPr>
        <w:keepNext w:val="0"/>
        <w:keepLines w:val="0"/>
        <w:pageBreakBefore w:val="0"/>
        <w:widowControl w:val="0"/>
        <w:kinsoku w:val="0"/>
        <w:wordWrap w:val="0"/>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.2 乙方提供的</w:t>
      </w:r>
      <w:r>
        <w:rPr>
          <w:rFonts w:hint="eastAsia" w:ascii="宋体" w:hAnsi="宋体" w:eastAsia="宋体" w:cs="宋体"/>
          <w:color w:val="auto"/>
          <w:sz w:val="24"/>
          <w:szCs w:val="24"/>
          <w:highlight w:val="none"/>
          <w:lang w:eastAsia="zh-CN"/>
        </w:rPr>
        <w:t>售后</w:t>
      </w:r>
      <w:r>
        <w:rPr>
          <w:rFonts w:hint="eastAsia" w:ascii="宋体" w:hAnsi="宋体" w:eastAsia="宋体" w:cs="宋体"/>
          <w:color w:val="auto"/>
          <w:sz w:val="24"/>
          <w:szCs w:val="24"/>
          <w:highlight w:val="none"/>
        </w:rPr>
        <w:t>服务的费用</w:t>
      </w:r>
      <w:r>
        <w:rPr>
          <w:rFonts w:hint="eastAsia" w:ascii="宋体" w:hAnsi="宋体" w:eastAsia="宋体" w:cs="宋体"/>
          <w:color w:val="auto"/>
          <w:sz w:val="24"/>
          <w:szCs w:val="24"/>
          <w:highlight w:val="none"/>
          <w:lang w:val="en-US" w:eastAsia="zh-CN"/>
        </w:rPr>
        <w:t>已</w:t>
      </w:r>
      <w:r>
        <w:rPr>
          <w:rFonts w:hint="eastAsia" w:ascii="宋体" w:hAnsi="宋体" w:eastAsia="宋体" w:cs="宋体"/>
          <w:color w:val="auto"/>
          <w:sz w:val="24"/>
          <w:szCs w:val="24"/>
          <w:highlight w:val="none"/>
        </w:rPr>
        <w:t>包含在合同价款中，甲方不再另行支付。</w:t>
      </w:r>
    </w:p>
    <w:p w14:paraId="35112EB6">
      <w:pPr>
        <w:keepNext w:val="0"/>
        <w:keepLines w:val="0"/>
        <w:pageBreakBefore w:val="0"/>
        <w:widowControl w:val="0"/>
        <w:tabs>
          <w:tab w:val="left" w:pos="8820"/>
          <w:tab w:val="left" w:pos="9345"/>
          <w:tab w:val="left" w:pos="9765"/>
        </w:tabs>
        <w:kinsoku w:val="0"/>
        <w:wordWrap w:val="0"/>
        <w:overflowPunct/>
        <w:topLinePunct w:val="0"/>
        <w:bidi w:val="0"/>
        <w:adjustRightInd w:val="0"/>
        <w:snapToGrid w:val="0"/>
        <w:spacing w:before="0" w:line="480" w:lineRule="exact"/>
        <w:ind w:firstLine="482" w:firstLineChars="200"/>
        <w:jc w:val="left"/>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15.违约责任</w:t>
      </w:r>
    </w:p>
    <w:p w14:paraId="082553A6">
      <w:pPr>
        <w:keepNext w:val="0"/>
        <w:keepLines w:val="0"/>
        <w:pageBreakBefore w:val="0"/>
        <w:widowControl w:val="0"/>
        <w:kinsoku w:val="0"/>
        <w:wordWrap w:val="0"/>
        <w:overflowPunct/>
        <w:topLinePunct w:val="0"/>
        <w:bidi w:val="0"/>
        <w:adjustRightInd w:val="0"/>
        <w:snapToGrid w:val="0"/>
        <w:spacing w:before="0" w:line="480" w:lineRule="exact"/>
        <w:ind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eastAsia="zh-CN"/>
        </w:rPr>
        <w:t>5</w:t>
      </w:r>
      <w:r>
        <w:rPr>
          <w:rFonts w:hint="eastAsia" w:ascii="宋体" w:hAnsi="宋体" w:eastAsia="宋体" w:cs="宋体"/>
          <w:bCs/>
          <w:color w:val="auto"/>
          <w:sz w:val="24"/>
          <w:szCs w:val="24"/>
          <w:highlight w:val="none"/>
        </w:rPr>
        <w:t>.1质量瑕疵的</w:t>
      </w:r>
      <w:r>
        <w:rPr>
          <w:rFonts w:hint="eastAsia" w:ascii="宋体" w:hAnsi="宋体" w:eastAsia="宋体" w:cs="宋体"/>
          <w:bCs/>
          <w:color w:val="auto"/>
          <w:sz w:val="24"/>
          <w:szCs w:val="24"/>
          <w:highlight w:val="none"/>
          <w:lang w:eastAsia="zh-CN"/>
        </w:rPr>
        <w:t>违约责任</w:t>
      </w:r>
    </w:p>
    <w:p w14:paraId="50993DC8">
      <w:pPr>
        <w:keepNext w:val="0"/>
        <w:keepLines w:val="0"/>
        <w:pageBreakBefore w:val="0"/>
        <w:widowControl w:val="0"/>
        <w:kinsoku w:val="0"/>
        <w:wordWrap w:val="0"/>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w:t>
      </w:r>
      <w:r>
        <w:rPr>
          <w:rFonts w:hint="eastAsia" w:ascii="宋体" w:hAnsi="宋体" w:eastAsia="宋体" w:cs="宋体"/>
          <w:color w:val="auto"/>
          <w:sz w:val="24"/>
          <w:szCs w:val="24"/>
          <w:highlight w:val="none"/>
          <w:lang w:eastAsia="zh-CN"/>
        </w:rPr>
        <w:t>提供</w:t>
      </w:r>
      <w:r>
        <w:rPr>
          <w:rFonts w:hint="eastAsia" w:ascii="宋体" w:hAnsi="宋体" w:eastAsia="宋体" w:cs="宋体"/>
          <w:color w:val="auto"/>
          <w:sz w:val="24"/>
          <w:szCs w:val="24"/>
          <w:highlight w:val="none"/>
        </w:rPr>
        <w:t>的产品不符合</w:t>
      </w:r>
      <w:r>
        <w:rPr>
          <w:rFonts w:hint="eastAsia" w:ascii="宋体" w:hAnsi="宋体" w:eastAsia="宋体" w:cs="宋体"/>
          <w:color w:val="auto"/>
          <w:sz w:val="24"/>
          <w:szCs w:val="24"/>
          <w:highlight w:val="none"/>
          <w:lang w:eastAsia="zh-CN"/>
        </w:rPr>
        <w:t>合同约定的</w:t>
      </w:r>
      <w:r>
        <w:rPr>
          <w:rFonts w:hint="eastAsia" w:ascii="宋体" w:hAnsi="宋体" w:eastAsia="宋体" w:cs="宋体"/>
          <w:color w:val="auto"/>
          <w:sz w:val="24"/>
          <w:szCs w:val="24"/>
          <w:highlight w:val="none"/>
        </w:rPr>
        <w:t>质量标准或存在产品质量缺陷，</w:t>
      </w:r>
      <w:r>
        <w:rPr>
          <w:rFonts w:hint="eastAsia" w:ascii="宋体" w:hAnsi="宋体" w:eastAsia="宋体" w:cs="宋体"/>
          <w:color w:val="auto"/>
          <w:sz w:val="24"/>
          <w:szCs w:val="24"/>
          <w:highlight w:val="none"/>
          <w:lang w:eastAsia="zh-CN"/>
        </w:rPr>
        <w:t>甲方有权要求乙方根据</w:t>
      </w:r>
      <w:r>
        <w:rPr>
          <w:rFonts w:hint="eastAsia" w:ascii="宋体" w:hAnsi="宋体" w:eastAsia="宋体" w:cs="宋体"/>
          <w:b/>
          <w:color w:val="auto"/>
          <w:sz w:val="24"/>
          <w:szCs w:val="24"/>
          <w:highlight w:val="none"/>
        </w:rPr>
        <w:t>【政府采购合同专用条款】</w:t>
      </w:r>
      <w:r>
        <w:rPr>
          <w:rFonts w:hint="eastAsia" w:ascii="宋体" w:hAnsi="宋体" w:eastAsia="宋体" w:cs="宋体"/>
          <w:b w:val="0"/>
          <w:bCs/>
          <w:color w:val="auto"/>
          <w:sz w:val="24"/>
          <w:szCs w:val="24"/>
          <w:highlight w:val="none"/>
          <w:lang w:eastAsia="zh-CN"/>
        </w:rPr>
        <w:t>要求</w:t>
      </w:r>
      <w:r>
        <w:rPr>
          <w:rFonts w:hint="eastAsia" w:ascii="宋体" w:hAnsi="宋体" w:eastAsia="宋体" w:cs="宋体"/>
          <w:color w:val="auto"/>
          <w:sz w:val="24"/>
          <w:szCs w:val="24"/>
          <w:highlight w:val="none"/>
          <w:lang w:eastAsia="zh-CN"/>
        </w:rPr>
        <w:t>及时修理、重作、更换，并承担由此给甲</w:t>
      </w:r>
      <w:r>
        <w:rPr>
          <w:rFonts w:hint="eastAsia" w:ascii="宋体" w:hAnsi="宋体" w:eastAsia="宋体" w:cs="宋体"/>
          <w:color w:val="auto"/>
          <w:sz w:val="24"/>
          <w:szCs w:val="24"/>
          <w:highlight w:val="none"/>
        </w:rPr>
        <w:t>方</w:t>
      </w:r>
      <w:r>
        <w:rPr>
          <w:rFonts w:hint="eastAsia" w:ascii="宋体" w:hAnsi="宋体" w:eastAsia="宋体" w:cs="宋体"/>
          <w:color w:val="auto"/>
          <w:sz w:val="24"/>
          <w:szCs w:val="24"/>
          <w:highlight w:val="none"/>
          <w:lang w:eastAsia="zh-CN"/>
        </w:rPr>
        <w:t>造成的损失</w:t>
      </w:r>
      <w:r>
        <w:rPr>
          <w:rFonts w:hint="eastAsia" w:ascii="宋体" w:hAnsi="宋体" w:eastAsia="宋体" w:cs="宋体"/>
          <w:color w:val="auto"/>
          <w:sz w:val="24"/>
          <w:szCs w:val="24"/>
          <w:highlight w:val="none"/>
        </w:rPr>
        <w:t>。</w:t>
      </w:r>
    </w:p>
    <w:p w14:paraId="5ED163A4">
      <w:pPr>
        <w:keepNext w:val="0"/>
        <w:keepLines w:val="0"/>
        <w:pageBreakBefore w:val="0"/>
        <w:widowControl w:val="0"/>
        <w:kinsoku w:val="0"/>
        <w:wordWrap w:val="0"/>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eastAsia="zh-CN"/>
        </w:rPr>
        <w:t>5</w:t>
      </w:r>
      <w:r>
        <w:rPr>
          <w:rFonts w:hint="eastAsia" w:ascii="宋体" w:hAnsi="宋体" w:eastAsia="宋体" w:cs="宋体"/>
          <w:bCs/>
          <w:color w:val="auto"/>
          <w:sz w:val="24"/>
          <w:szCs w:val="24"/>
          <w:highlight w:val="none"/>
        </w:rPr>
        <w:t>.2 迟延交货的违约责任</w:t>
      </w:r>
    </w:p>
    <w:p w14:paraId="043DB135">
      <w:pPr>
        <w:keepNext w:val="0"/>
        <w:keepLines w:val="0"/>
        <w:pageBreakBefore w:val="0"/>
        <w:widowControl w:val="0"/>
        <w:kinsoku w:val="0"/>
        <w:wordWrap w:val="0"/>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（1）乙方应按照本合同规定的时间、地点交货和提供</w:t>
      </w:r>
      <w:r>
        <w:rPr>
          <w:rFonts w:hint="eastAsia" w:ascii="宋体" w:hAnsi="宋体" w:eastAsia="宋体" w:cs="宋体"/>
          <w:color w:val="auto"/>
          <w:sz w:val="24"/>
          <w:szCs w:val="24"/>
          <w:highlight w:val="none"/>
          <w:lang w:eastAsia="zh-CN"/>
        </w:rPr>
        <w:t>相关</w:t>
      </w:r>
      <w:r>
        <w:rPr>
          <w:rFonts w:hint="eastAsia" w:ascii="宋体" w:hAnsi="宋体" w:eastAsia="宋体" w:cs="宋体"/>
          <w:color w:val="auto"/>
          <w:sz w:val="24"/>
          <w:szCs w:val="24"/>
          <w:highlight w:val="none"/>
        </w:rPr>
        <w:t>服务。在履行合同过程中，如果乙方遇到可能</w:t>
      </w:r>
      <w:r>
        <w:rPr>
          <w:rFonts w:hint="eastAsia" w:ascii="宋体" w:hAnsi="宋体" w:eastAsia="宋体" w:cs="宋体"/>
          <w:color w:val="auto"/>
          <w:sz w:val="24"/>
          <w:szCs w:val="24"/>
          <w:highlight w:val="none"/>
          <w:lang w:eastAsia="zh-CN"/>
        </w:rPr>
        <w:t>影响</w:t>
      </w:r>
      <w:r>
        <w:rPr>
          <w:rFonts w:hint="eastAsia" w:ascii="宋体" w:hAnsi="宋体" w:eastAsia="宋体" w:cs="宋体"/>
          <w:color w:val="auto"/>
          <w:sz w:val="24"/>
          <w:szCs w:val="24"/>
          <w:highlight w:val="none"/>
        </w:rPr>
        <w:t>按时交货和提供服务的情形时，应及时以书面形式将迟延的事实、可能迟延的期限和理由通知甲方。甲方在收到乙方通知后，应尽快对情况进行评价，并确定是否同意延</w:t>
      </w:r>
      <w:r>
        <w:rPr>
          <w:rFonts w:hint="eastAsia" w:ascii="宋体" w:hAnsi="宋体" w:eastAsia="宋体" w:cs="宋体"/>
          <w:color w:val="auto"/>
          <w:sz w:val="24"/>
          <w:szCs w:val="24"/>
          <w:highlight w:val="none"/>
          <w:lang w:eastAsia="zh-CN"/>
        </w:rPr>
        <w:t>长</w:t>
      </w:r>
      <w:r>
        <w:rPr>
          <w:rFonts w:hint="eastAsia" w:ascii="宋体" w:hAnsi="宋体" w:eastAsia="宋体" w:cs="宋体"/>
          <w:color w:val="auto"/>
          <w:sz w:val="24"/>
          <w:szCs w:val="24"/>
          <w:highlight w:val="none"/>
        </w:rPr>
        <w:t>交货时间或延期提供服务。</w:t>
      </w:r>
    </w:p>
    <w:p w14:paraId="78DDAA92">
      <w:pPr>
        <w:keepNext w:val="0"/>
        <w:keepLines w:val="0"/>
        <w:pageBreakBefore w:val="0"/>
        <w:widowControl w:val="0"/>
        <w:kinsoku w:val="0"/>
        <w:wordWrap w:val="0"/>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（2）如果乙方没有按照合同规定的时间交货和提供</w:t>
      </w:r>
      <w:r>
        <w:rPr>
          <w:rFonts w:hint="eastAsia" w:ascii="宋体" w:hAnsi="宋体" w:eastAsia="宋体" w:cs="宋体"/>
          <w:color w:val="auto"/>
          <w:sz w:val="24"/>
          <w:szCs w:val="24"/>
          <w:highlight w:val="none"/>
          <w:lang w:eastAsia="zh-CN"/>
        </w:rPr>
        <w:t>相关</w:t>
      </w:r>
      <w:r>
        <w:rPr>
          <w:rFonts w:hint="eastAsia" w:ascii="宋体" w:hAnsi="宋体" w:eastAsia="宋体" w:cs="宋体"/>
          <w:color w:val="auto"/>
          <w:sz w:val="24"/>
          <w:szCs w:val="24"/>
          <w:highlight w:val="none"/>
        </w:rPr>
        <w:t>服务，甲方有权从货款中扣除误期赔偿费而不影响合同项下的其他补救方法，赔偿费按</w:t>
      </w:r>
      <w:r>
        <w:rPr>
          <w:rFonts w:hint="eastAsia" w:ascii="宋体" w:hAnsi="宋体" w:eastAsia="宋体" w:cs="宋体"/>
          <w:b/>
          <w:color w:val="auto"/>
          <w:sz w:val="24"/>
          <w:szCs w:val="24"/>
          <w:highlight w:val="none"/>
        </w:rPr>
        <w:t>【政府采购合同专用条款】</w:t>
      </w:r>
      <w:r>
        <w:rPr>
          <w:rFonts w:hint="eastAsia" w:ascii="宋体" w:hAnsi="宋体" w:eastAsia="宋体" w:cs="宋体"/>
          <w:color w:val="auto"/>
          <w:sz w:val="24"/>
          <w:szCs w:val="24"/>
          <w:highlight w:val="none"/>
        </w:rPr>
        <w:t>规定执行。如果涉及公共利益，且赔偿金额无法弥补公共利益损失，</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可要求继续履行或者</w:t>
      </w:r>
      <w:r>
        <w:rPr>
          <w:rFonts w:hint="eastAsia" w:ascii="宋体" w:hAnsi="宋体" w:eastAsia="宋体" w:cs="宋体"/>
          <w:color w:val="auto"/>
          <w:sz w:val="24"/>
          <w:szCs w:val="24"/>
          <w:highlight w:val="none"/>
          <w:lang w:eastAsia="zh-CN"/>
        </w:rPr>
        <w:t>采取其他补救措施</w:t>
      </w:r>
      <w:r>
        <w:rPr>
          <w:rFonts w:hint="eastAsia" w:ascii="宋体" w:hAnsi="宋体" w:eastAsia="宋体" w:cs="宋体"/>
          <w:color w:val="auto"/>
          <w:sz w:val="24"/>
          <w:szCs w:val="24"/>
          <w:highlight w:val="none"/>
        </w:rPr>
        <w:t>。</w:t>
      </w:r>
    </w:p>
    <w:p w14:paraId="4D65A14F">
      <w:pPr>
        <w:keepNext w:val="0"/>
        <w:keepLines w:val="0"/>
        <w:pageBreakBefore w:val="0"/>
        <w:widowControl w:val="0"/>
        <w:kinsoku w:val="0"/>
        <w:wordWrap w:val="0"/>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5</w:t>
      </w:r>
      <w:r>
        <w:rPr>
          <w:rFonts w:hint="eastAsia" w:ascii="宋体" w:hAnsi="宋体" w:eastAsia="宋体" w:cs="宋体"/>
          <w:color w:val="auto"/>
          <w:sz w:val="24"/>
          <w:szCs w:val="24"/>
          <w:highlight w:val="none"/>
        </w:rPr>
        <w:t>.3 迟延支付的违约责任</w:t>
      </w:r>
    </w:p>
    <w:p w14:paraId="02AD6C80">
      <w:pPr>
        <w:keepNext w:val="0"/>
        <w:keepLines w:val="0"/>
        <w:pageBreakBefore w:val="0"/>
        <w:widowControl w:val="0"/>
        <w:kinsoku w:val="0"/>
        <w:wordWrap w:val="0"/>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甲方存在迟延支付乙方合同款项的，</w:t>
      </w:r>
      <w:r>
        <w:rPr>
          <w:rFonts w:hint="eastAsia" w:ascii="宋体" w:hAnsi="宋体" w:cs="宋体"/>
          <w:color w:val="auto"/>
          <w:sz w:val="24"/>
          <w:szCs w:val="24"/>
          <w:highlight w:val="none"/>
          <w:lang w:val="en-US" w:eastAsia="zh-CN"/>
        </w:rPr>
        <w:t>无需支付</w:t>
      </w:r>
      <w:r>
        <w:rPr>
          <w:rFonts w:hint="eastAsia" w:ascii="宋体" w:hAnsi="宋体" w:eastAsia="宋体" w:cs="宋体"/>
          <w:color w:val="auto"/>
          <w:sz w:val="24"/>
          <w:szCs w:val="24"/>
          <w:highlight w:val="none"/>
        </w:rPr>
        <w:t>付款利息。</w:t>
      </w:r>
    </w:p>
    <w:p w14:paraId="13C8CAD8">
      <w:pPr>
        <w:keepNext w:val="0"/>
        <w:keepLines w:val="0"/>
        <w:pageBreakBefore w:val="0"/>
        <w:widowControl w:val="0"/>
        <w:kinsoku w:val="0"/>
        <w:wordWrap w:val="0"/>
        <w:overflowPunct/>
        <w:topLinePunct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eastAsia="zh-CN"/>
        </w:rPr>
        <w:t>5</w:t>
      </w:r>
      <w:r>
        <w:rPr>
          <w:rFonts w:hint="eastAsia" w:ascii="宋体" w:hAnsi="宋体" w:eastAsia="宋体" w:cs="宋体"/>
          <w:bCs/>
          <w:color w:val="auto"/>
          <w:sz w:val="24"/>
          <w:szCs w:val="24"/>
          <w:highlight w:val="none"/>
        </w:rPr>
        <w:t>.4其他违约责任根据项目实际需要按</w:t>
      </w:r>
      <w:r>
        <w:rPr>
          <w:rFonts w:hint="eastAsia" w:ascii="宋体" w:hAnsi="宋体" w:eastAsia="宋体" w:cs="宋体"/>
          <w:b/>
          <w:bCs/>
          <w:color w:val="auto"/>
          <w:sz w:val="24"/>
          <w:szCs w:val="24"/>
          <w:highlight w:val="none"/>
        </w:rPr>
        <w:t>【政府采购合同专用条款】</w:t>
      </w:r>
      <w:r>
        <w:rPr>
          <w:rFonts w:hint="eastAsia" w:ascii="宋体" w:hAnsi="宋体" w:eastAsia="宋体" w:cs="宋体"/>
          <w:color w:val="auto"/>
          <w:sz w:val="24"/>
          <w:szCs w:val="24"/>
          <w:highlight w:val="none"/>
        </w:rPr>
        <w:t>规定执行。</w:t>
      </w:r>
    </w:p>
    <w:p w14:paraId="5B0950CC">
      <w:pPr>
        <w:keepNext w:val="0"/>
        <w:keepLines w:val="0"/>
        <w:pageBreakBefore w:val="0"/>
        <w:widowControl w:val="0"/>
        <w:tabs>
          <w:tab w:val="left" w:pos="8820"/>
          <w:tab w:val="left" w:pos="9345"/>
          <w:tab w:val="left" w:pos="9765"/>
        </w:tabs>
        <w:kinsoku w:val="0"/>
        <w:wordWrap w:val="0"/>
        <w:overflowPunct/>
        <w:topLinePunct w:val="0"/>
        <w:bidi w:val="0"/>
        <w:adjustRightInd w:val="0"/>
        <w:snapToGrid w:val="0"/>
        <w:spacing w:before="0" w:line="480" w:lineRule="exact"/>
        <w:ind w:firstLine="482" w:firstLineChars="200"/>
        <w:jc w:val="left"/>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16.合同变更、中止与终止</w:t>
      </w:r>
    </w:p>
    <w:p w14:paraId="7F9E433D">
      <w:pPr>
        <w:keepNext w:val="0"/>
        <w:keepLines w:val="0"/>
        <w:pageBreakBefore w:val="0"/>
        <w:widowControl w:val="0"/>
        <w:kinsoku w:val="0"/>
        <w:wordWrap w:val="0"/>
        <w:overflowPunct/>
        <w:topLinePunct w:val="0"/>
        <w:autoSpaceDE/>
        <w:autoSpaceDN/>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.1合同的</w:t>
      </w:r>
      <w:r>
        <w:rPr>
          <w:rFonts w:hint="eastAsia" w:ascii="宋体" w:hAnsi="宋体" w:eastAsia="宋体" w:cs="宋体"/>
          <w:color w:val="auto"/>
          <w:sz w:val="24"/>
          <w:szCs w:val="24"/>
          <w:highlight w:val="none"/>
          <w:lang w:eastAsia="zh-CN"/>
        </w:rPr>
        <w:t>变更</w:t>
      </w:r>
    </w:p>
    <w:p w14:paraId="13C07C45">
      <w:pPr>
        <w:keepNext w:val="0"/>
        <w:keepLines w:val="0"/>
        <w:pageBreakBefore w:val="0"/>
        <w:widowControl w:val="0"/>
        <w:kinsoku w:val="0"/>
        <w:wordWrap w:val="0"/>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政府采购合同履行中，</w:t>
      </w:r>
      <w:r>
        <w:rPr>
          <w:rFonts w:hint="eastAsia" w:ascii="宋体" w:hAnsi="宋体" w:eastAsia="宋体" w:cs="宋体"/>
          <w:color w:val="auto"/>
          <w:sz w:val="24"/>
          <w:szCs w:val="24"/>
          <w:highlight w:val="none"/>
        </w:rPr>
        <w:t>在不改变合同其他条款的前提下，甲方可以在合同价款10%的范围内追加与合同标的相同的货物，并就此与乙方协商</w:t>
      </w:r>
      <w:r>
        <w:rPr>
          <w:rFonts w:hint="eastAsia" w:ascii="宋体" w:hAnsi="宋体" w:eastAsia="宋体" w:cs="宋体"/>
          <w:color w:val="auto"/>
          <w:sz w:val="24"/>
          <w:szCs w:val="24"/>
          <w:highlight w:val="none"/>
          <w:lang w:eastAsia="zh-CN"/>
        </w:rPr>
        <w:t>一致后</w:t>
      </w:r>
      <w:r>
        <w:rPr>
          <w:rFonts w:hint="eastAsia" w:ascii="宋体" w:hAnsi="宋体" w:eastAsia="宋体" w:cs="宋体"/>
          <w:color w:val="auto"/>
          <w:sz w:val="24"/>
          <w:szCs w:val="24"/>
          <w:highlight w:val="none"/>
        </w:rPr>
        <w:t>签订补充协议。</w:t>
      </w:r>
    </w:p>
    <w:p w14:paraId="5FF6959F">
      <w:pPr>
        <w:keepNext w:val="0"/>
        <w:keepLines w:val="0"/>
        <w:pageBreakBefore w:val="0"/>
        <w:widowControl w:val="0"/>
        <w:kinsoku w:val="0"/>
        <w:wordWrap w:val="0"/>
        <w:overflowPunct/>
        <w:topLinePunct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合同的中止</w:t>
      </w:r>
    </w:p>
    <w:p w14:paraId="2FC0EA5C">
      <w:pPr>
        <w:keepNext w:val="0"/>
        <w:keepLines w:val="0"/>
        <w:pageBreakBefore w:val="0"/>
        <w:widowControl w:val="0"/>
        <w:kinsoku w:val="0"/>
        <w:wordWrap w:val="0"/>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（1）合同履行过程中因供应商就采购文件、采购过程或结果提起投诉的，甲方认为有必要的，</w:t>
      </w:r>
      <w:r>
        <w:rPr>
          <w:rFonts w:hint="eastAsia" w:ascii="宋体" w:hAnsi="宋体" w:eastAsia="宋体" w:cs="宋体"/>
          <w:color w:val="auto"/>
          <w:sz w:val="24"/>
          <w:szCs w:val="24"/>
          <w:highlight w:val="none"/>
          <w:lang w:eastAsia="zh-CN"/>
        </w:rPr>
        <w:t>可以</w:t>
      </w:r>
      <w:r>
        <w:rPr>
          <w:rFonts w:hint="eastAsia" w:ascii="宋体" w:hAnsi="宋体" w:eastAsia="宋体" w:cs="宋体"/>
          <w:color w:val="auto"/>
          <w:sz w:val="24"/>
          <w:szCs w:val="24"/>
          <w:highlight w:val="none"/>
        </w:rPr>
        <w:t>中止合同的履行。</w:t>
      </w:r>
    </w:p>
    <w:p w14:paraId="41162035">
      <w:pPr>
        <w:keepNext w:val="0"/>
        <w:keepLines w:val="0"/>
        <w:pageBreakBefore w:val="0"/>
        <w:widowControl w:val="0"/>
        <w:kinsoku w:val="0"/>
        <w:wordWrap w:val="0"/>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合同履行过程中，</w:t>
      </w:r>
      <w:r>
        <w:rPr>
          <w:rFonts w:hint="eastAsia" w:ascii="宋体" w:hAnsi="宋体" w:eastAsia="宋体" w:cs="宋体"/>
          <w:color w:val="auto"/>
          <w:sz w:val="24"/>
          <w:szCs w:val="24"/>
          <w:highlight w:val="none"/>
        </w:rPr>
        <w:t>如果乙方出现以下情形之一的：1．经营状况严重恶化；2．转移财产、抽逃资金，以逃避债务；3．丧失商业信誉；4．有丧失或者可能丧失履约能力的其他情形</w:t>
      </w:r>
      <w:r>
        <w:rPr>
          <w:rFonts w:hint="eastAsia" w:ascii="宋体" w:hAnsi="宋体" w:eastAsia="宋体" w:cs="宋体"/>
          <w:color w:val="auto"/>
          <w:sz w:val="24"/>
          <w:szCs w:val="24"/>
          <w:highlight w:val="none"/>
          <w:lang w:eastAsia="zh-CN"/>
        </w:rPr>
        <w:t>，乙方有义务及时告知甲方</w:t>
      </w:r>
      <w:r>
        <w:rPr>
          <w:rFonts w:hint="eastAsia" w:ascii="宋体" w:hAnsi="宋体" w:eastAsia="宋体" w:cs="宋体"/>
          <w:color w:val="auto"/>
          <w:sz w:val="24"/>
          <w:szCs w:val="24"/>
          <w:highlight w:val="none"/>
        </w:rPr>
        <w:t>。甲方</w:t>
      </w:r>
      <w:r>
        <w:rPr>
          <w:rFonts w:hint="eastAsia" w:ascii="宋体" w:hAnsi="宋体" w:eastAsia="宋体" w:cs="宋体"/>
          <w:color w:val="auto"/>
          <w:sz w:val="24"/>
          <w:szCs w:val="24"/>
          <w:highlight w:val="none"/>
          <w:lang w:eastAsia="zh-CN"/>
        </w:rPr>
        <w:t>有权</w:t>
      </w:r>
      <w:r>
        <w:rPr>
          <w:rFonts w:hint="eastAsia" w:ascii="宋体" w:hAnsi="宋体" w:eastAsia="宋体" w:cs="宋体"/>
          <w:color w:val="auto"/>
          <w:sz w:val="24"/>
          <w:szCs w:val="24"/>
          <w:highlight w:val="none"/>
        </w:rPr>
        <w:t>以书面形式通知乙方中止合同</w:t>
      </w:r>
      <w:r>
        <w:rPr>
          <w:rFonts w:hint="eastAsia" w:ascii="宋体" w:hAnsi="宋体" w:eastAsia="宋体" w:cs="宋体"/>
          <w:color w:val="auto"/>
          <w:sz w:val="24"/>
          <w:szCs w:val="24"/>
          <w:highlight w:val="none"/>
          <w:lang w:eastAsia="zh-CN"/>
        </w:rPr>
        <w:t>并要求乙方在合理期限内消除相关情形或者提供适当担保。</w:t>
      </w:r>
      <w:r>
        <w:rPr>
          <w:rFonts w:hint="eastAsia" w:ascii="宋体" w:hAnsi="宋体" w:eastAsia="宋体" w:cs="宋体"/>
          <w:color w:val="auto"/>
          <w:sz w:val="24"/>
          <w:szCs w:val="24"/>
          <w:highlight w:val="none"/>
        </w:rPr>
        <w:t>乙方提供适当担保的，</w:t>
      </w:r>
      <w:r>
        <w:rPr>
          <w:rFonts w:hint="eastAsia" w:ascii="宋体" w:hAnsi="宋体" w:eastAsia="宋体" w:cs="宋体"/>
          <w:color w:val="auto"/>
          <w:sz w:val="24"/>
          <w:szCs w:val="24"/>
          <w:highlight w:val="none"/>
          <w:lang w:eastAsia="zh-CN"/>
        </w:rPr>
        <w:t>合同继续</w:t>
      </w:r>
      <w:r>
        <w:rPr>
          <w:rFonts w:hint="eastAsia" w:ascii="宋体" w:hAnsi="宋体" w:eastAsia="宋体" w:cs="宋体"/>
          <w:color w:val="auto"/>
          <w:sz w:val="24"/>
          <w:szCs w:val="24"/>
          <w:highlight w:val="none"/>
        </w:rPr>
        <w:t>履行</w:t>
      </w:r>
      <w:r>
        <w:rPr>
          <w:rFonts w:hint="eastAsia" w:ascii="宋体" w:hAnsi="宋体" w:eastAsia="宋体" w:cs="宋体"/>
          <w:color w:val="auto"/>
          <w:sz w:val="24"/>
          <w:szCs w:val="24"/>
          <w:highlight w:val="none"/>
          <w:lang w:eastAsia="zh-CN"/>
        </w:rPr>
        <w:t>；乙</w:t>
      </w:r>
      <w:r>
        <w:rPr>
          <w:rFonts w:hint="eastAsia" w:ascii="宋体" w:hAnsi="宋体" w:eastAsia="宋体" w:cs="宋体"/>
          <w:color w:val="auto"/>
          <w:sz w:val="24"/>
          <w:szCs w:val="24"/>
          <w:highlight w:val="none"/>
        </w:rPr>
        <w:t>方在合理期限内未恢复履约能力且未提供适当担保的，视为拒绝</w:t>
      </w:r>
      <w:r>
        <w:rPr>
          <w:rFonts w:hint="eastAsia" w:ascii="宋体" w:hAnsi="宋体" w:eastAsia="宋体" w:cs="宋体"/>
          <w:color w:val="auto"/>
          <w:sz w:val="24"/>
          <w:szCs w:val="24"/>
          <w:highlight w:val="none"/>
          <w:lang w:eastAsia="zh-CN"/>
        </w:rPr>
        <w:t>继续</w:t>
      </w:r>
      <w:r>
        <w:rPr>
          <w:rFonts w:hint="eastAsia" w:ascii="宋体" w:hAnsi="宋体" w:eastAsia="宋体" w:cs="宋体"/>
          <w:color w:val="auto"/>
          <w:sz w:val="24"/>
          <w:szCs w:val="24"/>
          <w:highlight w:val="none"/>
        </w:rPr>
        <w:t>履约，甲方</w:t>
      </w:r>
      <w:r>
        <w:rPr>
          <w:rFonts w:hint="eastAsia" w:ascii="宋体" w:hAnsi="宋体" w:eastAsia="宋体" w:cs="宋体"/>
          <w:color w:val="auto"/>
          <w:sz w:val="24"/>
          <w:szCs w:val="24"/>
          <w:highlight w:val="none"/>
          <w:lang w:eastAsia="zh-CN"/>
        </w:rPr>
        <w:t>有权</w:t>
      </w:r>
      <w:r>
        <w:rPr>
          <w:rFonts w:hint="eastAsia" w:ascii="宋体" w:hAnsi="宋体" w:eastAsia="宋体" w:cs="宋体"/>
          <w:color w:val="auto"/>
          <w:sz w:val="24"/>
          <w:szCs w:val="24"/>
          <w:highlight w:val="none"/>
        </w:rPr>
        <w:t>解除合同并要求乙方承担</w:t>
      </w:r>
      <w:r>
        <w:rPr>
          <w:rFonts w:hint="eastAsia" w:ascii="宋体" w:hAnsi="宋体" w:eastAsia="宋体" w:cs="宋体"/>
          <w:color w:val="auto"/>
          <w:sz w:val="24"/>
          <w:szCs w:val="24"/>
          <w:highlight w:val="none"/>
          <w:lang w:eastAsia="zh-CN"/>
        </w:rPr>
        <w:t>由此给甲方造成的损失</w:t>
      </w:r>
      <w:r>
        <w:rPr>
          <w:rFonts w:hint="eastAsia" w:ascii="宋体" w:hAnsi="宋体" w:eastAsia="宋体" w:cs="宋体"/>
          <w:color w:val="auto"/>
          <w:sz w:val="24"/>
          <w:szCs w:val="24"/>
          <w:highlight w:val="none"/>
        </w:rPr>
        <w:t>。</w:t>
      </w:r>
    </w:p>
    <w:p w14:paraId="0F7D32D7">
      <w:pPr>
        <w:pStyle w:val="29"/>
        <w:keepNext w:val="0"/>
        <w:keepLines w:val="0"/>
        <w:pageBreakBefore w:val="0"/>
        <w:widowControl w:val="0"/>
        <w:kinsoku w:val="0"/>
        <w:wordWrap w:val="0"/>
        <w:overflowPunct/>
        <w:topLinePunct w:val="0"/>
        <w:bidi w:val="0"/>
        <w:spacing w:line="48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（3）乙方分立、合并或者变更住所的，应当及时以书面形式告知甲方。乙方没有</w:t>
      </w:r>
      <w:r>
        <w:rPr>
          <w:rFonts w:hint="eastAsia" w:ascii="宋体" w:hAnsi="宋体" w:eastAsia="宋体" w:cs="宋体"/>
          <w:color w:val="auto"/>
          <w:sz w:val="24"/>
          <w:szCs w:val="24"/>
          <w:highlight w:val="none"/>
          <w:lang w:eastAsia="zh-CN"/>
        </w:rPr>
        <w:t>及时告知</w:t>
      </w:r>
      <w:r>
        <w:rPr>
          <w:rFonts w:hint="eastAsia" w:ascii="宋体" w:hAnsi="宋体" w:eastAsia="宋体" w:cs="宋体"/>
          <w:color w:val="auto"/>
          <w:sz w:val="24"/>
          <w:szCs w:val="24"/>
          <w:highlight w:val="none"/>
        </w:rPr>
        <w:t>甲方，致使</w:t>
      </w:r>
      <w:r>
        <w:rPr>
          <w:rFonts w:hint="eastAsia" w:ascii="宋体" w:hAnsi="宋体" w:eastAsia="宋体" w:cs="宋体"/>
          <w:color w:val="auto"/>
          <w:sz w:val="24"/>
          <w:szCs w:val="24"/>
          <w:highlight w:val="none"/>
          <w:lang w:eastAsia="zh-CN"/>
        </w:rPr>
        <w:t>合同</w:t>
      </w:r>
      <w:r>
        <w:rPr>
          <w:rFonts w:hint="eastAsia" w:ascii="宋体" w:hAnsi="宋体" w:eastAsia="宋体" w:cs="宋体"/>
          <w:color w:val="auto"/>
          <w:sz w:val="24"/>
          <w:szCs w:val="24"/>
          <w:highlight w:val="none"/>
        </w:rPr>
        <w:t>履行发生困难的，甲方可以中止合同履行并要求乙方承担由此给甲方造成的损失。</w:t>
      </w:r>
    </w:p>
    <w:p w14:paraId="33228CF4">
      <w:pPr>
        <w:keepNext w:val="0"/>
        <w:keepLines w:val="0"/>
        <w:pageBreakBefore w:val="0"/>
        <w:widowControl w:val="0"/>
        <w:kinsoku w:val="0"/>
        <w:wordWrap w:val="0"/>
        <w:overflowPunct/>
        <w:topLinePunct w:val="0"/>
        <w:bidi w:val="0"/>
        <w:snapToGrid w:val="0"/>
        <w:spacing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）甲方不得以行政区划调整、政府换届、机构或者职能调整以及相关责任人更替为由中止合同。</w:t>
      </w:r>
    </w:p>
    <w:p w14:paraId="2C568751">
      <w:pPr>
        <w:keepNext w:val="0"/>
        <w:keepLines w:val="0"/>
        <w:pageBreakBefore w:val="0"/>
        <w:widowControl w:val="0"/>
        <w:kinsoku w:val="0"/>
        <w:wordWrap w:val="0"/>
        <w:overflowPunct/>
        <w:topLinePunct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合同的终止</w:t>
      </w:r>
    </w:p>
    <w:p w14:paraId="3605B161">
      <w:pPr>
        <w:keepNext w:val="0"/>
        <w:keepLines w:val="0"/>
        <w:pageBreakBefore w:val="0"/>
        <w:widowControl w:val="0"/>
        <w:kinsoku w:val="0"/>
        <w:wordWrap w:val="0"/>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（1）合同因有效期限届满而终止；</w:t>
      </w:r>
    </w:p>
    <w:p w14:paraId="663189F0">
      <w:pPr>
        <w:keepNext w:val="0"/>
        <w:keepLines w:val="0"/>
        <w:pageBreakBefore w:val="0"/>
        <w:widowControl w:val="0"/>
        <w:kinsoku w:val="0"/>
        <w:wordWrap w:val="0"/>
        <w:overflowPunct/>
        <w:topLinePunct w:val="0"/>
        <w:bidi w:val="0"/>
        <w:snapToGrid w:val="0"/>
        <w:spacing w:line="480" w:lineRule="exact"/>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（2）乙方未</w:t>
      </w:r>
      <w:r>
        <w:rPr>
          <w:rFonts w:hint="eastAsia" w:ascii="宋体" w:hAnsi="宋体" w:eastAsia="宋体" w:cs="宋体"/>
          <w:color w:val="auto"/>
          <w:sz w:val="24"/>
          <w:szCs w:val="24"/>
          <w:highlight w:val="none"/>
          <w:lang w:eastAsia="zh-CN"/>
        </w:rPr>
        <w:t>按</w:t>
      </w:r>
      <w:r>
        <w:rPr>
          <w:rFonts w:hint="eastAsia" w:ascii="宋体" w:hAnsi="宋体" w:eastAsia="宋体" w:cs="宋体"/>
          <w:color w:val="auto"/>
          <w:sz w:val="24"/>
          <w:szCs w:val="24"/>
          <w:highlight w:val="none"/>
        </w:rPr>
        <w:t>合同约定履行，构成根本性违约的，甲方有权终止合同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并追究乙方的违约责</w:t>
      </w:r>
      <w:r>
        <w:rPr>
          <w:rFonts w:hint="eastAsia" w:ascii="宋体" w:hAnsi="宋体" w:eastAsia="宋体" w:cs="宋体"/>
          <w:color w:val="auto"/>
          <w:sz w:val="24"/>
          <w:szCs w:val="24"/>
          <w:highlight w:val="none"/>
          <w:lang w:val="en-US" w:eastAsia="zh-CN"/>
        </w:rPr>
        <w:t>任</w:t>
      </w:r>
      <w:r>
        <w:rPr>
          <w:rFonts w:hint="eastAsia" w:ascii="宋体" w:hAnsi="宋体" w:eastAsia="宋体" w:cs="宋体"/>
          <w:color w:val="auto"/>
          <w:sz w:val="24"/>
          <w:szCs w:val="24"/>
          <w:highlight w:val="none"/>
        </w:rPr>
        <w:t>。</w:t>
      </w:r>
    </w:p>
    <w:p w14:paraId="20C2BC40">
      <w:pPr>
        <w:pStyle w:val="29"/>
        <w:keepNext w:val="0"/>
        <w:keepLines w:val="0"/>
        <w:pageBreakBefore w:val="0"/>
        <w:widowControl w:val="0"/>
        <w:kinsoku w:val="0"/>
        <w:wordWrap w:val="0"/>
        <w:overflowPunct/>
        <w:topLinePunct w:val="0"/>
        <w:bidi w:val="0"/>
        <w:spacing w:line="48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16.4 </w:t>
      </w:r>
      <w:r>
        <w:rPr>
          <w:rFonts w:hint="eastAsia" w:ascii="宋体" w:hAnsi="宋体" w:eastAsia="宋体" w:cs="宋体"/>
          <w:color w:val="auto"/>
          <w:kern w:val="2"/>
          <w:sz w:val="24"/>
          <w:szCs w:val="24"/>
          <w:highlight w:val="none"/>
          <w:lang w:val="en-US" w:eastAsia="zh-CN"/>
        </w:rPr>
        <w:t>涉及国家利益、社会公共利益的情形</w:t>
      </w:r>
    </w:p>
    <w:p w14:paraId="5C9B5BDF">
      <w:pPr>
        <w:pStyle w:val="29"/>
        <w:keepNext w:val="0"/>
        <w:keepLines w:val="0"/>
        <w:pageBreakBefore w:val="0"/>
        <w:widowControl w:val="0"/>
        <w:kinsoku w:val="0"/>
        <w:wordWrap w:val="0"/>
        <w:overflowPunct/>
        <w:topLinePunct w:val="0"/>
        <w:bidi w:val="0"/>
        <w:spacing w:line="48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政府采购合同继续履行将损害国家利益和社会公共利益的，双方当事人</w:t>
      </w:r>
      <w:r>
        <w:rPr>
          <w:rFonts w:hint="eastAsia" w:ascii="宋体" w:hAnsi="宋体" w:eastAsia="宋体" w:cs="宋体"/>
          <w:color w:val="auto"/>
          <w:sz w:val="24"/>
          <w:szCs w:val="24"/>
          <w:highlight w:val="none"/>
          <w:lang w:val="en-US" w:eastAsia="zh-CN"/>
        </w:rPr>
        <w:t>应当变更、</w:t>
      </w:r>
      <w:r>
        <w:rPr>
          <w:rFonts w:hint="eastAsia" w:ascii="宋体" w:hAnsi="宋体" w:eastAsia="宋体" w:cs="宋体"/>
          <w:color w:val="auto"/>
          <w:sz w:val="24"/>
          <w:szCs w:val="24"/>
          <w:highlight w:val="none"/>
        </w:rPr>
        <w:t>中止</w:t>
      </w:r>
      <w:r>
        <w:rPr>
          <w:rFonts w:hint="eastAsia" w:ascii="宋体" w:hAnsi="宋体" w:eastAsia="宋体" w:cs="宋体"/>
          <w:color w:val="auto"/>
          <w:sz w:val="24"/>
          <w:szCs w:val="24"/>
          <w:highlight w:val="none"/>
          <w:lang w:eastAsia="zh-CN"/>
        </w:rPr>
        <w:t>或者终止</w:t>
      </w:r>
      <w:r>
        <w:rPr>
          <w:rFonts w:hint="eastAsia" w:ascii="宋体" w:hAnsi="宋体" w:eastAsia="宋体" w:cs="宋体"/>
          <w:color w:val="auto"/>
          <w:sz w:val="24"/>
          <w:szCs w:val="24"/>
          <w:highlight w:val="none"/>
        </w:rPr>
        <w:t>合同。有过错的一方应当承担赔偿责任，双方都有过错的，各自承担相应的责任。</w:t>
      </w:r>
    </w:p>
    <w:p w14:paraId="6E75C2A4">
      <w:pPr>
        <w:keepNext w:val="0"/>
        <w:keepLines w:val="0"/>
        <w:pageBreakBefore w:val="0"/>
        <w:widowControl w:val="0"/>
        <w:tabs>
          <w:tab w:val="left" w:pos="8820"/>
          <w:tab w:val="left" w:pos="9345"/>
          <w:tab w:val="left" w:pos="9765"/>
        </w:tabs>
        <w:kinsoku w:val="0"/>
        <w:wordWrap w:val="0"/>
        <w:overflowPunct/>
        <w:topLinePunct w:val="0"/>
        <w:bidi w:val="0"/>
        <w:adjustRightInd w:val="0"/>
        <w:snapToGrid w:val="0"/>
        <w:spacing w:before="0" w:line="480" w:lineRule="exact"/>
        <w:ind w:firstLine="482" w:firstLineChars="200"/>
        <w:jc w:val="left"/>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17.合同分包</w:t>
      </w:r>
    </w:p>
    <w:p w14:paraId="0D65FFB6">
      <w:pPr>
        <w:keepNext w:val="0"/>
        <w:keepLines w:val="0"/>
        <w:pageBreakBefore w:val="0"/>
        <w:widowControl w:val="0"/>
        <w:kinsoku w:val="0"/>
        <w:wordWrap w:val="0"/>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.1 乙方不得</w:t>
      </w:r>
      <w:r>
        <w:rPr>
          <w:rFonts w:hint="eastAsia" w:ascii="宋体" w:hAnsi="宋体" w:eastAsia="宋体" w:cs="宋体"/>
          <w:color w:val="auto"/>
          <w:sz w:val="24"/>
          <w:szCs w:val="24"/>
          <w:highlight w:val="none"/>
          <w:lang w:eastAsia="zh-CN"/>
        </w:rPr>
        <w:t>将合同转包给其他供应商。涉及合同分包的，乙方</w:t>
      </w:r>
      <w:r>
        <w:rPr>
          <w:rFonts w:hint="eastAsia" w:ascii="宋体" w:hAnsi="宋体" w:eastAsia="宋体" w:cs="宋体"/>
          <w:color w:val="auto"/>
          <w:sz w:val="24"/>
          <w:szCs w:val="24"/>
          <w:highlight w:val="none"/>
          <w:lang w:val="en-US" w:eastAsia="zh-CN"/>
        </w:rPr>
        <w:t>应</w:t>
      </w:r>
      <w:r>
        <w:rPr>
          <w:rFonts w:hint="eastAsia" w:ascii="宋体" w:hAnsi="宋体" w:eastAsia="宋体" w:cs="宋体"/>
          <w:color w:val="auto"/>
          <w:sz w:val="24"/>
          <w:szCs w:val="24"/>
          <w:highlight w:val="none"/>
          <w:lang w:eastAsia="zh-CN"/>
        </w:rPr>
        <w:t>根据采购文件和投标（响应）文件规定进行</w:t>
      </w:r>
      <w:r>
        <w:rPr>
          <w:rFonts w:hint="eastAsia" w:ascii="宋体" w:hAnsi="宋体" w:eastAsia="宋体" w:cs="宋体"/>
          <w:color w:val="auto"/>
          <w:sz w:val="24"/>
          <w:szCs w:val="24"/>
          <w:highlight w:val="none"/>
        </w:rPr>
        <w:t>合同分包。</w:t>
      </w:r>
    </w:p>
    <w:p w14:paraId="09D80BFE">
      <w:pPr>
        <w:keepNext w:val="0"/>
        <w:keepLines w:val="0"/>
        <w:pageBreakBefore w:val="0"/>
        <w:widowControl w:val="0"/>
        <w:kinsoku w:val="0"/>
        <w:wordWrap w:val="0"/>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.2 乙方执行政府采购政策向中小企业依法分包的</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乙方应当按采购文件</w:t>
      </w:r>
      <w:r>
        <w:rPr>
          <w:rFonts w:hint="eastAsia" w:ascii="宋体" w:hAnsi="宋体" w:eastAsia="宋体" w:cs="宋体"/>
          <w:color w:val="auto"/>
          <w:sz w:val="24"/>
          <w:szCs w:val="24"/>
          <w:highlight w:val="none"/>
          <w:lang w:eastAsia="zh-CN"/>
        </w:rPr>
        <w:t>和</w:t>
      </w:r>
      <w:r>
        <w:rPr>
          <w:rFonts w:hint="eastAsia" w:ascii="宋体" w:hAnsi="宋体" w:eastAsia="宋体" w:cs="宋体"/>
          <w:color w:val="auto"/>
          <w:sz w:val="24"/>
          <w:szCs w:val="24"/>
          <w:highlight w:val="none"/>
        </w:rPr>
        <w:t>投标（响应）文件签订分包</w:t>
      </w:r>
      <w:r>
        <w:rPr>
          <w:rFonts w:hint="eastAsia" w:ascii="宋体" w:hAnsi="宋体" w:eastAsia="宋体" w:cs="宋体"/>
          <w:color w:val="auto"/>
          <w:sz w:val="24"/>
          <w:szCs w:val="24"/>
          <w:highlight w:val="none"/>
          <w:lang w:eastAsia="zh-CN"/>
        </w:rPr>
        <w:t>意向</w:t>
      </w:r>
      <w:r>
        <w:rPr>
          <w:rFonts w:hint="eastAsia" w:ascii="宋体" w:hAnsi="宋体" w:eastAsia="宋体" w:cs="宋体"/>
          <w:color w:val="auto"/>
          <w:sz w:val="24"/>
          <w:szCs w:val="24"/>
          <w:highlight w:val="none"/>
        </w:rPr>
        <w:t>协议，分包</w:t>
      </w:r>
      <w:r>
        <w:rPr>
          <w:rFonts w:hint="eastAsia" w:ascii="宋体" w:hAnsi="宋体" w:eastAsia="宋体" w:cs="宋体"/>
          <w:color w:val="auto"/>
          <w:sz w:val="24"/>
          <w:szCs w:val="24"/>
          <w:highlight w:val="none"/>
          <w:lang w:eastAsia="zh-CN"/>
        </w:rPr>
        <w:t>意向</w:t>
      </w:r>
      <w:r>
        <w:rPr>
          <w:rFonts w:hint="eastAsia" w:ascii="宋体" w:hAnsi="宋体" w:eastAsia="宋体" w:cs="宋体"/>
          <w:color w:val="auto"/>
          <w:sz w:val="24"/>
          <w:szCs w:val="24"/>
          <w:highlight w:val="none"/>
        </w:rPr>
        <w:t>协议属于本合同组成部分。</w:t>
      </w:r>
    </w:p>
    <w:p w14:paraId="2E715AE7">
      <w:pPr>
        <w:keepNext w:val="0"/>
        <w:keepLines w:val="0"/>
        <w:pageBreakBefore w:val="0"/>
        <w:widowControl w:val="0"/>
        <w:tabs>
          <w:tab w:val="left" w:pos="8820"/>
          <w:tab w:val="left" w:pos="9345"/>
          <w:tab w:val="left" w:pos="9765"/>
        </w:tabs>
        <w:kinsoku w:val="0"/>
        <w:wordWrap w:val="0"/>
        <w:overflowPunct/>
        <w:topLinePunct w:val="0"/>
        <w:bidi w:val="0"/>
        <w:adjustRightInd w:val="0"/>
        <w:snapToGrid w:val="0"/>
        <w:spacing w:before="0" w:line="480" w:lineRule="exact"/>
        <w:ind w:firstLine="482" w:firstLineChars="200"/>
        <w:jc w:val="left"/>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18.不可抗力</w:t>
      </w:r>
    </w:p>
    <w:p w14:paraId="1DA01D72">
      <w:pPr>
        <w:keepNext w:val="0"/>
        <w:keepLines w:val="0"/>
        <w:pageBreakBefore w:val="0"/>
        <w:widowControl w:val="0"/>
        <w:kinsoku w:val="0"/>
        <w:wordWrap w:val="0"/>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.1 不可抗力是指合同双方不能预见、不能避免且不能克服的客观情况。</w:t>
      </w:r>
    </w:p>
    <w:p w14:paraId="3E0345BE">
      <w:pPr>
        <w:keepNext w:val="0"/>
        <w:keepLines w:val="0"/>
        <w:pageBreakBefore w:val="0"/>
        <w:widowControl w:val="0"/>
        <w:kinsoku w:val="0"/>
        <w:wordWrap w:val="0"/>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.2 任何一方对由于不可抗力造成的部分或全部不能履行合同不承担违约责任。但迟延履行后发生不可抗力的，不能免除责任。</w:t>
      </w:r>
    </w:p>
    <w:p w14:paraId="5D507EC9">
      <w:pPr>
        <w:keepNext w:val="0"/>
        <w:keepLines w:val="0"/>
        <w:pageBreakBefore w:val="0"/>
        <w:widowControl w:val="0"/>
        <w:kinsoku w:val="0"/>
        <w:wordWrap w:val="0"/>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.3 遇有不可抗力的一方，应及时将事件情况以书面形式</w:t>
      </w:r>
      <w:r>
        <w:rPr>
          <w:rFonts w:hint="eastAsia" w:ascii="宋体" w:hAnsi="宋体" w:eastAsia="宋体" w:cs="宋体"/>
          <w:color w:val="auto"/>
          <w:sz w:val="24"/>
          <w:szCs w:val="24"/>
          <w:highlight w:val="none"/>
          <w:lang w:eastAsia="zh-CN"/>
        </w:rPr>
        <w:t>告</w:t>
      </w:r>
      <w:r>
        <w:rPr>
          <w:rFonts w:hint="eastAsia" w:ascii="宋体" w:hAnsi="宋体" w:eastAsia="宋体" w:cs="宋体"/>
          <w:color w:val="auto"/>
          <w:sz w:val="24"/>
          <w:szCs w:val="24"/>
          <w:highlight w:val="none"/>
        </w:rPr>
        <w:t>知另一方，并在事件发生后及时向另一方提交合同不能履行或部分不能履行或需要延期履行</w:t>
      </w:r>
      <w:r>
        <w:rPr>
          <w:rFonts w:hint="eastAsia" w:ascii="宋体" w:hAnsi="宋体" w:eastAsia="宋体" w:cs="宋体"/>
          <w:color w:val="auto"/>
          <w:sz w:val="24"/>
          <w:szCs w:val="24"/>
          <w:highlight w:val="none"/>
          <w:lang w:eastAsia="zh-CN"/>
        </w:rPr>
        <w:t>的详细</w:t>
      </w:r>
      <w:r>
        <w:rPr>
          <w:rFonts w:hint="eastAsia" w:ascii="宋体" w:hAnsi="宋体" w:eastAsia="宋体" w:cs="宋体"/>
          <w:color w:val="auto"/>
          <w:sz w:val="24"/>
          <w:szCs w:val="24"/>
          <w:highlight w:val="none"/>
        </w:rPr>
        <w:t>报告</w:t>
      </w:r>
      <w:r>
        <w:rPr>
          <w:rFonts w:hint="eastAsia" w:ascii="宋体" w:hAnsi="宋体" w:eastAsia="宋体" w:cs="宋体"/>
          <w:color w:val="auto"/>
          <w:sz w:val="24"/>
          <w:szCs w:val="24"/>
          <w:highlight w:val="none"/>
          <w:lang w:eastAsia="zh-CN"/>
        </w:rPr>
        <w:t>，以</w:t>
      </w:r>
      <w:r>
        <w:rPr>
          <w:rFonts w:hint="eastAsia" w:ascii="宋体" w:hAnsi="宋体" w:eastAsia="宋体" w:cs="宋体"/>
          <w:color w:val="auto"/>
          <w:sz w:val="24"/>
          <w:szCs w:val="24"/>
          <w:highlight w:val="none"/>
          <w:lang w:val="en-US" w:eastAsia="zh-CN"/>
        </w:rPr>
        <w:t>及证明不可抗力发生及其持续时间的证据</w:t>
      </w:r>
      <w:r>
        <w:rPr>
          <w:rFonts w:hint="eastAsia" w:ascii="宋体" w:hAnsi="宋体" w:eastAsia="宋体" w:cs="宋体"/>
          <w:color w:val="auto"/>
          <w:sz w:val="24"/>
          <w:szCs w:val="24"/>
          <w:highlight w:val="none"/>
        </w:rPr>
        <w:t>。</w:t>
      </w:r>
    </w:p>
    <w:p w14:paraId="1DCA6DA9">
      <w:pPr>
        <w:keepNext w:val="0"/>
        <w:keepLines w:val="0"/>
        <w:pageBreakBefore w:val="0"/>
        <w:widowControl w:val="0"/>
        <w:tabs>
          <w:tab w:val="left" w:pos="8820"/>
          <w:tab w:val="left" w:pos="9345"/>
          <w:tab w:val="left" w:pos="9765"/>
        </w:tabs>
        <w:kinsoku w:val="0"/>
        <w:wordWrap w:val="0"/>
        <w:overflowPunct/>
        <w:topLinePunct w:val="0"/>
        <w:bidi w:val="0"/>
        <w:adjustRightInd w:val="0"/>
        <w:snapToGrid w:val="0"/>
        <w:spacing w:before="0" w:line="480" w:lineRule="exact"/>
        <w:ind w:firstLine="482" w:firstLineChars="200"/>
        <w:jc w:val="left"/>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19.解决争议的方法</w:t>
      </w:r>
    </w:p>
    <w:p w14:paraId="7BC373F6">
      <w:pPr>
        <w:pStyle w:val="29"/>
        <w:keepNext w:val="0"/>
        <w:keepLines w:val="0"/>
        <w:pageBreakBefore w:val="0"/>
        <w:widowControl w:val="0"/>
        <w:kinsoku w:val="0"/>
        <w:wordWrap w:val="0"/>
        <w:overflowPunct/>
        <w:topLinePunct w:val="0"/>
        <w:bidi w:val="0"/>
        <w:spacing w:line="48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19</w:t>
      </w:r>
      <w:r>
        <w:rPr>
          <w:rFonts w:hint="eastAsia" w:ascii="宋体" w:hAnsi="宋体" w:eastAsia="宋体" w:cs="宋体"/>
          <w:color w:val="auto"/>
          <w:sz w:val="24"/>
          <w:szCs w:val="24"/>
          <w:highlight w:val="none"/>
        </w:rPr>
        <w:t>.1 因本合同及合同有关事项发生的争议，由</w:t>
      </w:r>
      <w:r>
        <w:rPr>
          <w:rFonts w:hint="eastAsia" w:ascii="宋体" w:hAnsi="宋体" w:eastAsia="宋体" w:cs="宋体"/>
          <w:color w:val="auto"/>
          <w:sz w:val="24"/>
          <w:szCs w:val="24"/>
          <w:highlight w:val="none"/>
          <w:lang w:eastAsia="zh-CN"/>
        </w:rPr>
        <w:t>甲乙双</w:t>
      </w:r>
      <w:r>
        <w:rPr>
          <w:rFonts w:hint="eastAsia" w:ascii="宋体" w:hAnsi="宋体" w:eastAsia="宋体" w:cs="宋体"/>
          <w:color w:val="auto"/>
          <w:sz w:val="24"/>
          <w:szCs w:val="24"/>
          <w:highlight w:val="none"/>
        </w:rPr>
        <w:t>方友好协商解决。协商不成时，可以</w:t>
      </w:r>
      <w:r>
        <w:rPr>
          <w:rFonts w:hint="eastAsia" w:ascii="宋体" w:hAnsi="宋体" w:eastAsia="宋体" w:cs="宋体"/>
          <w:color w:val="auto"/>
          <w:sz w:val="24"/>
          <w:szCs w:val="24"/>
          <w:highlight w:val="none"/>
          <w:lang w:eastAsia="zh-CN"/>
        </w:rPr>
        <w:t>向有关组织申请</w:t>
      </w:r>
      <w:r>
        <w:rPr>
          <w:rFonts w:hint="eastAsia" w:ascii="宋体" w:hAnsi="宋体" w:eastAsia="宋体" w:cs="宋体"/>
          <w:color w:val="auto"/>
          <w:sz w:val="24"/>
          <w:szCs w:val="24"/>
          <w:highlight w:val="none"/>
        </w:rPr>
        <w:t>调解。合同一方或</w:t>
      </w:r>
      <w:r>
        <w:rPr>
          <w:rFonts w:hint="eastAsia" w:ascii="宋体" w:hAnsi="宋体" w:eastAsia="宋体" w:cs="宋体"/>
          <w:color w:val="auto"/>
          <w:sz w:val="24"/>
          <w:szCs w:val="24"/>
          <w:highlight w:val="none"/>
          <w:lang w:eastAsia="zh-CN"/>
        </w:rPr>
        <w:t>双</w:t>
      </w:r>
      <w:r>
        <w:rPr>
          <w:rFonts w:hint="eastAsia" w:ascii="宋体" w:hAnsi="宋体" w:eastAsia="宋体" w:cs="宋体"/>
          <w:color w:val="auto"/>
          <w:sz w:val="24"/>
          <w:szCs w:val="24"/>
          <w:highlight w:val="none"/>
        </w:rPr>
        <w:t>方不愿调解或调解不成的，可以通过仲裁或诉讼的方式解决争议。</w:t>
      </w:r>
    </w:p>
    <w:p w14:paraId="7CD08BB6">
      <w:pPr>
        <w:pStyle w:val="29"/>
        <w:keepNext w:val="0"/>
        <w:keepLines w:val="0"/>
        <w:pageBreakBefore w:val="0"/>
        <w:widowControl w:val="0"/>
        <w:kinsoku w:val="0"/>
        <w:wordWrap w:val="0"/>
        <w:overflowPunct/>
        <w:topLinePunct w:val="0"/>
        <w:bidi w:val="0"/>
        <w:spacing w:line="48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19</w:t>
      </w:r>
      <w:r>
        <w:rPr>
          <w:rFonts w:hint="eastAsia" w:ascii="宋体" w:hAnsi="宋体" w:eastAsia="宋体" w:cs="宋体"/>
          <w:color w:val="auto"/>
          <w:sz w:val="24"/>
          <w:szCs w:val="24"/>
          <w:highlight w:val="none"/>
        </w:rPr>
        <w:t>.2 选择仲裁的，应在</w:t>
      </w:r>
      <w:r>
        <w:rPr>
          <w:rFonts w:hint="eastAsia" w:ascii="宋体" w:hAnsi="宋体" w:eastAsia="宋体" w:cs="宋体"/>
          <w:b/>
          <w:bCs/>
          <w:color w:val="auto"/>
          <w:sz w:val="24"/>
          <w:szCs w:val="24"/>
          <w:highlight w:val="none"/>
        </w:rPr>
        <w:t>【政府采购合同专用条款】</w:t>
      </w:r>
      <w:r>
        <w:rPr>
          <w:rFonts w:hint="eastAsia" w:ascii="宋体" w:hAnsi="宋体" w:eastAsia="宋体" w:cs="宋体"/>
          <w:color w:val="auto"/>
          <w:sz w:val="24"/>
          <w:szCs w:val="24"/>
          <w:highlight w:val="none"/>
        </w:rPr>
        <w:t>中明确仲裁机构及仲裁地；通过诉讼方式解决的，可以在</w:t>
      </w:r>
      <w:r>
        <w:rPr>
          <w:rFonts w:hint="eastAsia" w:ascii="宋体" w:hAnsi="宋体" w:eastAsia="宋体" w:cs="宋体"/>
          <w:b/>
          <w:bCs/>
          <w:color w:val="auto"/>
          <w:sz w:val="24"/>
          <w:szCs w:val="24"/>
          <w:highlight w:val="none"/>
        </w:rPr>
        <w:t>【政府采购合同专用条款】</w:t>
      </w:r>
      <w:r>
        <w:rPr>
          <w:rFonts w:hint="eastAsia" w:ascii="宋体" w:hAnsi="宋体" w:eastAsia="宋体" w:cs="宋体"/>
          <w:color w:val="auto"/>
          <w:sz w:val="24"/>
          <w:szCs w:val="24"/>
          <w:highlight w:val="none"/>
        </w:rPr>
        <w:t>中进一步约定选择与争议有实际联系的地点的人民法院管辖，但管辖法院的约定不得违反级别管辖和专属管辖的规定。</w:t>
      </w:r>
    </w:p>
    <w:p w14:paraId="5F13AB59">
      <w:pPr>
        <w:pStyle w:val="29"/>
        <w:keepNext w:val="0"/>
        <w:keepLines w:val="0"/>
        <w:pageBreakBefore w:val="0"/>
        <w:widowControl w:val="0"/>
        <w:kinsoku w:val="0"/>
        <w:wordWrap w:val="0"/>
        <w:overflowPunct/>
        <w:topLinePunct w:val="0"/>
        <w:bidi w:val="0"/>
        <w:spacing w:line="48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19</w:t>
      </w:r>
      <w:r>
        <w:rPr>
          <w:rFonts w:hint="eastAsia" w:ascii="宋体" w:hAnsi="宋体" w:eastAsia="宋体" w:cs="宋体"/>
          <w:color w:val="auto"/>
          <w:sz w:val="24"/>
          <w:szCs w:val="24"/>
          <w:highlight w:val="none"/>
        </w:rPr>
        <w:t>.3 如</w:t>
      </w:r>
      <w:r>
        <w:rPr>
          <w:rFonts w:hint="eastAsia" w:ascii="宋体" w:hAnsi="宋体" w:eastAsia="宋体" w:cs="宋体"/>
          <w:color w:val="auto"/>
          <w:sz w:val="24"/>
          <w:szCs w:val="24"/>
          <w:highlight w:val="none"/>
          <w:lang w:eastAsia="zh-CN"/>
        </w:rPr>
        <w:t>甲乙双方</w:t>
      </w:r>
      <w:r>
        <w:rPr>
          <w:rFonts w:hint="eastAsia" w:ascii="宋体" w:hAnsi="宋体" w:eastAsia="宋体" w:cs="宋体"/>
          <w:color w:val="auto"/>
          <w:sz w:val="24"/>
          <w:szCs w:val="24"/>
          <w:highlight w:val="none"/>
        </w:rPr>
        <w:t>有争议的事项不影响合同其他部分的履行，在争议解决期间，合同其他部分应</w:t>
      </w:r>
      <w:r>
        <w:rPr>
          <w:rFonts w:hint="eastAsia" w:ascii="宋体" w:hAnsi="宋体" w:eastAsia="宋体" w:cs="宋体"/>
          <w:color w:val="auto"/>
          <w:sz w:val="24"/>
          <w:szCs w:val="24"/>
          <w:highlight w:val="none"/>
          <w:lang w:eastAsia="zh-CN"/>
        </w:rPr>
        <w:t>当</w:t>
      </w:r>
      <w:r>
        <w:rPr>
          <w:rFonts w:hint="eastAsia" w:ascii="宋体" w:hAnsi="宋体" w:eastAsia="宋体" w:cs="宋体"/>
          <w:color w:val="auto"/>
          <w:sz w:val="24"/>
          <w:szCs w:val="24"/>
          <w:highlight w:val="none"/>
        </w:rPr>
        <w:t>继续履行。</w:t>
      </w:r>
    </w:p>
    <w:p w14:paraId="5697944B">
      <w:pPr>
        <w:keepNext w:val="0"/>
        <w:keepLines w:val="0"/>
        <w:pageBreakBefore w:val="0"/>
        <w:widowControl w:val="0"/>
        <w:tabs>
          <w:tab w:val="left" w:pos="8820"/>
          <w:tab w:val="left" w:pos="9345"/>
          <w:tab w:val="left" w:pos="9765"/>
        </w:tabs>
        <w:kinsoku w:val="0"/>
        <w:wordWrap w:val="0"/>
        <w:overflowPunct/>
        <w:topLinePunct w:val="0"/>
        <w:bidi w:val="0"/>
        <w:adjustRightInd w:val="0"/>
        <w:snapToGrid w:val="0"/>
        <w:spacing w:before="0" w:line="480" w:lineRule="exact"/>
        <w:ind w:firstLine="482" w:firstLineChars="200"/>
        <w:jc w:val="left"/>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20.政府采购政策</w:t>
      </w:r>
    </w:p>
    <w:p w14:paraId="78757037">
      <w:pPr>
        <w:keepNext w:val="0"/>
        <w:keepLines w:val="0"/>
        <w:pageBreakBefore w:val="0"/>
        <w:widowControl w:val="0"/>
        <w:kinsoku w:val="0"/>
        <w:wordWrap w:val="0"/>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20.1 </w:t>
      </w:r>
      <w:r>
        <w:rPr>
          <w:rFonts w:hint="eastAsia" w:ascii="宋体" w:hAnsi="宋体" w:eastAsia="宋体" w:cs="宋体"/>
          <w:color w:val="auto"/>
          <w:sz w:val="24"/>
          <w:szCs w:val="24"/>
          <w:highlight w:val="none"/>
          <w:lang w:val="en-GB"/>
        </w:rPr>
        <w:t>本合同应当按照规定执行政府采购政策。</w:t>
      </w:r>
    </w:p>
    <w:p w14:paraId="1AC0DB51">
      <w:pPr>
        <w:keepNext w:val="0"/>
        <w:keepLines w:val="0"/>
        <w:pageBreakBefore w:val="0"/>
        <w:widowControl w:val="0"/>
        <w:kinsoku w:val="0"/>
        <w:wordWrap w:val="0"/>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 xml:space="preserve"> 本合同依法执行政府采购政策的方式和内容，属于合同履约验收的范围。</w:t>
      </w:r>
      <w:r>
        <w:rPr>
          <w:rFonts w:hint="eastAsia" w:ascii="宋体" w:hAnsi="宋体" w:eastAsia="宋体" w:cs="宋体"/>
          <w:color w:val="auto"/>
          <w:sz w:val="24"/>
          <w:szCs w:val="24"/>
          <w:highlight w:val="none"/>
          <w:lang w:eastAsia="zh-CN"/>
        </w:rPr>
        <w:t>甲乙双方</w:t>
      </w:r>
      <w:r>
        <w:rPr>
          <w:rFonts w:hint="eastAsia" w:ascii="宋体" w:hAnsi="宋体" w:eastAsia="宋体" w:cs="宋体"/>
          <w:color w:val="auto"/>
          <w:sz w:val="24"/>
          <w:szCs w:val="24"/>
          <w:highlight w:val="none"/>
          <w:lang w:val="en-GB"/>
        </w:rPr>
        <w:t>未按规定要求执行政府采购政策造成损失的</w:t>
      </w:r>
      <w:r>
        <w:rPr>
          <w:rFonts w:hint="eastAsia" w:ascii="宋体" w:hAnsi="宋体" w:eastAsia="宋体" w:cs="宋体"/>
          <w:color w:val="auto"/>
          <w:sz w:val="24"/>
          <w:szCs w:val="24"/>
          <w:highlight w:val="none"/>
        </w:rPr>
        <w:t>，有过错的一方应当承担赔偿责任，双方都有过错的，各自承担相应的责任。</w:t>
      </w:r>
    </w:p>
    <w:p w14:paraId="3B9D25D5">
      <w:pPr>
        <w:pStyle w:val="9"/>
        <w:keepNext w:val="0"/>
        <w:keepLines w:val="0"/>
        <w:pageBreakBefore w:val="0"/>
        <w:widowControl w:val="0"/>
        <w:kinsoku w:val="0"/>
        <w:wordWrap w:val="0"/>
        <w:overflowPunct/>
        <w:topLinePunct w:val="0"/>
        <w:bidi w:val="0"/>
        <w:spacing w:after="0"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xml:space="preserve"> 对于</w:t>
      </w:r>
      <w:r>
        <w:rPr>
          <w:rFonts w:hint="eastAsia" w:ascii="宋体" w:hAnsi="宋体" w:eastAsia="宋体" w:cs="宋体"/>
          <w:color w:val="auto"/>
          <w:sz w:val="24"/>
          <w:szCs w:val="24"/>
          <w:highlight w:val="none"/>
          <w:lang w:eastAsia="zh-CN"/>
        </w:rPr>
        <w:t>为落实中小企业支持政策，</w:t>
      </w:r>
      <w:r>
        <w:rPr>
          <w:rFonts w:hint="eastAsia" w:ascii="宋体" w:hAnsi="宋体" w:eastAsia="宋体" w:cs="宋体"/>
          <w:color w:val="auto"/>
          <w:sz w:val="24"/>
          <w:szCs w:val="24"/>
          <w:highlight w:val="none"/>
        </w:rPr>
        <w:t>通过采购项目</w:t>
      </w:r>
      <w:r>
        <w:rPr>
          <w:rFonts w:hint="eastAsia" w:ascii="宋体" w:hAnsi="宋体" w:eastAsia="宋体" w:cs="宋体"/>
          <w:color w:val="auto"/>
          <w:sz w:val="24"/>
          <w:szCs w:val="24"/>
          <w:highlight w:val="none"/>
          <w:lang w:eastAsia="zh-CN"/>
        </w:rPr>
        <w:t>整体</w:t>
      </w:r>
      <w:r>
        <w:rPr>
          <w:rFonts w:hint="eastAsia" w:ascii="宋体" w:hAnsi="宋体" w:eastAsia="宋体" w:cs="宋体"/>
          <w:color w:val="auto"/>
          <w:sz w:val="24"/>
          <w:szCs w:val="24"/>
          <w:highlight w:val="none"/>
        </w:rPr>
        <w:t>预留、</w:t>
      </w:r>
      <w:r>
        <w:rPr>
          <w:rFonts w:hint="eastAsia" w:ascii="宋体" w:hAnsi="宋体" w:eastAsia="宋体" w:cs="宋体"/>
          <w:color w:val="auto"/>
          <w:sz w:val="24"/>
          <w:szCs w:val="24"/>
          <w:highlight w:val="none"/>
          <w:lang w:eastAsia="zh-CN"/>
        </w:rPr>
        <w:t>设置</w:t>
      </w:r>
      <w:r>
        <w:rPr>
          <w:rFonts w:hint="eastAsia" w:ascii="宋体" w:hAnsi="宋体" w:eastAsia="宋体" w:cs="宋体"/>
          <w:color w:val="auto"/>
          <w:sz w:val="24"/>
          <w:szCs w:val="24"/>
          <w:highlight w:val="none"/>
        </w:rPr>
        <w:t>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6C5A8F72">
      <w:pPr>
        <w:keepNext w:val="0"/>
        <w:keepLines w:val="0"/>
        <w:pageBreakBefore w:val="0"/>
        <w:widowControl w:val="0"/>
        <w:tabs>
          <w:tab w:val="left" w:pos="8820"/>
          <w:tab w:val="left" w:pos="9345"/>
          <w:tab w:val="left" w:pos="9765"/>
        </w:tabs>
        <w:kinsoku w:val="0"/>
        <w:wordWrap w:val="0"/>
        <w:overflowPunct/>
        <w:topLinePunct w:val="0"/>
        <w:bidi w:val="0"/>
        <w:adjustRightInd w:val="0"/>
        <w:snapToGrid w:val="0"/>
        <w:spacing w:before="0" w:line="480" w:lineRule="exact"/>
        <w:ind w:firstLine="482" w:firstLineChars="200"/>
        <w:jc w:val="left"/>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21.法律适用</w:t>
      </w:r>
    </w:p>
    <w:p w14:paraId="7E203072">
      <w:pPr>
        <w:pStyle w:val="29"/>
        <w:keepNext w:val="0"/>
        <w:keepLines w:val="0"/>
        <w:pageBreakBefore w:val="0"/>
        <w:widowControl w:val="0"/>
        <w:kinsoku w:val="0"/>
        <w:wordWrap w:val="0"/>
        <w:overflowPunct/>
        <w:topLinePunct w:val="0"/>
        <w:bidi w:val="0"/>
        <w:spacing w:line="48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 本合同的订立、生效、解释、履行及与本合同有关的争议解决，均适用法律、行政法规。</w:t>
      </w:r>
    </w:p>
    <w:p w14:paraId="63A9B3A2">
      <w:pPr>
        <w:pStyle w:val="29"/>
        <w:keepNext w:val="0"/>
        <w:keepLines w:val="0"/>
        <w:pageBreakBefore w:val="0"/>
        <w:widowControl w:val="0"/>
        <w:kinsoku w:val="0"/>
        <w:wordWrap w:val="0"/>
        <w:overflowPunct/>
        <w:topLinePunct w:val="0"/>
        <w:bidi w:val="0"/>
        <w:spacing w:line="48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 本合同条款与法律、行政法规的强制性规定不一致的，双方当事人应按照法律、行政法规的强制性规定修改本合同的相关条款。</w:t>
      </w:r>
    </w:p>
    <w:p w14:paraId="39BC634E">
      <w:pPr>
        <w:keepNext w:val="0"/>
        <w:keepLines w:val="0"/>
        <w:pageBreakBefore w:val="0"/>
        <w:widowControl w:val="0"/>
        <w:tabs>
          <w:tab w:val="left" w:pos="8820"/>
          <w:tab w:val="left" w:pos="9345"/>
          <w:tab w:val="left" w:pos="9765"/>
        </w:tabs>
        <w:kinsoku w:val="0"/>
        <w:wordWrap w:val="0"/>
        <w:overflowPunct/>
        <w:topLinePunct w:val="0"/>
        <w:bidi w:val="0"/>
        <w:adjustRightInd w:val="0"/>
        <w:snapToGrid w:val="0"/>
        <w:spacing w:before="0" w:line="480" w:lineRule="exact"/>
        <w:ind w:firstLine="482" w:firstLineChars="200"/>
        <w:jc w:val="left"/>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22.通知</w:t>
      </w:r>
    </w:p>
    <w:p w14:paraId="76402F52">
      <w:pPr>
        <w:pStyle w:val="29"/>
        <w:keepNext w:val="0"/>
        <w:keepLines w:val="0"/>
        <w:pageBreakBefore w:val="0"/>
        <w:widowControl w:val="0"/>
        <w:kinsoku w:val="0"/>
        <w:wordWrap w:val="0"/>
        <w:overflowPunct/>
        <w:topLinePunct w:val="0"/>
        <w:bidi w:val="0"/>
        <w:spacing w:line="48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本合同任何一方向对方发出的通知、信件、数据电文等，应当发送至本合同第一部分《政府采购合同协议书》所约定的通讯地址、联系人、联系电话或电子邮箱。</w:t>
      </w:r>
    </w:p>
    <w:p w14:paraId="687BBC8B">
      <w:pPr>
        <w:pStyle w:val="29"/>
        <w:keepNext w:val="0"/>
        <w:keepLines w:val="0"/>
        <w:pageBreakBefore w:val="0"/>
        <w:widowControl w:val="0"/>
        <w:kinsoku w:val="0"/>
        <w:wordWrap w:val="0"/>
        <w:overflowPunct/>
        <w:topLinePunct w:val="0"/>
        <w:bidi w:val="0"/>
        <w:spacing w:line="48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一方当事人变更名称、</w:t>
      </w:r>
      <w:r>
        <w:rPr>
          <w:rFonts w:hint="eastAsia" w:ascii="宋体" w:hAnsi="宋体" w:eastAsia="宋体" w:cs="宋体"/>
          <w:color w:val="auto"/>
          <w:sz w:val="24"/>
          <w:szCs w:val="24"/>
          <w:highlight w:val="none"/>
          <w:lang w:eastAsia="zh-CN"/>
        </w:rPr>
        <w:t>住所</w:t>
      </w:r>
      <w:r>
        <w:rPr>
          <w:rFonts w:hint="eastAsia" w:ascii="宋体" w:hAnsi="宋体" w:eastAsia="宋体" w:cs="宋体"/>
          <w:color w:val="auto"/>
          <w:sz w:val="24"/>
          <w:szCs w:val="24"/>
          <w:highlight w:val="none"/>
        </w:rPr>
        <w:t>、联系人、联系电话或电子邮箱</w:t>
      </w:r>
      <w:r>
        <w:rPr>
          <w:rFonts w:hint="eastAsia" w:ascii="宋体" w:hAnsi="宋体" w:eastAsia="宋体" w:cs="宋体"/>
          <w:color w:val="auto"/>
          <w:sz w:val="24"/>
          <w:szCs w:val="24"/>
          <w:highlight w:val="none"/>
          <w:lang w:eastAsia="zh-CN"/>
        </w:rPr>
        <w:t>等信息</w:t>
      </w:r>
      <w:r>
        <w:rPr>
          <w:rFonts w:hint="eastAsia" w:ascii="宋体" w:hAnsi="宋体" w:eastAsia="宋体" w:cs="宋体"/>
          <w:color w:val="auto"/>
          <w:sz w:val="24"/>
          <w:szCs w:val="24"/>
          <w:highlight w:val="none"/>
        </w:rPr>
        <w:t>的，应当在变更后3日内及时书面通知对方，对方实际收到变更通知前的送达仍为有效送达。</w:t>
      </w:r>
    </w:p>
    <w:p w14:paraId="6C4A7714">
      <w:pPr>
        <w:keepNext w:val="0"/>
        <w:keepLines w:val="0"/>
        <w:pageBreakBefore w:val="0"/>
        <w:widowControl w:val="0"/>
        <w:kinsoku w:val="0"/>
        <w:wordWrap w:val="0"/>
        <w:overflowPunct/>
        <w:topLinePunct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本合同一方给另一方的通知均应采用书面形式，传真或快递送到本合同中规定的对方的地址和办理签收手续。</w:t>
      </w:r>
    </w:p>
    <w:p w14:paraId="489F6510">
      <w:pPr>
        <w:keepNext w:val="0"/>
        <w:keepLines w:val="0"/>
        <w:pageBreakBefore w:val="0"/>
        <w:widowControl w:val="0"/>
        <w:kinsoku w:val="0"/>
        <w:wordWrap w:val="0"/>
        <w:overflowPunct/>
        <w:topLinePunct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通知以送达之日或通知书中规定的生效之日起生效，两者中以较迟之日为准。</w:t>
      </w:r>
    </w:p>
    <w:p w14:paraId="42B5C1FE">
      <w:pPr>
        <w:keepNext w:val="0"/>
        <w:keepLines w:val="0"/>
        <w:pageBreakBefore w:val="0"/>
        <w:widowControl w:val="0"/>
        <w:tabs>
          <w:tab w:val="left" w:pos="8820"/>
          <w:tab w:val="left" w:pos="9345"/>
          <w:tab w:val="left" w:pos="9765"/>
        </w:tabs>
        <w:kinsoku w:val="0"/>
        <w:wordWrap w:val="0"/>
        <w:overflowPunct/>
        <w:topLinePunct w:val="0"/>
        <w:bidi w:val="0"/>
        <w:adjustRightInd w:val="0"/>
        <w:snapToGrid w:val="0"/>
        <w:spacing w:before="0" w:line="480" w:lineRule="exact"/>
        <w:ind w:firstLine="482" w:firstLineChars="200"/>
        <w:jc w:val="left"/>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23.合同未尽事项</w:t>
      </w:r>
    </w:p>
    <w:p w14:paraId="7C063219">
      <w:pPr>
        <w:keepNext w:val="0"/>
        <w:keepLines w:val="0"/>
        <w:pageBreakBefore w:val="0"/>
        <w:widowControl w:val="0"/>
        <w:kinsoku w:val="0"/>
        <w:wordWrap w:val="0"/>
        <w:overflowPunct/>
        <w:topLinePunct w:val="0"/>
        <w:bidi w:val="0"/>
        <w:adjustRightInd w:val="0"/>
        <w:snapToGrid w:val="0"/>
        <w:spacing w:before="0" w:line="480" w:lineRule="exact"/>
        <w:ind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.1合同未尽事项见</w:t>
      </w:r>
      <w:r>
        <w:rPr>
          <w:rFonts w:hint="eastAsia" w:ascii="宋体" w:hAnsi="宋体" w:eastAsia="宋体" w:cs="宋体"/>
          <w:b/>
          <w:color w:val="auto"/>
          <w:sz w:val="24"/>
          <w:szCs w:val="24"/>
          <w:highlight w:val="none"/>
        </w:rPr>
        <w:t>【政府采购合同专用条款】</w:t>
      </w:r>
      <w:r>
        <w:rPr>
          <w:rFonts w:hint="eastAsia" w:ascii="宋体" w:hAnsi="宋体" w:eastAsia="宋体" w:cs="宋体"/>
          <w:bCs/>
          <w:color w:val="auto"/>
          <w:sz w:val="24"/>
          <w:szCs w:val="24"/>
          <w:highlight w:val="none"/>
        </w:rPr>
        <w:t>。</w:t>
      </w:r>
    </w:p>
    <w:p w14:paraId="1B1CAF25">
      <w:pPr>
        <w:keepNext w:val="0"/>
        <w:keepLines w:val="0"/>
        <w:pageBreakBefore w:val="0"/>
        <w:widowControl w:val="0"/>
        <w:kinsoku w:val="0"/>
        <w:wordWrap w:val="0"/>
        <w:overflowPunct/>
        <w:topLinePunct w:val="0"/>
        <w:bidi w:val="0"/>
        <w:adjustRightInd w:val="0"/>
        <w:snapToGrid w:val="0"/>
        <w:spacing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23.2 合同附件与合同正文具有同等的法律效力。</w:t>
      </w:r>
      <w:bookmarkStart w:id="89" w:name="_Toc20313"/>
    </w:p>
    <w:p w14:paraId="6A1598E4">
      <w:pPr>
        <w:keepNext w:val="0"/>
        <w:keepLines w:val="0"/>
        <w:pageBreakBefore w:val="0"/>
        <w:widowControl w:val="0"/>
        <w:kinsoku w:val="0"/>
        <w:wordWrap w:val="0"/>
        <w:bidi w:val="0"/>
        <w:adjustRightInd w:val="0"/>
        <w:snapToGrid w:val="0"/>
        <w:jc w:val="center"/>
        <w:textAlignment w:val="auto"/>
        <w:rPr>
          <w:rFonts w:hint="eastAsia" w:ascii="黑体" w:hAnsi="华文中宋" w:eastAsia="黑体"/>
          <w:b w:val="0"/>
          <w:bCs w:val="0"/>
          <w:color w:val="auto"/>
          <w:sz w:val="28"/>
          <w:szCs w:val="28"/>
          <w:highlight w:val="none"/>
        </w:rPr>
      </w:pPr>
      <w:r>
        <w:rPr>
          <w:rFonts w:hint="eastAsia" w:ascii="黑体" w:hAnsi="华文中宋" w:eastAsia="黑体"/>
          <w:b w:val="0"/>
          <w:bCs w:val="0"/>
          <w:color w:val="auto"/>
          <w:sz w:val="28"/>
          <w:szCs w:val="28"/>
          <w:highlight w:val="none"/>
        </w:rPr>
        <w:br w:type="page"/>
      </w:r>
    </w:p>
    <w:p w14:paraId="7BFF2C86">
      <w:pPr>
        <w:keepNext w:val="0"/>
        <w:keepLines w:val="0"/>
        <w:pageBreakBefore w:val="0"/>
        <w:widowControl w:val="0"/>
        <w:kinsoku w:val="0"/>
        <w:wordWrap w:val="0"/>
        <w:bidi w:val="0"/>
        <w:adjustRightInd w:val="0"/>
        <w:snapToGrid w:val="0"/>
        <w:jc w:val="center"/>
        <w:textAlignment w:val="auto"/>
        <w:outlineLvl w:val="1"/>
        <w:rPr>
          <w:rFonts w:ascii="黑体" w:hAnsi="华文中宋" w:eastAsia="黑体"/>
          <w:b w:val="0"/>
          <w:bCs w:val="0"/>
          <w:color w:val="auto"/>
          <w:sz w:val="28"/>
          <w:szCs w:val="28"/>
          <w:highlight w:val="none"/>
        </w:rPr>
      </w:pPr>
      <w:bookmarkStart w:id="90" w:name="_Toc28936"/>
      <w:bookmarkStart w:id="91" w:name="_Toc15895"/>
      <w:r>
        <w:rPr>
          <w:rFonts w:hint="eastAsia" w:ascii="黑体" w:hAnsi="华文中宋" w:eastAsia="黑体"/>
          <w:b w:val="0"/>
          <w:bCs w:val="0"/>
          <w:color w:val="auto"/>
          <w:sz w:val="28"/>
          <w:szCs w:val="28"/>
          <w:highlight w:val="none"/>
        </w:rPr>
        <w:t>第三节 政府采购合同专用条款</w:t>
      </w:r>
      <w:bookmarkEnd w:id="89"/>
      <w:bookmarkEnd w:id="90"/>
      <w:bookmarkEnd w:id="91"/>
    </w:p>
    <w:tbl>
      <w:tblPr>
        <w:tblStyle w:val="21"/>
        <w:tblW w:w="8628" w:type="dxa"/>
        <w:tblInd w:w="31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320"/>
        <w:gridCol w:w="1827"/>
        <w:gridCol w:w="5481"/>
      </w:tblGrid>
      <w:tr w14:paraId="5031D14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320" w:type="dxa"/>
            <w:vAlign w:val="center"/>
          </w:tcPr>
          <w:p w14:paraId="2265C132">
            <w:pPr>
              <w:keepNext w:val="0"/>
              <w:keepLines w:val="0"/>
              <w:pageBreakBefore w:val="0"/>
              <w:widowControl w:val="0"/>
              <w:kinsoku w:val="0"/>
              <w:wordWrap w:val="0"/>
              <w:overflowPunct/>
              <w:topLinePunct w:val="0"/>
              <w:bidi w:val="0"/>
              <w:adjustRightInd w:val="0"/>
              <w:snapToGrid w:val="0"/>
              <w:spacing w:line="360" w:lineRule="exact"/>
              <w:jc w:val="center"/>
              <w:textAlignment w:val="auto"/>
              <w:rPr>
                <w:rFonts w:ascii="宋体" w:hAnsi="宋体"/>
                <w:color w:val="auto"/>
                <w:sz w:val="24"/>
                <w:szCs w:val="24"/>
                <w:highlight w:val="none"/>
              </w:rPr>
            </w:pPr>
            <w:r>
              <w:rPr>
                <w:rFonts w:hint="eastAsia" w:ascii="宋体" w:hAnsi="宋体"/>
                <w:color w:val="auto"/>
                <w:sz w:val="24"/>
                <w:szCs w:val="24"/>
                <w:highlight w:val="none"/>
              </w:rPr>
              <w:t>第二节</w:t>
            </w:r>
          </w:p>
          <w:p w14:paraId="2BFB3505">
            <w:pPr>
              <w:keepNext w:val="0"/>
              <w:keepLines w:val="0"/>
              <w:pageBreakBefore w:val="0"/>
              <w:widowControl w:val="0"/>
              <w:kinsoku w:val="0"/>
              <w:wordWrap w:val="0"/>
              <w:overflowPunct/>
              <w:topLinePunct w:val="0"/>
              <w:bidi w:val="0"/>
              <w:adjustRightInd w:val="0"/>
              <w:snapToGrid w:val="0"/>
              <w:spacing w:line="360" w:lineRule="exact"/>
              <w:jc w:val="center"/>
              <w:textAlignment w:val="auto"/>
              <w:rPr>
                <w:rFonts w:ascii="宋体" w:hAnsi="宋体"/>
                <w:color w:val="auto"/>
                <w:sz w:val="24"/>
                <w:szCs w:val="24"/>
                <w:highlight w:val="none"/>
              </w:rPr>
            </w:pPr>
            <w:r>
              <w:rPr>
                <w:rFonts w:hint="eastAsia" w:ascii="宋体" w:hAnsi="宋体"/>
                <w:color w:val="auto"/>
                <w:sz w:val="24"/>
                <w:szCs w:val="24"/>
                <w:highlight w:val="none"/>
              </w:rPr>
              <w:t>第1.2（</w:t>
            </w:r>
            <w:r>
              <w:rPr>
                <w:rFonts w:hint="eastAsia" w:ascii="宋体" w:hAnsi="宋体"/>
                <w:color w:val="auto"/>
                <w:sz w:val="24"/>
                <w:szCs w:val="24"/>
                <w:highlight w:val="none"/>
                <w:lang w:val="en-US" w:eastAsia="zh-CN"/>
              </w:rPr>
              <w:t>6</w:t>
            </w:r>
            <w:r>
              <w:rPr>
                <w:rFonts w:hint="eastAsia" w:ascii="宋体" w:hAnsi="宋体"/>
                <w:color w:val="auto"/>
                <w:sz w:val="24"/>
                <w:szCs w:val="24"/>
                <w:highlight w:val="none"/>
              </w:rPr>
              <w:t>）项</w:t>
            </w:r>
          </w:p>
        </w:tc>
        <w:tc>
          <w:tcPr>
            <w:tcW w:w="1827" w:type="dxa"/>
            <w:vAlign w:val="center"/>
          </w:tcPr>
          <w:p w14:paraId="02C40531">
            <w:pPr>
              <w:keepNext w:val="0"/>
              <w:keepLines w:val="0"/>
              <w:pageBreakBefore w:val="0"/>
              <w:widowControl w:val="0"/>
              <w:kinsoku w:val="0"/>
              <w:wordWrap w:val="0"/>
              <w:overflowPunct/>
              <w:topLinePunct w:val="0"/>
              <w:bidi w:val="0"/>
              <w:adjustRightInd w:val="0"/>
              <w:snapToGrid w:val="0"/>
              <w:spacing w:line="360" w:lineRule="exact"/>
              <w:jc w:val="left"/>
              <w:textAlignment w:val="auto"/>
              <w:rPr>
                <w:rFonts w:ascii="宋体" w:hAnsi="宋体"/>
                <w:color w:val="auto"/>
                <w:sz w:val="24"/>
                <w:szCs w:val="24"/>
                <w:highlight w:val="none"/>
              </w:rPr>
            </w:pPr>
            <w:r>
              <w:rPr>
                <w:rFonts w:hint="eastAsia" w:ascii="宋体" w:hAnsi="宋体"/>
                <w:color w:val="auto"/>
                <w:sz w:val="24"/>
                <w:szCs w:val="24"/>
                <w:highlight w:val="none"/>
                <w:lang w:eastAsia="zh-CN"/>
              </w:rPr>
              <w:t>联合体具体要求</w:t>
            </w:r>
          </w:p>
        </w:tc>
        <w:tc>
          <w:tcPr>
            <w:tcW w:w="5481" w:type="dxa"/>
            <w:vAlign w:val="center"/>
          </w:tcPr>
          <w:p w14:paraId="71D3F494">
            <w:pPr>
              <w:keepNext w:val="0"/>
              <w:keepLines w:val="0"/>
              <w:pageBreakBefore w:val="0"/>
              <w:widowControl w:val="0"/>
              <w:kinsoku w:val="0"/>
              <w:wordWrap w:val="0"/>
              <w:overflowPunct/>
              <w:topLinePunct w:val="0"/>
              <w:bidi w:val="0"/>
              <w:adjustRightInd w:val="0"/>
              <w:snapToGrid w:val="0"/>
              <w:spacing w:line="360" w:lineRule="exact"/>
              <w:jc w:val="left"/>
              <w:textAlignment w:val="auto"/>
              <w:rPr>
                <w:rFonts w:ascii="宋体" w:hAnsi="宋体"/>
                <w:color w:val="auto"/>
                <w:sz w:val="24"/>
                <w:szCs w:val="24"/>
                <w:highlight w:val="none"/>
              </w:rPr>
            </w:pPr>
            <w:r>
              <w:rPr>
                <w:rFonts w:hint="eastAsia" w:ascii="宋体" w:hAnsi="宋体"/>
                <w:color w:val="auto"/>
                <w:sz w:val="24"/>
                <w:szCs w:val="24"/>
                <w:highlight w:val="none"/>
                <w:lang w:val="en-US" w:eastAsia="zh-CN"/>
              </w:rPr>
              <w:t>本项目不属于联合投标</w:t>
            </w:r>
          </w:p>
        </w:tc>
      </w:tr>
      <w:tr w14:paraId="774FFE2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trPr>
        <w:tc>
          <w:tcPr>
            <w:tcW w:w="1320" w:type="dxa"/>
            <w:vAlign w:val="center"/>
          </w:tcPr>
          <w:p w14:paraId="6C0DCC62">
            <w:pPr>
              <w:keepNext w:val="0"/>
              <w:keepLines w:val="0"/>
              <w:pageBreakBefore w:val="0"/>
              <w:widowControl w:val="0"/>
              <w:kinsoku w:val="0"/>
              <w:wordWrap w:val="0"/>
              <w:overflowPunct/>
              <w:topLinePunct w:val="0"/>
              <w:bidi w:val="0"/>
              <w:adjustRightInd w:val="0"/>
              <w:snapToGrid w:val="0"/>
              <w:spacing w:line="360" w:lineRule="exact"/>
              <w:jc w:val="center"/>
              <w:textAlignment w:val="auto"/>
              <w:rPr>
                <w:rFonts w:ascii="宋体" w:hAnsi="宋体"/>
                <w:color w:val="auto"/>
                <w:sz w:val="24"/>
                <w:szCs w:val="24"/>
                <w:highlight w:val="none"/>
              </w:rPr>
            </w:pPr>
            <w:r>
              <w:rPr>
                <w:rFonts w:hint="eastAsia" w:ascii="宋体" w:hAnsi="宋体"/>
                <w:color w:val="auto"/>
                <w:sz w:val="24"/>
                <w:szCs w:val="24"/>
                <w:highlight w:val="none"/>
              </w:rPr>
              <w:t>第二节</w:t>
            </w:r>
          </w:p>
          <w:p w14:paraId="5B7A523C">
            <w:pPr>
              <w:keepNext w:val="0"/>
              <w:keepLines w:val="0"/>
              <w:pageBreakBefore w:val="0"/>
              <w:widowControl w:val="0"/>
              <w:kinsoku w:val="0"/>
              <w:wordWrap w:val="0"/>
              <w:overflowPunct/>
              <w:topLinePunct w:val="0"/>
              <w:bidi w:val="0"/>
              <w:adjustRightInd w:val="0"/>
              <w:snapToGrid w:val="0"/>
              <w:spacing w:line="360" w:lineRule="exact"/>
              <w:jc w:val="center"/>
              <w:textAlignment w:val="auto"/>
              <w:rPr>
                <w:rFonts w:hint="eastAsia" w:ascii="宋体" w:hAnsi="宋体" w:eastAsia="宋体" w:cs="Times New Roman"/>
                <w:color w:val="auto"/>
                <w:kern w:val="2"/>
                <w:sz w:val="24"/>
                <w:szCs w:val="24"/>
                <w:highlight w:val="none"/>
                <w:lang w:val="en-US" w:eastAsia="zh-CN" w:bidi="ar-SA"/>
              </w:rPr>
            </w:pPr>
            <w:r>
              <w:rPr>
                <w:rFonts w:hint="eastAsia" w:ascii="宋体" w:hAnsi="宋体"/>
                <w:color w:val="auto"/>
                <w:sz w:val="24"/>
                <w:szCs w:val="24"/>
                <w:highlight w:val="none"/>
              </w:rPr>
              <w:t>第1.2（</w:t>
            </w:r>
            <w:r>
              <w:rPr>
                <w:rFonts w:hint="eastAsia" w:ascii="宋体" w:hAnsi="宋体"/>
                <w:color w:val="auto"/>
                <w:sz w:val="24"/>
                <w:szCs w:val="24"/>
                <w:highlight w:val="none"/>
                <w:lang w:val="en-US" w:eastAsia="zh-CN"/>
              </w:rPr>
              <w:t>7</w:t>
            </w:r>
            <w:r>
              <w:rPr>
                <w:rFonts w:hint="eastAsia" w:ascii="宋体" w:hAnsi="宋体"/>
                <w:color w:val="auto"/>
                <w:sz w:val="24"/>
                <w:szCs w:val="24"/>
                <w:highlight w:val="none"/>
              </w:rPr>
              <w:t>）项</w:t>
            </w:r>
          </w:p>
        </w:tc>
        <w:tc>
          <w:tcPr>
            <w:tcW w:w="1827" w:type="dxa"/>
            <w:vAlign w:val="center"/>
          </w:tcPr>
          <w:p w14:paraId="3D2D78BE">
            <w:pPr>
              <w:keepNext w:val="0"/>
              <w:keepLines w:val="0"/>
              <w:pageBreakBefore w:val="0"/>
              <w:widowControl w:val="0"/>
              <w:kinsoku w:val="0"/>
              <w:wordWrap w:val="0"/>
              <w:overflowPunct/>
              <w:topLinePunct w:val="0"/>
              <w:bidi w:val="0"/>
              <w:adjustRightInd w:val="0"/>
              <w:snapToGrid w:val="0"/>
              <w:spacing w:line="360" w:lineRule="exact"/>
              <w:jc w:val="left"/>
              <w:textAlignment w:val="auto"/>
              <w:rPr>
                <w:rFonts w:hint="eastAsia" w:ascii="宋体" w:hAnsi="宋体" w:eastAsia="宋体" w:cs="Times New Roman"/>
                <w:color w:val="auto"/>
                <w:kern w:val="2"/>
                <w:sz w:val="24"/>
                <w:szCs w:val="24"/>
                <w:highlight w:val="none"/>
                <w:lang w:val="en-US" w:eastAsia="zh-CN" w:bidi="ar-SA"/>
              </w:rPr>
            </w:pPr>
            <w:r>
              <w:rPr>
                <w:rFonts w:hint="eastAsia" w:ascii="宋体" w:hAnsi="宋体"/>
                <w:color w:val="auto"/>
                <w:sz w:val="24"/>
                <w:szCs w:val="24"/>
                <w:highlight w:val="none"/>
              </w:rPr>
              <w:t>其他术语解释</w:t>
            </w:r>
          </w:p>
        </w:tc>
        <w:tc>
          <w:tcPr>
            <w:tcW w:w="5481" w:type="dxa"/>
            <w:vAlign w:val="center"/>
          </w:tcPr>
          <w:p w14:paraId="6BF4573B">
            <w:pPr>
              <w:keepNext w:val="0"/>
              <w:keepLines w:val="0"/>
              <w:pageBreakBefore w:val="0"/>
              <w:widowControl w:val="0"/>
              <w:kinsoku w:val="0"/>
              <w:wordWrap w:val="0"/>
              <w:overflowPunct/>
              <w:topLinePunct w:val="0"/>
              <w:bidi w:val="0"/>
              <w:adjustRightInd w:val="0"/>
              <w:snapToGrid w:val="0"/>
              <w:spacing w:line="360" w:lineRule="exact"/>
              <w:jc w:val="left"/>
              <w:textAlignment w:val="auto"/>
              <w:rPr>
                <w:rFonts w:hint="default" w:ascii="宋体" w:hAnsi="宋体" w:eastAsia="宋体" w:cs="Times New Roman"/>
                <w:color w:val="auto"/>
                <w:kern w:val="2"/>
                <w:sz w:val="24"/>
                <w:szCs w:val="24"/>
                <w:highlight w:val="none"/>
                <w:lang w:val="en-US" w:eastAsia="zh-CN" w:bidi="ar-SA"/>
              </w:rPr>
            </w:pPr>
            <w:r>
              <w:rPr>
                <w:rFonts w:hint="eastAsia" w:ascii="宋体" w:hAnsi="宋体" w:cs="Times New Roman"/>
                <w:color w:val="auto"/>
                <w:kern w:val="2"/>
                <w:sz w:val="24"/>
                <w:szCs w:val="24"/>
                <w:highlight w:val="none"/>
                <w:lang w:val="en-US" w:eastAsia="zh-CN" w:bidi="ar-SA"/>
              </w:rPr>
              <w:t>/</w:t>
            </w:r>
          </w:p>
        </w:tc>
      </w:tr>
      <w:tr w14:paraId="066F5D2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320" w:type="dxa"/>
            <w:vAlign w:val="center"/>
          </w:tcPr>
          <w:p w14:paraId="37D9FD1B">
            <w:pPr>
              <w:keepNext w:val="0"/>
              <w:keepLines w:val="0"/>
              <w:pageBreakBefore w:val="0"/>
              <w:widowControl w:val="0"/>
              <w:kinsoku w:val="0"/>
              <w:wordWrap w:val="0"/>
              <w:overflowPunct/>
              <w:topLinePunct w:val="0"/>
              <w:bidi w:val="0"/>
              <w:adjustRightInd w:val="0"/>
              <w:snapToGrid w:val="0"/>
              <w:spacing w:line="360" w:lineRule="exact"/>
              <w:jc w:val="center"/>
              <w:textAlignment w:val="auto"/>
              <w:rPr>
                <w:rFonts w:ascii="宋体" w:hAnsi="宋体"/>
                <w:color w:val="auto"/>
                <w:sz w:val="24"/>
                <w:szCs w:val="24"/>
                <w:highlight w:val="none"/>
              </w:rPr>
            </w:pPr>
            <w:r>
              <w:rPr>
                <w:rFonts w:hint="eastAsia" w:ascii="宋体" w:hAnsi="宋体"/>
                <w:color w:val="auto"/>
                <w:sz w:val="24"/>
                <w:szCs w:val="24"/>
                <w:highlight w:val="none"/>
              </w:rPr>
              <w:t>第二节</w:t>
            </w:r>
          </w:p>
          <w:p w14:paraId="6A0179F2">
            <w:pPr>
              <w:keepNext w:val="0"/>
              <w:keepLines w:val="0"/>
              <w:pageBreakBefore w:val="0"/>
              <w:widowControl w:val="0"/>
              <w:kinsoku w:val="0"/>
              <w:wordWrap w:val="0"/>
              <w:overflowPunct/>
              <w:topLinePunct w:val="0"/>
              <w:bidi w:val="0"/>
              <w:adjustRightInd w:val="0"/>
              <w:snapToGrid w:val="0"/>
              <w:spacing w:line="360" w:lineRule="exact"/>
              <w:jc w:val="center"/>
              <w:textAlignment w:val="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eastAsia="zh-CN"/>
              </w:rPr>
              <w:t>第</w:t>
            </w:r>
            <w:r>
              <w:rPr>
                <w:rFonts w:hint="eastAsia" w:ascii="宋体" w:hAnsi="宋体"/>
                <w:color w:val="auto"/>
                <w:sz w:val="24"/>
                <w:szCs w:val="24"/>
                <w:highlight w:val="none"/>
                <w:lang w:val="en-US" w:eastAsia="zh-CN"/>
              </w:rPr>
              <w:t>4.4款</w:t>
            </w:r>
          </w:p>
        </w:tc>
        <w:tc>
          <w:tcPr>
            <w:tcW w:w="1827" w:type="dxa"/>
            <w:vAlign w:val="center"/>
          </w:tcPr>
          <w:p w14:paraId="620208E2">
            <w:pPr>
              <w:keepNext w:val="0"/>
              <w:keepLines w:val="0"/>
              <w:pageBreakBefore w:val="0"/>
              <w:widowControl w:val="0"/>
              <w:kinsoku w:val="0"/>
              <w:wordWrap w:val="0"/>
              <w:overflowPunct/>
              <w:topLinePunct w:val="0"/>
              <w:bidi w:val="0"/>
              <w:adjustRightInd w:val="0"/>
              <w:snapToGrid w:val="0"/>
              <w:spacing w:line="360" w:lineRule="exact"/>
              <w:jc w:val="left"/>
              <w:textAlignment w:val="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eastAsia="zh-CN"/>
              </w:rPr>
              <w:t>履约验收中甲方提出异议或作出说明的期限</w:t>
            </w:r>
          </w:p>
        </w:tc>
        <w:tc>
          <w:tcPr>
            <w:tcW w:w="5481" w:type="dxa"/>
            <w:vAlign w:val="center"/>
          </w:tcPr>
          <w:p w14:paraId="2BEF07B1">
            <w:pPr>
              <w:keepNext w:val="0"/>
              <w:keepLines w:val="0"/>
              <w:pageBreakBefore w:val="0"/>
              <w:widowControl w:val="0"/>
              <w:kinsoku w:val="0"/>
              <w:wordWrap w:val="0"/>
              <w:overflowPunct/>
              <w:topLinePunct w:val="0"/>
              <w:bidi w:val="0"/>
              <w:adjustRightInd w:val="0"/>
              <w:snapToGrid w:val="0"/>
              <w:spacing w:line="360" w:lineRule="exact"/>
              <w:jc w:val="left"/>
              <w:textAlignment w:val="auto"/>
              <w:rPr>
                <w:rFonts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收到乙方提出验收申请后10个工作日内</w:t>
            </w:r>
          </w:p>
        </w:tc>
      </w:tr>
      <w:tr w14:paraId="1397DF4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320" w:type="dxa"/>
            <w:vAlign w:val="center"/>
          </w:tcPr>
          <w:p w14:paraId="46883861">
            <w:pPr>
              <w:keepNext w:val="0"/>
              <w:keepLines w:val="0"/>
              <w:pageBreakBefore w:val="0"/>
              <w:widowControl w:val="0"/>
              <w:kinsoku w:val="0"/>
              <w:wordWrap w:val="0"/>
              <w:overflowPunct/>
              <w:topLinePunct w:val="0"/>
              <w:bidi w:val="0"/>
              <w:adjustRightInd w:val="0"/>
              <w:snapToGrid w:val="0"/>
              <w:spacing w:line="360" w:lineRule="exact"/>
              <w:jc w:val="center"/>
              <w:textAlignment w:val="auto"/>
              <w:rPr>
                <w:rFonts w:ascii="宋体" w:hAnsi="宋体"/>
                <w:color w:val="auto"/>
                <w:sz w:val="24"/>
                <w:szCs w:val="24"/>
                <w:highlight w:val="none"/>
              </w:rPr>
            </w:pPr>
            <w:r>
              <w:rPr>
                <w:rFonts w:hint="eastAsia" w:ascii="宋体" w:hAnsi="宋体"/>
                <w:color w:val="auto"/>
                <w:sz w:val="24"/>
                <w:szCs w:val="24"/>
                <w:highlight w:val="none"/>
              </w:rPr>
              <w:t>第二节</w:t>
            </w:r>
          </w:p>
          <w:p w14:paraId="1C2CDF4D">
            <w:pPr>
              <w:keepNext w:val="0"/>
              <w:keepLines w:val="0"/>
              <w:pageBreakBefore w:val="0"/>
              <w:widowControl w:val="0"/>
              <w:kinsoku w:val="0"/>
              <w:wordWrap w:val="0"/>
              <w:overflowPunct/>
              <w:topLinePunct w:val="0"/>
              <w:bidi w:val="0"/>
              <w:adjustRightInd w:val="0"/>
              <w:snapToGrid w:val="0"/>
              <w:spacing w:line="360" w:lineRule="exact"/>
              <w:jc w:val="center"/>
              <w:textAlignment w:val="auto"/>
              <w:rPr>
                <w:rFonts w:hint="eastAsia" w:ascii="宋体" w:hAnsi="宋体"/>
                <w:color w:val="auto"/>
                <w:sz w:val="24"/>
                <w:szCs w:val="24"/>
                <w:highlight w:val="none"/>
              </w:rPr>
            </w:pPr>
            <w:r>
              <w:rPr>
                <w:rFonts w:hint="eastAsia" w:ascii="宋体" w:hAnsi="宋体"/>
                <w:color w:val="auto"/>
                <w:sz w:val="24"/>
                <w:szCs w:val="24"/>
                <w:highlight w:val="none"/>
                <w:lang w:eastAsia="zh-CN"/>
              </w:rPr>
              <w:t>第</w:t>
            </w:r>
            <w:r>
              <w:rPr>
                <w:rFonts w:hint="eastAsia" w:ascii="宋体" w:hAnsi="宋体"/>
                <w:color w:val="auto"/>
                <w:sz w:val="24"/>
                <w:szCs w:val="24"/>
                <w:highlight w:val="none"/>
                <w:lang w:val="en-US" w:eastAsia="zh-CN"/>
              </w:rPr>
              <w:t>4.6款</w:t>
            </w:r>
          </w:p>
        </w:tc>
        <w:tc>
          <w:tcPr>
            <w:tcW w:w="1827" w:type="dxa"/>
            <w:vAlign w:val="center"/>
          </w:tcPr>
          <w:p w14:paraId="0CDA48EE">
            <w:pPr>
              <w:keepNext w:val="0"/>
              <w:keepLines w:val="0"/>
              <w:pageBreakBefore w:val="0"/>
              <w:widowControl w:val="0"/>
              <w:kinsoku w:val="0"/>
              <w:wordWrap w:val="0"/>
              <w:overflowPunct/>
              <w:topLinePunct w:val="0"/>
              <w:bidi w:val="0"/>
              <w:adjustRightInd w:val="0"/>
              <w:snapToGrid w:val="0"/>
              <w:spacing w:line="360" w:lineRule="exact"/>
              <w:jc w:val="left"/>
              <w:textAlignment w:val="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eastAsia="zh-CN"/>
              </w:rPr>
              <w:t>约定甲方承担的其他义务和责任</w:t>
            </w:r>
          </w:p>
        </w:tc>
        <w:tc>
          <w:tcPr>
            <w:tcW w:w="5481" w:type="dxa"/>
            <w:vAlign w:val="center"/>
          </w:tcPr>
          <w:p w14:paraId="464DAFC8">
            <w:pPr>
              <w:keepNext w:val="0"/>
              <w:keepLines w:val="0"/>
              <w:pageBreakBefore w:val="0"/>
              <w:widowControl w:val="0"/>
              <w:kinsoku w:val="0"/>
              <w:wordWrap w:val="0"/>
              <w:overflowPunct/>
              <w:topLinePunct w:val="0"/>
              <w:bidi w:val="0"/>
              <w:adjustRightInd w:val="0"/>
              <w:snapToGrid w:val="0"/>
              <w:spacing w:line="360" w:lineRule="exact"/>
              <w:jc w:val="left"/>
              <w:textAlignment w:val="auto"/>
              <w:rPr>
                <w:rFonts w:ascii="宋体" w:hAnsi="宋体" w:eastAsia="宋体" w:cs="Times New Roman"/>
                <w:color w:val="auto"/>
                <w:kern w:val="2"/>
                <w:sz w:val="24"/>
                <w:szCs w:val="24"/>
                <w:highlight w:val="none"/>
                <w:lang w:val="en-US" w:eastAsia="zh-CN" w:bidi="ar-SA"/>
              </w:rPr>
            </w:pPr>
            <w:r>
              <w:rPr>
                <w:rFonts w:hint="eastAsia" w:ascii="宋体" w:hAnsi="宋体" w:cs="Times New Roman"/>
                <w:color w:val="auto"/>
                <w:kern w:val="2"/>
                <w:sz w:val="24"/>
                <w:szCs w:val="24"/>
                <w:highlight w:val="none"/>
                <w:lang w:val="en-US" w:eastAsia="zh-CN" w:bidi="ar-SA"/>
              </w:rPr>
              <w:t>4.6.1</w:t>
            </w:r>
            <w:r>
              <w:rPr>
                <w:rFonts w:hint="eastAsia" w:ascii="宋体" w:hAnsi="宋体" w:eastAsia="宋体" w:cs="Times New Roman"/>
                <w:color w:val="auto"/>
                <w:kern w:val="2"/>
                <w:sz w:val="24"/>
                <w:szCs w:val="24"/>
                <w:highlight w:val="none"/>
                <w:lang w:val="en-US" w:eastAsia="zh-CN" w:bidi="ar-SA"/>
              </w:rPr>
              <w:t>负责提供采购设备交货安装调试所必须的场地和环境</w:t>
            </w:r>
          </w:p>
        </w:tc>
      </w:tr>
      <w:tr w14:paraId="2411D06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320" w:type="dxa"/>
            <w:vAlign w:val="center"/>
          </w:tcPr>
          <w:p w14:paraId="5A2CD989">
            <w:pPr>
              <w:keepNext w:val="0"/>
              <w:keepLines w:val="0"/>
              <w:pageBreakBefore w:val="0"/>
              <w:widowControl w:val="0"/>
              <w:kinsoku w:val="0"/>
              <w:wordWrap w:val="0"/>
              <w:overflowPunct/>
              <w:topLinePunct w:val="0"/>
              <w:bidi w:val="0"/>
              <w:adjustRightInd w:val="0"/>
              <w:snapToGrid w:val="0"/>
              <w:spacing w:line="360" w:lineRule="exact"/>
              <w:jc w:val="center"/>
              <w:textAlignment w:val="auto"/>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第二节</w:t>
            </w:r>
          </w:p>
          <w:p w14:paraId="1EF2A936">
            <w:pPr>
              <w:keepNext w:val="0"/>
              <w:keepLines w:val="0"/>
              <w:pageBreakBefore w:val="0"/>
              <w:widowControl w:val="0"/>
              <w:kinsoku w:val="0"/>
              <w:wordWrap w:val="0"/>
              <w:overflowPunct/>
              <w:topLinePunct w:val="0"/>
              <w:bidi w:val="0"/>
              <w:snapToGrid w:val="0"/>
              <w:spacing w:line="360" w:lineRule="exact"/>
              <w:jc w:val="center"/>
              <w:textAlignment w:val="auto"/>
              <w:rPr>
                <w:rFonts w:hint="default"/>
                <w:color w:val="auto"/>
                <w:sz w:val="24"/>
                <w:szCs w:val="24"/>
                <w:highlight w:val="none"/>
                <w:lang w:val="en-US" w:eastAsia="zh-CN"/>
              </w:rPr>
            </w:pPr>
            <w:r>
              <w:rPr>
                <w:rFonts w:hint="eastAsia" w:ascii="宋体" w:hAnsi="宋体"/>
                <w:color w:val="auto"/>
                <w:sz w:val="24"/>
                <w:szCs w:val="24"/>
                <w:highlight w:val="none"/>
                <w:lang w:eastAsia="zh-CN"/>
              </w:rPr>
              <w:t>第</w:t>
            </w:r>
            <w:r>
              <w:rPr>
                <w:rFonts w:hint="eastAsia" w:ascii="宋体" w:hAnsi="宋体"/>
                <w:color w:val="auto"/>
                <w:sz w:val="24"/>
                <w:szCs w:val="24"/>
                <w:highlight w:val="none"/>
                <w:lang w:val="en-US" w:eastAsia="zh-CN"/>
              </w:rPr>
              <w:t>5.4款</w:t>
            </w:r>
          </w:p>
        </w:tc>
        <w:tc>
          <w:tcPr>
            <w:tcW w:w="1827" w:type="dxa"/>
            <w:vAlign w:val="center"/>
          </w:tcPr>
          <w:p w14:paraId="3097B169">
            <w:pPr>
              <w:keepNext w:val="0"/>
              <w:keepLines w:val="0"/>
              <w:pageBreakBefore w:val="0"/>
              <w:widowControl w:val="0"/>
              <w:kinsoku w:val="0"/>
              <w:wordWrap w:val="0"/>
              <w:overflowPunct/>
              <w:topLinePunct w:val="0"/>
              <w:bidi w:val="0"/>
              <w:adjustRightInd w:val="0"/>
              <w:snapToGrid w:val="0"/>
              <w:spacing w:line="360" w:lineRule="exact"/>
              <w:jc w:val="left"/>
              <w:textAlignment w:val="auto"/>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约定乙方承担的其他义务和责任</w:t>
            </w:r>
          </w:p>
        </w:tc>
        <w:tc>
          <w:tcPr>
            <w:tcW w:w="5481" w:type="dxa"/>
            <w:vAlign w:val="center"/>
          </w:tcPr>
          <w:p w14:paraId="4BBBD548">
            <w:pPr>
              <w:keepNext w:val="0"/>
              <w:keepLines w:val="0"/>
              <w:pageBreakBefore w:val="0"/>
              <w:widowControl w:val="0"/>
              <w:kinsoku w:val="0"/>
              <w:wordWrap w:val="0"/>
              <w:overflowPunct/>
              <w:topLinePunct w:val="0"/>
              <w:bidi w:val="0"/>
              <w:adjustRightInd w:val="0"/>
              <w:snapToGrid w:val="0"/>
              <w:spacing w:line="360" w:lineRule="exact"/>
              <w:jc w:val="left"/>
              <w:textAlignment w:val="auto"/>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5.4.1乙方保证按本合同要求完成交货、安装、调试、培训、验收</w:t>
            </w:r>
            <w:r>
              <w:rPr>
                <w:rFonts w:hint="eastAsia" w:ascii="宋体" w:hAnsi="宋体" w:cs="Times New Roman"/>
                <w:color w:val="auto"/>
                <w:kern w:val="2"/>
                <w:sz w:val="24"/>
                <w:szCs w:val="24"/>
                <w:highlight w:val="none"/>
                <w:lang w:val="en-US" w:eastAsia="zh-CN" w:bidi="ar-SA"/>
              </w:rPr>
              <w:t>以及交付使用</w:t>
            </w:r>
            <w:r>
              <w:rPr>
                <w:rFonts w:hint="eastAsia" w:ascii="宋体" w:hAnsi="宋体" w:eastAsia="宋体" w:cs="Times New Roman"/>
                <w:color w:val="auto"/>
                <w:kern w:val="2"/>
                <w:sz w:val="24"/>
                <w:szCs w:val="24"/>
                <w:highlight w:val="none"/>
                <w:lang w:val="en-US" w:eastAsia="zh-CN" w:bidi="ar-SA"/>
              </w:rPr>
              <w:t>等工作，并保证提供的所有设备均满足合同要求；</w:t>
            </w:r>
          </w:p>
          <w:p w14:paraId="1F7B8701">
            <w:pPr>
              <w:keepNext w:val="0"/>
              <w:keepLines w:val="0"/>
              <w:pageBreakBefore w:val="0"/>
              <w:widowControl w:val="0"/>
              <w:kinsoku w:val="0"/>
              <w:wordWrap w:val="0"/>
              <w:overflowPunct/>
              <w:topLinePunct w:val="0"/>
              <w:bidi w:val="0"/>
              <w:adjustRightInd w:val="0"/>
              <w:snapToGrid w:val="0"/>
              <w:spacing w:line="360" w:lineRule="exact"/>
              <w:jc w:val="left"/>
              <w:textAlignment w:val="auto"/>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5.4.2乙方保证按甲方通知要求专人交货安装至指定地点，并与甲方共同进行设备的验收；</w:t>
            </w:r>
          </w:p>
          <w:p w14:paraId="3B33AB40">
            <w:pPr>
              <w:keepNext w:val="0"/>
              <w:keepLines w:val="0"/>
              <w:pageBreakBefore w:val="0"/>
              <w:widowControl w:val="0"/>
              <w:kinsoku w:val="0"/>
              <w:wordWrap w:val="0"/>
              <w:overflowPunct/>
              <w:topLinePunct w:val="0"/>
              <w:bidi w:val="0"/>
              <w:adjustRightInd w:val="0"/>
              <w:snapToGrid w:val="0"/>
              <w:spacing w:line="360" w:lineRule="exact"/>
              <w:jc w:val="left"/>
              <w:textAlignment w:val="auto"/>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5.4.</w:t>
            </w:r>
            <w:r>
              <w:rPr>
                <w:rFonts w:hint="eastAsia" w:ascii="宋体" w:hAnsi="宋体" w:cs="Times New Roman"/>
                <w:color w:val="auto"/>
                <w:kern w:val="2"/>
                <w:sz w:val="24"/>
                <w:szCs w:val="24"/>
                <w:highlight w:val="none"/>
                <w:lang w:val="en-US" w:eastAsia="zh-CN" w:bidi="ar-SA"/>
              </w:rPr>
              <w:t>3</w:t>
            </w:r>
            <w:r>
              <w:rPr>
                <w:rFonts w:hint="eastAsia" w:ascii="宋体" w:hAnsi="宋体" w:eastAsia="宋体" w:cs="Times New Roman"/>
                <w:color w:val="auto"/>
                <w:kern w:val="2"/>
                <w:sz w:val="24"/>
                <w:szCs w:val="24"/>
                <w:highlight w:val="none"/>
                <w:lang w:val="en-US" w:eastAsia="zh-CN" w:bidi="ar-SA"/>
              </w:rPr>
              <w:t>乙方</w:t>
            </w:r>
            <w:r>
              <w:rPr>
                <w:rFonts w:hint="eastAsia" w:ascii="宋体" w:hAnsi="宋体" w:cs="Times New Roman"/>
                <w:color w:val="auto"/>
                <w:kern w:val="2"/>
                <w:sz w:val="24"/>
                <w:szCs w:val="24"/>
                <w:highlight w:val="none"/>
                <w:lang w:val="en-US" w:eastAsia="zh-CN" w:bidi="ar-SA"/>
              </w:rPr>
              <w:t>须按国家及行业标准规范</w:t>
            </w:r>
            <w:r>
              <w:rPr>
                <w:rFonts w:hint="eastAsia" w:ascii="宋体" w:hAnsi="宋体" w:eastAsia="宋体" w:cs="Times New Roman"/>
                <w:color w:val="auto"/>
                <w:kern w:val="2"/>
                <w:sz w:val="24"/>
                <w:szCs w:val="24"/>
                <w:highlight w:val="none"/>
                <w:lang w:val="en-US" w:eastAsia="zh-CN" w:bidi="ar-SA"/>
              </w:rPr>
              <w:t>对所提供的设备实行</w:t>
            </w:r>
            <w:r>
              <w:rPr>
                <w:rFonts w:hint="eastAsia" w:ascii="宋体" w:hAnsi="宋体" w:cs="Times New Roman"/>
                <w:color w:val="auto"/>
                <w:kern w:val="2"/>
                <w:sz w:val="24"/>
                <w:szCs w:val="24"/>
                <w:highlight w:val="none"/>
                <w:lang w:val="en-US" w:eastAsia="zh-CN" w:bidi="ar-SA"/>
              </w:rPr>
              <w:t>定期</w:t>
            </w:r>
            <w:r>
              <w:rPr>
                <w:rFonts w:hint="eastAsia" w:ascii="宋体" w:hAnsi="宋体" w:eastAsia="宋体" w:cs="Times New Roman"/>
                <w:color w:val="auto"/>
                <w:kern w:val="2"/>
                <w:sz w:val="24"/>
                <w:szCs w:val="24"/>
                <w:highlight w:val="none"/>
                <w:lang w:val="en-US" w:eastAsia="zh-CN" w:bidi="ar-SA"/>
              </w:rPr>
              <w:t>或</w:t>
            </w:r>
            <w:r>
              <w:rPr>
                <w:rFonts w:hint="eastAsia" w:ascii="宋体" w:hAnsi="宋体" w:cs="Times New Roman"/>
                <w:color w:val="auto"/>
                <w:kern w:val="2"/>
                <w:sz w:val="24"/>
                <w:szCs w:val="24"/>
                <w:highlight w:val="none"/>
                <w:lang w:val="en-US" w:eastAsia="zh-CN" w:bidi="ar-SA"/>
              </w:rPr>
              <w:t>在</w:t>
            </w:r>
            <w:r>
              <w:rPr>
                <w:rFonts w:hint="eastAsia" w:ascii="宋体" w:hAnsi="宋体" w:eastAsia="宋体" w:cs="Times New Roman"/>
                <w:color w:val="auto"/>
                <w:kern w:val="2"/>
                <w:sz w:val="24"/>
                <w:szCs w:val="24"/>
                <w:highlight w:val="none"/>
                <w:lang w:val="en-US" w:eastAsia="zh-CN" w:bidi="ar-SA"/>
              </w:rPr>
              <w:t>甲方</w:t>
            </w:r>
            <w:r>
              <w:rPr>
                <w:rFonts w:hint="eastAsia" w:ascii="宋体" w:hAnsi="宋体" w:cs="Times New Roman"/>
                <w:color w:val="auto"/>
                <w:kern w:val="2"/>
                <w:sz w:val="24"/>
                <w:szCs w:val="24"/>
                <w:highlight w:val="none"/>
                <w:lang w:val="en-US" w:eastAsia="zh-CN" w:bidi="ar-SA"/>
              </w:rPr>
              <w:t>需求时</w:t>
            </w:r>
            <w:r>
              <w:rPr>
                <w:rFonts w:hint="eastAsia" w:ascii="宋体" w:hAnsi="宋体" w:eastAsia="宋体" w:cs="Times New Roman"/>
                <w:color w:val="auto"/>
                <w:kern w:val="2"/>
                <w:sz w:val="24"/>
                <w:szCs w:val="24"/>
                <w:highlight w:val="none"/>
                <w:lang w:val="en-US" w:eastAsia="zh-CN" w:bidi="ar-SA"/>
              </w:rPr>
              <w:t>定期进行保养（或维护、巡检）；</w:t>
            </w:r>
          </w:p>
          <w:p w14:paraId="0BBAF13E">
            <w:pPr>
              <w:keepNext w:val="0"/>
              <w:keepLines w:val="0"/>
              <w:pageBreakBefore w:val="0"/>
              <w:widowControl w:val="0"/>
              <w:kinsoku w:val="0"/>
              <w:wordWrap w:val="0"/>
              <w:overflowPunct/>
              <w:topLinePunct w:val="0"/>
              <w:bidi w:val="0"/>
              <w:adjustRightInd w:val="0"/>
              <w:snapToGrid w:val="0"/>
              <w:spacing w:line="360" w:lineRule="exact"/>
              <w:jc w:val="left"/>
              <w:textAlignment w:val="auto"/>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5.4.</w:t>
            </w:r>
            <w:r>
              <w:rPr>
                <w:rFonts w:hint="eastAsia" w:ascii="宋体" w:hAnsi="宋体" w:cs="Times New Roman"/>
                <w:color w:val="auto"/>
                <w:kern w:val="2"/>
                <w:sz w:val="24"/>
                <w:szCs w:val="24"/>
                <w:highlight w:val="none"/>
                <w:lang w:val="en-US" w:eastAsia="zh-CN" w:bidi="ar-SA"/>
              </w:rPr>
              <w:t>4质保期内，同一设备、同一质量问题出现连续三次维修仍无法正常使用，乙方必须予以更换同品牌、同型号或不低于投标配置的其他全新设备；对设备提供全免费上门维修保养或更换；售后服务人员须在收到故障报告后2小时内响应，</w:t>
            </w:r>
            <w:r>
              <w:rPr>
                <w:rFonts w:hint="eastAsia" w:ascii="宋体" w:hAnsi="宋体" w:cs="Times New Roman"/>
                <w:color w:val="auto"/>
                <w:kern w:val="2"/>
                <w:sz w:val="24"/>
                <w:szCs w:val="24"/>
                <w:highlight w:val="cyan"/>
                <w:lang w:val="en-US" w:eastAsia="zh-CN" w:bidi="ar-SA"/>
              </w:rPr>
              <w:t>12</w:t>
            </w:r>
            <w:r>
              <w:rPr>
                <w:rFonts w:hint="eastAsia" w:ascii="宋体" w:hAnsi="宋体" w:cs="Times New Roman"/>
                <w:color w:val="auto"/>
                <w:kern w:val="2"/>
                <w:sz w:val="24"/>
                <w:szCs w:val="24"/>
                <w:highlight w:val="none"/>
                <w:lang w:val="en-US" w:eastAsia="zh-CN" w:bidi="ar-SA"/>
              </w:rPr>
              <w:t>小时到达现场为甲方提供售后服务。质保期结束后，任须乙方提供售后服务的，仅收取维修成本费（自然灾害及人为损坏除外）</w:t>
            </w:r>
            <w:r>
              <w:rPr>
                <w:rFonts w:hint="eastAsia" w:ascii="宋体" w:hAnsi="宋体" w:eastAsia="宋体" w:cs="Times New Roman"/>
                <w:color w:val="auto"/>
                <w:kern w:val="2"/>
                <w:sz w:val="24"/>
                <w:szCs w:val="24"/>
                <w:highlight w:val="none"/>
                <w:lang w:val="en-US" w:eastAsia="zh-CN" w:bidi="ar-SA"/>
              </w:rPr>
              <w:t>；</w:t>
            </w:r>
          </w:p>
          <w:p w14:paraId="020D7575">
            <w:pPr>
              <w:keepNext w:val="0"/>
              <w:keepLines w:val="0"/>
              <w:pageBreakBefore w:val="0"/>
              <w:widowControl w:val="0"/>
              <w:kinsoku w:val="0"/>
              <w:wordWrap w:val="0"/>
              <w:overflowPunct/>
              <w:topLinePunct w:val="0"/>
              <w:bidi w:val="0"/>
              <w:adjustRightInd w:val="0"/>
              <w:snapToGrid w:val="0"/>
              <w:spacing w:line="360" w:lineRule="exact"/>
              <w:jc w:val="left"/>
              <w:textAlignment w:val="auto"/>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5.4.</w:t>
            </w:r>
            <w:r>
              <w:rPr>
                <w:rFonts w:hint="eastAsia" w:ascii="宋体" w:hAnsi="宋体" w:cs="Times New Roman"/>
                <w:color w:val="auto"/>
                <w:kern w:val="2"/>
                <w:sz w:val="24"/>
                <w:szCs w:val="24"/>
                <w:highlight w:val="none"/>
                <w:lang w:val="en-US" w:eastAsia="zh-CN" w:bidi="ar-SA"/>
              </w:rPr>
              <w:t>5</w:t>
            </w:r>
            <w:r>
              <w:rPr>
                <w:rFonts w:hint="eastAsia" w:ascii="宋体" w:hAnsi="宋体" w:eastAsia="宋体" w:cs="Times New Roman"/>
                <w:color w:val="auto"/>
                <w:kern w:val="2"/>
                <w:sz w:val="24"/>
                <w:szCs w:val="24"/>
                <w:highlight w:val="none"/>
                <w:lang w:val="en-US" w:eastAsia="zh-CN" w:bidi="ar-SA"/>
              </w:rPr>
              <w:t>严格执行投标文件所作的一切承诺，若乙方须对投标文件承诺进行调整的，须经过甲方书面同意；</w:t>
            </w:r>
          </w:p>
          <w:p w14:paraId="4D30E069">
            <w:pPr>
              <w:keepNext w:val="0"/>
              <w:keepLines w:val="0"/>
              <w:pageBreakBefore w:val="0"/>
              <w:widowControl w:val="0"/>
              <w:kinsoku w:val="0"/>
              <w:wordWrap w:val="0"/>
              <w:overflowPunct/>
              <w:topLinePunct w:val="0"/>
              <w:bidi w:val="0"/>
              <w:adjustRightInd w:val="0"/>
              <w:snapToGrid w:val="0"/>
              <w:spacing w:line="360" w:lineRule="exact"/>
              <w:jc w:val="left"/>
              <w:textAlignment w:val="auto"/>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5.4.</w:t>
            </w:r>
            <w:r>
              <w:rPr>
                <w:rFonts w:hint="eastAsia" w:ascii="宋体" w:hAnsi="宋体" w:cs="Times New Roman"/>
                <w:color w:val="auto"/>
                <w:kern w:val="2"/>
                <w:sz w:val="24"/>
                <w:szCs w:val="24"/>
                <w:highlight w:val="none"/>
                <w:lang w:val="en-US" w:eastAsia="zh-CN" w:bidi="ar-SA"/>
              </w:rPr>
              <w:t>6</w:t>
            </w:r>
            <w:r>
              <w:rPr>
                <w:rFonts w:hint="eastAsia" w:ascii="宋体" w:hAnsi="宋体" w:eastAsia="宋体" w:cs="Times New Roman"/>
                <w:color w:val="auto"/>
                <w:kern w:val="2"/>
                <w:sz w:val="24"/>
                <w:szCs w:val="24"/>
                <w:highlight w:val="none"/>
                <w:lang w:val="en-US" w:eastAsia="zh-CN" w:bidi="ar-SA"/>
              </w:rPr>
              <w:t>乙方所供货物必须按照国家法律法规及政策文件规定执行，并对货物的合法性负责；</w:t>
            </w:r>
          </w:p>
          <w:p w14:paraId="72797AF5">
            <w:pPr>
              <w:keepNext w:val="0"/>
              <w:keepLines w:val="0"/>
              <w:pageBreakBefore w:val="0"/>
              <w:widowControl w:val="0"/>
              <w:kinsoku w:val="0"/>
              <w:wordWrap w:val="0"/>
              <w:overflowPunct/>
              <w:topLinePunct w:val="0"/>
              <w:bidi w:val="0"/>
              <w:adjustRightInd w:val="0"/>
              <w:snapToGrid w:val="0"/>
              <w:spacing w:line="360" w:lineRule="exact"/>
              <w:jc w:val="left"/>
              <w:textAlignment w:val="auto"/>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5.4.</w:t>
            </w:r>
            <w:r>
              <w:rPr>
                <w:rFonts w:hint="eastAsia" w:ascii="宋体" w:hAnsi="宋体" w:cs="Times New Roman"/>
                <w:color w:val="auto"/>
                <w:kern w:val="2"/>
                <w:sz w:val="24"/>
                <w:szCs w:val="24"/>
                <w:highlight w:val="none"/>
                <w:lang w:val="en-US" w:eastAsia="zh-CN" w:bidi="ar-SA"/>
              </w:rPr>
              <w:t>7</w:t>
            </w:r>
            <w:r>
              <w:rPr>
                <w:rFonts w:hint="eastAsia" w:ascii="宋体" w:hAnsi="宋体" w:eastAsia="宋体" w:cs="Times New Roman"/>
                <w:color w:val="auto"/>
                <w:kern w:val="2"/>
                <w:sz w:val="24"/>
                <w:szCs w:val="24"/>
                <w:highlight w:val="none"/>
                <w:lang w:val="en-US" w:eastAsia="zh-CN" w:bidi="ar-SA"/>
              </w:rPr>
              <w:t>保管和保险要求</w:t>
            </w:r>
          </w:p>
          <w:p w14:paraId="5E3D4AB6">
            <w:pPr>
              <w:keepNext w:val="0"/>
              <w:keepLines w:val="0"/>
              <w:pageBreakBefore w:val="0"/>
              <w:widowControl w:val="0"/>
              <w:kinsoku w:val="0"/>
              <w:wordWrap w:val="0"/>
              <w:overflowPunct/>
              <w:topLinePunct w:val="0"/>
              <w:bidi w:val="0"/>
              <w:adjustRightInd w:val="0"/>
              <w:snapToGrid w:val="0"/>
              <w:spacing w:line="360" w:lineRule="exact"/>
              <w:jc w:val="left"/>
              <w:textAlignment w:val="auto"/>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（1）设备在交货安装调试验收现场的保管须由乙方自行负责承担，设备须保管至项目验收合格交付完毕；</w:t>
            </w:r>
          </w:p>
          <w:p w14:paraId="0DA31D61">
            <w:pPr>
              <w:keepNext w:val="0"/>
              <w:keepLines w:val="0"/>
              <w:pageBreakBefore w:val="0"/>
              <w:widowControl w:val="0"/>
              <w:kinsoku w:val="0"/>
              <w:wordWrap w:val="0"/>
              <w:overflowPunct/>
              <w:topLinePunct w:val="0"/>
              <w:bidi w:val="0"/>
              <w:adjustRightInd w:val="0"/>
              <w:snapToGrid w:val="0"/>
              <w:spacing w:line="360" w:lineRule="exact"/>
              <w:jc w:val="left"/>
              <w:textAlignment w:val="auto"/>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（2）在合同履行期间中标企业需购买的一切货物保险、产品责任保险等由中标企业自行负责；中标企业自行负责所有派出人员的一切人身意外保险、工伤保险等。</w:t>
            </w:r>
          </w:p>
          <w:p w14:paraId="5512AC8C">
            <w:pPr>
              <w:keepNext w:val="0"/>
              <w:keepLines w:val="0"/>
              <w:pageBreakBefore w:val="0"/>
              <w:widowControl w:val="0"/>
              <w:kinsoku w:val="0"/>
              <w:wordWrap w:val="0"/>
              <w:overflowPunct/>
              <w:topLinePunct w:val="0"/>
              <w:bidi w:val="0"/>
              <w:adjustRightInd w:val="0"/>
              <w:snapToGrid w:val="0"/>
              <w:spacing w:line="360" w:lineRule="exact"/>
              <w:jc w:val="left"/>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cs="Times New Roman"/>
                <w:color w:val="auto"/>
                <w:kern w:val="2"/>
                <w:sz w:val="24"/>
                <w:szCs w:val="24"/>
                <w:highlight w:val="none"/>
                <w:lang w:val="en-US" w:eastAsia="zh-CN" w:bidi="ar-SA"/>
              </w:rPr>
              <w:t>5.4.8合同签订后30日历天内完成所有设备的交货。满足开学所需基本条件设备（如：学生桌、椅，教师办公设备，教室大屏等）须在合同签订后30日历天内完成安装、调试、验收交付并投入使用，并确保所投入设备均能正常使用并通过验收，满足办学需求，保证学校能正常开学。其余设备的安装、调试、验收交付期限为：</w:t>
            </w:r>
            <w:r>
              <w:rPr>
                <w:rFonts w:hint="eastAsia" w:ascii="宋体" w:hAnsi="宋体" w:cs="Times New Roman"/>
                <w:color w:val="auto"/>
                <w:kern w:val="2"/>
                <w:sz w:val="24"/>
                <w:szCs w:val="24"/>
                <w:highlight w:val="none"/>
                <w:u w:val="single"/>
                <w:lang w:val="en-US" w:eastAsia="zh-CN" w:bidi="ar-SA"/>
              </w:rPr>
              <w:t xml:space="preserve">       </w:t>
            </w:r>
            <w:r>
              <w:rPr>
                <w:rFonts w:hint="eastAsia" w:ascii="宋体" w:hAnsi="宋体" w:cs="Times New Roman"/>
                <w:color w:val="auto"/>
                <w:kern w:val="2"/>
                <w:sz w:val="24"/>
                <w:szCs w:val="24"/>
                <w:highlight w:val="none"/>
                <w:lang w:val="en-US" w:eastAsia="zh-CN" w:bidi="ar-SA"/>
              </w:rPr>
              <w:t>日历天</w:t>
            </w:r>
            <w:r>
              <w:rPr>
                <w:rFonts w:hint="eastAsia" w:ascii="宋体" w:hAnsi="宋体" w:eastAsia="宋体" w:cs="宋体"/>
                <w:b w:val="0"/>
                <w:bCs w:val="0"/>
                <w:color w:val="auto"/>
                <w:kern w:val="0"/>
                <w:sz w:val="24"/>
                <w:szCs w:val="24"/>
                <w:highlight w:val="none"/>
                <w:lang w:val="en-US" w:eastAsia="zh-CN"/>
              </w:rPr>
              <w:t>。</w:t>
            </w:r>
          </w:p>
          <w:p w14:paraId="54E16939">
            <w:pPr>
              <w:pStyle w:val="9"/>
              <w:keepNext w:val="0"/>
              <w:keepLines w:val="0"/>
              <w:pageBreakBefore w:val="0"/>
              <w:widowControl w:val="0"/>
              <w:kinsoku w:val="0"/>
              <w:wordWrap w:val="0"/>
              <w:bidi w:val="0"/>
              <w:textAlignment w:val="auto"/>
              <w:rPr>
                <w:rFonts w:hint="default" w:ascii="宋体" w:hAnsi="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5.4.</w:t>
            </w:r>
            <w:r>
              <w:rPr>
                <w:rFonts w:hint="eastAsia" w:ascii="宋体" w:hAnsi="宋体" w:cs="宋体"/>
                <w:b w:val="0"/>
                <w:bCs w:val="0"/>
                <w:color w:val="auto"/>
                <w:kern w:val="0"/>
                <w:sz w:val="24"/>
                <w:szCs w:val="24"/>
                <w:highlight w:val="none"/>
                <w:lang w:val="en-US" w:eastAsia="zh-CN"/>
              </w:rPr>
              <w:t>9</w:t>
            </w:r>
            <w:r>
              <w:rPr>
                <w:rFonts w:hint="eastAsia" w:ascii="宋体" w:hAnsi="宋体" w:eastAsia="宋体" w:cs="宋体"/>
                <w:b w:val="0"/>
                <w:bCs w:val="0"/>
                <w:color w:val="auto"/>
                <w:kern w:val="0"/>
                <w:sz w:val="24"/>
                <w:szCs w:val="24"/>
                <w:highlight w:val="none"/>
                <w:lang w:val="en-US" w:eastAsia="zh-CN"/>
              </w:rPr>
              <w:t>本项目采购所有设备必须为原装、全新、成套、未被淘汰的设备，保证</w:t>
            </w:r>
            <w:r>
              <w:rPr>
                <w:rFonts w:hint="eastAsia" w:ascii="宋体" w:hAnsi="宋体" w:cs="宋体"/>
                <w:b w:val="0"/>
                <w:bCs w:val="0"/>
                <w:color w:val="auto"/>
                <w:kern w:val="0"/>
                <w:sz w:val="24"/>
                <w:szCs w:val="24"/>
                <w:highlight w:val="none"/>
                <w:lang w:val="en-US" w:eastAsia="zh-CN"/>
              </w:rPr>
              <w:t>甲</w:t>
            </w:r>
            <w:r>
              <w:rPr>
                <w:rFonts w:hint="eastAsia" w:ascii="宋体" w:hAnsi="宋体" w:eastAsia="宋体" w:cs="宋体"/>
                <w:b w:val="0"/>
                <w:bCs w:val="0"/>
                <w:color w:val="auto"/>
                <w:kern w:val="0"/>
                <w:sz w:val="24"/>
                <w:szCs w:val="24"/>
                <w:highlight w:val="none"/>
                <w:lang w:val="en-US" w:eastAsia="zh-CN"/>
              </w:rPr>
              <w:t>方在使用过程中不受第三方提出侵犯其专利权、商标权和工业设计权的起诉。所有设备质量均须符合国家、行业相关标准以及满足</w:t>
            </w:r>
            <w:r>
              <w:rPr>
                <w:rFonts w:hint="eastAsia" w:ascii="宋体" w:hAnsi="宋体" w:cs="宋体"/>
                <w:b w:val="0"/>
                <w:bCs w:val="0"/>
                <w:color w:val="auto"/>
                <w:kern w:val="0"/>
                <w:sz w:val="24"/>
                <w:szCs w:val="24"/>
                <w:highlight w:val="none"/>
                <w:lang w:val="en-US" w:eastAsia="zh-CN"/>
              </w:rPr>
              <w:t>甲方</w:t>
            </w:r>
            <w:r>
              <w:rPr>
                <w:rFonts w:hint="eastAsia" w:ascii="宋体" w:hAnsi="宋体" w:eastAsia="宋体" w:cs="宋体"/>
                <w:b w:val="0"/>
                <w:bCs w:val="0"/>
                <w:color w:val="auto"/>
                <w:kern w:val="0"/>
                <w:sz w:val="24"/>
                <w:szCs w:val="24"/>
                <w:highlight w:val="none"/>
                <w:lang w:val="en-US" w:eastAsia="zh-CN"/>
              </w:rPr>
              <w:t>使用需求，并保证一次性验收合格。</w:t>
            </w:r>
          </w:p>
        </w:tc>
      </w:tr>
      <w:tr w14:paraId="2DB9779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320" w:type="dxa"/>
            <w:vAlign w:val="center"/>
          </w:tcPr>
          <w:p w14:paraId="6DFF6C81">
            <w:pPr>
              <w:keepNext w:val="0"/>
              <w:keepLines w:val="0"/>
              <w:pageBreakBefore w:val="0"/>
              <w:widowControl w:val="0"/>
              <w:kinsoku w:val="0"/>
              <w:wordWrap w:val="0"/>
              <w:overflowPunct/>
              <w:topLinePunct w:val="0"/>
              <w:bidi w:val="0"/>
              <w:adjustRightInd w:val="0"/>
              <w:snapToGrid w:val="0"/>
              <w:spacing w:line="360" w:lineRule="exact"/>
              <w:jc w:val="center"/>
              <w:textAlignment w:val="auto"/>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第二节</w:t>
            </w:r>
          </w:p>
          <w:p w14:paraId="6A53702B">
            <w:pPr>
              <w:keepNext w:val="0"/>
              <w:keepLines w:val="0"/>
              <w:pageBreakBefore w:val="0"/>
              <w:widowControl w:val="0"/>
              <w:kinsoku w:val="0"/>
              <w:wordWrap w:val="0"/>
              <w:overflowPunct/>
              <w:topLinePunct w:val="0"/>
              <w:bidi w:val="0"/>
              <w:snapToGrid w:val="0"/>
              <w:spacing w:line="360" w:lineRule="exact"/>
              <w:jc w:val="center"/>
              <w:textAlignment w:val="auto"/>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第</w:t>
            </w:r>
            <w:r>
              <w:rPr>
                <w:rFonts w:hint="eastAsia" w:ascii="宋体" w:hAnsi="宋体"/>
                <w:color w:val="auto"/>
                <w:sz w:val="24"/>
                <w:szCs w:val="24"/>
                <w:highlight w:val="none"/>
                <w:lang w:val="en-US" w:eastAsia="zh-CN"/>
              </w:rPr>
              <w:t>6.1款</w:t>
            </w:r>
          </w:p>
        </w:tc>
        <w:tc>
          <w:tcPr>
            <w:tcW w:w="1827" w:type="dxa"/>
            <w:vAlign w:val="center"/>
          </w:tcPr>
          <w:p w14:paraId="3F187DAB">
            <w:pPr>
              <w:keepNext w:val="0"/>
              <w:keepLines w:val="0"/>
              <w:pageBreakBefore w:val="0"/>
              <w:widowControl w:val="0"/>
              <w:kinsoku w:val="0"/>
              <w:wordWrap w:val="0"/>
              <w:overflowPunct/>
              <w:topLinePunct w:val="0"/>
              <w:bidi w:val="0"/>
              <w:adjustRightInd w:val="0"/>
              <w:snapToGrid w:val="0"/>
              <w:spacing w:line="360" w:lineRule="exact"/>
              <w:jc w:val="left"/>
              <w:textAlignment w:val="auto"/>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履行合同义务的顺序</w:t>
            </w:r>
          </w:p>
        </w:tc>
        <w:tc>
          <w:tcPr>
            <w:tcW w:w="5481" w:type="dxa"/>
            <w:vAlign w:val="center"/>
          </w:tcPr>
          <w:p w14:paraId="457C0FBB">
            <w:pPr>
              <w:keepNext w:val="0"/>
              <w:keepLines w:val="0"/>
              <w:pageBreakBefore w:val="0"/>
              <w:widowControl w:val="0"/>
              <w:kinsoku w:val="0"/>
              <w:wordWrap w:val="0"/>
              <w:overflowPunct/>
              <w:topLinePunct w:val="0"/>
              <w:bidi w:val="0"/>
              <w:adjustRightInd w:val="0"/>
              <w:snapToGrid w:val="0"/>
              <w:spacing w:line="360" w:lineRule="exact"/>
              <w:jc w:val="left"/>
              <w:textAlignment w:val="auto"/>
              <w:rPr>
                <w:rFonts w:hint="default" w:ascii="宋体" w:hAnsi="宋体" w:eastAsia="宋体" w:cs="Times New Roman"/>
                <w:color w:val="auto"/>
                <w:kern w:val="2"/>
                <w:sz w:val="24"/>
                <w:szCs w:val="24"/>
                <w:highlight w:val="none"/>
                <w:lang w:val="en-US" w:eastAsia="zh-CN" w:bidi="ar-SA"/>
              </w:rPr>
            </w:pPr>
            <w:r>
              <w:rPr>
                <w:rFonts w:hint="default" w:ascii="宋体" w:hAnsi="宋体" w:eastAsia="宋体" w:cs="Times New Roman"/>
                <w:color w:val="auto"/>
                <w:kern w:val="2"/>
                <w:sz w:val="24"/>
                <w:szCs w:val="24"/>
                <w:highlight w:val="none"/>
                <w:lang w:val="en-US" w:eastAsia="zh-CN" w:bidi="ar-SA"/>
              </w:rPr>
              <w:t>按通用条款执行</w:t>
            </w:r>
          </w:p>
        </w:tc>
      </w:tr>
      <w:tr w14:paraId="530CD1E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320" w:type="dxa"/>
            <w:vMerge w:val="restart"/>
            <w:vAlign w:val="center"/>
          </w:tcPr>
          <w:p w14:paraId="36B9C4AB">
            <w:pPr>
              <w:keepNext w:val="0"/>
              <w:keepLines w:val="0"/>
              <w:pageBreakBefore w:val="0"/>
              <w:widowControl w:val="0"/>
              <w:kinsoku w:val="0"/>
              <w:wordWrap w:val="0"/>
              <w:overflowPunct/>
              <w:topLinePunct w:val="0"/>
              <w:bidi w:val="0"/>
              <w:adjustRightInd w:val="0"/>
              <w:snapToGrid w:val="0"/>
              <w:spacing w:line="360" w:lineRule="exact"/>
              <w:jc w:val="center"/>
              <w:textAlignment w:val="auto"/>
              <w:rPr>
                <w:rFonts w:ascii="宋体" w:hAnsi="宋体"/>
                <w:color w:val="auto"/>
                <w:sz w:val="24"/>
                <w:szCs w:val="24"/>
                <w:highlight w:val="none"/>
              </w:rPr>
            </w:pPr>
            <w:r>
              <w:rPr>
                <w:rFonts w:hint="eastAsia" w:ascii="宋体" w:hAnsi="宋体"/>
                <w:color w:val="auto"/>
                <w:sz w:val="24"/>
                <w:szCs w:val="24"/>
                <w:highlight w:val="none"/>
              </w:rPr>
              <w:t>第二节</w:t>
            </w:r>
          </w:p>
          <w:p w14:paraId="085A1EA2">
            <w:pPr>
              <w:keepNext w:val="0"/>
              <w:keepLines w:val="0"/>
              <w:pageBreakBefore w:val="0"/>
              <w:widowControl w:val="0"/>
              <w:kinsoku w:val="0"/>
              <w:wordWrap w:val="0"/>
              <w:overflowPunct/>
              <w:topLinePunct w:val="0"/>
              <w:bidi w:val="0"/>
              <w:adjustRightInd w:val="0"/>
              <w:snapToGrid w:val="0"/>
              <w:spacing w:line="360" w:lineRule="exact"/>
              <w:jc w:val="center"/>
              <w:textAlignment w:val="auto"/>
              <w:rPr>
                <w:rFonts w:ascii="宋体" w:hAnsi="宋体"/>
                <w:color w:val="auto"/>
                <w:sz w:val="24"/>
                <w:szCs w:val="24"/>
                <w:highlight w:val="none"/>
              </w:rPr>
            </w:pPr>
            <w:r>
              <w:rPr>
                <w:rFonts w:hint="eastAsia" w:ascii="宋体" w:hAnsi="宋体"/>
                <w:color w:val="auto"/>
                <w:sz w:val="24"/>
                <w:szCs w:val="24"/>
                <w:highlight w:val="none"/>
              </w:rPr>
              <w:t>第</w:t>
            </w:r>
            <w:r>
              <w:rPr>
                <w:rFonts w:hint="eastAsia" w:ascii="宋体" w:hAnsi="宋体"/>
                <w:color w:val="auto"/>
                <w:sz w:val="24"/>
                <w:szCs w:val="24"/>
                <w:highlight w:val="none"/>
                <w:lang w:val="en-US" w:eastAsia="zh-CN"/>
              </w:rPr>
              <w:t>7</w:t>
            </w:r>
            <w:r>
              <w:rPr>
                <w:rFonts w:hint="eastAsia" w:ascii="宋体" w:hAnsi="宋体"/>
                <w:color w:val="auto"/>
                <w:sz w:val="24"/>
                <w:szCs w:val="24"/>
                <w:highlight w:val="none"/>
              </w:rPr>
              <w:t>.1</w:t>
            </w:r>
            <w:r>
              <w:rPr>
                <w:rFonts w:hint="eastAsia" w:ascii="宋体" w:hAnsi="宋体"/>
                <w:color w:val="auto"/>
                <w:sz w:val="24"/>
                <w:szCs w:val="24"/>
                <w:highlight w:val="none"/>
                <w:lang w:val="en-US" w:eastAsia="zh-CN"/>
              </w:rPr>
              <w:t>款</w:t>
            </w:r>
          </w:p>
        </w:tc>
        <w:tc>
          <w:tcPr>
            <w:tcW w:w="1827" w:type="dxa"/>
            <w:vAlign w:val="center"/>
          </w:tcPr>
          <w:p w14:paraId="2EEF934D">
            <w:pPr>
              <w:keepNext w:val="0"/>
              <w:keepLines w:val="0"/>
              <w:pageBreakBefore w:val="0"/>
              <w:widowControl w:val="0"/>
              <w:kinsoku w:val="0"/>
              <w:wordWrap w:val="0"/>
              <w:overflowPunct/>
              <w:topLinePunct w:val="0"/>
              <w:bidi w:val="0"/>
              <w:adjustRightInd w:val="0"/>
              <w:snapToGrid w:val="0"/>
              <w:spacing w:line="360" w:lineRule="exact"/>
              <w:jc w:val="left"/>
              <w:textAlignment w:val="auto"/>
              <w:rPr>
                <w:rFonts w:ascii="宋体" w:hAnsi="宋体"/>
                <w:color w:val="auto"/>
                <w:sz w:val="24"/>
                <w:szCs w:val="24"/>
                <w:highlight w:val="none"/>
              </w:rPr>
            </w:pPr>
            <w:r>
              <w:rPr>
                <w:rFonts w:hint="eastAsia" w:ascii="宋体" w:hAnsi="宋体"/>
                <w:color w:val="auto"/>
                <w:sz w:val="24"/>
                <w:szCs w:val="24"/>
                <w:highlight w:val="none"/>
              </w:rPr>
              <w:t>包装</w:t>
            </w:r>
            <w:r>
              <w:rPr>
                <w:rFonts w:hint="eastAsia" w:ascii="宋体" w:hAnsi="宋体"/>
                <w:color w:val="auto"/>
                <w:sz w:val="24"/>
                <w:szCs w:val="24"/>
                <w:highlight w:val="none"/>
                <w:lang w:eastAsia="zh-CN"/>
              </w:rPr>
              <w:t>特殊要求</w:t>
            </w:r>
          </w:p>
        </w:tc>
        <w:tc>
          <w:tcPr>
            <w:tcW w:w="5481" w:type="dxa"/>
            <w:vAlign w:val="center"/>
          </w:tcPr>
          <w:p w14:paraId="0BC8AAB8">
            <w:pPr>
              <w:keepNext w:val="0"/>
              <w:keepLines w:val="0"/>
              <w:pageBreakBefore w:val="0"/>
              <w:widowControl w:val="0"/>
              <w:kinsoku w:val="0"/>
              <w:wordWrap w:val="0"/>
              <w:overflowPunct/>
              <w:topLinePunct w:val="0"/>
              <w:bidi w:val="0"/>
              <w:adjustRightInd w:val="0"/>
              <w:snapToGrid w:val="0"/>
              <w:spacing w:line="360" w:lineRule="exact"/>
              <w:jc w:val="left"/>
              <w:textAlignment w:val="auto"/>
              <w:rPr>
                <w:rFonts w:hint="eastAsia" w:ascii="宋体" w:hAnsi="宋体" w:eastAsia="宋体" w:cs="Times New Roman"/>
                <w:color w:val="auto"/>
                <w:kern w:val="2"/>
                <w:sz w:val="24"/>
                <w:szCs w:val="24"/>
                <w:highlight w:val="none"/>
                <w:lang w:val="en-US" w:eastAsia="zh-CN" w:bidi="ar-SA"/>
              </w:rPr>
            </w:pPr>
            <w:r>
              <w:rPr>
                <w:rFonts w:hint="eastAsia" w:ascii="宋体" w:hAnsi="宋体" w:cs="Times New Roman"/>
                <w:color w:val="auto"/>
                <w:kern w:val="2"/>
                <w:sz w:val="24"/>
                <w:szCs w:val="24"/>
                <w:highlight w:val="none"/>
                <w:lang w:val="en-US" w:eastAsia="zh-CN" w:bidi="ar-SA"/>
              </w:rPr>
              <w:t>7.1.1</w:t>
            </w:r>
            <w:r>
              <w:rPr>
                <w:rFonts w:hint="eastAsia" w:ascii="宋体" w:hAnsi="宋体" w:eastAsia="宋体" w:cs="Times New Roman"/>
                <w:color w:val="auto"/>
                <w:kern w:val="2"/>
                <w:sz w:val="24"/>
                <w:szCs w:val="24"/>
                <w:highlight w:val="none"/>
                <w:lang w:val="en-US" w:eastAsia="zh-CN" w:bidi="ar-SA"/>
              </w:rPr>
              <w:t>乙方提供的所有采购设备须用坚固的方式包装，适合长途运输、防湿、防潮、防震、防锈、耐粗暴搬运，由于包装不良所发生的损失及由于采用不充分或不妥善的防护措施而造成的任何锈蚀、损坏和损失，其责任和费用由乙方承担；</w:t>
            </w:r>
          </w:p>
          <w:p w14:paraId="274AF732">
            <w:pPr>
              <w:keepNext w:val="0"/>
              <w:keepLines w:val="0"/>
              <w:pageBreakBefore w:val="0"/>
              <w:widowControl w:val="0"/>
              <w:kinsoku w:val="0"/>
              <w:wordWrap w:val="0"/>
              <w:overflowPunct/>
              <w:topLinePunct w:val="0"/>
              <w:bidi w:val="0"/>
              <w:adjustRightInd w:val="0"/>
              <w:snapToGrid w:val="0"/>
              <w:spacing w:line="360" w:lineRule="exact"/>
              <w:jc w:val="left"/>
              <w:textAlignment w:val="auto"/>
              <w:rPr>
                <w:color w:val="auto"/>
                <w:sz w:val="24"/>
                <w:szCs w:val="24"/>
                <w:highlight w:val="none"/>
              </w:rPr>
            </w:pPr>
            <w:r>
              <w:rPr>
                <w:rFonts w:hint="eastAsia" w:ascii="宋体" w:hAnsi="宋体" w:cs="Times New Roman"/>
                <w:color w:val="auto"/>
                <w:kern w:val="2"/>
                <w:sz w:val="24"/>
                <w:szCs w:val="24"/>
                <w:highlight w:val="none"/>
                <w:lang w:val="en-US" w:eastAsia="zh-CN" w:bidi="ar-SA"/>
              </w:rPr>
              <w:t>7.1.2</w:t>
            </w:r>
            <w:r>
              <w:rPr>
                <w:rFonts w:hint="eastAsia" w:ascii="宋体" w:hAnsi="宋体" w:eastAsia="宋体" w:cs="Times New Roman"/>
                <w:color w:val="auto"/>
                <w:kern w:val="2"/>
                <w:sz w:val="24"/>
                <w:szCs w:val="24"/>
                <w:highlight w:val="none"/>
                <w:lang w:val="en-US" w:eastAsia="zh-CN" w:bidi="ar-SA"/>
              </w:rPr>
              <w:t>具体包装要求须符合《商品包装政府采购需求标准（试行）》《快递包装政府采购需求标准（试行）》</w:t>
            </w:r>
            <w:r>
              <w:rPr>
                <w:rFonts w:hint="eastAsia" w:ascii="宋体" w:hAnsi="宋体" w:cs="Times New Roman"/>
                <w:color w:val="auto"/>
                <w:kern w:val="2"/>
                <w:sz w:val="24"/>
                <w:szCs w:val="24"/>
                <w:highlight w:val="none"/>
                <w:lang w:val="en-US" w:eastAsia="zh-CN" w:bidi="ar-SA"/>
              </w:rPr>
              <w:t>。</w:t>
            </w:r>
          </w:p>
        </w:tc>
      </w:tr>
      <w:tr w14:paraId="3C5307D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320" w:type="dxa"/>
            <w:vMerge w:val="continue"/>
            <w:vAlign w:val="center"/>
          </w:tcPr>
          <w:p w14:paraId="1600A672">
            <w:pPr>
              <w:keepNext w:val="0"/>
              <w:keepLines w:val="0"/>
              <w:pageBreakBefore w:val="0"/>
              <w:widowControl w:val="0"/>
              <w:kinsoku w:val="0"/>
              <w:wordWrap w:val="0"/>
              <w:overflowPunct/>
              <w:topLinePunct w:val="0"/>
              <w:bidi w:val="0"/>
              <w:adjustRightInd w:val="0"/>
              <w:snapToGrid w:val="0"/>
              <w:spacing w:line="360" w:lineRule="exact"/>
              <w:jc w:val="center"/>
              <w:textAlignment w:val="auto"/>
              <w:rPr>
                <w:rFonts w:hint="eastAsia" w:ascii="宋体" w:hAnsi="宋体"/>
                <w:color w:val="auto"/>
                <w:sz w:val="24"/>
                <w:szCs w:val="24"/>
                <w:highlight w:val="none"/>
              </w:rPr>
            </w:pPr>
          </w:p>
        </w:tc>
        <w:tc>
          <w:tcPr>
            <w:tcW w:w="1827" w:type="dxa"/>
            <w:vAlign w:val="center"/>
          </w:tcPr>
          <w:p w14:paraId="1B3B5046">
            <w:pPr>
              <w:keepNext w:val="0"/>
              <w:keepLines w:val="0"/>
              <w:pageBreakBefore w:val="0"/>
              <w:widowControl w:val="0"/>
              <w:kinsoku w:val="0"/>
              <w:wordWrap w:val="0"/>
              <w:overflowPunct/>
              <w:topLinePunct w:val="0"/>
              <w:bidi w:val="0"/>
              <w:adjustRightInd w:val="0"/>
              <w:snapToGrid w:val="0"/>
              <w:spacing w:line="360" w:lineRule="exact"/>
              <w:jc w:val="left"/>
              <w:textAlignment w:val="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eastAsia="zh-CN"/>
              </w:rPr>
              <w:t>指定现场</w:t>
            </w:r>
          </w:p>
        </w:tc>
        <w:tc>
          <w:tcPr>
            <w:tcW w:w="5481" w:type="dxa"/>
            <w:vAlign w:val="center"/>
          </w:tcPr>
          <w:p w14:paraId="1BAB10E3">
            <w:pPr>
              <w:keepNext w:val="0"/>
              <w:keepLines w:val="0"/>
              <w:pageBreakBefore w:val="0"/>
              <w:widowControl w:val="0"/>
              <w:kinsoku w:val="0"/>
              <w:wordWrap w:val="0"/>
              <w:overflowPunct/>
              <w:topLinePunct w:val="0"/>
              <w:bidi w:val="0"/>
              <w:spacing w:line="360" w:lineRule="exact"/>
              <w:textAlignment w:val="auto"/>
              <w:rPr>
                <w:rFonts w:hint="default"/>
                <w:color w:val="auto"/>
                <w:sz w:val="24"/>
                <w:szCs w:val="24"/>
                <w:highlight w:val="none"/>
                <w:lang w:val="en-US"/>
              </w:rPr>
            </w:pPr>
            <w:r>
              <w:rPr>
                <w:rFonts w:hint="eastAsia"/>
                <w:color w:val="auto"/>
                <w:sz w:val="24"/>
                <w:szCs w:val="24"/>
                <w:highlight w:val="none"/>
                <w:lang w:eastAsia="zh-CN"/>
              </w:rPr>
              <w:t>会泽县金钟街道文笔小学，</w:t>
            </w:r>
            <w:r>
              <w:rPr>
                <w:rFonts w:hint="eastAsia"/>
                <w:color w:val="auto"/>
                <w:sz w:val="24"/>
                <w:szCs w:val="24"/>
                <w:highlight w:val="none"/>
                <w:lang w:val="en-US" w:eastAsia="zh-CN"/>
              </w:rPr>
              <w:t>甲方指定地点。</w:t>
            </w:r>
          </w:p>
        </w:tc>
      </w:tr>
      <w:tr w14:paraId="22A7A49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trPr>
        <w:tc>
          <w:tcPr>
            <w:tcW w:w="1320" w:type="dxa"/>
            <w:vAlign w:val="center"/>
          </w:tcPr>
          <w:p w14:paraId="48A3C04A">
            <w:pPr>
              <w:keepNext w:val="0"/>
              <w:keepLines w:val="0"/>
              <w:pageBreakBefore w:val="0"/>
              <w:widowControl w:val="0"/>
              <w:kinsoku w:val="0"/>
              <w:wordWrap w:val="0"/>
              <w:overflowPunct/>
              <w:topLinePunct w:val="0"/>
              <w:bidi w:val="0"/>
              <w:adjustRightInd w:val="0"/>
              <w:snapToGrid w:val="0"/>
              <w:spacing w:line="360" w:lineRule="exact"/>
              <w:jc w:val="center"/>
              <w:textAlignment w:val="auto"/>
              <w:rPr>
                <w:rFonts w:ascii="宋体" w:hAnsi="宋体"/>
                <w:color w:val="auto"/>
                <w:sz w:val="24"/>
                <w:szCs w:val="24"/>
                <w:highlight w:val="none"/>
              </w:rPr>
            </w:pPr>
            <w:r>
              <w:rPr>
                <w:rFonts w:hint="eastAsia" w:ascii="宋体" w:hAnsi="宋体"/>
                <w:color w:val="auto"/>
                <w:sz w:val="24"/>
                <w:szCs w:val="24"/>
                <w:highlight w:val="none"/>
              </w:rPr>
              <w:t>第二节</w:t>
            </w:r>
          </w:p>
          <w:p w14:paraId="424D8561">
            <w:pPr>
              <w:keepNext w:val="0"/>
              <w:keepLines w:val="0"/>
              <w:pageBreakBefore w:val="0"/>
              <w:widowControl w:val="0"/>
              <w:kinsoku w:val="0"/>
              <w:wordWrap w:val="0"/>
              <w:overflowPunct/>
              <w:topLinePunct w:val="0"/>
              <w:bidi w:val="0"/>
              <w:adjustRightInd w:val="0"/>
              <w:snapToGrid w:val="0"/>
              <w:spacing w:line="360" w:lineRule="exact"/>
              <w:jc w:val="center"/>
              <w:textAlignment w:val="auto"/>
              <w:rPr>
                <w:rFonts w:hint="eastAsia" w:ascii="宋体" w:hAnsi="宋体"/>
                <w:color w:val="auto"/>
                <w:sz w:val="24"/>
                <w:szCs w:val="24"/>
                <w:highlight w:val="none"/>
              </w:rPr>
            </w:pPr>
            <w:r>
              <w:rPr>
                <w:rFonts w:hint="eastAsia" w:ascii="宋体" w:hAnsi="宋体"/>
                <w:color w:val="auto"/>
                <w:sz w:val="24"/>
                <w:szCs w:val="24"/>
                <w:highlight w:val="none"/>
              </w:rPr>
              <w:t>第</w:t>
            </w:r>
            <w:r>
              <w:rPr>
                <w:rFonts w:hint="eastAsia" w:ascii="宋体" w:hAnsi="宋体"/>
                <w:color w:val="auto"/>
                <w:sz w:val="24"/>
                <w:szCs w:val="24"/>
                <w:highlight w:val="none"/>
                <w:lang w:val="en-US" w:eastAsia="zh-CN"/>
              </w:rPr>
              <w:t>7</w:t>
            </w:r>
            <w:r>
              <w:rPr>
                <w:rFonts w:hint="eastAsia" w:ascii="宋体" w:hAnsi="宋体"/>
                <w:color w:val="auto"/>
                <w:sz w:val="24"/>
                <w:szCs w:val="24"/>
                <w:highlight w:val="none"/>
              </w:rPr>
              <w:t>.2</w:t>
            </w:r>
            <w:r>
              <w:rPr>
                <w:rFonts w:hint="eastAsia" w:ascii="宋体" w:hAnsi="宋体"/>
                <w:color w:val="auto"/>
                <w:sz w:val="24"/>
                <w:szCs w:val="24"/>
                <w:highlight w:val="none"/>
                <w:lang w:val="en-US" w:eastAsia="zh-CN"/>
              </w:rPr>
              <w:t>款</w:t>
            </w:r>
          </w:p>
        </w:tc>
        <w:tc>
          <w:tcPr>
            <w:tcW w:w="1827" w:type="dxa"/>
            <w:vAlign w:val="center"/>
          </w:tcPr>
          <w:p w14:paraId="3C2BE670">
            <w:pPr>
              <w:keepNext w:val="0"/>
              <w:keepLines w:val="0"/>
              <w:pageBreakBefore w:val="0"/>
              <w:widowControl w:val="0"/>
              <w:kinsoku w:val="0"/>
              <w:wordWrap w:val="0"/>
              <w:overflowPunct/>
              <w:topLinePunct w:val="0"/>
              <w:bidi w:val="0"/>
              <w:adjustRightInd w:val="0"/>
              <w:snapToGrid w:val="0"/>
              <w:spacing w:line="360" w:lineRule="exact"/>
              <w:jc w:val="left"/>
              <w:textAlignment w:val="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eastAsia="zh-CN"/>
              </w:rPr>
              <w:t>运输特殊要求</w:t>
            </w:r>
          </w:p>
        </w:tc>
        <w:tc>
          <w:tcPr>
            <w:tcW w:w="5481" w:type="dxa"/>
            <w:vAlign w:val="center"/>
          </w:tcPr>
          <w:p w14:paraId="0F033B91">
            <w:pPr>
              <w:keepNext w:val="0"/>
              <w:keepLines w:val="0"/>
              <w:pageBreakBefore w:val="0"/>
              <w:widowControl w:val="0"/>
              <w:kinsoku w:val="0"/>
              <w:wordWrap w:val="0"/>
              <w:overflowPunct/>
              <w:topLinePunct w:val="0"/>
              <w:bidi w:val="0"/>
              <w:spacing w:line="360" w:lineRule="exact"/>
              <w:textAlignment w:val="auto"/>
              <w:rPr>
                <w:rFonts w:hint="eastAsia"/>
                <w:color w:val="auto"/>
                <w:sz w:val="24"/>
                <w:szCs w:val="24"/>
                <w:highlight w:val="none"/>
              </w:rPr>
            </w:pPr>
            <w:r>
              <w:rPr>
                <w:rFonts w:hint="eastAsia"/>
                <w:color w:val="auto"/>
                <w:sz w:val="24"/>
                <w:szCs w:val="24"/>
                <w:highlight w:val="none"/>
                <w:lang w:val="en-US" w:eastAsia="zh-CN"/>
              </w:rPr>
              <w:t>7.2.1运输、贮存教学设备，应当符合教学设备说明书和标签标示的要求；对温度、湿度等环境条件有特殊要求的，应当采取相应措施，保证教学设备的安全、有效。</w:t>
            </w:r>
          </w:p>
        </w:tc>
      </w:tr>
      <w:tr w14:paraId="2070314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320" w:type="dxa"/>
            <w:vAlign w:val="center"/>
          </w:tcPr>
          <w:p w14:paraId="35CE13C1">
            <w:pPr>
              <w:keepNext w:val="0"/>
              <w:keepLines w:val="0"/>
              <w:pageBreakBefore w:val="0"/>
              <w:widowControl w:val="0"/>
              <w:kinsoku w:val="0"/>
              <w:wordWrap w:val="0"/>
              <w:overflowPunct/>
              <w:topLinePunct w:val="0"/>
              <w:bidi w:val="0"/>
              <w:adjustRightInd w:val="0"/>
              <w:snapToGrid w:val="0"/>
              <w:spacing w:line="360" w:lineRule="exact"/>
              <w:jc w:val="center"/>
              <w:textAlignment w:val="auto"/>
              <w:rPr>
                <w:rFonts w:ascii="宋体" w:hAnsi="宋体"/>
                <w:color w:val="auto"/>
                <w:sz w:val="24"/>
                <w:szCs w:val="24"/>
                <w:highlight w:val="none"/>
              </w:rPr>
            </w:pPr>
            <w:r>
              <w:rPr>
                <w:rFonts w:hint="eastAsia" w:ascii="宋体" w:hAnsi="宋体"/>
                <w:color w:val="auto"/>
                <w:sz w:val="24"/>
                <w:szCs w:val="24"/>
                <w:highlight w:val="none"/>
              </w:rPr>
              <w:t>第二节</w:t>
            </w:r>
          </w:p>
          <w:p w14:paraId="1EA18657">
            <w:pPr>
              <w:keepNext w:val="0"/>
              <w:keepLines w:val="0"/>
              <w:pageBreakBefore w:val="0"/>
              <w:widowControl w:val="0"/>
              <w:kinsoku w:val="0"/>
              <w:wordWrap w:val="0"/>
              <w:overflowPunct/>
              <w:topLinePunct w:val="0"/>
              <w:bidi w:val="0"/>
              <w:adjustRightInd w:val="0"/>
              <w:snapToGrid w:val="0"/>
              <w:spacing w:line="360" w:lineRule="exact"/>
              <w:jc w:val="center"/>
              <w:textAlignment w:val="auto"/>
              <w:rPr>
                <w:rFonts w:hint="eastAsia" w:ascii="宋体" w:hAnsi="宋体"/>
                <w:color w:val="auto"/>
                <w:sz w:val="24"/>
                <w:szCs w:val="24"/>
                <w:highlight w:val="none"/>
              </w:rPr>
            </w:pPr>
            <w:r>
              <w:rPr>
                <w:rFonts w:hint="eastAsia" w:ascii="宋体" w:hAnsi="宋体"/>
                <w:color w:val="auto"/>
                <w:sz w:val="24"/>
                <w:szCs w:val="24"/>
                <w:highlight w:val="none"/>
              </w:rPr>
              <w:t>第</w:t>
            </w:r>
            <w:r>
              <w:rPr>
                <w:rFonts w:hint="eastAsia" w:ascii="宋体" w:hAnsi="宋体"/>
                <w:color w:val="auto"/>
                <w:sz w:val="24"/>
                <w:szCs w:val="24"/>
                <w:highlight w:val="none"/>
                <w:lang w:val="en-US" w:eastAsia="zh-CN"/>
              </w:rPr>
              <w:t>7</w:t>
            </w:r>
            <w:r>
              <w:rPr>
                <w:rFonts w:hint="eastAsia" w:ascii="宋体" w:hAnsi="宋体"/>
                <w:color w:val="auto"/>
                <w:sz w:val="24"/>
                <w:szCs w:val="24"/>
                <w:highlight w:val="none"/>
              </w:rPr>
              <w:t>.3</w:t>
            </w:r>
            <w:r>
              <w:rPr>
                <w:rFonts w:hint="eastAsia" w:ascii="宋体" w:hAnsi="宋体"/>
                <w:color w:val="auto"/>
                <w:sz w:val="24"/>
                <w:szCs w:val="24"/>
                <w:highlight w:val="none"/>
                <w:lang w:val="en-US" w:eastAsia="zh-CN"/>
              </w:rPr>
              <w:t>款</w:t>
            </w:r>
          </w:p>
        </w:tc>
        <w:tc>
          <w:tcPr>
            <w:tcW w:w="1827" w:type="dxa"/>
            <w:vAlign w:val="center"/>
          </w:tcPr>
          <w:p w14:paraId="24F9861D">
            <w:pPr>
              <w:keepNext w:val="0"/>
              <w:keepLines w:val="0"/>
              <w:pageBreakBefore w:val="0"/>
              <w:widowControl w:val="0"/>
              <w:kinsoku w:val="0"/>
              <w:wordWrap w:val="0"/>
              <w:overflowPunct/>
              <w:topLinePunct w:val="0"/>
              <w:bidi w:val="0"/>
              <w:adjustRightInd w:val="0"/>
              <w:snapToGrid w:val="0"/>
              <w:spacing w:line="360" w:lineRule="exact"/>
              <w:jc w:val="left"/>
              <w:textAlignment w:val="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eastAsia="zh-CN"/>
              </w:rPr>
              <w:t>保险要求</w:t>
            </w:r>
          </w:p>
        </w:tc>
        <w:tc>
          <w:tcPr>
            <w:tcW w:w="5481" w:type="dxa"/>
            <w:vAlign w:val="center"/>
          </w:tcPr>
          <w:p w14:paraId="0921FB82">
            <w:pPr>
              <w:keepNext w:val="0"/>
              <w:keepLines w:val="0"/>
              <w:pageBreakBefore w:val="0"/>
              <w:widowControl w:val="0"/>
              <w:kinsoku w:val="0"/>
              <w:wordWrap w:val="0"/>
              <w:overflowPunct/>
              <w:topLinePunct w:val="0"/>
              <w:bidi w:val="0"/>
              <w:spacing w:line="360" w:lineRule="exact"/>
              <w:textAlignment w:val="auto"/>
              <w:rPr>
                <w:rFonts w:hint="default" w:eastAsia="宋体"/>
                <w:color w:val="auto"/>
                <w:sz w:val="24"/>
                <w:szCs w:val="24"/>
                <w:highlight w:val="none"/>
                <w:lang w:val="en-US" w:eastAsia="zh-CN"/>
              </w:rPr>
            </w:pPr>
            <w:r>
              <w:rPr>
                <w:rFonts w:hint="eastAsia"/>
                <w:color w:val="auto"/>
                <w:sz w:val="24"/>
                <w:szCs w:val="24"/>
                <w:highlight w:val="none"/>
                <w:lang w:val="en-US" w:eastAsia="zh-CN"/>
              </w:rPr>
              <w:t>7.3.1本合同所涉货物运输到甲方指定地点完成交接前的保险由乙方自行承担。</w:t>
            </w:r>
          </w:p>
        </w:tc>
      </w:tr>
      <w:tr w14:paraId="04AE5DA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320" w:type="dxa"/>
            <w:vAlign w:val="center"/>
          </w:tcPr>
          <w:p w14:paraId="02ACE93A">
            <w:pPr>
              <w:keepNext w:val="0"/>
              <w:keepLines w:val="0"/>
              <w:pageBreakBefore w:val="0"/>
              <w:widowControl w:val="0"/>
              <w:kinsoku w:val="0"/>
              <w:wordWrap w:val="0"/>
              <w:overflowPunct/>
              <w:topLinePunct w:val="0"/>
              <w:bidi w:val="0"/>
              <w:adjustRightInd w:val="0"/>
              <w:snapToGrid w:val="0"/>
              <w:spacing w:line="360" w:lineRule="exact"/>
              <w:jc w:val="center"/>
              <w:textAlignment w:val="auto"/>
              <w:rPr>
                <w:rFonts w:ascii="宋体" w:hAnsi="宋体"/>
                <w:color w:val="auto"/>
                <w:sz w:val="24"/>
                <w:szCs w:val="24"/>
                <w:highlight w:val="none"/>
              </w:rPr>
            </w:pPr>
            <w:r>
              <w:rPr>
                <w:rFonts w:hint="eastAsia" w:ascii="宋体" w:hAnsi="宋体"/>
                <w:color w:val="auto"/>
                <w:sz w:val="24"/>
                <w:szCs w:val="24"/>
                <w:highlight w:val="none"/>
              </w:rPr>
              <w:t>第二节</w:t>
            </w:r>
          </w:p>
          <w:p w14:paraId="22A3EB78">
            <w:pPr>
              <w:keepNext w:val="0"/>
              <w:keepLines w:val="0"/>
              <w:pageBreakBefore w:val="0"/>
              <w:widowControl w:val="0"/>
              <w:kinsoku w:val="0"/>
              <w:wordWrap w:val="0"/>
              <w:overflowPunct/>
              <w:topLinePunct w:val="0"/>
              <w:bidi w:val="0"/>
              <w:adjustRightInd w:val="0"/>
              <w:snapToGrid w:val="0"/>
              <w:spacing w:line="360" w:lineRule="exact"/>
              <w:jc w:val="center"/>
              <w:textAlignment w:val="auto"/>
              <w:rPr>
                <w:rFonts w:ascii="宋体" w:hAnsi="宋体"/>
                <w:color w:val="auto"/>
                <w:sz w:val="24"/>
                <w:szCs w:val="24"/>
                <w:highlight w:val="none"/>
              </w:rPr>
            </w:pPr>
            <w:r>
              <w:rPr>
                <w:rFonts w:hint="eastAsia" w:ascii="宋体" w:hAnsi="宋体"/>
                <w:color w:val="auto"/>
                <w:sz w:val="24"/>
                <w:szCs w:val="24"/>
                <w:highlight w:val="none"/>
              </w:rPr>
              <w:t>第</w:t>
            </w:r>
            <w:r>
              <w:rPr>
                <w:rFonts w:hint="eastAsia" w:ascii="宋体" w:hAnsi="宋体"/>
                <w:color w:val="auto"/>
                <w:sz w:val="24"/>
                <w:szCs w:val="24"/>
                <w:highlight w:val="none"/>
                <w:lang w:val="en-US" w:eastAsia="zh-CN"/>
              </w:rPr>
              <w:t>8</w:t>
            </w:r>
            <w:r>
              <w:rPr>
                <w:rFonts w:hint="eastAsia" w:ascii="宋体" w:hAnsi="宋体"/>
                <w:color w:val="auto"/>
                <w:sz w:val="24"/>
                <w:szCs w:val="24"/>
                <w:highlight w:val="none"/>
              </w:rPr>
              <w:t>.2（1）项</w:t>
            </w:r>
          </w:p>
        </w:tc>
        <w:tc>
          <w:tcPr>
            <w:tcW w:w="1827" w:type="dxa"/>
            <w:vAlign w:val="center"/>
          </w:tcPr>
          <w:p w14:paraId="7330167E">
            <w:pPr>
              <w:keepNext w:val="0"/>
              <w:keepLines w:val="0"/>
              <w:pageBreakBefore w:val="0"/>
              <w:widowControl w:val="0"/>
              <w:kinsoku w:val="0"/>
              <w:wordWrap w:val="0"/>
              <w:overflowPunct/>
              <w:topLinePunct w:val="0"/>
              <w:bidi w:val="0"/>
              <w:adjustRightInd w:val="0"/>
              <w:snapToGrid w:val="0"/>
              <w:spacing w:line="360" w:lineRule="exact"/>
              <w:jc w:val="left"/>
              <w:textAlignment w:val="auto"/>
              <w:rPr>
                <w:rFonts w:ascii="宋体" w:hAnsi="宋体"/>
                <w:color w:val="auto"/>
                <w:sz w:val="24"/>
                <w:szCs w:val="24"/>
                <w:highlight w:val="none"/>
              </w:rPr>
            </w:pPr>
            <w:r>
              <w:rPr>
                <w:rFonts w:hint="eastAsia" w:ascii="宋体" w:hAnsi="宋体"/>
                <w:color w:val="auto"/>
                <w:sz w:val="24"/>
                <w:szCs w:val="24"/>
                <w:highlight w:val="none"/>
              </w:rPr>
              <w:t>质量保证期</w:t>
            </w:r>
          </w:p>
        </w:tc>
        <w:tc>
          <w:tcPr>
            <w:tcW w:w="5481" w:type="dxa"/>
            <w:vAlign w:val="center"/>
          </w:tcPr>
          <w:p w14:paraId="3B52F0BE">
            <w:pPr>
              <w:keepNext w:val="0"/>
              <w:keepLines w:val="0"/>
              <w:pageBreakBefore w:val="0"/>
              <w:widowControl w:val="0"/>
              <w:kinsoku w:val="0"/>
              <w:wordWrap w:val="0"/>
              <w:overflowPunct/>
              <w:topLinePunct w:val="0"/>
              <w:autoSpaceDE w:val="0"/>
              <w:autoSpaceDN w:val="0"/>
              <w:bidi w:val="0"/>
              <w:adjustRightInd w:val="0"/>
              <w:snapToGrid w:val="0"/>
              <w:spacing w:line="360" w:lineRule="exact"/>
              <w:jc w:val="left"/>
              <w:textAlignment w:val="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8.2</w:t>
            </w:r>
          </w:p>
          <w:p w14:paraId="53C90306">
            <w:pPr>
              <w:keepNext w:val="0"/>
              <w:keepLines w:val="0"/>
              <w:pageBreakBefore w:val="0"/>
              <w:widowControl w:val="0"/>
              <w:kinsoku w:val="0"/>
              <w:wordWrap w:val="0"/>
              <w:overflowPunct/>
              <w:topLinePunct w:val="0"/>
              <w:autoSpaceDE w:val="0"/>
              <w:autoSpaceDN w:val="0"/>
              <w:bidi w:val="0"/>
              <w:adjustRightInd w:val="0"/>
              <w:snapToGrid w:val="0"/>
              <w:spacing w:line="360" w:lineRule="exact"/>
              <w:jc w:val="left"/>
              <w:textAlignment w:val="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（1）国家有质保期要求的设备，其质保期不得低于国家规定，没有质保期要求的不得少于一年（自验收合格次日起计）。</w:t>
            </w:r>
          </w:p>
        </w:tc>
      </w:tr>
      <w:tr w14:paraId="0EAB7E4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39" w:hRule="atLeast"/>
        </w:trPr>
        <w:tc>
          <w:tcPr>
            <w:tcW w:w="1320" w:type="dxa"/>
            <w:vAlign w:val="center"/>
          </w:tcPr>
          <w:p w14:paraId="5BFB0654">
            <w:pPr>
              <w:keepNext w:val="0"/>
              <w:keepLines w:val="0"/>
              <w:pageBreakBefore w:val="0"/>
              <w:widowControl w:val="0"/>
              <w:kinsoku w:val="0"/>
              <w:wordWrap w:val="0"/>
              <w:overflowPunct/>
              <w:topLinePunct w:val="0"/>
              <w:bidi w:val="0"/>
              <w:adjustRightInd w:val="0"/>
              <w:snapToGrid w:val="0"/>
              <w:spacing w:line="360" w:lineRule="exact"/>
              <w:jc w:val="center"/>
              <w:textAlignment w:val="auto"/>
              <w:rPr>
                <w:rFonts w:ascii="宋体" w:hAnsi="宋体"/>
                <w:color w:val="auto"/>
                <w:sz w:val="24"/>
                <w:szCs w:val="24"/>
                <w:highlight w:val="none"/>
              </w:rPr>
            </w:pPr>
            <w:r>
              <w:rPr>
                <w:rFonts w:hint="eastAsia" w:ascii="宋体" w:hAnsi="宋体"/>
                <w:color w:val="auto"/>
                <w:sz w:val="24"/>
                <w:szCs w:val="24"/>
                <w:highlight w:val="none"/>
              </w:rPr>
              <w:t>第二节</w:t>
            </w:r>
          </w:p>
          <w:p w14:paraId="221E3D49">
            <w:pPr>
              <w:keepNext w:val="0"/>
              <w:keepLines w:val="0"/>
              <w:pageBreakBefore w:val="0"/>
              <w:widowControl w:val="0"/>
              <w:kinsoku w:val="0"/>
              <w:wordWrap w:val="0"/>
              <w:overflowPunct/>
              <w:topLinePunct w:val="0"/>
              <w:bidi w:val="0"/>
              <w:adjustRightInd w:val="0"/>
              <w:snapToGrid w:val="0"/>
              <w:spacing w:line="360" w:lineRule="exact"/>
              <w:jc w:val="center"/>
              <w:textAlignment w:val="auto"/>
              <w:rPr>
                <w:rFonts w:ascii="宋体" w:hAnsi="宋体"/>
                <w:color w:val="auto"/>
                <w:sz w:val="24"/>
                <w:szCs w:val="24"/>
                <w:highlight w:val="none"/>
              </w:rPr>
            </w:pPr>
            <w:r>
              <w:rPr>
                <w:rFonts w:hint="eastAsia" w:ascii="宋体" w:hAnsi="宋体"/>
                <w:color w:val="auto"/>
                <w:sz w:val="24"/>
                <w:szCs w:val="24"/>
                <w:highlight w:val="none"/>
              </w:rPr>
              <w:t>第</w:t>
            </w:r>
            <w:r>
              <w:rPr>
                <w:rFonts w:hint="eastAsia" w:ascii="宋体" w:hAnsi="宋体"/>
                <w:color w:val="auto"/>
                <w:sz w:val="24"/>
                <w:szCs w:val="24"/>
                <w:highlight w:val="none"/>
                <w:lang w:val="en-US" w:eastAsia="zh-CN"/>
              </w:rPr>
              <w:t>8</w:t>
            </w:r>
            <w:r>
              <w:rPr>
                <w:rFonts w:hint="eastAsia" w:ascii="宋体" w:hAnsi="宋体"/>
                <w:color w:val="auto"/>
                <w:sz w:val="24"/>
                <w:szCs w:val="24"/>
                <w:highlight w:val="none"/>
              </w:rPr>
              <w:t>.2（3）项</w:t>
            </w:r>
          </w:p>
        </w:tc>
        <w:tc>
          <w:tcPr>
            <w:tcW w:w="1827" w:type="dxa"/>
            <w:vAlign w:val="center"/>
          </w:tcPr>
          <w:p w14:paraId="61799FD8">
            <w:pPr>
              <w:keepNext w:val="0"/>
              <w:keepLines w:val="0"/>
              <w:pageBreakBefore w:val="0"/>
              <w:widowControl w:val="0"/>
              <w:kinsoku w:val="0"/>
              <w:wordWrap w:val="0"/>
              <w:overflowPunct/>
              <w:topLinePunct w:val="0"/>
              <w:bidi w:val="0"/>
              <w:adjustRightInd w:val="0"/>
              <w:snapToGrid w:val="0"/>
              <w:spacing w:line="360" w:lineRule="exact"/>
              <w:jc w:val="left"/>
              <w:textAlignment w:val="auto"/>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货物质量缺陷</w:t>
            </w:r>
          </w:p>
          <w:p w14:paraId="7AF7BEA5">
            <w:pPr>
              <w:keepNext w:val="0"/>
              <w:keepLines w:val="0"/>
              <w:pageBreakBefore w:val="0"/>
              <w:widowControl w:val="0"/>
              <w:kinsoku w:val="0"/>
              <w:wordWrap w:val="0"/>
              <w:overflowPunct/>
              <w:topLinePunct w:val="0"/>
              <w:bidi w:val="0"/>
              <w:adjustRightInd w:val="0"/>
              <w:snapToGrid w:val="0"/>
              <w:spacing w:line="360" w:lineRule="exact"/>
              <w:jc w:val="left"/>
              <w:textAlignment w:val="auto"/>
              <w:rPr>
                <w:rFonts w:ascii="宋体" w:hAnsi="宋体"/>
                <w:color w:val="auto"/>
                <w:sz w:val="24"/>
                <w:szCs w:val="24"/>
                <w:highlight w:val="none"/>
              </w:rPr>
            </w:pPr>
            <w:r>
              <w:rPr>
                <w:rFonts w:hint="eastAsia" w:ascii="宋体" w:hAnsi="宋体"/>
                <w:color w:val="auto"/>
                <w:sz w:val="24"/>
                <w:szCs w:val="24"/>
                <w:highlight w:val="none"/>
              </w:rPr>
              <w:t>响应时间</w:t>
            </w:r>
          </w:p>
        </w:tc>
        <w:tc>
          <w:tcPr>
            <w:tcW w:w="5481" w:type="dxa"/>
            <w:vAlign w:val="center"/>
          </w:tcPr>
          <w:p w14:paraId="6D2C6B72">
            <w:pPr>
              <w:keepNext w:val="0"/>
              <w:keepLines w:val="0"/>
              <w:pageBreakBefore w:val="0"/>
              <w:widowControl w:val="0"/>
              <w:kinsoku w:val="0"/>
              <w:wordWrap w:val="0"/>
              <w:overflowPunct/>
              <w:topLinePunct w:val="0"/>
              <w:bidi w:val="0"/>
              <w:adjustRightInd w:val="0"/>
              <w:snapToGrid w:val="0"/>
              <w:spacing w:line="360" w:lineRule="exact"/>
              <w:jc w:val="left"/>
              <w:textAlignment w:val="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按专用合同条款5.4.7款执行</w:t>
            </w:r>
          </w:p>
        </w:tc>
      </w:tr>
      <w:tr w14:paraId="141D0D0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320" w:type="dxa"/>
            <w:vAlign w:val="center"/>
          </w:tcPr>
          <w:p w14:paraId="0406E243">
            <w:pPr>
              <w:keepNext w:val="0"/>
              <w:keepLines w:val="0"/>
              <w:pageBreakBefore w:val="0"/>
              <w:widowControl w:val="0"/>
              <w:kinsoku w:val="0"/>
              <w:wordWrap w:val="0"/>
              <w:overflowPunct/>
              <w:topLinePunct w:val="0"/>
              <w:bidi w:val="0"/>
              <w:snapToGrid w:val="0"/>
              <w:spacing w:line="360" w:lineRule="exact"/>
              <w:jc w:val="center"/>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第二节</w:t>
            </w:r>
          </w:p>
          <w:p w14:paraId="7A5976D4">
            <w:pPr>
              <w:pStyle w:val="29"/>
              <w:keepNext w:val="0"/>
              <w:keepLines w:val="0"/>
              <w:pageBreakBefore w:val="0"/>
              <w:widowControl w:val="0"/>
              <w:kinsoku w:val="0"/>
              <w:wordWrap w:val="0"/>
              <w:overflowPunct/>
              <w:topLinePunct w:val="0"/>
              <w:bidi w:val="0"/>
              <w:spacing w:line="360" w:lineRule="exact"/>
              <w:ind w:firstLine="0" w:firstLineChars="0"/>
              <w:jc w:val="center"/>
              <w:textAlignment w:val="auto"/>
              <w:rPr>
                <w:rFonts w:hint="default"/>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第11.1款</w:t>
            </w:r>
          </w:p>
        </w:tc>
        <w:tc>
          <w:tcPr>
            <w:tcW w:w="1827" w:type="dxa"/>
            <w:vAlign w:val="center"/>
          </w:tcPr>
          <w:p w14:paraId="182CAFDE">
            <w:pPr>
              <w:keepNext w:val="0"/>
              <w:keepLines w:val="0"/>
              <w:pageBreakBefore w:val="0"/>
              <w:widowControl w:val="0"/>
              <w:kinsoku w:val="0"/>
              <w:wordWrap w:val="0"/>
              <w:overflowPunct/>
              <w:topLinePunct w:val="0"/>
              <w:bidi w:val="0"/>
              <w:adjustRightInd w:val="0"/>
              <w:snapToGrid w:val="0"/>
              <w:spacing w:line="360" w:lineRule="exact"/>
              <w:jc w:val="both"/>
              <w:textAlignment w:val="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其他应当保密的信息</w:t>
            </w:r>
          </w:p>
        </w:tc>
        <w:tc>
          <w:tcPr>
            <w:tcW w:w="5481" w:type="dxa"/>
            <w:vAlign w:val="center"/>
          </w:tcPr>
          <w:p w14:paraId="17BA315C">
            <w:pPr>
              <w:keepNext w:val="0"/>
              <w:keepLines w:val="0"/>
              <w:pageBreakBefore w:val="0"/>
              <w:widowControl w:val="0"/>
              <w:kinsoku w:val="0"/>
              <w:wordWrap w:val="0"/>
              <w:overflowPunct/>
              <w:topLinePunct w:val="0"/>
              <w:bidi w:val="0"/>
              <w:adjustRightInd w:val="0"/>
              <w:snapToGrid w:val="0"/>
              <w:spacing w:line="360" w:lineRule="exact"/>
              <w:jc w:val="left"/>
              <w:textAlignment w:val="auto"/>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w:t>
            </w:r>
          </w:p>
        </w:tc>
      </w:tr>
      <w:tr w14:paraId="4FFB741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320" w:type="dxa"/>
            <w:vAlign w:val="center"/>
          </w:tcPr>
          <w:p w14:paraId="201C4A24">
            <w:pPr>
              <w:keepNext w:val="0"/>
              <w:keepLines w:val="0"/>
              <w:pageBreakBefore w:val="0"/>
              <w:widowControl w:val="0"/>
              <w:kinsoku w:val="0"/>
              <w:wordWrap w:val="0"/>
              <w:overflowPunct/>
              <w:topLinePunct w:val="0"/>
              <w:bidi w:val="0"/>
              <w:adjustRightInd w:val="0"/>
              <w:snapToGrid w:val="0"/>
              <w:spacing w:line="360" w:lineRule="exact"/>
              <w:jc w:val="center"/>
              <w:textAlignment w:val="auto"/>
              <w:rPr>
                <w:rFonts w:ascii="宋体" w:hAnsi="宋体"/>
                <w:color w:val="auto"/>
                <w:sz w:val="24"/>
                <w:szCs w:val="24"/>
                <w:highlight w:val="none"/>
              </w:rPr>
            </w:pPr>
            <w:r>
              <w:rPr>
                <w:rFonts w:hint="eastAsia" w:ascii="宋体" w:hAnsi="宋体"/>
                <w:color w:val="auto"/>
                <w:sz w:val="24"/>
                <w:szCs w:val="24"/>
                <w:highlight w:val="none"/>
              </w:rPr>
              <w:t>第二节</w:t>
            </w:r>
          </w:p>
          <w:p w14:paraId="76DF5ADB">
            <w:pPr>
              <w:keepNext w:val="0"/>
              <w:keepLines w:val="0"/>
              <w:pageBreakBefore w:val="0"/>
              <w:widowControl w:val="0"/>
              <w:kinsoku w:val="0"/>
              <w:wordWrap w:val="0"/>
              <w:overflowPunct/>
              <w:topLinePunct w:val="0"/>
              <w:bidi w:val="0"/>
              <w:adjustRightInd w:val="0"/>
              <w:snapToGrid w:val="0"/>
              <w:spacing w:line="360" w:lineRule="exact"/>
              <w:jc w:val="center"/>
              <w:textAlignment w:val="auto"/>
              <w:rPr>
                <w:rFonts w:ascii="宋体" w:hAnsi="宋体"/>
                <w:color w:val="auto"/>
                <w:sz w:val="24"/>
                <w:szCs w:val="24"/>
                <w:highlight w:val="none"/>
              </w:rPr>
            </w:pPr>
            <w:r>
              <w:rPr>
                <w:rFonts w:hint="eastAsia" w:ascii="宋体" w:hAnsi="宋体"/>
                <w:color w:val="auto"/>
                <w:sz w:val="24"/>
                <w:szCs w:val="24"/>
                <w:highlight w:val="none"/>
              </w:rPr>
              <w:t>第1</w:t>
            </w:r>
            <w:r>
              <w:rPr>
                <w:rFonts w:hint="eastAsia" w:ascii="宋体" w:hAnsi="宋体"/>
                <w:color w:val="auto"/>
                <w:sz w:val="24"/>
                <w:szCs w:val="24"/>
                <w:highlight w:val="none"/>
                <w:lang w:val="en-US" w:eastAsia="zh-CN"/>
              </w:rPr>
              <w:t>2</w:t>
            </w:r>
            <w:r>
              <w:rPr>
                <w:rFonts w:hint="eastAsia" w:ascii="宋体" w:hAnsi="宋体"/>
                <w:color w:val="auto"/>
                <w:sz w:val="24"/>
                <w:szCs w:val="24"/>
                <w:highlight w:val="none"/>
              </w:rPr>
              <w:t>.2款</w:t>
            </w:r>
          </w:p>
        </w:tc>
        <w:tc>
          <w:tcPr>
            <w:tcW w:w="1827" w:type="dxa"/>
            <w:vAlign w:val="center"/>
          </w:tcPr>
          <w:p w14:paraId="50E66987">
            <w:pPr>
              <w:keepNext w:val="0"/>
              <w:keepLines w:val="0"/>
              <w:pageBreakBefore w:val="0"/>
              <w:widowControl w:val="0"/>
              <w:kinsoku w:val="0"/>
              <w:wordWrap w:val="0"/>
              <w:overflowPunct/>
              <w:topLinePunct w:val="0"/>
              <w:bidi w:val="0"/>
              <w:adjustRightInd w:val="0"/>
              <w:snapToGrid w:val="0"/>
              <w:spacing w:line="360" w:lineRule="exact"/>
              <w:jc w:val="left"/>
              <w:textAlignment w:val="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合同价款支付</w:t>
            </w:r>
            <w:r>
              <w:rPr>
                <w:rFonts w:hint="eastAsia" w:ascii="宋体" w:hAnsi="宋体"/>
                <w:color w:val="auto"/>
                <w:sz w:val="24"/>
                <w:szCs w:val="24"/>
                <w:highlight w:val="none"/>
                <w:lang w:eastAsia="zh-CN"/>
              </w:rPr>
              <w:t>时间</w:t>
            </w:r>
          </w:p>
        </w:tc>
        <w:tc>
          <w:tcPr>
            <w:tcW w:w="5481" w:type="dxa"/>
            <w:vAlign w:val="center"/>
          </w:tcPr>
          <w:p w14:paraId="46AD7921">
            <w:pPr>
              <w:keepNext w:val="0"/>
              <w:keepLines w:val="0"/>
              <w:pageBreakBefore w:val="0"/>
              <w:widowControl w:val="0"/>
              <w:kinsoku w:val="0"/>
              <w:wordWrap w:val="0"/>
              <w:overflowPunct/>
              <w:topLinePunct w:val="0"/>
              <w:bidi w:val="0"/>
              <w:adjustRightInd w:val="0"/>
              <w:snapToGrid w:val="0"/>
              <w:spacing w:line="360" w:lineRule="exact"/>
              <w:jc w:val="left"/>
              <w:textAlignment w:val="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签订合同时双方协商确定</w:t>
            </w:r>
          </w:p>
        </w:tc>
      </w:tr>
      <w:tr w14:paraId="26CB3BE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320" w:type="dxa"/>
            <w:vAlign w:val="center"/>
          </w:tcPr>
          <w:p w14:paraId="70D3DD97">
            <w:pPr>
              <w:keepNext w:val="0"/>
              <w:keepLines w:val="0"/>
              <w:pageBreakBefore w:val="0"/>
              <w:widowControl w:val="0"/>
              <w:kinsoku w:val="0"/>
              <w:wordWrap w:val="0"/>
              <w:overflowPunct/>
              <w:topLinePunct w:val="0"/>
              <w:bidi w:val="0"/>
              <w:adjustRightInd w:val="0"/>
              <w:snapToGrid w:val="0"/>
              <w:spacing w:line="360" w:lineRule="exact"/>
              <w:jc w:val="center"/>
              <w:textAlignment w:val="auto"/>
              <w:rPr>
                <w:rFonts w:hint="eastAsia" w:ascii="宋体" w:hAnsi="宋体"/>
                <w:color w:val="auto"/>
                <w:sz w:val="24"/>
                <w:szCs w:val="24"/>
                <w:highlight w:val="none"/>
              </w:rPr>
            </w:pPr>
            <w:r>
              <w:rPr>
                <w:rFonts w:hint="eastAsia" w:ascii="宋体" w:hAnsi="宋体"/>
                <w:color w:val="auto"/>
                <w:sz w:val="24"/>
                <w:szCs w:val="24"/>
                <w:highlight w:val="none"/>
              </w:rPr>
              <w:t>第二节</w:t>
            </w:r>
          </w:p>
          <w:p w14:paraId="2E8E3B25">
            <w:pPr>
              <w:keepNext w:val="0"/>
              <w:keepLines w:val="0"/>
              <w:pageBreakBefore w:val="0"/>
              <w:widowControl w:val="0"/>
              <w:kinsoku w:val="0"/>
              <w:wordWrap w:val="0"/>
              <w:overflowPunct/>
              <w:topLinePunct w:val="0"/>
              <w:bidi w:val="0"/>
              <w:adjustRightInd w:val="0"/>
              <w:snapToGrid w:val="0"/>
              <w:spacing w:line="360" w:lineRule="exact"/>
              <w:jc w:val="center"/>
              <w:textAlignment w:val="auto"/>
              <w:rPr>
                <w:rFonts w:hint="eastAsia" w:ascii="宋体" w:hAnsi="宋体"/>
                <w:color w:val="auto"/>
                <w:sz w:val="24"/>
                <w:szCs w:val="24"/>
                <w:highlight w:val="none"/>
              </w:rPr>
            </w:pPr>
            <w:r>
              <w:rPr>
                <w:rFonts w:hint="eastAsia" w:ascii="宋体" w:hAnsi="宋体"/>
                <w:color w:val="auto"/>
                <w:sz w:val="24"/>
                <w:szCs w:val="24"/>
                <w:highlight w:val="none"/>
              </w:rPr>
              <w:t>第</w:t>
            </w:r>
            <w:r>
              <w:rPr>
                <w:rFonts w:hint="eastAsia" w:ascii="宋体" w:hAnsi="宋体"/>
                <w:color w:val="auto"/>
                <w:sz w:val="24"/>
                <w:szCs w:val="24"/>
                <w:highlight w:val="none"/>
                <w:lang w:val="en-US" w:eastAsia="zh-CN"/>
              </w:rPr>
              <w:t>13.2</w:t>
            </w:r>
            <w:r>
              <w:rPr>
                <w:rFonts w:hint="eastAsia" w:ascii="宋体" w:hAnsi="宋体"/>
                <w:color w:val="auto"/>
                <w:sz w:val="24"/>
                <w:szCs w:val="24"/>
                <w:highlight w:val="none"/>
              </w:rPr>
              <w:t>款</w:t>
            </w:r>
          </w:p>
        </w:tc>
        <w:tc>
          <w:tcPr>
            <w:tcW w:w="1827" w:type="dxa"/>
            <w:vAlign w:val="center"/>
          </w:tcPr>
          <w:p w14:paraId="5EC53286">
            <w:pPr>
              <w:keepNext w:val="0"/>
              <w:keepLines w:val="0"/>
              <w:pageBreakBefore w:val="0"/>
              <w:widowControl w:val="0"/>
              <w:kinsoku w:val="0"/>
              <w:wordWrap w:val="0"/>
              <w:overflowPunct/>
              <w:topLinePunct w:val="0"/>
              <w:bidi w:val="0"/>
              <w:adjustRightInd w:val="0"/>
              <w:snapToGrid w:val="0"/>
              <w:spacing w:line="360" w:lineRule="exact"/>
              <w:jc w:val="left"/>
              <w:textAlignment w:val="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履约保证金不予退还的情形</w:t>
            </w:r>
          </w:p>
        </w:tc>
        <w:tc>
          <w:tcPr>
            <w:tcW w:w="5481" w:type="dxa"/>
            <w:vAlign w:val="center"/>
          </w:tcPr>
          <w:p w14:paraId="323D2757">
            <w:pPr>
              <w:keepNext w:val="0"/>
              <w:keepLines w:val="0"/>
              <w:pageBreakBefore w:val="0"/>
              <w:widowControl w:val="0"/>
              <w:kinsoku w:val="0"/>
              <w:wordWrap w:val="0"/>
              <w:overflowPunct/>
              <w:topLinePunct w:val="0"/>
              <w:bidi w:val="0"/>
              <w:adjustRightInd w:val="0"/>
              <w:snapToGrid w:val="0"/>
              <w:spacing w:line="360" w:lineRule="exact"/>
              <w:jc w:val="left"/>
              <w:textAlignment w:val="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乙方无需提交履约保证金</w:t>
            </w:r>
          </w:p>
        </w:tc>
      </w:tr>
      <w:tr w14:paraId="53353D6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320" w:type="dxa"/>
            <w:vAlign w:val="center"/>
          </w:tcPr>
          <w:p w14:paraId="495217D5">
            <w:pPr>
              <w:keepNext w:val="0"/>
              <w:keepLines w:val="0"/>
              <w:pageBreakBefore w:val="0"/>
              <w:widowControl w:val="0"/>
              <w:kinsoku w:val="0"/>
              <w:wordWrap w:val="0"/>
              <w:overflowPunct/>
              <w:topLinePunct w:val="0"/>
              <w:bidi w:val="0"/>
              <w:adjustRightInd w:val="0"/>
              <w:snapToGrid w:val="0"/>
              <w:spacing w:line="360" w:lineRule="exact"/>
              <w:jc w:val="center"/>
              <w:textAlignment w:val="auto"/>
              <w:rPr>
                <w:rFonts w:hint="eastAsia" w:ascii="宋体" w:hAnsi="宋体"/>
                <w:color w:val="auto"/>
                <w:sz w:val="24"/>
                <w:szCs w:val="24"/>
                <w:highlight w:val="none"/>
              </w:rPr>
            </w:pPr>
            <w:r>
              <w:rPr>
                <w:rFonts w:hint="eastAsia" w:ascii="宋体" w:hAnsi="宋体"/>
                <w:color w:val="auto"/>
                <w:sz w:val="24"/>
                <w:szCs w:val="24"/>
                <w:highlight w:val="none"/>
              </w:rPr>
              <w:t>第二节</w:t>
            </w:r>
          </w:p>
          <w:p w14:paraId="6E9A7130">
            <w:pPr>
              <w:keepNext w:val="0"/>
              <w:keepLines w:val="0"/>
              <w:pageBreakBefore w:val="0"/>
              <w:widowControl w:val="0"/>
              <w:kinsoku w:val="0"/>
              <w:wordWrap w:val="0"/>
              <w:overflowPunct/>
              <w:topLinePunct w:val="0"/>
              <w:bidi w:val="0"/>
              <w:adjustRightInd w:val="0"/>
              <w:snapToGrid w:val="0"/>
              <w:spacing w:line="360" w:lineRule="exact"/>
              <w:jc w:val="center"/>
              <w:textAlignment w:val="auto"/>
              <w:rPr>
                <w:rFonts w:hint="eastAsia" w:ascii="宋体" w:hAnsi="宋体"/>
                <w:color w:val="auto"/>
                <w:sz w:val="24"/>
                <w:szCs w:val="24"/>
                <w:highlight w:val="none"/>
              </w:rPr>
            </w:pPr>
            <w:r>
              <w:rPr>
                <w:rFonts w:hint="eastAsia" w:ascii="宋体" w:hAnsi="宋体"/>
                <w:color w:val="auto"/>
                <w:sz w:val="24"/>
                <w:szCs w:val="24"/>
                <w:highlight w:val="none"/>
              </w:rPr>
              <w:t>第</w:t>
            </w:r>
            <w:r>
              <w:rPr>
                <w:rFonts w:hint="eastAsia" w:ascii="宋体" w:hAnsi="宋体"/>
                <w:color w:val="auto"/>
                <w:sz w:val="24"/>
                <w:szCs w:val="24"/>
                <w:highlight w:val="none"/>
                <w:lang w:val="en-US" w:eastAsia="zh-CN"/>
              </w:rPr>
              <w:t>13.3</w:t>
            </w:r>
            <w:r>
              <w:rPr>
                <w:rFonts w:hint="eastAsia" w:ascii="宋体" w:hAnsi="宋体"/>
                <w:color w:val="auto"/>
                <w:sz w:val="24"/>
                <w:szCs w:val="24"/>
                <w:highlight w:val="none"/>
              </w:rPr>
              <w:t>款</w:t>
            </w:r>
          </w:p>
        </w:tc>
        <w:tc>
          <w:tcPr>
            <w:tcW w:w="1827" w:type="dxa"/>
            <w:vAlign w:val="center"/>
          </w:tcPr>
          <w:p w14:paraId="47FEF49D">
            <w:pPr>
              <w:keepNext w:val="0"/>
              <w:keepLines w:val="0"/>
              <w:pageBreakBefore w:val="0"/>
              <w:widowControl w:val="0"/>
              <w:kinsoku w:val="0"/>
              <w:wordWrap w:val="0"/>
              <w:overflowPunct/>
              <w:topLinePunct w:val="0"/>
              <w:bidi w:val="0"/>
              <w:adjustRightInd w:val="0"/>
              <w:snapToGrid w:val="0"/>
              <w:spacing w:line="360" w:lineRule="exact"/>
              <w:jc w:val="left"/>
              <w:textAlignment w:val="auto"/>
              <w:rPr>
                <w:rFonts w:ascii="宋体" w:hAnsi="宋体"/>
                <w:color w:val="auto"/>
                <w:sz w:val="24"/>
                <w:szCs w:val="24"/>
                <w:highlight w:val="none"/>
              </w:rPr>
            </w:pPr>
            <w:r>
              <w:rPr>
                <w:rFonts w:hint="eastAsia" w:ascii="宋体" w:hAnsi="宋体"/>
                <w:color w:val="auto"/>
                <w:sz w:val="24"/>
                <w:szCs w:val="24"/>
                <w:highlight w:val="none"/>
              </w:rPr>
              <w:t>履约保证金退还时间及</w:t>
            </w:r>
            <w:r>
              <w:rPr>
                <w:rFonts w:hint="eastAsia" w:ascii="宋体" w:hAnsi="宋体"/>
                <w:color w:val="auto"/>
                <w:sz w:val="24"/>
                <w:szCs w:val="24"/>
                <w:highlight w:val="none"/>
                <w:lang w:eastAsia="zh-CN"/>
              </w:rPr>
              <w:t>逾期退还的</w:t>
            </w:r>
            <w:r>
              <w:rPr>
                <w:rFonts w:hint="eastAsia" w:ascii="宋体" w:hAnsi="宋体"/>
                <w:color w:val="auto"/>
                <w:sz w:val="24"/>
                <w:szCs w:val="24"/>
                <w:highlight w:val="none"/>
              </w:rPr>
              <w:t>违约金</w:t>
            </w:r>
          </w:p>
        </w:tc>
        <w:tc>
          <w:tcPr>
            <w:tcW w:w="5481" w:type="dxa"/>
            <w:vAlign w:val="center"/>
          </w:tcPr>
          <w:p w14:paraId="3E05999F">
            <w:pPr>
              <w:keepNext w:val="0"/>
              <w:keepLines w:val="0"/>
              <w:pageBreakBefore w:val="0"/>
              <w:widowControl w:val="0"/>
              <w:kinsoku w:val="0"/>
              <w:wordWrap w:val="0"/>
              <w:overflowPunct/>
              <w:topLinePunct w:val="0"/>
              <w:bidi w:val="0"/>
              <w:adjustRightInd w:val="0"/>
              <w:snapToGrid w:val="0"/>
              <w:spacing w:line="360" w:lineRule="exact"/>
              <w:jc w:val="left"/>
              <w:textAlignment w:val="auto"/>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w:t>
            </w:r>
          </w:p>
        </w:tc>
      </w:tr>
      <w:tr w14:paraId="66316E3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320" w:type="dxa"/>
            <w:vAlign w:val="center"/>
          </w:tcPr>
          <w:p w14:paraId="3DF16BE7">
            <w:pPr>
              <w:keepNext w:val="0"/>
              <w:keepLines w:val="0"/>
              <w:pageBreakBefore w:val="0"/>
              <w:widowControl w:val="0"/>
              <w:kinsoku w:val="0"/>
              <w:wordWrap w:val="0"/>
              <w:overflowPunct/>
              <w:topLinePunct w:val="0"/>
              <w:bidi w:val="0"/>
              <w:adjustRightInd w:val="0"/>
              <w:snapToGrid w:val="0"/>
              <w:spacing w:line="360" w:lineRule="exact"/>
              <w:jc w:val="center"/>
              <w:textAlignment w:val="auto"/>
              <w:rPr>
                <w:rFonts w:ascii="宋体" w:hAnsi="宋体"/>
                <w:color w:val="auto"/>
                <w:sz w:val="24"/>
                <w:szCs w:val="24"/>
                <w:highlight w:val="none"/>
              </w:rPr>
            </w:pPr>
            <w:r>
              <w:rPr>
                <w:rFonts w:hint="eastAsia" w:ascii="宋体" w:hAnsi="宋体"/>
                <w:color w:val="auto"/>
                <w:sz w:val="24"/>
                <w:szCs w:val="24"/>
                <w:highlight w:val="none"/>
              </w:rPr>
              <w:t>第二节</w:t>
            </w:r>
          </w:p>
          <w:p w14:paraId="29357652">
            <w:pPr>
              <w:keepNext w:val="0"/>
              <w:keepLines w:val="0"/>
              <w:pageBreakBefore w:val="0"/>
              <w:widowControl w:val="0"/>
              <w:kinsoku w:val="0"/>
              <w:wordWrap w:val="0"/>
              <w:overflowPunct/>
              <w:topLinePunct w:val="0"/>
              <w:bidi w:val="0"/>
              <w:adjustRightInd w:val="0"/>
              <w:snapToGrid w:val="0"/>
              <w:spacing w:line="360" w:lineRule="exact"/>
              <w:jc w:val="center"/>
              <w:textAlignment w:val="auto"/>
              <w:rPr>
                <w:rFonts w:hint="eastAsia" w:ascii="宋体" w:hAnsi="宋体"/>
                <w:color w:val="auto"/>
                <w:sz w:val="24"/>
                <w:szCs w:val="24"/>
                <w:highlight w:val="none"/>
              </w:rPr>
            </w:pPr>
            <w:r>
              <w:rPr>
                <w:rFonts w:hint="eastAsia" w:ascii="宋体" w:hAnsi="宋体"/>
                <w:color w:val="auto"/>
                <w:sz w:val="24"/>
                <w:szCs w:val="24"/>
                <w:highlight w:val="none"/>
              </w:rPr>
              <w:t>第1</w:t>
            </w:r>
            <w:r>
              <w:rPr>
                <w:rFonts w:hint="eastAsia" w:ascii="宋体" w:hAnsi="宋体"/>
                <w:color w:val="auto"/>
                <w:sz w:val="24"/>
                <w:szCs w:val="24"/>
                <w:highlight w:val="none"/>
                <w:lang w:val="en-US" w:eastAsia="zh-CN"/>
              </w:rPr>
              <w:t>4</w:t>
            </w:r>
            <w:r>
              <w:rPr>
                <w:rFonts w:hint="eastAsia" w:ascii="宋体" w:hAnsi="宋体"/>
                <w:color w:val="auto"/>
                <w:sz w:val="24"/>
                <w:szCs w:val="24"/>
                <w:highlight w:val="none"/>
              </w:rPr>
              <w:t>.1（</w:t>
            </w:r>
            <w:r>
              <w:rPr>
                <w:rFonts w:hint="eastAsia" w:ascii="宋体" w:hAnsi="宋体"/>
                <w:color w:val="auto"/>
                <w:sz w:val="24"/>
                <w:szCs w:val="24"/>
                <w:highlight w:val="none"/>
                <w:lang w:val="en-US" w:eastAsia="zh-CN"/>
              </w:rPr>
              <w:t>3</w:t>
            </w:r>
            <w:r>
              <w:rPr>
                <w:rFonts w:hint="eastAsia" w:ascii="宋体" w:hAnsi="宋体"/>
                <w:color w:val="auto"/>
                <w:sz w:val="24"/>
                <w:szCs w:val="24"/>
                <w:highlight w:val="none"/>
              </w:rPr>
              <w:t>）项</w:t>
            </w:r>
          </w:p>
        </w:tc>
        <w:tc>
          <w:tcPr>
            <w:tcW w:w="1827" w:type="dxa"/>
            <w:vAlign w:val="center"/>
          </w:tcPr>
          <w:p w14:paraId="6FAE05C5">
            <w:pPr>
              <w:keepNext w:val="0"/>
              <w:keepLines w:val="0"/>
              <w:pageBreakBefore w:val="0"/>
              <w:widowControl w:val="0"/>
              <w:kinsoku w:val="0"/>
              <w:wordWrap w:val="0"/>
              <w:overflowPunct/>
              <w:topLinePunct w:val="0"/>
              <w:bidi w:val="0"/>
              <w:adjustRightInd w:val="0"/>
              <w:snapToGrid w:val="0"/>
              <w:spacing w:line="360" w:lineRule="exact"/>
              <w:jc w:val="left"/>
              <w:textAlignment w:val="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运行监督、维修期限</w:t>
            </w:r>
          </w:p>
        </w:tc>
        <w:tc>
          <w:tcPr>
            <w:tcW w:w="5481" w:type="dxa"/>
            <w:vAlign w:val="center"/>
          </w:tcPr>
          <w:p w14:paraId="009A1098">
            <w:pPr>
              <w:keepNext w:val="0"/>
              <w:keepLines w:val="0"/>
              <w:pageBreakBefore w:val="0"/>
              <w:widowControl w:val="0"/>
              <w:kinsoku w:val="0"/>
              <w:wordWrap w:val="0"/>
              <w:overflowPunct/>
              <w:topLinePunct w:val="0"/>
              <w:bidi w:val="0"/>
              <w:adjustRightInd w:val="0"/>
              <w:snapToGrid w:val="0"/>
              <w:spacing w:line="360" w:lineRule="exact"/>
              <w:jc w:val="left"/>
              <w:textAlignment w:val="auto"/>
              <w:rPr>
                <w:rFonts w:ascii="宋体" w:hAnsi="宋体"/>
                <w:color w:val="auto"/>
                <w:sz w:val="24"/>
                <w:szCs w:val="24"/>
                <w:highlight w:val="none"/>
              </w:rPr>
            </w:pPr>
            <w:r>
              <w:rPr>
                <w:rFonts w:hint="eastAsia" w:ascii="宋体" w:hAnsi="宋体"/>
                <w:color w:val="auto"/>
                <w:sz w:val="24"/>
                <w:szCs w:val="24"/>
                <w:highlight w:val="none"/>
                <w:lang w:val="en-US" w:eastAsia="zh-CN"/>
              </w:rPr>
              <w:t>按专用合同条款5.4.7款执行</w:t>
            </w:r>
          </w:p>
        </w:tc>
      </w:tr>
      <w:tr w14:paraId="5981F20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320" w:type="dxa"/>
            <w:vAlign w:val="center"/>
          </w:tcPr>
          <w:p w14:paraId="02E8CA60">
            <w:pPr>
              <w:keepNext w:val="0"/>
              <w:keepLines w:val="0"/>
              <w:pageBreakBefore w:val="0"/>
              <w:widowControl w:val="0"/>
              <w:kinsoku w:val="0"/>
              <w:wordWrap w:val="0"/>
              <w:overflowPunct/>
              <w:topLinePunct w:val="0"/>
              <w:bidi w:val="0"/>
              <w:adjustRightInd w:val="0"/>
              <w:snapToGrid w:val="0"/>
              <w:spacing w:line="360" w:lineRule="exact"/>
              <w:jc w:val="center"/>
              <w:textAlignment w:val="auto"/>
              <w:rPr>
                <w:rFonts w:ascii="宋体" w:hAnsi="宋体"/>
                <w:color w:val="auto"/>
                <w:sz w:val="24"/>
                <w:szCs w:val="24"/>
                <w:highlight w:val="none"/>
              </w:rPr>
            </w:pPr>
            <w:r>
              <w:rPr>
                <w:rFonts w:hint="eastAsia" w:ascii="宋体" w:hAnsi="宋体"/>
                <w:color w:val="auto"/>
                <w:sz w:val="24"/>
                <w:szCs w:val="24"/>
                <w:highlight w:val="none"/>
              </w:rPr>
              <w:t>第二节</w:t>
            </w:r>
          </w:p>
          <w:p w14:paraId="47935296">
            <w:pPr>
              <w:keepNext w:val="0"/>
              <w:keepLines w:val="0"/>
              <w:pageBreakBefore w:val="0"/>
              <w:widowControl w:val="0"/>
              <w:kinsoku w:val="0"/>
              <w:wordWrap w:val="0"/>
              <w:overflowPunct/>
              <w:topLinePunct w:val="0"/>
              <w:bidi w:val="0"/>
              <w:adjustRightInd w:val="0"/>
              <w:snapToGrid w:val="0"/>
              <w:spacing w:line="360" w:lineRule="exact"/>
              <w:jc w:val="center"/>
              <w:textAlignment w:val="auto"/>
              <w:rPr>
                <w:rFonts w:hint="eastAsia" w:ascii="宋体" w:hAnsi="宋体"/>
                <w:color w:val="auto"/>
                <w:sz w:val="24"/>
                <w:szCs w:val="24"/>
                <w:highlight w:val="none"/>
              </w:rPr>
            </w:pPr>
            <w:r>
              <w:rPr>
                <w:rFonts w:hint="eastAsia" w:ascii="宋体" w:hAnsi="宋体"/>
                <w:color w:val="auto"/>
                <w:sz w:val="24"/>
                <w:szCs w:val="24"/>
                <w:highlight w:val="none"/>
              </w:rPr>
              <w:t>第1</w:t>
            </w:r>
            <w:r>
              <w:rPr>
                <w:rFonts w:hint="eastAsia" w:ascii="宋体" w:hAnsi="宋体"/>
                <w:color w:val="auto"/>
                <w:sz w:val="24"/>
                <w:szCs w:val="24"/>
                <w:highlight w:val="none"/>
                <w:lang w:val="en-US" w:eastAsia="zh-CN"/>
              </w:rPr>
              <w:t>4</w:t>
            </w:r>
            <w:r>
              <w:rPr>
                <w:rFonts w:hint="eastAsia" w:ascii="宋体" w:hAnsi="宋体"/>
                <w:color w:val="auto"/>
                <w:sz w:val="24"/>
                <w:szCs w:val="24"/>
                <w:highlight w:val="none"/>
              </w:rPr>
              <w:t>.1（</w:t>
            </w:r>
            <w:r>
              <w:rPr>
                <w:rFonts w:hint="eastAsia" w:ascii="宋体" w:hAnsi="宋体"/>
                <w:color w:val="auto"/>
                <w:sz w:val="24"/>
                <w:szCs w:val="24"/>
                <w:highlight w:val="none"/>
                <w:lang w:val="en-US" w:eastAsia="zh-CN"/>
              </w:rPr>
              <w:t>5</w:t>
            </w:r>
            <w:r>
              <w:rPr>
                <w:rFonts w:hint="eastAsia" w:ascii="宋体" w:hAnsi="宋体"/>
                <w:color w:val="auto"/>
                <w:sz w:val="24"/>
                <w:szCs w:val="24"/>
                <w:highlight w:val="none"/>
              </w:rPr>
              <w:t>）项</w:t>
            </w:r>
          </w:p>
        </w:tc>
        <w:tc>
          <w:tcPr>
            <w:tcW w:w="1827" w:type="dxa"/>
            <w:vAlign w:val="center"/>
          </w:tcPr>
          <w:p w14:paraId="6D51B463">
            <w:pPr>
              <w:keepNext w:val="0"/>
              <w:keepLines w:val="0"/>
              <w:pageBreakBefore w:val="0"/>
              <w:widowControl w:val="0"/>
              <w:kinsoku w:val="0"/>
              <w:wordWrap w:val="0"/>
              <w:overflowPunct/>
              <w:topLinePunct w:val="0"/>
              <w:bidi w:val="0"/>
              <w:adjustRightInd w:val="0"/>
              <w:snapToGrid w:val="0"/>
              <w:spacing w:line="360" w:lineRule="exact"/>
              <w:jc w:val="left"/>
              <w:textAlignment w:val="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货物回收的约定</w:t>
            </w:r>
          </w:p>
        </w:tc>
        <w:tc>
          <w:tcPr>
            <w:tcW w:w="5481" w:type="dxa"/>
            <w:vAlign w:val="center"/>
          </w:tcPr>
          <w:p w14:paraId="5C6113A6">
            <w:pPr>
              <w:keepNext w:val="0"/>
              <w:keepLines w:val="0"/>
              <w:pageBreakBefore w:val="0"/>
              <w:widowControl w:val="0"/>
              <w:kinsoku w:val="0"/>
              <w:wordWrap w:val="0"/>
              <w:overflowPunct/>
              <w:topLinePunct w:val="0"/>
              <w:bidi w:val="0"/>
              <w:adjustRightInd w:val="0"/>
              <w:snapToGrid w:val="0"/>
              <w:spacing w:line="360" w:lineRule="exact"/>
              <w:jc w:val="left"/>
              <w:textAlignment w:val="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w:t>
            </w:r>
          </w:p>
        </w:tc>
      </w:tr>
      <w:tr w14:paraId="15ACF65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320" w:type="dxa"/>
            <w:vAlign w:val="center"/>
          </w:tcPr>
          <w:p w14:paraId="24AB247A">
            <w:pPr>
              <w:keepNext w:val="0"/>
              <w:keepLines w:val="0"/>
              <w:pageBreakBefore w:val="0"/>
              <w:widowControl w:val="0"/>
              <w:kinsoku w:val="0"/>
              <w:wordWrap w:val="0"/>
              <w:overflowPunct/>
              <w:topLinePunct w:val="0"/>
              <w:bidi w:val="0"/>
              <w:adjustRightInd w:val="0"/>
              <w:snapToGrid w:val="0"/>
              <w:spacing w:line="360" w:lineRule="exact"/>
              <w:jc w:val="center"/>
              <w:textAlignment w:val="auto"/>
              <w:rPr>
                <w:rFonts w:ascii="宋体" w:hAnsi="宋体"/>
                <w:color w:val="auto"/>
                <w:sz w:val="24"/>
                <w:szCs w:val="24"/>
                <w:highlight w:val="none"/>
              </w:rPr>
            </w:pPr>
            <w:r>
              <w:rPr>
                <w:rFonts w:hint="eastAsia" w:ascii="宋体" w:hAnsi="宋体"/>
                <w:color w:val="auto"/>
                <w:sz w:val="24"/>
                <w:szCs w:val="24"/>
                <w:highlight w:val="none"/>
              </w:rPr>
              <w:t>第二节</w:t>
            </w:r>
          </w:p>
          <w:p w14:paraId="772DE475">
            <w:pPr>
              <w:keepNext w:val="0"/>
              <w:keepLines w:val="0"/>
              <w:pageBreakBefore w:val="0"/>
              <w:widowControl w:val="0"/>
              <w:kinsoku w:val="0"/>
              <w:wordWrap w:val="0"/>
              <w:overflowPunct/>
              <w:topLinePunct w:val="0"/>
              <w:bidi w:val="0"/>
              <w:adjustRightInd w:val="0"/>
              <w:snapToGrid w:val="0"/>
              <w:spacing w:line="360" w:lineRule="exact"/>
              <w:jc w:val="center"/>
              <w:textAlignment w:val="auto"/>
              <w:rPr>
                <w:rFonts w:ascii="宋体" w:hAnsi="宋体"/>
                <w:color w:val="auto"/>
                <w:sz w:val="24"/>
                <w:szCs w:val="24"/>
                <w:highlight w:val="none"/>
              </w:rPr>
            </w:pPr>
            <w:r>
              <w:rPr>
                <w:rFonts w:hint="eastAsia" w:ascii="宋体" w:hAnsi="宋体"/>
                <w:color w:val="auto"/>
                <w:sz w:val="24"/>
                <w:szCs w:val="24"/>
                <w:highlight w:val="none"/>
              </w:rPr>
              <w:t>第1</w:t>
            </w:r>
            <w:r>
              <w:rPr>
                <w:rFonts w:hint="eastAsia" w:ascii="宋体" w:hAnsi="宋体"/>
                <w:color w:val="auto"/>
                <w:sz w:val="24"/>
                <w:szCs w:val="24"/>
                <w:highlight w:val="none"/>
                <w:lang w:val="en-US" w:eastAsia="zh-CN"/>
              </w:rPr>
              <w:t>4</w:t>
            </w:r>
            <w:r>
              <w:rPr>
                <w:rFonts w:hint="eastAsia" w:ascii="宋体" w:hAnsi="宋体"/>
                <w:color w:val="auto"/>
                <w:sz w:val="24"/>
                <w:szCs w:val="24"/>
                <w:highlight w:val="none"/>
              </w:rPr>
              <w:t>.1（</w:t>
            </w:r>
            <w:r>
              <w:rPr>
                <w:rFonts w:hint="eastAsia" w:ascii="宋体" w:hAnsi="宋体"/>
                <w:color w:val="auto"/>
                <w:sz w:val="24"/>
                <w:szCs w:val="24"/>
                <w:highlight w:val="none"/>
                <w:lang w:val="en-US" w:eastAsia="zh-CN"/>
              </w:rPr>
              <w:t>6</w:t>
            </w:r>
            <w:r>
              <w:rPr>
                <w:rFonts w:hint="eastAsia" w:ascii="宋体" w:hAnsi="宋体"/>
                <w:color w:val="auto"/>
                <w:sz w:val="24"/>
                <w:szCs w:val="24"/>
                <w:highlight w:val="none"/>
              </w:rPr>
              <w:t>）项</w:t>
            </w:r>
          </w:p>
        </w:tc>
        <w:tc>
          <w:tcPr>
            <w:tcW w:w="1827" w:type="dxa"/>
            <w:vAlign w:val="center"/>
          </w:tcPr>
          <w:p w14:paraId="3097A719">
            <w:pPr>
              <w:keepNext w:val="0"/>
              <w:keepLines w:val="0"/>
              <w:pageBreakBefore w:val="0"/>
              <w:widowControl w:val="0"/>
              <w:kinsoku w:val="0"/>
              <w:wordWrap w:val="0"/>
              <w:overflowPunct/>
              <w:topLinePunct w:val="0"/>
              <w:bidi w:val="0"/>
              <w:adjustRightInd w:val="0"/>
              <w:snapToGrid w:val="0"/>
              <w:spacing w:line="360" w:lineRule="exact"/>
              <w:jc w:val="left"/>
              <w:textAlignment w:val="auto"/>
              <w:rPr>
                <w:rFonts w:ascii="宋体" w:hAnsi="宋体"/>
                <w:color w:val="auto"/>
                <w:sz w:val="24"/>
                <w:szCs w:val="24"/>
                <w:highlight w:val="none"/>
              </w:rPr>
            </w:pPr>
            <w:r>
              <w:rPr>
                <w:rFonts w:hint="eastAsia" w:ascii="宋体" w:hAnsi="宋体"/>
                <w:color w:val="auto"/>
                <w:sz w:val="24"/>
                <w:szCs w:val="24"/>
                <w:highlight w:val="none"/>
              </w:rPr>
              <w:t>乙方提供的其他服务</w:t>
            </w:r>
          </w:p>
        </w:tc>
        <w:tc>
          <w:tcPr>
            <w:tcW w:w="5481" w:type="dxa"/>
            <w:vAlign w:val="center"/>
          </w:tcPr>
          <w:p w14:paraId="7E4427BD">
            <w:pPr>
              <w:keepNext w:val="0"/>
              <w:keepLines w:val="0"/>
              <w:pageBreakBefore w:val="0"/>
              <w:widowControl w:val="0"/>
              <w:kinsoku w:val="0"/>
              <w:wordWrap w:val="0"/>
              <w:overflowPunct/>
              <w:topLinePunct w:val="0"/>
              <w:bidi w:val="0"/>
              <w:adjustRightInd w:val="0"/>
              <w:snapToGrid w:val="0"/>
              <w:spacing w:line="360" w:lineRule="exact"/>
              <w:jc w:val="left"/>
              <w:textAlignment w:val="auto"/>
              <w:rPr>
                <w:rFonts w:hint="eastAsia" w:ascii="宋体" w:hAnsi="宋体"/>
                <w:color w:val="auto"/>
                <w:sz w:val="24"/>
                <w:szCs w:val="24"/>
                <w:highlight w:val="none"/>
              </w:rPr>
            </w:pPr>
            <w:r>
              <w:rPr>
                <w:rFonts w:hint="eastAsia" w:ascii="宋体" w:hAnsi="宋体"/>
                <w:color w:val="auto"/>
                <w:sz w:val="24"/>
                <w:szCs w:val="24"/>
                <w:highlight w:val="none"/>
              </w:rPr>
              <w:t>1</w:t>
            </w:r>
            <w:r>
              <w:rPr>
                <w:rFonts w:hint="eastAsia" w:ascii="宋体" w:hAnsi="宋体"/>
                <w:color w:val="auto"/>
                <w:sz w:val="24"/>
                <w:szCs w:val="24"/>
                <w:highlight w:val="none"/>
                <w:lang w:val="en-US" w:eastAsia="zh-CN"/>
              </w:rPr>
              <w:t>4</w:t>
            </w:r>
            <w:r>
              <w:rPr>
                <w:rFonts w:hint="eastAsia" w:ascii="宋体" w:hAnsi="宋体"/>
                <w:color w:val="auto"/>
                <w:sz w:val="24"/>
                <w:szCs w:val="24"/>
                <w:highlight w:val="none"/>
              </w:rPr>
              <w:t>.1（</w:t>
            </w:r>
            <w:r>
              <w:rPr>
                <w:rFonts w:hint="eastAsia" w:ascii="宋体" w:hAnsi="宋体"/>
                <w:color w:val="auto"/>
                <w:sz w:val="24"/>
                <w:szCs w:val="24"/>
                <w:highlight w:val="none"/>
                <w:lang w:val="en-US" w:eastAsia="zh-CN"/>
              </w:rPr>
              <w:t>6</w:t>
            </w:r>
            <w:r>
              <w:rPr>
                <w:rFonts w:hint="eastAsia" w:ascii="宋体" w:hAnsi="宋体"/>
                <w:color w:val="auto"/>
                <w:sz w:val="24"/>
                <w:szCs w:val="24"/>
                <w:highlight w:val="none"/>
              </w:rPr>
              <w:t>）</w:t>
            </w:r>
          </w:p>
          <w:p w14:paraId="3C7FDB85">
            <w:pPr>
              <w:keepNext w:val="0"/>
              <w:keepLines w:val="0"/>
              <w:pageBreakBefore w:val="0"/>
              <w:widowControl w:val="0"/>
              <w:kinsoku w:val="0"/>
              <w:wordWrap w:val="0"/>
              <w:overflowPunct/>
              <w:topLinePunct w:val="0"/>
              <w:bidi w:val="0"/>
              <w:adjustRightInd w:val="0"/>
              <w:snapToGrid w:val="0"/>
              <w:spacing w:line="360" w:lineRule="exact"/>
              <w:jc w:val="left"/>
              <w:textAlignment w:val="auto"/>
              <w:rPr>
                <w:rFonts w:hint="eastAsia" w:ascii="宋体" w:hAnsi="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根据甲方需求，乙方应对本项目涉及的所有操作人员现场进行全面技术培训，培训内容包括设备的调试、使用、故障解决、维修、维护及保养等，确保培训后的操作人员具备独立操作使用设备的能力。</w:t>
            </w:r>
          </w:p>
        </w:tc>
      </w:tr>
      <w:tr w14:paraId="29952DF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320" w:type="dxa"/>
            <w:vAlign w:val="center"/>
          </w:tcPr>
          <w:p w14:paraId="5FC432F2">
            <w:pPr>
              <w:keepNext w:val="0"/>
              <w:keepLines w:val="0"/>
              <w:pageBreakBefore w:val="0"/>
              <w:widowControl w:val="0"/>
              <w:kinsoku w:val="0"/>
              <w:wordWrap w:val="0"/>
              <w:overflowPunct/>
              <w:topLinePunct w:val="0"/>
              <w:bidi w:val="0"/>
              <w:adjustRightInd w:val="0"/>
              <w:snapToGrid w:val="0"/>
              <w:spacing w:line="360" w:lineRule="exact"/>
              <w:jc w:val="center"/>
              <w:textAlignment w:val="auto"/>
              <w:rPr>
                <w:rFonts w:ascii="宋体" w:hAnsi="宋体"/>
                <w:color w:val="auto"/>
                <w:sz w:val="24"/>
                <w:szCs w:val="24"/>
                <w:highlight w:val="none"/>
              </w:rPr>
            </w:pPr>
            <w:r>
              <w:rPr>
                <w:rFonts w:hint="eastAsia" w:ascii="宋体" w:hAnsi="宋体"/>
                <w:color w:val="auto"/>
                <w:sz w:val="24"/>
                <w:szCs w:val="24"/>
                <w:highlight w:val="none"/>
              </w:rPr>
              <w:t>第二节</w:t>
            </w:r>
          </w:p>
          <w:p w14:paraId="0E7D54BE">
            <w:pPr>
              <w:keepNext w:val="0"/>
              <w:keepLines w:val="0"/>
              <w:pageBreakBefore w:val="0"/>
              <w:widowControl w:val="0"/>
              <w:kinsoku w:val="0"/>
              <w:wordWrap w:val="0"/>
              <w:overflowPunct/>
              <w:topLinePunct w:val="0"/>
              <w:bidi w:val="0"/>
              <w:adjustRightInd w:val="0"/>
              <w:snapToGrid w:val="0"/>
              <w:spacing w:line="360" w:lineRule="exact"/>
              <w:jc w:val="center"/>
              <w:textAlignment w:val="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第1</w:t>
            </w:r>
            <w:r>
              <w:rPr>
                <w:rFonts w:hint="eastAsia" w:ascii="宋体" w:hAnsi="宋体"/>
                <w:color w:val="auto"/>
                <w:sz w:val="24"/>
                <w:szCs w:val="24"/>
                <w:highlight w:val="none"/>
                <w:lang w:val="en-US" w:eastAsia="zh-CN"/>
              </w:rPr>
              <w:t>5</w:t>
            </w:r>
            <w:r>
              <w:rPr>
                <w:rFonts w:hint="eastAsia" w:ascii="宋体" w:hAnsi="宋体"/>
                <w:color w:val="auto"/>
                <w:sz w:val="24"/>
                <w:szCs w:val="24"/>
                <w:highlight w:val="none"/>
              </w:rPr>
              <w:t>.</w:t>
            </w:r>
            <w:r>
              <w:rPr>
                <w:rFonts w:hint="eastAsia" w:ascii="宋体" w:hAnsi="宋体"/>
                <w:color w:val="auto"/>
                <w:sz w:val="24"/>
                <w:szCs w:val="24"/>
                <w:highlight w:val="none"/>
                <w:lang w:val="en-US" w:eastAsia="zh-CN"/>
              </w:rPr>
              <w:t>1款</w:t>
            </w:r>
          </w:p>
        </w:tc>
        <w:tc>
          <w:tcPr>
            <w:tcW w:w="1827" w:type="dxa"/>
            <w:vAlign w:val="center"/>
          </w:tcPr>
          <w:p w14:paraId="098D7551">
            <w:pPr>
              <w:keepNext w:val="0"/>
              <w:keepLines w:val="0"/>
              <w:pageBreakBefore w:val="0"/>
              <w:widowControl w:val="0"/>
              <w:kinsoku w:val="0"/>
              <w:wordWrap w:val="0"/>
              <w:overflowPunct/>
              <w:topLinePunct w:val="0"/>
              <w:bidi w:val="0"/>
              <w:adjustRightInd w:val="0"/>
              <w:snapToGrid w:val="0"/>
              <w:spacing w:line="360" w:lineRule="exact"/>
              <w:jc w:val="left"/>
              <w:textAlignment w:val="auto"/>
              <w:rPr>
                <w:rFonts w:hint="eastAsia" w:ascii="宋体" w:hAnsi="宋体"/>
                <w:color w:val="auto"/>
                <w:sz w:val="24"/>
                <w:szCs w:val="24"/>
                <w:highlight w:val="none"/>
              </w:rPr>
            </w:pPr>
            <w:r>
              <w:rPr>
                <w:rFonts w:hint="eastAsia" w:ascii="宋体" w:hAnsi="宋体"/>
                <w:color w:val="auto"/>
                <w:sz w:val="24"/>
                <w:szCs w:val="24"/>
                <w:highlight w:val="none"/>
                <w:lang w:eastAsia="zh-CN"/>
              </w:rPr>
              <w:t>修理、重作、更换相关具体规定</w:t>
            </w:r>
          </w:p>
        </w:tc>
        <w:tc>
          <w:tcPr>
            <w:tcW w:w="5481" w:type="dxa"/>
            <w:vAlign w:val="center"/>
          </w:tcPr>
          <w:p w14:paraId="3EB4FDFE">
            <w:pPr>
              <w:keepNext w:val="0"/>
              <w:keepLines w:val="0"/>
              <w:pageBreakBefore w:val="0"/>
              <w:widowControl w:val="0"/>
              <w:kinsoku w:val="0"/>
              <w:wordWrap w:val="0"/>
              <w:overflowPunct/>
              <w:topLinePunct w:val="0"/>
              <w:bidi w:val="0"/>
              <w:adjustRightInd w:val="0"/>
              <w:snapToGrid w:val="0"/>
              <w:spacing w:line="360" w:lineRule="exact"/>
              <w:jc w:val="left"/>
              <w:textAlignment w:val="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按通用条款执行</w:t>
            </w:r>
          </w:p>
        </w:tc>
      </w:tr>
      <w:tr w14:paraId="29C9CAD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320" w:type="dxa"/>
            <w:vAlign w:val="center"/>
          </w:tcPr>
          <w:p w14:paraId="5840A864">
            <w:pPr>
              <w:keepNext w:val="0"/>
              <w:keepLines w:val="0"/>
              <w:pageBreakBefore w:val="0"/>
              <w:widowControl w:val="0"/>
              <w:kinsoku w:val="0"/>
              <w:wordWrap w:val="0"/>
              <w:overflowPunct/>
              <w:topLinePunct w:val="0"/>
              <w:bidi w:val="0"/>
              <w:adjustRightInd w:val="0"/>
              <w:snapToGrid w:val="0"/>
              <w:spacing w:line="360" w:lineRule="exact"/>
              <w:jc w:val="center"/>
              <w:textAlignment w:val="auto"/>
              <w:rPr>
                <w:rFonts w:ascii="宋体" w:hAnsi="宋体"/>
                <w:color w:val="auto"/>
                <w:sz w:val="24"/>
                <w:szCs w:val="24"/>
                <w:highlight w:val="none"/>
              </w:rPr>
            </w:pPr>
            <w:r>
              <w:rPr>
                <w:rFonts w:hint="eastAsia" w:ascii="宋体" w:hAnsi="宋体"/>
                <w:color w:val="auto"/>
                <w:sz w:val="24"/>
                <w:szCs w:val="24"/>
                <w:highlight w:val="none"/>
              </w:rPr>
              <w:t>第二节</w:t>
            </w:r>
          </w:p>
          <w:p w14:paraId="4FD86091">
            <w:pPr>
              <w:keepNext w:val="0"/>
              <w:keepLines w:val="0"/>
              <w:pageBreakBefore w:val="0"/>
              <w:widowControl w:val="0"/>
              <w:kinsoku w:val="0"/>
              <w:wordWrap w:val="0"/>
              <w:overflowPunct/>
              <w:topLinePunct w:val="0"/>
              <w:bidi w:val="0"/>
              <w:adjustRightInd w:val="0"/>
              <w:snapToGrid w:val="0"/>
              <w:spacing w:line="360" w:lineRule="exact"/>
              <w:jc w:val="center"/>
              <w:textAlignment w:val="auto"/>
              <w:rPr>
                <w:rFonts w:ascii="宋体" w:hAnsi="宋体"/>
                <w:color w:val="auto"/>
                <w:sz w:val="24"/>
                <w:szCs w:val="24"/>
                <w:highlight w:val="none"/>
              </w:rPr>
            </w:pPr>
            <w:r>
              <w:rPr>
                <w:rFonts w:hint="eastAsia" w:ascii="宋体" w:hAnsi="宋体"/>
                <w:color w:val="auto"/>
                <w:sz w:val="24"/>
                <w:szCs w:val="24"/>
                <w:highlight w:val="none"/>
              </w:rPr>
              <w:t>第1</w:t>
            </w:r>
            <w:r>
              <w:rPr>
                <w:rFonts w:hint="eastAsia" w:ascii="宋体" w:hAnsi="宋体"/>
                <w:color w:val="auto"/>
                <w:sz w:val="24"/>
                <w:szCs w:val="24"/>
                <w:highlight w:val="none"/>
                <w:lang w:val="en-US" w:eastAsia="zh-CN"/>
              </w:rPr>
              <w:t>5</w:t>
            </w:r>
            <w:r>
              <w:rPr>
                <w:rFonts w:hint="eastAsia" w:ascii="宋体" w:hAnsi="宋体"/>
                <w:color w:val="auto"/>
                <w:sz w:val="24"/>
                <w:szCs w:val="24"/>
                <w:highlight w:val="none"/>
              </w:rPr>
              <w:t>.2（2）项</w:t>
            </w:r>
          </w:p>
        </w:tc>
        <w:tc>
          <w:tcPr>
            <w:tcW w:w="1827" w:type="dxa"/>
            <w:vAlign w:val="center"/>
          </w:tcPr>
          <w:p w14:paraId="5D90FB49">
            <w:pPr>
              <w:keepNext w:val="0"/>
              <w:keepLines w:val="0"/>
              <w:pageBreakBefore w:val="0"/>
              <w:widowControl w:val="0"/>
              <w:kinsoku w:val="0"/>
              <w:wordWrap w:val="0"/>
              <w:overflowPunct/>
              <w:topLinePunct w:val="0"/>
              <w:bidi w:val="0"/>
              <w:adjustRightInd w:val="0"/>
              <w:snapToGrid w:val="0"/>
              <w:spacing w:line="360" w:lineRule="exact"/>
              <w:jc w:val="left"/>
              <w:textAlignment w:val="auto"/>
              <w:rPr>
                <w:rFonts w:ascii="宋体" w:hAnsi="宋体"/>
                <w:color w:val="auto"/>
                <w:sz w:val="24"/>
                <w:szCs w:val="24"/>
                <w:highlight w:val="none"/>
              </w:rPr>
            </w:pPr>
            <w:r>
              <w:rPr>
                <w:rFonts w:hint="eastAsia" w:ascii="宋体" w:hAnsi="宋体"/>
                <w:color w:val="auto"/>
                <w:sz w:val="24"/>
                <w:szCs w:val="24"/>
                <w:highlight w:val="none"/>
              </w:rPr>
              <w:t>迟延交货赔偿费</w:t>
            </w:r>
          </w:p>
        </w:tc>
        <w:tc>
          <w:tcPr>
            <w:tcW w:w="5481" w:type="dxa"/>
            <w:vAlign w:val="center"/>
          </w:tcPr>
          <w:p w14:paraId="760C1A85">
            <w:pPr>
              <w:keepNext w:val="0"/>
              <w:keepLines w:val="0"/>
              <w:pageBreakBefore w:val="0"/>
              <w:widowControl w:val="0"/>
              <w:kinsoku w:val="0"/>
              <w:wordWrap w:val="0"/>
              <w:overflowPunct/>
              <w:topLinePunct w:val="0"/>
              <w:bidi w:val="0"/>
              <w:adjustRightInd w:val="0"/>
              <w:snapToGrid w:val="0"/>
              <w:spacing w:line="360" w:lineRule="exact"/>
              <w:jc w:val="left"/>
              <w:textAlignment w:val="auto"/>
              <w:rPr>
                <w:rFonts w:hint="default" w:ascii="宋体" w:hAnsi="宋体"/>
                <w:color w:val="auto"/>
                <w:sz w:val="24"/>
                <w:szCs w:val="24"/>
                <w:highlight w:val="none"/>
                <w:u w:val="single"/>
                <w:lang w:val="en-US"/>
              </w:rPr>
            </w:pPr>
            <w:r>
              <w:rPr>
                <w:rFonts w:hint="eastAsia" w:asciiTheme="minorEastAsia" w:hAnsiTheme="minorEastAsia" w:eastAsiaTheme="minorEastAsia" w:cstheme="minorEastAsia"/>
                <w:color w:val="auto"/>
                <w:kern w:val="0"/>
                <w:sz w:val="24"/>
                <w:szCs w:val="24"/>
                <w:highlight w:val="none"/>
                <w:lang w:val="en-US" w:eastAsia="zh-CN"/>
              </w:rPr>
              <w:t>若不能按期完成，视为乙方违约，每延长一天罚款</w:t>
            </w:r>
            <w:r>
              <w:rPr>
                <w:rFonts w:hint="eastAsia" w:asciiTheme="minorEastAsia" w:hAnsiTheme="minorEastAsia" w:eastAsiaTheme="minorEastAsia" w:cstheme="minorEastAsia"/>
                <w:color w:val="auto"/>
                <w:kern w:val="0"/>
                <w:sz w:val="24"/>
                <w:szCs w:val="24"/>
                <w:highlight w:val="none"/>
                <w:u w:val="single"/>
                <w:lang w:val="en-US" w:eastAsia="zh-CN"/>
              </w:rPr>
              <w:t>10000</w:t>
            </w:r>
            <w:r>
              <w:rPr>
                <w:rFonts w:hint="eastAsia" w:asciiTheme="minorEastAsia" w:hAnsiTheme="minorEastAsia" w:eastAsiaTheme="minorEastAsia" w:cstheme="minorEastAsia"/>
                <w:color w:val="auto"/>
                <w:kern w:val="0"/>
                <w:sz w:val="24"/>
                <w:szCs w:val="24"/>
                <w:highlight w:val="none"/>
                <w:lang w:val="en-US" w:eastAsia="zh-CN"/>
              </w:rPr>
              <w:t>元，直至合同总价款</w:t>
            </w:r>
            <w:r>
              <w:rPr>
                <w:rFonts w:hint="eastAsia" w:asciiTheme="minorEastAsia" w:hAnsiTheme="minorEastAsia" w:eastAsiaTheme="minorEastAsia" w:cstheme="minorEastAsia"/>
                <w:color w:val="auto"/>
                <w:kern w:val="0"/>
                <w:sz w:val="24"/>
                <w:szCs w:val="24"/>
                <w:highlight w:val="none"/>
                <w:u w:val="single"/>
                <w:lang w:val="en-US" w:eastAsia="zh-CN"/>
              </w:rPr>
              <w:t>10%</w:t>
            </w:r>
            <w:r>
              <w:rPr>
                <w:rFonts w:hint="eastAsia" w:asciiTheme="minorEastAsia" w:hAnsiTheme="minorEastAsia" w:eastAsiaTheme="minorEastAsia" w:cstheme="minorEastAsia"/>
                <w:color w:val="auto"/>
                <w:kern w:val="0"/>
                <w:sz w:val="24"/>
                <w:szCs w:val="24"/>
                <w:highlight w:val="none"/>
                <w:lang w:val="en-US" w:eastAsia="zh-CN"/>
              </w:rPr>
              <w:t>为止，并承担由此给甲方造成的全部损失</w:t>
            </w:r>
            <w:r>
              <w:rPr>
                <w:rFonts w:hint="eastAsia" w:ascii="宋体" w:hAnsi="宋体"/>
                <w:color w:val="auto"/>
                <w:sz w:val="24"/>
                <w:szCs w:val="24"/>
                <w:highlight w:val="none"/>
                <w:u w:val="none"/>
                <w:lang w:val="en-US" w:eastAsia="zh-CN"/>
              </w:rPr>
              <w:t>。</w:t>
            </w:r>
          </w:p>
        </w:tc>
      </w:tr>
      <w:tr w14:paraId="65F6872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320" w:type="dxa"/>
            <w:vAlign w:val="center"/>
          </w:tcPr>
          <w:p w14:paraId="4C4F1E84">
            <w:pPr>
              <w:keepNext w:val="0"/>
              <w:keepLines w:val="0"/>
              <w:pageBreakBefore w:val="0"/>
              <w:widowControl w:val="0"/>
              <w:kinsoku w:val="0"/>
              <w:wordWrap w:val="0"/>
              <w:overflowPunct/>
              <w:topLinePunct w:val="0"/>
              <w:bidi w:val="0"/>
              <w:adjustRightInd w:val="0"/>
              <w:snapToGrid w:val="0"/>
              <w:spacing w:line="360" w:lineRule="exact"/>
              <w:jc w:val="center"/>
              <w:textAlignment w:val="auto"/>
              <w:rPr>
                <w:rFonts w:ascii="宋体" w:hAnsi="宋体"/>
                <w:color w:val="auto"/>
                <w:sz w:val="24"/>
                <w:szCs w:val="24"/>
                <w:highlight w:val="none"/>
              </w:rPr>
            </w:pPr>
            <w:r>
              <w:rPr>
                <w:rFonts w:hint="eastAsia" w:ascii="宋体" w:hAnsi="宋体"/>
                <w:color w:val="auto"/>
                <w:sz w:val="24"/>
                <w:szCs w:val="24"/>
                <w:highlight w:val="none"/>
              </w:rPr>
              <w:t>第二节</w:t>
            </w:r>
          </w:p>
          <w:p w14:paraId="557CAB17">
            <w:pPr>
              <w:keepNext w:val="0"/>
              <w:keepLines w:val="0"/>
              <w:pageBreakBefore w:val="0"/>
              <w:widowControl w:val="0"/>
              <w:kinsoku w:val="0"/>
              <w:wordWrap w:val="0"/>
              <w:overflowPunct/>
              <w:topLinePunct w:val="0"/>
              <w:bidi w:val="0"/>
              <w:adjustRightInd w:val="0"/>
              <w:snapToGrid w:val="0"/>
              <w:spacing w:line="360" w:lineRule="exact"/>
              <w:jc w:val="center"/>
              <w:textAlignment w:val="auto"/>
              <w:rPr>
                <w:rFonts w:hint="eastAsia" w:ascii="宋体" w:hAnsi="宋体"/>
                <w:color w:val="auto"/>
                <w:sz w:val="24"/>
                <w:szCs w:val="24"/>
                <w:highlight w:val="none"/>
              </w:rPr>
            </w:pPr>
            <w:r>
              <w:rPr>
                <w:rFonts w:hint="eastAsia" w:ascii="宋体" w:hAnsi="宋体"/>
                <w:color w:val="auto"/>
                <w:sz w:val="24"/>
                <w:szCs w:val="24"/>
                <w:highlight w:val="none"/>
              </w:rPr>
              <w:t>第1</w:t>
            </w:r>
            <w:r>
              <w:rPr>
                <w:rFonts w:hint="eastAsia" w:ascii="宋体" w:hAnsi="宋体"/>
                <w:color w:val="auto"/>
                <w:sz w:val="24"/>
                <w:szCs w:val="24"/>
                <w:highlight w:val="none"/>
                <w:lang w:val="en-US" w:eastAsia="zh-CN"/>
              </w:rPr>
              <w:t>5</w:t>
            </w:r>
            <w:r>
              <w:rPr>
                <w:rFonts w:hint="eastAsia" w:ascii="宋体" w:hAnsi="宋体"/>
                <w:color w:val="auto"/>
                <w:sz w:val="24"/>
                <w:szCs w:val="24"/>
                <w:highlight w:val="none"/>
              </w:rPr>
              <w:t>.</w:t>
            </w:r>
            <w:r>
              <w:rPr>
                <w:rFonts w:hint="eastAsia" w:ascii="宋体" w:hAnsi="宋体"/>
                <w:color w:val="auto"/>
                <w:sz w:val="24"/>
                <w:szCs w:val="24"/>
                <w:highlight w:val="none"/>
                <w:lang w:val="en-US" w:eastAsia="zh-CN"/>
              </w:rPr>
              <w:t>3款</w:t>
            </w:r>
          </w:p>
        </w:tc>
        <w:tc>
          <w:tcPr>
            <w:tcW w:w="1827" w:type="dxa"/>
            <w:vAlign w:val="center"/>
          </w:tcPr>
          <w:p w14:paraId="0C7C26CD">
            <w:pPr>
              <w:keepNext w:val="0"/>
              <w:keepLines w:val="0"/>
              <w:pageBreakBefore w:val="0"/>
              <w:widowControl w:val="0"/>
              <w:kinsoku w:val="0"/>
              <w:wordWrap w:val="0"/>
              <w:overflowPunct/>
              <w:topLinePunct w:val="0"/>
              <w:bidi w:val="0"/>
              <w:adjustRightInd w:val="0"/>
              <w:snapToGrid w:val="0"/>
              <w:spacing w:line="360" w:lineRule="exact"/>
              <w:jc w:val="left"/>
              <w:textAlignment w:val="auto"/>
              <w:rPr>
                <w:rFonts w:hint="eastAsia" w:ascii="宋体" w:hAnsi="宋体"/>
                <w:color w:val="auto"/>
                <w:sz w:val="24"/>
                <w:szCs w:val="24"/>
                <w:highlight w:val="none"/>
              </w:rPr>
            </w:pPr>
            <w:r>
              <w:rPr>
                <w:rFonts w:hint="eastAsia" w:ascii="宋体" w:hAnsi="宋体"/>
                <w:color w:val="auto"/>
                <w:sz w:val="24"/>
                <w:szCs w:val="24"/>
                <w:highlight w:val="none"/>
              </w:rPr>
              <w:t>逾期付款利息</w:t>
            </w:r>
          </w:p>
        </w:tc>
        <w:tc>
          <w:tcPr>
            <w:tcW w:w="5481" w:type="dxa"/>
            <w:vAlign w:val="center"/>
          </w:tcPr>
          <w:p w14:paraId="5E8CD546">
            <w:pPr>
              <w:keepNext w:val="0"/>
              <w:keepLines w:val="0"/>
              <w:pageBreakBefore w:val="0"/>
              <w:widowControl w:val="0"/>
              <w:kinsoku w:val="0"/>
              <w:wordWrap w:val="0"/>
              <w:overflowPunct/>
              <w:topLinePunct w:val="0"/>
              <w:bidi w:val="0"/>
              <w:adjustRightInd w:val="0"/>
              <w:snapToGrid w:val="0"/>
              <w:spacing w:line="360" w:lineRule="exact"/>
              <w:jc w:val="left"/>
              <w:textAlignment w:val="auto"/>
              <w:rPr>
                <w:rFonts w:hint="eastAsia" w:ascii="宋体" w:hAnsi="宋体" w:eastAsia="宋体"/>
                <w:color w:val="auto"/>
                <w:sz w:val="24"/>
                <w:szCs w:val="24"/>
                <w:highlight w:val="none"/>
                <w:u w:val="single"/>
                <w:lang w:eastAsia="zh-CN"/>
              </w:rPr>
            </w:pPr>
            <w:r>
              <w:rPr>
                <w:rFonts w:hint="eastAsia" w:ascii="宋体" w:hAnsi="宋体"/>
                <w:color w:val="auto"/>
                <w:sz w:val="24"/>
                <w:szCs w:val="24"/>
                <w:highlight w:val="none"/>
                <w:u w:val="none"/>
                <w:lang w:val="en-US" w:eastAsia="zh-CN"/>
              </w:rPr>
              <w:t>/</w:t>
            </w:r>
          </w:p>
        </w:tc>
      </w:tr>
      <w:tr w14:paraId="4E0CD10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trPr>
        <w:tc>
          <w:tcPr>
            <w:tcW w:w="1320" w:type="dxa"/>
            <w:tcBorders>
              <w:bottom w:val="single" w:color="auto" w:sz="2" w:space="0"/>
              <w:right w:val="single" w:color="auto" w:sz="2" w:space="0"/>
            </w:tcBorders>
            <w:vAlign w:val="center"/>
          </w:tcPr>
          <w:p w14:paraId="38F64C8D">
            <w:pPr>
              <w:keepNext w:val="0"/>
              <w:keepLines w:val="0"/>
              <w:pageBreakBefore w:val="0"/>
              <w:widowControl w:val="0"/>
              <w:kinsoku w:val="0"/>
              <w:wordWrap w:val="0"/>
              <w:overflowPunct/>
              <w:topLinePunct w:val="0"/>
              <w:bidi w:val="0"/>
              <w:adjustRightInd w:val="0"/>
              <w:snapToGrid w:val="0"/>
              <w:spacing w:line="360" w:lineRule="exact"/>
              <w:jc w:val="center"/>
              <w:textAlignment w:val="auto"/>
              <w:rPr>
                <w:rFonts w:ascii="宋体" w:hAnsi="宋体"/>
                <w:color w:val="auto"/>
                <w:sz w:val="24"/>
                <w:szCs w:val="24"/>
                <w:highlight w:val="none"/>
              </w:rPr>
            </w:pPr>
            <w:r>
              <w:rPr>
                <w:rFonts w:hint="eastAsia" w:ascii="宋体" w:hAnsi="宋体"/>
                <w:color w:val="auto"/>
                <w:sz w:val="24"/>
                <w:szCs w:val="24"/>
                <w:highlight w:val="none"/>
              </w:rPr>
              <w:t>第二节</w:t>
            </w:r>
          </w:p>
          <w:p w14:paraId="2E64B4C9">
            <w:pPr>
              <w:keepNext w:val="0"/>
              <w:keepLines w:val="0"/>
              <w:pageBreakBefore w:val="0"/>
              <w:widowControl w:val="0"/>
              <w:kinsoku w:val="0"/>
              <w:wordWrap w:val="0"/>
              <w:overflowPunct/>
              <w:topLinePunct w:val="0"/>
              <w:bidi w:val="0"/>
              <w:adjustRightInd w:val="0"/>
              <w:snapToGrid w:val="0"/>
              <w:spacing w:line="360" w:lineRule="exact"/>
              <w:jc w:val="center"/>
              <w:textAlignment w:val="auto"/>
              <w:rPr>
                <w:rFonts w:ascii="宋体" w:hAnsi="宋体"/>
                <w:color w:val="auto"/>
                <w:sz w:val="24"/>
                <w:szCs w:val="24"/>
                <w:highlight w:val="none"/>
              </w:rPr>
            </w:pPr>
            <w:r>
              <w:rPr>
                <w:rFonts w:hint="eastAsia" w:ascii="宋体" w:hAnsi="宋体"/>
                <w:color w:val="auto"/>
                <w:sz w:val="24"/>
                <w:szCs w:val="24"/>
                <w:highlight w:val="none"/>
              </w:rPr>
              <w:t>第1</w:t>
            </w:r>
            <w:r>
              <w:rPr>
                <w:rFonts w:hint="eastAsia" w:ascii="宋体" w:hAnsi="宋体"/>
                <w:color w:val="auto"/>
                <w:sz w:val="24"/>
                <w:szCs w:val="24"/>
                <w:highlight w:val="none"/>
                <w:lang w:val="en-US" w:eastAsia="zh-CN"/>
              </w:rPr>
              <w:t>5</w:t>
            </w:r>
            <w:r>
              <w:rPr>
                <w:rFonts w:hint="eastAsia" w:ascii="宋体" w:hAnsi="宋体"/>
                <w:color w:val="auto"/>
                <w:sz w:val="24"/>
                <w:szCs w:val="24"/>
                <w:highlight w:val="none"/>
              </w:rPr>
              <w:t>.4</w:t>
            </w:r>
            <w:r>
              <w:rPr>
                <w:rFonts w:hint="eastAsia" w:ascii="宋体" w:hAnsi="宋体"/>
                <w:color w:val="auto"/>
                <w:sz w:val="24"/>
                <w:szCs w:val="24"/>
                <w:highlight w:val="none"/>
                <w:lang w:val="en-US" w:eastAsia="zh-CN"/>
              </w:rPr>
              <w:t>款</w:t>
            </w:r>
          </w:p>
        </w:tc>
        <w:tc>
          <w:tcPr>
            <w:tcW w:w="1827" w:type="dxa"/>
            <w:tcBorders>
              <w:left w:val="single" w:color="auto" w:sz="2" w:space="0"/>
              <w:bottom w:val="single" w:color="auto" w:sz="2" w:space="0"/>
              <w:right w:val="single" w:color="auto" w:sz="2" w:space="0"/>
            </w:tcBorders>
            <w:vAlign w:val="center"/>
          </w:tcPr>
          <w:p w14:paraId="7054631A">
            <w:pPr>
              <w:keepNext w:val="0"/>
              <w:keepLines w:val="0"/>
              <w:pageBreakBefore w:val="0"/>
              <w:widowControl w:val="0"/>
              <w:kinsoku w:val="0"/>
              <w:wordWrap w:val="0"/>
              <w:overflowPunct/>
              <w:topLinePunct w:val="0"/>
              <w:bidi w:val="0"/>
              <w:adjustRightInd w:val="0"/>
              <w:snapToGrid w:val="0"/>
              <w:spacing w:line="360" w:lineRule="exact"/>
              <w:jc w:val="left"/>
              <w:textAlignment w:val="auto"/>
              <w:rPr>
                <w:rFonts w:ascii="宋体" w:hAnsi="宋体"/>
                <w:color w:val="auto"/>
                <w:sz w:val="24"/>
                <w:szCs w:val="24"/>
                <w:highlight w:val="none"/>
              </w:rPr>
            </w:pPr>
            <w:r>
              <w:rPr>
                <w:rFonts w:hint="eastAsia" w:ascii="宋体" w:hAnsi="宋体"/>
                <w:color w:val="auto"/>
                <w:sz w:val="24"/>
                <w:szCs w:val="24"/>
                <w:highlight w:val="none"/>
              </w:rPr>
              <w:t>其他违约责任</w:t>
            </w:r>
          </w:p>
        </w:tc>
        <w:tc>
          <w:tcPr>
            <w:tcW w:w="5481" w:type="dxa"/>
            <w:tcBorders>
              <w:left w:val="single" w:color="auto" w:sz="2" w:space="0"/>
              <w:bottom w:val="single" w:color="auto" w:sz="2" w:space="0"/>
            </w:tcBorders>
            <w:vAlign w:val="center"/>
          </w:tcPr>
          <w:p w14:paraId="6C96FC63">
            <w:pPr>
              <w:keepNext w:val="0"/>
              <w:keepLines w:val="0"/>
              <w:pageBreakBefore w:val="0"/>
              <w:widowControl w:val="0"/>
              <w:kinsoku w:val="0"/>
              <w:wordWrap w:val="0"/>
              <w:overflowPunct/>
              <w:topLinePunct w:val="0"/>
              <w:bidi w:val="0"/>
              <w:adjustRightInd w:val="0"/>
              <w:snapToGrid w:val="0"/>
              <w:spacing w:line="360" w:lineRule="exact"/>
              <w:jc w:val="left"/>
              <w:textAlignment w:val="auto"/>
              <w:rPr>
                <w:rFonts w:hint="eastAsia" w:ascii="宋体" w:hAnsi="宋体"/>
                <w:color w:val="auto"/>
                <w:sz w:val="24"/>
                <w:szCs w:val="24"/>
                <w:highlight w:val="none"/>
                <w:u w:val="none"/>
                <w:lang w:val="en-US" w:eastAsia="zh-CN"/>
              </w:rPr>
            </w:pPr>
            <w:r>
              <w:rPr>
                <w:rFonts w:hint="eastAsia" w:ascii="宋体" w:hAnsi="宋体"/>
                <w:color w:val="auto"/>
                <w:sz w:val="24"/>
                <w:szCs w:val="24"/>
                <w:highlight w:val="none"/>
                <w:u w:val="none"/>
                <w:lang w:val="en-US" w:eastAsia="zh-CN"/>
              </w:rPr>
              <w:t>15.4.1如所提供的设备不能达到合同约定要求，每发生一次，除承担退换费用外，乙方还需承担合同总价款10%的违约金并承担相应法律责任。</w:t>
            </w:r>
          </w:p>
          <w:p w14:paraId="49749276">
            <w:pPr>
              <w:keepNext w:val="0"/>
              <w:keepLines w:val="0"/>
              <w:pageBreakBefore w:val="0"/>
              <w:widowControl w:val="0"/>
              <w:kinsoku w:val="0"/>
              <w:wordWrap w:val="0"/>
              <w:overflowPunct/>
              <w:topLinePunct w:val="0"/>
              <w:bidi w:val="0"/>
              <w:adjustRightInd w:val="0"/>
              <w:snapToGrid w:val="0"/>
              <w:spacing w:line="360" w:lineRule="exact"/>
              <w:jc w:val="left"/>
              <w:textAlignment w:val="auto"/>
              <w:rPr>
                <w:rFonts w:hint="eastAsia" w:asciiTheme="minorEastAsia" w:hAnsiTheme="minorEastAsia" w:eastAsiaTheme="minorEastAsia" w:cstheme="minorEastAsia"/>
                <w:color w:val="auto"/>
                <w:kern w:val="0"/>
                <w:sz w:val="24"/>
                <w:szCs w:val="24"/>
                <w:highlight w:val="none"/>
                <w:lang w:val="en-US" w:eastAsia="zh-CN" w:bidi="ar-SA"/>
              </w:rPr>
            </w:pPr>
            <w:r>
              <w:rPr>
                <w:rFonts w:hint="eastAsia" w:ascii="宋体" w:hAnsi="宋体"/>
                <w:color w:val="auto"/>
                <w:sz w:val="24"/>
                <w:szCs w:val="24"/>
                <w:highlight w:val="none"/>
                <w:u w:val="none"/>
                <w:lang w:val="en-US" w:eastAsia="zh-CN"/>
              </w:rPr>
              <w:t>15.4.2</w:t>
            </w:r>
            <w:r>
              <w:rPr>
                <w:rFonts w:hint="eastAsia" w:asciiTheme="minorEastAsia" w:hAnsiTheme="minorEastAsia" w:eastAsiaTheme="minorEastAsia" w:cstheme="minorEastAsia"/>
                <w:color w:val="auto"/>
                <w:kern w:val="0"/>
                <w:sz w:val="24"/>
                <w:szCs w:val="24"/>
                <w:highlight w:val="none"/>
                <w:lang w:val="en-US" w:eastAsia="zh-CN" w:bidi="ar-SA"/>
              </w:rPr>
              <w:t>如所供产品不符合强制性标准、规范和规定，或者有证据证明其不能满足甲方使用要求以及与乙方投标时承诺的功能不相符的，甲方有权退货，乙方应退还甲方设备款项，并应承担合同总价款</w:t>
            </w:r>
            <w:r>
              <w:rPr>
                <w:rFonts w:hint="eastAsia" w:asciiTheme="minorEastAsia" w:hAnsiTheme="minorEastAsia" w:eastAsiaTheme="minorEastAsia" w:cstheme="minorEastAsia"/>
                <w:color w:val="auto"/>
                <w:kern w:val="0"/>
                <w:sz w:val="24"/>
                <w:szCs w:val="24"/>
                <w:highlight w:val="none"/>
                <w:u w:val="single"/>
                <w:lang w:val="en-US" w:eastAsia="zh-CN" w:bidi="ar-SA"/>
              </w:rPr>
              <w:t>10%</w:t>
            </w:r>
            <w:r>
              <w:rPr>
                <w:rFonts w:hint="eastAsia" w:asciiTheme="minorEastAsia" w:hAnsiTheme="minorEastAsia" w:eastAsiaTheme="minorEastAsia" w:cstheme="minorEastAsia"/>
                <w:color w:val="auto"/>
                <w:kern w:val="0"/>
                <w:sz w:val="24"/>
                <w:szCs w:val="24"/>
                <w:highlight w:val="none"/>
                <w:lang w:val="en-US" w:eastAsia="zh-CN" w:bidi="ar-SA"/>
              </w:rPr>
              <w:t>的违约金及承担由此给甲方造成的全部损失。</w:t>
            </w:r>
          </w:p>
          <w:p w14:paraId="0127D3C6">
            <w:pPr>
              <w:keepNext w:val="0"/>
              <w:keepLines w:val="0"/>
              <w:pageBreakBefore w:val="0"/>
              <w:widowControl w:val="0"/>
              <w:kinsoku w:val="0"/>
              <w:wordWrap w:val="0"/>
              <w:overflowPunct/>
              <w:topLinePunct w:val="0"/>
              <w:bidi w:val="0"/>
              <w:adjustRightInd w:val="0"/>
              <w:snapToGrid w:val="0"/>
              <w:spacing w:line="360" w:lineRule="exact"/>
              <w:jc w:val="left"/>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lang w:val="en-US" w:eastAsia="zh-CN" w:bidi="ar-SA"/>
              </w:rPr>
              <w:t>15.4.3</w:t>
            </w:r>
            <w:r>
              <w:rPr>
                <w:rFonts w:hint="eastAsia" w:asciiTheme="minorEastAsia" w:hAnsiTheme="minorEastAsia" w:eastAsiaTheme="minorEastAsia" w:cstheme="minorEastAsia"/>
                <w:color w:val="auto"/>
                <w:kern w:val="0"/>
                <w:sz w:val="24"/>
                <w:szCs w:val="24"/>
                <w:highlight w:val="none"/>
                <w:lang w:val="en-US" w:eastAsia="zh-CN"/>
              </w:rPr>
              <w:t>乙方</w:t>
            </w:r>
            <w:r>
              <w:rPr>
                <w:rFonts w:hint="eastAsia" w:asciiTheme="minorEastAsia" w:hAnsiTheme="minorEastAsia" w:eastAsiaTheme="minorEastAsia" w:cstheme="minorEastAsia"/>
                <w:color w:val="auto"/>
                <w:kern w:val="0"/>
                <w:sz w:val="24"/>
                <w:szCs w:val="24"/>
                <w:highlight w:val="none"/>
              </w:rPr>
              <w:t>未按</w:t>
            </w:r>
            <w:r>
              <w:rPr>
                <w:rFonts w:hint="eastAsia" w:asciiTheme="minorEastAsia" w:hAnsiTheme="minorEastAsia" w:eastAsiaTheme="minorEastAsia" w:cstheme="minorEastAsia"/>
                <w:color w:val="auto"/>
                <w:kern w:val="0"/>
                <w:sz w:val="24"/>
                <w:szCs w:val="24"/>
                <w:highlight w:val="none"/>
                <w:lang w:val="en-US" w:eastAsia="zh-CN"/>
              </w:rPr>
              <w:t>甲方</w:t>
            </w:r>
            <w:r>
              <w:rPr>
                <w:rFonts w:hint="eastAsia" w:asciiTheme="minorEastAsia" w:hAnsiTheme="minorEastAsia" w:eastAsiaTheme="minorEastAsia" w:cstheme="minorEastAsia"/>
                <w:color w:val="auto"/>
                <w:kern w:val="0"/>
                <w:sz w:val="24"/>
                <w:szCs w:val="24"/>
                <w:highlight w:val="none"/>
              </w:rPr>
              <w:t>要求进行售后服务的，每发生一次，</w:t>
            </w:r>
            <w:r>
              <w:rPr>
                <w:rFonts w:hint="eastAsia" w:asciiTheme="minorEastAsia" w:hAnsiTheme="minorEastAsia" w:eastAsiaTheme="minorEastAsia" w:cstheme="minorEastAsia"/>
                <w:color w:val="auto"/>
                <w:kern w:val="0"/>
                <w:sz w:val="24"/>
                <w:szCs w:val="24"/>
                <w:highlight w:val="none"/>
                <w:lang w:val="en-US" w:eastAsia="zh-CN"/>
              </w:rPr>
              <w:t>甲方</w:t>
            </w:r>
            <w:r>
              <w:rPr>
                <w:rFonts w:hint="eastAsia" w:asciiTheme="minorEastAsia" w:hAnsiTheme="minorEastAsia" w:eastAsiaTheme="minorEastAsia" w:cstheme="minorEastAsia"/>
                <w:color w:val="auto"/>
                <w:kern w:val="0"/>
                <w:sz w:val="24"/>
                <w:szCs w:val="24"/>
                <w:highlight w:val="none"/>
              </w:rPr>
              <w:t>可</w:t>
            </w:r>
            <w:r>
              <w:rPr>
                <w:rFonts w:hint="eastAsia" w:asciiTheme="minorEastAsia" w:hAnsiTheme="minorEastAsia" w:eastAsiaTheme="minorEastAsia" w:cstheme="minorEastAsia"/>
                <w:color w:val="auto"/>
                <w:kern w:val="0"/>
                <w:sz w:val="24"/>
                <w:szCs w:val="24"/>
                <w:highlight w:val="none"/>
                <w:lang w:val="en-US" w:eastAsia="zh-CN"/>
              </w:rPr>
              <w:t>对乙方</w:t>
            </w:r>
            <w:r>
              <w:rPr>
                <w:rFonts w:hint="eastAsia" w:asciiTheme="minorEastAsia" w:hAnsiTheme="minorEastAsia" w:eastAsiaTheme="minorEastAsia" w:cstheme="minorEastAsia"/>
                <w:color w:val="auto"/>
                <w:kern w:val="0"/>
                <w:sz w:val="24"/>
                <w:szCs w:val="24"/>
                <w:highlight w:val="none"/>
              </w:rPr>
              <w:t>罚款</w:t>
            </w:r>
            <w:r>
              <w:rPr>
                <w:rFonts w:hint="eastAsia" w:asciiTheme="minorEastAsia" w:hAnsiTheme="minorEastAsia" w:eastAsiaTheme="minorEastAsia" w:cstheme="minorEastAsia"/>
                <w:color w:val="auto"/>
                <w:kern w:val="0"/>
                <w:sz w:val="24"/>
                <w:szCs w:val="24"/>
                <w:highlight w:val="none"/>
                <w:u w:val="single"/>
                <w:lang w:val="en-US" w:eastAsia="zh-CN"/>
              </w:rPr>
              <w:t>10000</w:t>
            </w:r>
            <w:r>
              <w:rPr>
                <w:rFonts w:hint="eastAsia" w:asciiTheme="minorEastAsia" w:hAnsiTheme="minorEastAsia" w:eastAsiaTheme="minorEastAsia" w:cstheme="minorEastAsia"/>
                <w:color w:val="auto"/>
                <w:kern w:val="0"/>
                <w:sz w:val="24"/>
                <w:szCs w:val="24"/>
                <w:highlight w:val="none"/>
              </w:rPr>
              <w:t>元。</w:t>
            </w:r>
          </w:p>
          <w:p w14:paraId="27F8D140">
            <w:pPr>
              <w:keepNext w:val="0"/>
              <w:keepLines w:val="0"/>
              <w:pageBreakBefore w:val="0"/>
              <w:widowControl w:val="0"/>
              <w:kinsoku w:val="0"/>
              <w:wordWrap w:val="0"/>
              <w:overflowPunct/>
              <w:topLinePunct w:val="0"/>
              <w:bidi w:val="0"/>
              <w:adjustRightInd w:val="0"/>
              <w:snapToGrid w:val="0"/>
              <w:spacing w:line="360" w:lineRule="exact"/>
              <w:jc w:val="left"/>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15.4.4如所供设备不符合强制性标准、规范和规定，或者有证据证明其不能满足甲方使用要求以及与乙方投标时承诺的功能不相符的，甲方有权退货，乙方应退还甲方已支付的合同款项，并应承担合同总价款10%的违约金及承担由此给甲方造成的全部损失。</w:t>
            </w:r>
          </w:p>
          <w:p w14:paraId="2CAF069C">
            <w:pPr>
              <w:keepNext w:val="0"/>
              <w:keepLines w:val="0"/>
              <w:pageBreakBefore w:val="0"/>
              <w:widowControl w:val="0"/>
              <w:kinsoku w:val="0"/>
              <w:wordWrap w:val="0"/>
              <w:overflowPunct/>
              <w:topLinePunct w:val="0"/>
              <w:bidi w:val="0"/>
              <w:adjustRightInd w:val="0"/>
              <w:snapToGrid w:val="0"/>
              <w:spacing w:line="360" w:lineRule="exact"/>
              <w:jc w:val="left"/>
              <w:textAlignment w:val="auto"/>
              <w:rPr>
                <w:rFonts w:hint="eastAsia" w:asciiTheme="minorEastAsia" w:hAnsiTheme="minorEastAsia" w:eastAsiaTheme="minorEastAsia" w:cstheme="minorEastAsia"/>
                <w:color w:val="auto"/>
                <w:kern w:val="0"/>
                <w:sz w:val="24"/>
                <w:szCs w:val="24"/>
                <w:highlight w:val="none"/>
                <w:lang w:val="en-US" w:eastAsia="zh-CN"/>
              </w:rPr>
            </w:pPr>
            <w:r>
              <w:rPr>
                <w:rFonts w:hint="eastAsia" w:ascii="宋体" w:hAnsi="宋体" w:cs="宋体"/>
                <w:b w:val="0"/>
                <w:bCs w:val="0"/>
                <w:color w:val="auto"/>
                <w:kern w:val="0"/>
                <w:sz w:val="24"/>
                <w:szCs w:val="24"/>
                <w:highlight w:val="none"/>
                <w:lang w:val="en-US" w:eastAsia="zh-CN"/>
              </w:rPr>
              <w:t>15.4.5</w:t>
            </w:r>
            <w:r>
              <w:rPr>
                <w:rFonts w:hint="eastAsia" w:asciiTheme="minorEastAsia" w:hAnsiTheme="minorEastAsia" w:eastAsiaTheme="minorEastAsia" w:cstheme="minorEastAsia"/>
                <w:color w:val="auto"/>
                <w:kern w:val="0"/>
                <w:sz w:val="24"/>
                <w:szCs w:val="24"/>
                <w:highlight w:val="none"/>
                <w:lang w:val="en-US" w:eastAsia="zh-CN"/>
              </w:rPr>
              <w:t>乙</w:t>
            </w:r>
            <w:r>
              <w:rPr>
                <w:rFonts w:hint="eastAsia" w:asciiTheme="minorEastAsia" w:hAnsiTheme="minorEastAsia" w:eastAsiaTheme="minorEastAsia" w:cstheme="minorEastAsia"/>
                <w:color w:val="auto"/>
                <w:kern w:val="0"/>
                <w:sz w:val="24"/>
                <w:szCs w:val="24"/>
                <w:highlight w:val="none"/>
              </w:rPr>
              <w:t>方未按</w:t>
            </w:r>
            <w:r>
              <w:rPr>
                <w:rFonts w:hint="eastAsia" w:asciiTheme="minorEastAsia" w:hAnsiTheme="minorEastAsia" w:eastAsiaTheme="minorEastAsia" w:cstheme="minorEastAsia"/>
                <w:color w:val="auto"/>
                <w:kern w:val="0"/>
                <w:sz w:val="24"/>
                <w:szCs w:val="24"/>
                <w:highlight w:val="none"/>
                <w:lang w:val="en-US" w:eastAsia="zh-CN"/>
              </w:rPr>
              <w:t>甲方</w:t>
            </w:r>
            <w:r>
              <w:rPr>
                <w:rFonts w:hint="eastAsia" w:asciiTheme="minorEastAsia" w:hAnsiTheme="minorEastAsia" w:eastAsiaTheme="minorEastAsia" w:cstheme="minorEastAsia"/>
                <w:color w:val="auto"/>
                <w:kern w:val="0"/>
                <w:sz w:val="24"/>
                <w:szCs w:val="24"/>
                <w:highlight w:val="none"/>
              </w:rPr>
              <w:t>要求</w:t>
            </w:r>
            <w:r>
              <w:rPr>
                <w:rFonts w:hint="eastAsia" w:asciiTheme="minorEastAsia" w:hAnsiTheme="minorEastAsia" w:eastAsiaTheme="minorEastAsia" w:cstheme="minorEastAsia"/>
                <w:color w:val="auto"/>
                <w:kern w:val="0"/>
                <w:sz w:val="24"/>
                <w:szCs w:val="24"/>
                <w:highlight w:val="none"/>
                <w:lang w:val="en-US" w:eastAsia="zh-CN"/>
              </w:rPr>
              <w:t>进行技术培训</w:t>
            </w:r>
            <w:r>
              <w:rPr>
                <w:rFonts w:hint="eastAsia" w:asciiTheme="minorEastAsia" w:hAnsiTheme="minorEastAsia" w:eastAsiaTheme="minorEastAsia" w:cstheme="minorEastAsia"/>
                <w:color w:val="auto"/>
                <w:kern w:val="0"/>
                <w:sz w:val="24"/>
                <w:szCs w:val="24"/>
                <w:highlight w:val="none"/>
              </w:rPr>
              <w:t>服务的，每发生一次，</w:t>
            </w:r>
            <w:r>
              <w:rPr>
                <w:rFonts w:hint="eastAsia" w:asciiTheme="minorEastAsia" w:hAnsiTheme="minorEastAsia" w:eastAsiaTheme="minorEastAsia" w:cstheme="minorEastAsia"/>
                <w:color w:val="auto"/>
                <w:kern w:val="0"/>
                <w:sz w:val="24"/>
                <w:szCs w:val="24"/>
                <w:highlight w:val="none"/>
                <w:lang w:val="en-US" w:eastAsia="zh-CN"/>
              </w:rPr>
              <w:t>甲方</w:t>
            </w:r>
            <w:r>
              <w:rPr>
                <w:rFonts w:hint="eastAsia" w:asciiTheme="minorEastAsia" w:hAnsiTheme="minorEastAsia" w:eastAsiaTheme="minorEastAsia" w:cstheme="minorEastAsia"/>
                <w:color w:val="auto"/>
                <w:kern w:val="0"/>
                <w:sz w:val="24"/>
                <w:szCs w:val="24"/>
                <w:highlight w:val="none"/>
              </w:rPr>
              <w:t>可</w:t>
            </w:r>
            <w:r>
              <w:rPr>
                <w:rFonts w:hint="eastAsia" w:asciiTheme="minorEastAsia" w:hAnsiTheme="minorEastAsia" w:eastAsiaTheme="minorEastAsia" w:cstheme="minorEastAsia"/>
                <w:color w:val="auto"/>
                <w:kern w:val="0"/>
                <w:sz w:val="24"/>
                <w:szCs w:val="24"/>
                <w:highlight w:val="none"/>
                <w:lang w:val="en-US" w:eastAsia="zh-CN"/>
              </w:rPr>
              <w:t>对乙方</w:t>
            </w:r>
            <w:r>
              <w:rPr>
                <w:rFonts w:hint="eastAsia" w:asciiTheme="minorEastAsia" w:hAnsiTheme="minorEastAsia" w:eastAsiaTheme="minorEastAsia" w:cstheme="minorEastAsia"/>
                <w:color w:val="auto"/>
                <w:kern w:val="0"/>
                <w:sz w:val="24"/>
                <w:szCs w:val="24"/>
                <w:highlight w:val="none"/>
              </w:rPr>
              <w:t>罚款</w:t>
            </w:r>
            <w:r>
              <w:rPr>
                <w:rFonts w:hint="eastAsia" w:asciiTheme="minorEastAsia" w:hAnsiTheme="minorEastAsia" w:eastAsiaTheme="minorEastAsia" w:cstheme="minorEastAsia"/>
                <w:color w:val="auto"/>
                <w:kern w:val="0"/>
                <w:sz w:val="24"/>
                <w:szCs w:val="24"/>
                <w:highlight w:val="none"/>
                <w:u w:val="none"/>
                <w:lang w:val="en-US" w:eastAsia="zh-CN"/>
              </w:rPr>
              <w:t>10000</w:t>
            </w:r>
            <w:r>
              <w:rPr>
                <w:rFonts w:hint="eastAsia" w:asciiTheme="minorEastAsia" w:hAnsiTheme="minorEastAsia" w:eastAsiaTheme="minorEastAsia" w:cstheme="minorEastAsia"/>
                <w:color w:val="auto"/>
                <w:kern w:val="0"/>
                <w:sz w:val="24"/>
                <w:szCs w:val="24"/>
                <w:highlight w:val="none"/>
              </w:rPr>
              <w:t>元。</w:t>
            </w:r>
          </w:p>
          <w:p w14:paraId="3D127342">
            <w:pPr>
              <w:keepNext w:val="0"/>
              <w:keepLines w:val="0"/>
              <w:pageBreakBefore w:val="0"/>
              <w:kinsoku/>
              <w:wordWrap/>
              <w:overflowPunct/>
              <w:topLinePunct w:val="0"/>
              <w:bidi w:val="0"/>
              <w:adjustRightInd w:val="0"/>
              <w:snapToGrid w:val="0"/>
              <w:spacing w:line="360" w:lineRule="exact"/>
              <w:jc w:val="left"/>
              <w:textAlignment w:val="auto"/>
              <w:rPr>
                <w:rFonts w:hint="default" w:ascii="宋体" w:hAnsi="宋体" w:cs="宋体"/>
                <w:b w:val="0"/>
                <w:bCs w:val="0"/>
                <w:color w:val="auto"/>
                <w:kern w:val="0"/>
                <w:sz w:val="24"/>
                <w:szCs w:val="24"/>
                <w:highlight w:val="none"/>
                <w:lang w:val="en-US" w:eastAsia="zh-CN"/>
              </w:rPr>
            </w:pPr>
            <w:r>
              <w:rPr>
                <w:rFonts w:hint="eastAsia" w:ascii="宋体" w:hAnsi="宋体" w:cs="宋体"/>
                <w:b w:val="0"/>
                <w:bCs w:val="0"/>
                <w:color w:val="auto"/>
                <w:kern w:val="0"/>
                <w:sz w:val="24"/>
                <w:szCs w:val="24"/>
                <w:highlight w:val="none"/>
                <w:lang w:val="en-US" w:eastAsia="zh-CN"/>
              </w:rPr>
              <w:t>15.4.6项目验收时乙方提供的产品/设备未能提供相关证明材料的，甲方有权拒绝支付合同价款或单方解除合同，由此造成的损失（含给甲方造成的损失）由乙方自行承担。</w:t>
            </w:r>
          </w:p>
          <w:p w14:paraId="5D3C0C8A">
            <w:pPr>
              <w:keepNext w:val="0"/>
              <w:keepLines w:val="0"/>
              <w:pageBreakBefore w:val="0"/>
              <w:widowControl w:val="0"/>
              <w:kinsoku w:val="0"/>
              <w:wordWrap w:val="0"/>
              <w:overflowPunct/>
              <w:topLinePunct w:val="0"/>
              <w:bidi w:val="0"/>
              <w:adjustRightInd w:val="0"/>
              <w:snapToGrid w:val="0"/>
              <w:spacing w:line="360" w:lineRule="exact"/>
              <w:jc w:val="left"/>
              <w:textAlignment w:val="auto"/>
              <w:rPr>
                <w:rFonts w:hint="default" w:ascii="宋体" w:hAnsi="宋体" w:eastAsia="宋体"/>
                <w:color w:val="auto"/>
                <w:sz w:val="24"/>
                <w:szCs w:val="24"/>
                <w:highlight w:val="none"/>
                <w:u w:val="single"/>
                <w:lang w:val="en-US" w:eastAsia="zh-CN"/>
              </w:rPr>
            </w:pPr>
            <w:r>
              <w:rPr>
                <w:rFonts w:hint="eastAsia" w:ascii="宋体" w:hAnsi="宋体" w:cs="宋体"/>
                <w:b w:val="0"/>
                <w:bCs w:val="0"/>
                <w:color w:val="auto"/>
                <w:kern w:val="0"/>
                <w:sz w:val="24"/>
                <w:szCs w:val="24"/>
                <w:highlight w:val="none"/>
                <w:lang w:val="en-US" w:eastAsia="zh-CN"/>
              </w:rPr>
              <w:t>15.4.7</w:t>
            </w:r>
            <w:r>
              <w:rPr>
                <w:rFonts w:hint="eastAsia" w:asciiTheme="minorEastAsia" w:hAnsiTheme="minorEastAsia" w:eastAsiaTheme="minorEastAsia" w:cstheme="minorEastAsia"/>
                <w:color w:val="auto"/>
                <w:kern w:val="0"/>
                <w:sz w:val="24"/>
                <w:szCs w:val="24"/>
                <w:highlight w:val="none"/>
                <w:lang w:val="en-US" w:eastAsia="zh-CN"/>
              </w:rPr>
              <w:t>现行法律规规定的其他情形。</w:t>
            </w:r>
          </w:p>
        </w:tc>
      </w:tr>
      <w:tr w14:paraId="603D02B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320" w:type="dxa"/>
            <w:tcBorders>
              <w:top w:val="single" w:color="auto" w:sz="2" w:space="0"/>
              <w:right w:val="single" w:color="auto" w:sz="2" w:space="0"/>
            </w:tcBorders>
            <w:vAlign w:val="center"/>
          </w:tcPr>
          <w:p w14:paraId="7FD18D58">
            <w:pPr>
              <w:keepNext w:val="0"/>
              <w:keepLines w:val="0"/>
              <w:pageBreakBefore w:val="0"/>
              <w:widowControl w:val="0"/>
              <w:kinsoku w:val="0"/>
              <w:wordWrap w:val="0"/>
              <w:overflowPunct/>
              <w:topLinePunct w:val="0"/>
              <w:bidi w:val="0"/>
              <w:adjustRightInd w:val="0"/>
              <w:snapToGrid w:val="0"/>
              <w:spacing w:line="360" w:lineRule="exact"/>
              <w:jc w:val="center"/>
              <w:textAlignment w:val="auto"/>
              <w:rPr>
                <w:rFonts w:ascii="宋体" w:hAnsi="宋体"/>
                <w:color w:val="auto"/>
                <w:sz w:val="24"/>
                <w:szCs w:val="24"/>
                <w:highlight w:val="none"/>
              </w:rPr>
            </w:pPr>
            <w:r>
              <w:rPr>
                <w:rFonts w:hint="eastAsia" w:ascii="宋体" w:hAnsi="宋体"/>
                <w:color w:val="auto"/>
                <w:sz w:val="24"/>
                <w:szCs w:val="24"/>
                <w:highlight w:val="none"/>
              </w:rPr>
              <w:t>第二节</w:t>
            </w:r>
          </w:p>
          <w:p w14:paraId="5C70FAED">
            <w:pPr>
              <w:keepNext w:val="0"/>
              <w:keepLines w:val="0"/>
              <w:pageBreakBefore w:val="0"/>
              <w:widowControl w:val="0"/>
              <w:kinsoku w:val="0"/>
              <w:wordWrap w:val="0"/>
              <w:overflowPunct/>
              <w:topLinePunct w:val="0"/>
              <w:bidi w:val="0"/>
              <w:adjustRightInd w:val="0"/>
              <w:snapToGrid w:val="0"/>
              <w:spacing w:line="360" w:lineRule="exact"/>
              <w:jc w:val="center"/>
              <w:textAlignment w:val="auto"/>
              <w:rPr>
                <w:rFonts w:ascii="宋体" w:hAnsi="宋体"/>
                <w:color w:val="auto"/>
                <w:sz w:val="24"/>
                <w:szCs w:val="24"/>
                <w:highlight w:val="none"/>
              </w:rPr>
            </w:pPr>
            <w:r>
              <w:rPr>
                <w:rFonts w:hint="eastAsia" w:ascii="宋体" w:hAnsi="宋体"/>
                <w:color w:val="auto"/>
                <w:sz w:val="24"/>
                <w:szCs w:val="24"/>
                <w:highlight w:val="none"/>
              </w:rPr>
              <w:t>第</w:t>
            </w:r>
            <w:r>
              <w:rPr>
                <w:rFonts w:hint="eastAsia" w:ascii="宋体" w:hAnsi="宋体"/>
                <w:color w:val="auto"/>
                <w:sz w:val="24"/>
                <w:szCs w:val="24"/>
                <w:highlight w:val="none"/>
                <w:lang w:val="en-US" w:eastAsia="zh-CN"/>
              </w:rPr>
              <w:t>19</w:t>
            </w:r>
            <w:r>
              <w:rPr>
                <w:rFonts w:hint="eastAsia" w:ascii="宋体" w:hAnsi="宋体"/>
                <w:color w:val="auto"/>
                <w:sz w:val="24"/>
                <w:szCs w:val="24"/>
                <w:highlight w:val="none"/>
              </w:rPr>
              <w:t>.2</w:t>
            </w:r>
            <w:r>
              <w:rPr>
                <w:rFonts w:hint="eastAsia" w:ascii="宋体" w:hAnsi="宋体"/>
                <w:color w:val="auto"/>
                <w:sz w:val="24"/>
                <w:szCs w:val="24"/>
                <w:highlight w:val="none"/>
                <w:lang w:val="en-US" w:eastAsia="zh-CN"/>
              </w:rPr>
              <w:t>款</w:t>
            </w:r>
          </w:p>
        </w:tc>
        <w:tc>
          <w:tcPr>
            <w:tcW w:w="1827" w:type="dxa"/>
            <w:tcBorders>
              <w:top w:val="single" w:color="auto" w:sz="2" w:space="0"/>
              <w:left w:val="single" w:color="auto" w:sz="2" w:space="0"/>
              <w:right w:val="single" w:color="auto" w:sz="2" w:space="0"/>
            </w:tcBorders>
            <w:vAlign w:val="center"/>
          </w:tcPr>
          <w:p w14:paraId="51E71D6D">
            <w:pPr>
              <w:keepNext w:val="0"/>
              <w:keepLines w:val="0"/>
              <w:pageBreakBefore w:val="0"/>
              <w:widowControl w:val="0"/>
              <w:kinsoku w:val="0"/>
              <w:wordWrap w:val="0"/>
              <w:overflowPunct/>
              <w:topLinePunct w:val="0"/>
              <w:bidi w:val="0"/>
              <w:adjustRightInd w:val="0"/>
              <w:snapToGrid w:val="0"/>
              <w:spacing w:line="360" w:lineRule="exact"/>
              <w:jc w:val="left"/>
              <w:textAlignment w:val="auto"/>
              <w:rPr>
                <w:rFonts w:ascii="宋体" w:hAnsi="宋体"/>
                <w:color w:val="auto"/>
                <w:sz w:val="24"/>
                <w:szCs w:val="24"/>
                <w:highlight w:val="none"/>
              </w:rPr>
            </w:pPr>
            <w:r>
              <w:rPr>
                <w:rFonts w:hint="eastAsia" w:ascii="宋体" w:hAnsi="宋体"/>
                <w:color w:val="auto"/>
                <w:sz w:val="24"/>
                <w:szCs w:val="24"/>
                <w:highlight w:val="none"/>
                <w:lang w:val="en-US" w:eastAsia="zh-CN"/>
              </w:rPr>
              <w:t>解决争议的方法</w:t>
            </w:r>
          </w:p>
        </w:tc>
        <w:tc>
          <w:tcPr>
            <w:tcW w:w="5481" w:type="dxa"/>
            <w:tcBorders>
              <w:top w:val="single" w:color="auto" w:sz="2" w:space="0"/>
              <w:left w:val="single" w:color="auto" w:sz="2" w:space="0"/>
            </w:tcBorders>
            <w:vAlign w:val="center"/>
          </w:tcPr>
          <w:p w14:paraId="01E98C31">
            <w:pPr>
              <w:keepNext w:val="0"/>
              <w:keepLines w:val="0"/>
              <w:pageBreakBefore w:val="0"/>
              <w:widowControl w:val="0"/>
              <w:kinsoku w:val="0"/>
              <w:wordWrap w:val="0"/>
              <w:overflowPunct/>
              <w:topLinePunct w:val="0"/>
              <w:autoSpaceDE w:val="0"/>
              <w:autoSpaceDN w:val="0"/>
              <w:bidi w:val="0"/>
              <w:adjustRightInd w:val="0"/>
              <w:snapToGrid w:val="0"/>
              <w:spacing w:line="360" w:lineRule="exact"/>
              <w:jc w:val="left"/>
              <w:textAlignment w:val="auto"/>
              <w:rPr>
                <w:rFonts w:hint="eastAsia" w:ascii="宋体" w:hAnsi="宋体" w:eastAsia="宋体" w:cs="宋体"/>
                <w:b w:val="0"/>
                <w:bCs w:val="0"/>
                <w:iCs/>
                <w:color w:val="auto"/>
                <w:sz w:val="24"/>
                <w:szCs w:val="24"/>
                <w:highlight w:val="none"/>
              </w:rPr>
            </w:pPr>
            <w:r>
              <w:rPr>
                <w:rFonts w:hint="eastAsia" w:ascii="宋体" w:hAnsi="宋体" w:eastAsia="宋体" w:cs="宋体"/>
                <w:b w:val="0"/>
                <w:bCs w:val="0"/>
                <w:iCs/>
                <w:color w:val="auto"/>
                <w:sz w:val="24"/>
                <w:szCs w:val="24"/>
                <w:highlight w:val="none"/>
              </w:rPr>
              <w:t>因本合同及合同有关事项发生的争议，按下列第</w:t>
            </w:r>
            <w:r>
              <w:rPr>
                <w:rFonts w:hint="eastAsia" w:ascii="宋体" w:hAnsi="宋体" w:eastAsia="宋体" w:cs="宋体"/>
                <w:b w:val="0"/>
                <w:bCs w:val="0"/>
                <w:iCs/>
                <w:color w:val="auto"/>
                <w:sz w:val="24"/>
                <w:szCs w:val="24"/>
                <w:highlight w:val="none"/>
                <w:u w:val="single"/>
              </w:rPr>
              <w:t xml:space="preserve"> </w:t>
            </w:r>
            <w:r>
              <w:rPr>
                <w:rFonts w:hint="eastAsia" w:ascii="宋体" w:hAnsi="宋体" w:cs="宋体"/>
                <w:b w:val="0"/>
                <w:bCs w:val="0"/>
                <w:iCs/>
                <w:color w:val="auto"/>
                <w:sz w:val="24"/>
                <w:szCs w:val="24"/>
                <w:highlight w:val="none"/>
                <w:u w:val="single"/>
                <w:lang w:eastAsia="zh-CN"/>
              </w:rPr>
              <w:t>（</w:t>
            </w:r>
            <w:r>
              <w:rPr>
                <w:rFonts w:hint="eastAsia" w:ascii="宋体" w:hAnsi="宋体" w:cs="宋体"/>
                <w:b w:val="0"/>
                <w:bCs w:val="0"/>
                <w:iCs/>
                <w:color w:val="auto"/>
                <w:sz w:val="24"/>
                <w:szCs w:val="24"/>
                <w:highlight w:val="none"/>
                <w:u w:val="single"/>
                <w:lang w:val="en-US" w:eastAsia="zh-CN"/>
              </w:rPr>
              <w:t>2</w:t>
            </w:r>
            <w:r>
              <w:rPr>
                <w:rFonts w:hint="eastAsia" w:ascii="宋体" w:hAnsi="宋体" w:cs="宋体"/>
                <w:b w:val="0"/>
                <w:bCs w:val="0"/>
                <w:iCs/>
                <w:color w:val="auto"/>
                <w:sz w:val="24"/>
                <w:szCs w:val="24"/>
                <w:highlight w:val="none"/>
                <w:u w:val="single"/>
                <w:lang w:eastAsia="zh-CN"/>
              </w:rPr>
              <w:t>）</w:t>
            </w:r>
            <w:r>
              <w:rPr>
                <w:rFonts w:hint="eastAsia" w:ascii="宋体" w:hAnsi="宋体" w:eastAsia="宋体" w:cs="宋体"/>
                <w:b w:val="0"/>
                <w:bCs w:val="0"/>
                <w:iCs/>
                <w:color w:val="auto"/>
                <w:sz w:val="24"/>
                <w:szCs w:val="24"/>
                <w:highlight w:val="none"/>
                <w:u w:val="single"/>
              </w:rPr>
              <w:t xml:space="preserve"> </w:t>
            </w:r>
            <w:r>
              <w:rPr>
                <w:rFonts w:hint="eastAsia" w:ascii="宋体" w:hAnsi="宋体" w:eastAsia="宋体" w:cs="宋体"/>
                <w:b w:val="0"/>
                <w:bCs w:val="0"/>
                <w:iCs/>
                <w:color w:val="auto"/>
                <w:sz w:val="24"/>
                <w:szCs w:val="24"/>
                <w:highlight w:val="none"/>
              </w:rPr>
              <w:t>种方式解决：</w:t>
            </w:r>
          </w:p>
          <w:p w14:paraId="05755573">
            <w:pPr>
              <w:keepNext w:val="0"/>
              <w:keepLines w:val="0"/>
              <w:pageBreakBefore w:val="0"/>
              <w:widowControl w:val="0"/>
              <w:kinsoku w:val="0"/>
              <w:wordWrap w:val="0"/>
              <w:overflowPunct/>
              <w:topLinePunct w:val="0"/>
              <w:autoSpaceDE w:val="0"/>
              <w:autoSpaceDN w:val="0"/>
              <w:bidi w:val="0"/>
              <w:adjustRightInd w:val="0"/>
              <w:snapToGrid w:val="0"/>
              <w:spacing w:line="360" w:lineRule="exact"/>
              <w:jc w:val="left"/>
              <w:textAlignment w:val="auto"/>
              <w:rPr>
                <w:rFonts w:hint="eastAsia" w:ascii="宋体" w:hAnsi="宋体" w:eastAsia="宋体" w:cs="宋体"/>
                <w:b w:val="0"/>
                <w:bCs w:val="0"/>
                <w:iCs/>
                <w:color w:val="auto"/>
                <w:sz w:val="24"/>
                <w:szCs w:val="24"/>
                <w:highlight w:val="none"/>
              </w:rPr>
            </w:pPr>
            <w:r>
              <w:rPr>
                <w:rFonts w:hint="eastAsia" w:ascii="宋体" w:hAnsi="宋体" w:eastAsia="宋体" w:cs="宋体"/>
                <w:b w:val="0"/>
                <w:bCs w:val="0"/>
                <w:iCs/>
                <w:color w:val="auto"/>
                <w:sz w:val="24"/>
                <w:szCs w:val="24"/>
                <w:highlight w:val="none"/>
              </w:rPr>
              <w:t>（1）向</w:t>
            </w:r>
            <w:r>
              <w:rPr>
                <w:rFonts w:hint="eastAsia" w:ascii="宋体" w:hAnsi="宋体" w:eastAsia="宋体" w:cs="宋体"/>
                <w:b w:val="0"/>
                <w:bCs w:val="0"/>
                <w:iCs/>
                <w:color w:val="auto"/>
                <w:sz w:val="24"/>
                <w:szCs w:val="24"/>
                <w:highlight w:val="none"/>
                <w:u w:val="single"/>
              </w:rPr>
              <w:t xml:space="preserve">    </w:t>
            </w:r>
            <w:r>
              <w:rPr>
                <w:rFonts w:hint="eastAsia" w:ascii="宋体" w:hAnsi="宋体" w:eastAsia="宋体" w:cs="宋体"/>
                <w:b w:val="0"/>
                <w:bCs w:val="0"/>
                <w:iCs/>
                <w:color w:val="auto"/>
                <w:sz w:val="24"/>
                <w:szCs w:val="24"/>
                <w:highlight w:val="none"/>
              </w:rPr>
              <w:t>仲裁委员会申请仲裁，仲裁地点为</w:t>
            </w:r>
            <w:r>
              <w:rPr>
                <w:rFonts w:hint="eastAsia" w:ascii="宋体" w:hAnsi="宋体" w:eastAsia="宋体" w:cs="宋体"/>
                <w:b w:val="0"/>
                <w:bCs w:val="0"/>
                <w:iCs/>
                <w:color w:val="auto"/>
                <w:sz w:val="24"/>
                <w:szCs w:val="24"/>
                <w:highlight w:val="none"/>
                <w:u w:val="single"/>
              </w:rPr>
              <w:t xml:space="preserve">     </w:t>
            </w:r>
            <w:r>
              <w:rPr>
                <w:rFonts w:hint="eastAsia" w:ascii="宋体" w:hAnsi="宋体" w:eastAsia="宋体" w:cs="宋体"/>
                <w:b w:val="0"/>
                <w:bCs w:val="0"/>
                <w:iCs/>
                <w:color w:val="auto"/>
                <w:sz w:val="24"/>
                <w:szCs w:val="24"/>
                <w:highlight w:val="none"/>
              </w:rPr>
              <w:t>；</w:t>
            </w:r>
          </w:p>
          <w:p w14:paraId="446467E9">
            <w:pPr>
              <w:keepNext w:val="0"/>
              <w:keepLines w:val="0"/>
              <w:pageBreakBefore w:val="0"/>
              <w:widowControl w:val="0"/>
              <w:kinsoku w:val="0"/>
              <w:wordWrap w:val="0"/>
              <w:overflowPunct/>
              <w:topLinePunct w:val="0"/>
              <w:bidi w:val="0"/>
              <w:adjustRightInd w:val="0"/>
              <w:snapToGrid w:val="0"/>
              <w:spacing w:line="360" w:lineRule="exact"/>
              <w:ind w:firstLine="0" w:firstLineChars="0"/>
              <w:jc w:val="left"/>
              <w:textAlignment w:val="auto"/>
              <w:rPr>
                <w:rFonts w:ascii="宋体" w:hAnsi="宋体"/>
                <w:color w:val="auto"/>
                <w:sz w:val="24"/>
                <w:szCs w:val="24"/>
                <w:highlight w:val="none"/>
                <w:u w:val="single"/>
              </w:rPr>
            </w:pPr>
            <w:r>
              <w:rPr>
                <w:rFonts w:hint="eastAsia" w:ascii="宋体" w:hAnsi="宋体" w:eastAsia="宋体" w:cs="宋体"/>
                <w:b w:val="0"/>
                <w:bCs w:val="0"/>
                <w:iCs/>
                <w:color w:val="auto"/>
                <w:sz w:val="24"/>
                <w:szCs w:val="24"/>
                <w:highlight w:val="none"/>
              </w:rPr>
              <w:t>（2）向</w:t>
            </w:r>
            <w:r>
              <w:rPr>
                <w:rFonts w:hint="eastAsia" w:ascii="宋体" w:hAnsi="宋体" w:eastAsia="宋体" w:cs="宋体"/>
                <w:b w:val="0"/>
                <w:bCs w:val="0"/>
                <w:iCs/>
                <w:color w:val="auto"/>
                <w:sz w:val="24"/>
                <w:szCs w:val="24"/>
                <w:highlight w:val="none"/>
                <w:u w:val="single"/>
              </w:rPr>
              <w:t xml:space="preserve"> </w:t>
            </w:r>
            <w:r>
              <w:rPr>
                <w:rFonts w:hint="eastAsia" w:ascii="宋体" w:hAnsi="宋体" w:cs="宋体"/>
                <w:b w:val="0"/>
                <w:bCs w:val="0"/>
                <w:iCs/>
                <w:color w:val="auto"/>
                <w:sz w:val="24"/>
                <w:szCs w:val="24"/>
                <w:highlight w:val="none"/>
                <w:u w:val="single"/>
                <w:lang w:val="en-US" w:eastAsia="zh-CN"/>
              </w:rPr>
              <w:t>甲方所在地</w:t>
            </w:r>
            <w:r>
              <w:rPr>
                <w:rFonts w:hint="eastAsia" w:ascii="宋体" w:hAnsi="宋体" w:eastAsia="宋体" w:cs="宋体"/>
                <w:b w:val="0"/>
                <w:bCs w:val="0"/>
                <w:iCs/>
                <w:color w:val="auto"/>
                <w:sz w:val="24"/>
                <w:szCs w:val="24"/>
                <w:highlight w:val="none"/>
                <w:u w:val="single"/>
              </w:rPr>
              <w:t xml:space="preserve"> </w:t>
            </w:r>
            <w:r>
              <w:rPr>
                <w:rFonts w:hint="eastAsia" w:ascii="宋体" w:hAnsi="宋体" w:eastAsia="宋体" w:cs="宋体"/>
                <w:b w:val="0"/>
                <w:bCs w:val="0"/>
                <w:iCs/>
                <w:color w:val="auto"/>
                <w:sz w:val="24"/>
                <w:szCs w:val="24"/>
                <w:highlight w:val="none"/>
              </w:rPr>
              <w:t>人民法院起诉。</w:t>
            </w:r>
          </w:p>
        </w:tc>
      </w:tr>
      <w:tr w14:paraId="06EDA4B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trPr>
        <w:tc>
          <w:tcPr>
            <w:tcW w:w="1320" w:type="dxa"/>
            <w:vAlign w:val="center"/>
          </w:tcPr>
          <w:p w14:paraId="25B256BD">
            <w:pPr>
              <w:keepNext w:val="0"/>
              <w:keepLines w:val="0"/>
              <w:pageBreakBefore w:val="0"/>
              <w:widowControl w:val="0"/>
              <w:kinsoku w:val="0"/>
              <w:wordWrap w:val="0"/>
              <w:overflowPunct/>
              <w:topLinePunct w:val="0"/>
              <w:bidi w:val="0"/>
              <w:adjustRightInd w:val="0"/>
              <w:snapToGrid w:val="0"/>
              <w:spacing w:line="360" w:lineRule="exact"/>
              <w:jc w:val="center"/>
              <w:textAlignment w:val="auto"/>
              <w:rPr>
                <w:rFonts w:ascii="宋体" w:hAnsi="宋体"/>
                <w:color w:val="auto"/>
                <w:sz w:val="24"/>
                <w:szCs w:val="24"/>
                <w:highlight w:val="none"/>
              </w:rPr>
            </w:pPr>
            <w:r>
              <w:rPr>
                <w:rFonts w:hint="eastAsia" w:ascii="宋体" w:hAnsi="宋体"/>
                <w:color w:val="auto"/>
                <w:sz w:val="24"/>
                <w:szCs w:val="24"/>
                <w:highlight w:val="none"/>
              </w:rPr>
              <w:t>第二节</w:t>
            </w:r>
          </w:p>
          <w:p w14:paraId="5FD7E108">
            <w:pPr>
              <w:keepNext w:val="0"/>
              <w:keepLines w:val="0"/>
              <w:pageBreakBefore w:val="0"/>
              <w:widowControl w:val="0"/>
              <w:kinsoku w:val="0"/>
              <w:wordWrap w:val="0"/>
              <w:overflowPunct/>
              <w:topLinePunct w:val="0"/>
              <w:bidi w:val="0"/>
              <w:adjustRightInd w:val="0"/>
              <w:snapToGrid w:val="0"/>
              <w:spacing w:line="360" w:lineRule="exact"/>
              <w:jc w:val="center"/>
              <w:textAlignment w:val="auto"/>
              <w:rPr>
                <w:rFonts w:ascii="宋体" w:hAnsi="宋体"/>
                <w:color w:val="auto"/>
                <w:sz w:val="24"/>
                <w:szCs w:val="24"/>
                <w:highlight w:val="none"/>
              </w:rPr>
            </w:pPr>
            <w:r>
              <w:rPr>
                <w:rFonts w:hint="eastAsia" w:ascii="宋体" w:hAnsi="宋体"/>
                <w:color w:val="auto"/>
                <w:sz w:val="24"/>
                <w:szCs w:val="24"/>
                <w:highlight w:val="none"/>
              </w:rPr>
              <w:t>第2</w:t>
            </w:r>
            <w:r>
              <w:rPr>
                <w:rFonts w:hint="eastAsia" w:ascii="宋体" w:hAnsi="宋体"/>
                <w:color w:val="auto"/>
                <w:sz w:val="24"/>
                <w:szCs w:val="24"/>
                <w:highlight w:val="none"/>
                <w:lang w:val="en-US" w:eastAsia="zh-CN"/>
              </w:rPr>
              <w:t>3.1</w:t>
            </w:r>
            <w:r>
              <w:rPr>
                <w:rFonts w:hint="eastAsia" w:ascii="宋体" w:hAnsi="宋体"/>
                <w:color w:val="auto"/>
                <w:sz w:val="24"/>
                <w:szCs w:val="24"/>
                <w:highlight w:val="none"/>
                <w:lang w:eastAsia="zh-CN"/>
              </w:rPr>
              <w:t>款</w:t>
            </w:r>
          </w:p>
        </w:tc>
        <w:tc>
          <w:tcPr>
            <w:tcW w:w="1827" w:type="dxa"/>
            <w:vAlign w:val="center"/>
          </w:tcPr>
          <w:p w14:paraId="0B4AF901">
            <w:pPr>
              <w:keepNext w:val="0"/>
              <w:keepLines w:val="0"/>
              <w:pageBreakBefore w:val="0"/>
              <w:widowControl w:val="0"/>
              <w:kinsoku w:val="0"/>
              <w:wordWrap w:val="0"/>
              <w:overflowPunct/>
              <w:topLinePunct w:val="0"/>
              <w:bidi w:val="0"/>
              <w:adjustRightInd w:val="0"/>
              <w:snapToGrid w:val="0"/>
              <w:spacing w:line="360" w:lineRule="exact"/>
              <w:jc w:val="left"/>
              <w:textAlignment w:val="auto"/>
              <w:rPr>
                <w:rFonts w:ascii="宋体" w:hAnsi="宋体"/>
                <w:color w:val="auto"/>
                <w:sz w:val="24"/>
                <w:szCs w:val="24"/>
                <w:highlight w:val="none"/>
              </w:rPr>
            </w:pPr>
            <w:r>
              <w:rPr>
                <w:rFonts w:hint="eastAsia" w:ascii="宋体" w:hAnsi="宋体"/>
                <w:bCs/>
                <w:color w:val="auto"/>
                <w:sz w:val="24"/>
                <w:szCs w:val="24"/>
                <w:highlight w:val="none"/>
                <w:lang w:eastAsia="zh-CN"/>
              </w:rPr>
              <w:t>其他专用条款</w:t>
            </w:r>
          </w:p>
        </w:tc>
        <w:tc>
          <w:tcPr>
            <w:tcW w:w="5481" w:type="dxa"/>
            <w:shd w:val="clear" w:color="auto" w:fill="auto"/>
            <w:vAlign w:val="center"/>
          </w:tcPr>
          <w:p w14:paraId="23FF32A1">
            <w:pPr>
              <w:keepNext w:val="0"/>
              <w:keepLines w:val="0"/>
              <w:pageBreakBefore w:val="0"/>
              <w:widowControl w:val="0"/>
              <w:kinsoku w:val="0"/>
              <w:wordWrap w:val="0"/>
              <w:overflowPunct/>
              <w:topLinePunct w:val="0"/>
              <w:bidi w:val="0"/>
              <w:adjustRightInd w:val="0"/>
              <w:snapToGrid w:val="0"/>
              <w:spacing w:line="360" w:lineRule="exact"/>
              <w:jc w:val="left"/>
              <w:textAlignment w:val="auto"/>
              <w:rPr>
                <w:rFonts w:hint="default" w:ascii="宋体" w:hAnsi="宋体" w:eastAsia="宋体" w:cs="Times New Roman"/>
                <w:color w:val="auto"/>
                <w:kern w:val="2"/>
                <w:sz w:val="24"/>
                <w:szCs w:val="24"/>
                <w:highlight w:val="none"/>
                <w:lang w:val="en-US" w:eastAsia="zh-CN" w:bidi="ar-SA"/>
              </w:rPr>
            </w:pPr>
            <w:r>
              <w:rPr>
                <w:rFonts w:hint="eastAsia" w:ascii="宋体" w:hAnsi="宋体"/>
                <w:color w:val="auto"/>
                <w:sz w:val="24"/>
                <w:szCs w:val="24"/>
                <w:highlight w:val="none"/>
                <w:lang w:val="en-US" w:eastAsia="zh-CN"/>
              </w:rPr>
              <w:t>本合同价</w:t>
            </w:r>
            <w:r>
              <w:rPr>
                <w:rFonts w:hint="default" w:ascii="宋体" w:hAnsi="宋体" w:eastAsia="宋体"/>
                <w:color w:val="auto"/>
                <w:sz w:val="24"/>
                <w:szCs w:val="24"/>
                <w:highlight w:val="none"/>
                <w:lang w:val="en-US" w:eastAsia="zh-CN"/>
              </w:rPr>
              <w:t>为完成本次采购所需的全部费用，包括但不限于设备自生产（或采购）至安装调试验收合格、培训、售后服务等的全部费用，包括但不限于生产（或采购）、商检（如涉及）、包装、运输（含二次运输）、装卸、保管、安装调试、检验、验收、测试、</w:t>
            </w:r>
            <w:r>
              <w:rPr>
                <w:rFonts w:hint="eastAsia" w:ascii="宋体" w:hAnsi="宋体"/>
                <w:color w:val="auto"/>
                <w:sz w:val="24"/>
                <w:szCs w:val="24"/>
                <w:highlight w:val="none"/>
                <w:lang w:val="en-US" w:eastAsia="zh-CN"/>
              </w:rPr>
              <w:t>保修、维护保养、备品备件、</w:t>
            </w:r>
            <w:r>
              <w:rPr>
                <w:rFonts w:hint="default" w:ascii="宋体" w:hAnsi="宋体" w:eastAsia="宋体"/>
                <w:color w:val="auto"/>
                <w:sz w:val="24"/>
                <w:szCs w:val="24"/>
                <w:highlight w:val="none"/>
                <w:lang w:val="en-US" w:eastAsia="zh-CN"/>
              </w:rPr>
              <w:t>技术培训、售后服务、保险费、管理费、税费等全部费用；投标报价应充分考虑市场风险、价格风险、政策风险、汇率风险等所有因素。</w:t>
            </w:r>
          </w:p>
        </w:tc>
      </w:tr>
    </w:tbl>
    <w:p w14:paraId="46F19B9B">
      <w:pPr>
        <w:keepNext w:val="0"/>
        <w:keepLines w:val="0"/>
        <w:pageBreakBefore w:val="0"/>
        <w:widowControl w:val="0"/>
        <w:kinsoku w:val="0"/>
        <w:wordWrap w:val="0"/>
        <w:bidi w:val="0"/>
        <w:textAlignment w:val="auto"/>
        <w:rPr>
          <w:rFonts w:hint="eastAsia"/>
          <w:color w:val="auto"/>
          <w:highlight w:val="none"/>
        </w:rPr>
      </w:pPr>
    </w:p>
    <w:p w14:paraId="15D78C8A">
      <w:pPr>
        <w:keepNext w:val="0"/>
        <w:keepLines w:val="0"/>
        <w:pageBreakBefore w:val="0"/>
        <w:widowControl w:val="0"/>
        <w:kinsoku w:val="0"/>
        <w:wordWrap w:val="0"/>
        <w:bidi w:val="0"/>
        <w:textAlignment w:val="auto"/>
        <w:rPr>
          <w:rFonts w:hint="eastAsia"/>
          <w:color w:val="auto"/>
          <w:highlight w:val="none"/>
        </w:rPr>
      </w:pPr>
    </w:p>
    <w:p w14:paraId="1BC7DA6C">
      <w:pPr>
        <w:pStyle w:val="2"/>
        <w:keepNext w:val="0"/>
        <w:keepLines w:val="0"/>
        <w:pageBreakBefore w:val="0"/>
        <w:widowControl w:val="0"/>
        <w:shd w:val="clear" w:color="auto" w:fill="auto"/>
        <w:tabs>
          <w:tab w:val="left" w:pos="360"/>
        </w:tabs>
        <w:kinsoku w:val="0"/>
        <w:wordWrap w:val="0"/>
        <w:bidi w:val="0"/>
        <w:jc w:val="center"/>
        <w:textAlignment w:val="auto"/>
        <w:rPr>
          <w:rFonts w:hint="eastAsia" w:asciiTheme="minorEastAsia" w:hAnsiTheme="minorEastAsia" w:eastAsiaTheme="minorEastAsia" w:cstheme="minorEastAsia"/>
          <w:color w:val="auto"/>
          <w:sz w:val="32"/>
          <w:szCs w:val="32"/>
          <w:highlight w:val="none"/>
        </w:rPr>
        <w:sectPr>
          <w:headerReference r:id="rId13" w:type="default"/>
          <w:footerReference r:id="rId14" w:type="default"/>
          <w:pgSz w:w="11906" w:h="16838"/>
          <w:pgMar w:top="1361" w:right="1361" w:bottom="1361" w:left="1361" w:header="850" w:footer="992" w:gutter="0"/>
          <w:pgNumType w:fmt="decimal"/>
          <w:cols w:space="0" w:num="1"/>
          <w:rtlGutter w:val="0"/>
          <w:docGrid w:type="lines" w:linePitch="314" w:charSpace="0"/>
        </w:sectPr>
      </w:pPr>
    </w:p>
    <w:p w14:paraId="3CFFA3E6">
      <w:pPr>
        <w:pStyle w:val="2"/>
        <w:keepNext w:val="0"/>
        <w:keepLines w:val="0"/>
        <w:pageBreakBefore w:val="0"/>
        <w:widowControl w:val="0"/>
        <w:shd w:val="clear" w:color="auto" w:fill="auto"/>
        <w:tabs>
          <w:tab w:val="left" w:pos="360"/>
        </w:tabs>
        <w:kinsoku w:val="0"/>
        <w:wordWrap w:val="0"/>
        <w:bidi w:val="0"/>
        <w:jc w:val="center"/>
        <w:textAlignment w:val="auto"/>
        <w:rPr>
          <w:rFonts w:hint="eastAsia" w:asciiTheme="minorEastAsia" w:hAnsiTheme="minorEastAsia" w:eastAsiaTheme="minorEastAsia" w:cstheme="minorEastAsia"/>
          <w:color w:val="auto"/>
          <w:sz w:val="36"/>
          <w:szCs w:val="36"/>
          <w:highlight w:val="none"/>
        </w:rPr>
      </w:pPr>
      <w:bookmarkStart w:id="92" w:name="_Toc6559"/>
      <w:r>
        <w:rPr>
          <w:rFonts w:hint="eastAsia" w:asciiTheme="minorEastAsia" w:hAnsiTheme="minorEastAsia" w:eastAsiaTheme="minorEastAsia" w:cstheme="minorEastAsia"/>
          <w:color w:val="auto"/>
          <w:sz w:val="32"/>
          <w:szCs w:val="32"/>
          <w:highlight w:val="none"/>
        </w:rPr>
        <w:t>第</w:t>
      </w:r>
      <w:r>
        <w:rPr>
          <w:rFonts w:hint="eastAsia" w:asciiTheme="minorEastAsia" w:hAnsiTheme="minorEastAsia" w:eastAsiaTheme="minorEastAsia" w:cstheme="minorEastAsia"/>
          <w:color w:val="auto"/>
          <w:sz w:val="32"/>
          <w:szCs w:val="32"/>
          <w:highlight w:val="none"/>
          <w:lang w:val="en-US" w:eastAsia="zh-CN"/>
        </w:rPr>
        <w:t>七</w:t>
      </w:r>
      <w:r>
        <w:rPr>
          <w:rFonts w:hint="eastAsia" w:asciiTheme="minorEastAsia" w:hAnsiTheme="minorEastAsia" w:eastAsiaTheme="minorEastAsia" w:cstheme="minorEastAsia"/>
          <w:color w:val="auto"/>
          <w:sz w:val="32"/>
          <w:szCs w:val="32"/>
          <w:highlight w:val="none"/>
        </w:rPr>
        <w:t>章 投标文件格式</w:t>
      </w:r>
      <w:bookmarkEnd w:id="92"/>
    </w:p>
    <w:p w14:paraId="6BABF761">
      <w:pPr>
        <w:pStyle w:val="11"/>
        <w:keepNext w:val="0"/>
        <w:keepLines w:val="0"/>
        <w:pageBreakBefore w:val="0"/>
        <w:widowControl w:val="0"/>
        <w:shd w:val="clear" w:color="auto" w:fill="auto"/>
        <w:kinsoku w:val="0"/>
        <w:wordWrap w:val="0"/>
        <w:bidi w:val="0"/>
        <w:spacing w:line="500" w:lineRule="exact"/>
        <w:ind w:firstLine="1564" w:firstLineChars="745"/>
        <w:textAlignment w:val="auto"/>
        <w:rPr>
          <w:rFonts w:hint="eastAsia" w:asciiTheme="minorEastAsia" w:hAnsiTheme="minorEastAsia" w:eastAsiaTheme="minorEastAsia" w:cstheme="minorEastAsia"/>
          <w:color w:val="auto"/>
          <w:highlight w:val="none"/>
        </w:rPr>
      </w:pPr>
    </w:p>
    <w:p w14:paraId="1974B8CA">
      <w:pPr>
        <w:pStyle w:val="11"/>
        <w:keepNext w:val="0"/>
        <w:keepLines w:val="0"/>
        <w:pageBreakBefore w:val="0"/>
        <w:widowControl w:val="0"/>
        <w:shd w:val="clear" w:color="auto" w:fill="auto"/>
        <w:kinsoku w:val="0"/>
        <w:wordWrap w:val="0"/>
        <w:bidi w:val="0"/>
        <w:spacing w:line="360" w:lineRule="auto"/>
        <w:jc w:val="center"/>
        <w:textAlignment w:val="auto"/>
        <w:rPr>
          <w:rFonts w:hint="eastAsia" w:asciiTheme="minorEastAsia" w:hAnsiTheme="minorEastAsia" w:eastAsiaTheme="minorEastAsia" w:cstheme="minorEastAsia"/>
          <w:b/>
          <w:color w:val="auto"/>
          <w:kern w:val="0"/>
          <w:sz w:val="32"/>
          <w:szCs w:val="32"/>
          <w:highlight w:val="none"/>
          <w:lang w:eastAsia="zh-CN"/>
        </w:rPr>
      </w:pPr>
      <w:r>
        <w:rPr>
          <w:rFonts w:hint="eastAsia" w:asciiTheme="minorEastAsia" w:hAnsiTheme="minorEastAsia" w:eastAsiaTheme="minorEastAsia" w:cstheme="minorEastAsia"/>
          <w:b/>
          <w:color w:val="auto"/>
          <w:kern w:val="0"/>
          <w:sz w:val="32"/>
          <w:szCs w:val="32"/>
          <w:highlight w:val="none"/>
          <w:lang w:eastAsia="zh-CN"/>
        </w:rPr>
        <w:t>文笔小学功能室、食堂及信息化设备采购</w:t>
      </w:r>
    </w:p>
    <w:p w14:paraId="1BF13031">
      <w:pPr>
        <w:pStyle w:val="11"/>
        <w:keepNext w:val="0"/>
        <w:keepLines w:val="0"/>
        <w:pageBreakBefore w:val="0"/>
        <w:widowControl w:val="0"/>
        <w:shd w:val="clear" w:color="auto" w:fill="auto"/>
        <w:kinsoku w:val="0"/>
        <w:wordWrap w:val="0"/>
        <w:bidi w:val="0"/>
        <w:spacing w:line="500" w:lineRule="exact"/>
        <w:textAlignment w:val="auto"/>
        <w:rPr>
          <w:rFonts w:hint="eastAsia" w:asciiTheme="minorEastAsia" w:hAnsiTheme="minorEastAsia" w:eastAsiaTheme="minorEastAsia" w:cstheme="minorEastAsia"/>
          <w:b/>
          <w:color w:val="auto"/>
          <w:sz w:val="32"/>
          <w:highlight w:val="none"/>
        </w:rPr>
      </w:pPr>
    </w:p>
    <w:p w14:paraId="7AB8D557">
      <w:pPr>
        <w:pStyle w:val="11"/>
        <w:keepNext w:val="0"/>
        <w:keepLines w:val="0"/>
        <w:pageBreakBefore w:val="0"/>
        <w:widowControl w:val="0"/>
        <w:shd w:val="clear" w:color="auto" w:fill="auto"/>
        <w:kinsoku w:val="0"/>
        <w:wordWrap w:val="0"/>
        <w:bidi w:val="0"/>
        <w:spacing w:line="500" w:lineRule="exact"/>
        <w:jc w:val="center"/>
        <w:textAlignment w:val="auto"/>
        <w:rPr>
          <w:rFonts w:hint="eastAsia" w:asciiTheme="minorEastAsia" w:hAnsiTheme="minorEastAsia" w:eastAsiaTheme="minorEastAsia" w:cstheme="minorEastAsia"/>
          <w:b/>
          <w:color w:val="auto"/>
          <w:sz w:val="32"/>
          <w:highlight w:val="none"/>
        </w:rPr>
      </w:pPr>
    </w:p>
    <w:p w14:paraId="261893E3">
      <w:pPr>
        <w:pStyle w:val="11"/>
        <w:keepNext w:val="0"/>
        <w:keepLines w:val="0"/>
        <w:pageBreakBefore w:val="0"/>
        <w:widowControl w:val="0"/>
        <w:shd w:val="clear" w:color="auto" w:fill="auto"/>
        <w:kinsoku w:val="0"/>
        <w:wordWrap w:val="0"/>
        <w:bidi w:val="0"/>
        <w:spacing w:line="500" w:lineRule="exact"/>
        <w:jc w:val="center"/>
        <w:textAlignment w:val="auto"/>
        <w:rPr>
          <w:rFonts w:hint="eastAsia" w:asciiTheme="minorEastAsia" w:hAnsiTheme="minorEastAsia" w:eastAsiaTheme="minorEastAsia" w:cstheme="minorEastAsia"/>
          <w:b/>
          <w:color w:val="auto"/>
          <w:sz w:val="32"/>
          <w:highlight w:val="none"/>
        </w:rPr>
      </w:pPr>
    </w:p>
    <w:p w14:paraId="100951E2">
      <w:pPr>
        <w:pStyle w:val="11"/>
        <w:keepNext w:val="0"/>
        <w:keepLines w:val="0"/>
        <w:pageBreakBefore w:val="0"/>
        <w:widowControl w:val="0"/>
        <w:shd w:val="clear" w:color="auto" w:fill="auto"/>
        <w:kinsoku w:val="0"/>
        <w:wordWrap w:val="0"/>
        <w:bidi w:val="0"/>
        <w:spacing w:line="500" w:lineRule="exact"/>
        <w:textAlignment w:val="auto"/>
        <w:rPr>
          <w:rFonts w:hint="eastAsia" w:asciiTheme="minorEastAsia" w:hAnsiTheme="minorEastAsia" w:eastAsiaTheme="minorEastAsia" w:cstheme="minorEastAsia"/>
          <w:b/>
          <w:color w:val="auto"/>
          <w:sz w:val="32"/>
          <w:highlight w:val="none"/>
        </w:rPr>
      </w:pPr>
    </w:p>
    <w:p w14:paraId="28454F9D">
      <w:pPr>
        <w:pStyle w:val="11"/>
        <w:keepNext w:val="0"/>
        <w:keepLines w:val="0"/>
        <w:pageBreakBefore w:val="0"/>
        <w:widowControl w:val="0"/>
        <w:shd w:val="clear" w:color="auto" w:fill="auto"/>
        <w:kinsoku w:val="0"/>
        <w:wordWrap w:val="0"/>
        <w:bidi w:val="0"/>
        <w:spacing w:line="500" w:lineRule="exact"/>
        <w:jc w:val="center"/>
        <w:textAlignment w:val="auto"/>
        <w:rPr>
          <w:rFonts w:hint="eastAsia" w:asciiTheme="minorEastAsia" w:hAnsiTheme="minorEastAsia" w:eastAsiaTheme="minorEastAsia" w:cstheme="minorEastAsia"/>
          <w:b/>
          <w:color w:val="auto"/>
          <w:sz w:val="32"/>
          <w:highlight w:val="none"/>
        </w:rPr>
      </w:pPr>
    </w:p>
    <w:p w14:paraId="56ADD19B">
      <w:pPr>
        <w:pStyle w:val="11"/>
        <w:keepNext w:val="0"/>
        <w:keepLines w:val="0"/>
        <w:pageBreakBefore w:val="0"/>
        <w:widowControl w:val="0"/>
        <w:shd w:val="clear" w:color="auto" w:fill="auto"/>
        <w:kinsoku w:val="0"/>
        <w:wordWrap w:val="0"/>
        <w:bidi w:val="0"/>
        <w:spacing w:line="500" w:lineRule="exact"/>
        <w:jc w:val="center"/>
        <w:textAlignment w:val="auto"/>
        <w:rPr>
          <w:rFonts w:hint="eastAsia" w:asciiTheme="minorEastAsia" w:hAnsiTheme="minorEastAsia" w:eastAsiaTheme="minorEastAsia" w:cstheme="minorEastAsia"/>
          <w:b/>
          <w:color w:val="auto"/>
          <w:sz w:val="32"/>
          <w:highlight w:val="none"/>
        </w:rPr>
      </w:pPr>
    </w:p>
    <w:p w14:paraId="562C9B02">
      <w:pPr>
        <w:pStyle w:val="11"/>
        <w:keepNext w:val="0"/>
        <w:keepLines w:val="0"/>
        <w:pageBreakBefore w:val="0"/>
        <w:widowControl w:val="0"/>
        <w:shd w:val="clear" w:color="auto" w:fill="auto"/>
        <w:kinsoku w:val="0"/>
        <w:wordWrap w:val="0"/>
        <w:bidi w:val="0"/>
        <w:spacing w:line="500" w:lineRule="exact"/>
        <w:jc w:val="center"/>
        <w:textAlignment w:val="auto"/>
        <w:rPr>
          <w:rFonts w:hint="eastAsia" w:asciiTheme="minorEastAsia" w:hAnsiTheme="minorEastAsia" w:eastAsiaTheme="minorEastAsia" w:cstheme="minorEastAsia"/>
          <w:b/>
          <w:color w:val="auto"/>
          <w:sz w:val="32"/>
          <w:highlight w:val="none"/>
        </w:rPr>
      </w:pPr>
    </w:p>
    <w:p w14:paraId="2D972985">
      <w:pPr>
        <w:pStyle w:val="11"/>
        <w:keepNext w:val="0"/>
        <w:keepLines w:val="0"/>
        <w:pageBreakBefore w:val="0"/>
        <w:widowControl w:val="0"/>
        <w:shd w:val="clear" w:color="auto" w:fill="auto"/>
        <w:kinsoku w:val="0"/>
        <w:wordWrap w:val="0"/>
        <w:bidi w:val="0"/>
        <w:spacing w:line="500" w:lineRule="exact"/>
        <w:jc w:val="center"/>
        <w:textAlignment w:val="auto"/>
        <w:rPr>
          <w:rFonts w:hint="eastAsia" w:asciiTheme="minorEastAsia" w:hAnsiTheme="minorEastAsia" w:eastAsiaTheme="minorEastAsia" w:cstheme="minorEastAsia"/>
          <w:b/>
          <w:color w:val="auto"/>
          <w:sz w:val="32"/>
          <w:highlight w:val="none"/>
        </w:rPr>
      </w:pPr>
    </w:p>
    <w:p w14:paraId="7358AB32">
      <w:pPr>
        <w:pStyle w:val="11"/>
        <w:keepNext w:val="0"/>
        <w:keepLines w:val="0"/>
        <w:pageBreakBefore w:val="0"/>
        <w:widowControl w:val="0"/>
        <w:shd w:val="clear" w:color="auto" w:fill="auto"/>
        <w:kinsoku w:val="0"/>
        <w:wordWrap w:val="0"/>
        <w:bidi w:val="0"/>
        <w:spacing w:line="780" w:lineRule="exact"/>
        <w:jc w:val="center"/>
        <w:textAlignment w:val="auto"/>
        <w:rPr>
          <w:rFonts w:hint="eastAsia" w:asciiTheme="minorEastAsia" w:hAnsiTheme="minorEastAsia" w:eastAsiaTheme="minorEastAsia" w:cstheme="minorEastAsia"/>
          <w:b/>
          <w:color w:val="auto"/>
          <w:sz w:val="48"/>
          <w:highlight w:val="none"/>
        </w:rPr>
      </w:pPr>
      <w:r>
        <w:rPr>
          <w:rFonts w:hint="eastAsia" w:asciiTheme="minorEastAsia" w:hAnsiTheme="minorEastAsia" w:eastAsiaTheme="minorEastAsia" w:cstheme="minorEastAsia"/>
          <w:b/>
          <w:color w:val="auto"/>
          <w:sz w:val="48"/>
          <w:highlight w:val="none"/>
        </w:rPr>
        <w:t>投  标  文  件</w:t>
      </w:r>
    </w:p>
    <w:p w14:paraId="31AAF446">
      <w:pPr>
        <w:pStyle w:val="11"/>
        <w:keepNext w:val="0"/>
        <w:keepLines w:val="0"/>
        <w:pageBreakBefore w:val="0"/>
        <w:widowControl w:val="0"/>
        <w:shd w:val="clear" w:color="auto" w:fill="auto"/>
        <w:kinsoku w:val="0"/>
        <w:wordWrap w:val="0"/>
        <w:bidi w:val="0"/>
        <w:spacing w:line="500" w:lineRule="exact"/>
        <w:jc w:val="center"/>
        <w:textAlignment w:val="auto"/>
        <w:rPr>
          <w:rFonts w:hint="eastAsia" w:asciiTheme="minorEastAsia" w:hAnsiTheme="minorEastAsia" w:eastAsiaTheme="minorEastAsia" w:cstheme="minorEastAsia"/>
          <w:b/>
          <w:color w:val="auto"/>
          <w:sz w:val="72"/>
          <w:highlight w:val="none"/>
        </w:rPr>
      </w:pPr>
    </w:p>
    <w:p w14:paraId="54220B05">
      <w:pPr>
        <w:pStyle w:val="11"/>
        <w:keepNext w:val="0"/>
        <w:keepLines w:val="0"/>
        <w:pageBreakBefore w:val="0"/>
        <w:widowControl w:val="0"/>
        <w:shd w:val="clear" w:color="auto" w:fill="auto"/>
        <w:kinsoku w:val="0"/>
        <w:wordWrap w:val="0"/>
        <w:bidi w:val="0"/>
        <w:spacing w:line="500" w:lineRule="exact"/>
        <w:jc w:val="center"/>
        <w:textAlignment w:val="auto"/>
        <w:rPr>
          <w:rFonts w:hint="eastAsia" w:asciiTheme="minorEastAsia" w:hAnsiTheme="minorEastAsia" w:eastAsiaTheme="minorEastAsia" w:cstheme="minorEastAsia"/>
          <w:b/>
          <w:color w:val="auto"/>
          <w:sz w:val="72"/>
          <w:highlight w:val="none"/>
        </w:rPr>
      </w:pPr>
    </w:p>
    <w:p w14:paraId="3ACC9967">
      <w:pPr>
        <w:pStyle w:val="11"/>
        <w:keepNext w:val="0"/>
        <w:keepLines w:val="0"/>
        <w:pageBreakBefore w:val="0"/>
        <w:widowControl w:val="0"/>
        <w:shd w:val="clear" w:color="auto" w:fill="auto"/>
        <w:kinsoku w:val="0"/>
        <w:wordWrap w:val="0"/>
        <w:bidi w:val="0"/>
        <w:spacing w:line="500" w:lineRule="exact"/>
        <w:jc w:val="center"/>
        <w:textAlignment w:val="auto"/>
        <w:rPr>
          <w:rFonts w:hint="eastAsia" w:asciiTheme="minorEastAsia" w:hAnsiTheme="minorEastAsia" w:eastAsiaTheme="minorEastAsia" w:cstheme="minorEastAsia"/>
          <w:b/>
          <w:color w:val="auto"/>
          <w:sz w:val="72"/>
          <w:highlight w:val="none"/>
        </w:rPr>
      </w:pPr>
    </w:p>
    <w:p w14:paraId="6D5E0404">
      <w:pPr>
        <w:pStyle w:val="11"/>
        <w:keepNext w:val="0"/>
        <w:keepLines w:val="0"/>
        <w:pageBreakBefore w:val="0"/>
        <w:widowControl w:val="0"/>
        <w:shd w:val="clear" w:color="auto" w:fill="auto"/>
        <w:kinsoku w:val="0"/>
        <w:wordWrap w:val="0"/>
        <w:bidi w:val="0"/>
        <w:spacing w:line="500" w:lineRule="exact"/>
        <w:jc w:val="center"/>
        <w:textAlignment w:val="auto"/>
        <w:rPr>
          <w:rFonts w:hint="eastAsia" w:asciiTheme="minorEastAsia" w:hAnsiTheme="minorEastAsia" w:eastAsiaTheme="minorEastAsia" w:cstheme="minorEastAsia"/>
          <w:b/>
          <w:color w:val="auto"/>
          <w:sz w:val="72"/>
          <w:highlight w:val="none"/>
        </w:rPr>
      </w:pPr>
    </w:p>
    <w:p w14:paraId="6EC462E6">
      <w:pPr>
        <w:pStyle w:val="11"/>
        <w:keepNext w:val="0"/>
        <w:keepLines w:val="0"/>
        <w:pageBreakBefore w:val="0"/>
        <w:widowControl w:val="0"/>
        <w:shd w:val="clear" w:color="auto" w:fill="auto"/>
        <w:kinsoku w:val="0"/>
        <w:wordWrap w:val="0"/>
        <w:bidi w:val="0"/>
        <w:spacing w:line="500" w:lineRule="exact"/>
        <w:jc w:val="center"/>
        <w:textAlignment w:val="auto"/>
        <w:rPr>
          <w:rFonts w:hint="eastAsia" w:asciiTheme="minorEastAsia" w:hAnsiTheme="minorEastAsia" w:eastAsiaTheme="minorEastAsia" w:cstheme="minorEastAsia"/>
          <w:b/>
          <w:color w:val="auto"/>
          <w:sz w:val="72"/>
          <w:highlight w:val="none"/>
        </w:rPr>
      </w:pPr>
    </w:p>
    <w:p w14:paraId="6D2BAF01">
      <w:pPr>
        <w:pStyle w:val="11"/>
        <w:keepNext w:val="0"/>
        <w:keepLines w:val="0"/>
        <w:pageBreakBefore w:val="0"/>
        <w:widowControl w:val="0"/>
        <w:shd w:val="clear" w:color="auto" w:fill="auto"/>
        <w:kinsoku w:val="0"/>
        <w:wordWrap w:val="0"/>
        <w:bidi w:val="0"/>
        <w:spacing w:line="500" w:lineRule="exact"/>
        <w:textAlignment w:val="auto"/>
        <w:rPr>
          <w:rFonts w:hint="eastAsia" w:asciiTheme="minorEastAsia" w:hAnsiTheme="minorEastAsia" w:eastAsiaTheme="minorEastAsia" w:cstheme="minorEastAsia"/>
          <w:b/>
          <w:color w:val="auto"/>
          <w:sz w:val="72"/>
          <w:highlight w:val="none"/>
        </w:rPr>
      </w:pPr>
    </w:p>
    <w:p w14:paraId="4A1DBAAC">
      <w:pPr>
        <w:pStyle w:val="11"/>
        <w:keepNext w:val="0"/>
        <w:keepLines w:val="0"/>
        <w:pageBreakBefore w:val="0"/>
        <w:widowControl w:val="0"/>
        <w:shd w:val="clear" w:color="auto" w:fill="auto"/>
        <w:kinsoku w:val="0"/>
        <w:wordWrap w:val="0"/>
        <w:bidi w:val="0"/>
        <w:spacing w:line="500" w:lineRule="exact"/>
        <w:jc w:val="center"/>
        <w:textAlignment w:val="auto"/>
        <w:rPr>
          <w:rFonts w:hint="eastAsia" w:asciiTheme="minorEastAsia" w:hAnsiTheme="minorEastAsia" w:eastAsiaTheme="minorEastAsia" w:cstheme="minorEastAsia"/>
          <w:b/>
          <w:color w:val="auto"/>
          <w:sz w:val="72"/>
          <w:highlight w:val="none"/>
        </w:rPr>
      </w:pPr>
    </w:p>
    <w:p w14:paraId="5B23AF23">
      <w:pPr>
        <w:pStyle w:val="11"/>
        <w:keepNext w:val="0"/>
        <w:keepLines w:val="0"/>
        <w:pageBreakBefore w:val="0"/>
        <w:widowControl w:val="0"/>
        <w:shd w:val="clear" w:color="auto" w:fill="auto"/>
        <w:kinsoku w:val="0"/>
        <w:wordWrap w:val="0"/>
        <w:bidi w:val="0"/>
        <w:spacing w:line="500" w:lineRule="exact"/>
        <w:jc w:val="center"/>
        <w:textAlignment w:val="auto"/>
        <w:rPr>
          <w:rFonts w:hint="eastAsia" w:asciiTheme="minorEastAsia" w:hAnsiTheme="minorEastAsia" w:eastAsiaTheme="minorEastAsia" w:cstheme="minorEastAsia"/>
          <w:b/>
          <w:color w:val="auto"/>
          <w:sz w:val="72"/>
          <w:highlight w:val="none"/>
        </w:rPr>
      </w:pPr>
    </w:p>
    <w:p w14:paraId="37EFDBED">
      <w:pPr>
        <w:keepNext w:val="0"/>
        <w:keepLines w:val="0"/>
        <w:pageBreakBefore w:val="0"/>
        <w:widowControl w:val="0"/>
        <w:shd w:val="clear" w:color="auto" w:fill="auto"/>
        <w:kinsoku w:val="0"/>
        <w:wordWrap w:val="0"/>
        <w:bidi w:val="0"/>
        <w:spacing w:line="360" w:lineRule="auto"/>
        <w:ind w:firstLine="480" w:firstLineChars="200"/>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供应商</w:t>
      </w:r>
      <w:r>
        <w:rPr>
          <w:rFonts w:hint="eastAsia" w:asciiTheme="minorEastAsia" w:hAnsiTheme="minorEastAsia" w:eastAsiaTheme="minorEastAsia" w:cstheme="minorEastAsia"/>
          <w:color w:val="auto"/>
          <w:sz w:val="24"/>
          <w:highlight w:val="none"/>
        </w:rPr>
        <w:t>：</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(电子签章)</w:t>
      </w:r>
    </w:p>
    <w:p w14:paraId="10BF2C40">
      <w:pPr>
        <w:pStyle w:val="11"/>
        <w:keepNext w:val="0"/>
        <w:keepLines w:val="0"/>
        <w:pageBreakBefore w:val="0"/>
        <w:widowControl w:val="0"/>
        <w:shd w:val="clear" w:color="auto" w:fill="auto"/>
        <w:kinsoku w:val="0"/>
        <w:wordWrap w:val="0"/>
        <w:bidi w:val="0"/>
        <w:spacing w:line="500" w:lineRule="exact"/>
        <w:ind w:firstLine="480" w:firstLineChars="200"/>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szCs w:val="24"/>
          <w:highlight w:val="none"/>
          <w:lang w:eastAsia="zh-CN"/>
        </w:rPr>
        <w:t>法定代表人或其委托代理人</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lang w:eastAsia="zh-CN"/>
        </w:rPr>
        <w:t>（电子签章）</w:t>
      </w:r>
    </w:p>
    <w:p w14:paraId="725D04C0">
      <w:pPr>
        <w:pStyle w:val="11"/>
        <w:keepNext w:val="0"/>
        <w:keepLines w:val="0"/>
        <w:pageBreakBefore w:val="0"/>
        <w:widowControl w:val="0"/>
        <w:shd w:val="clear" w:color="auto" w:fill="auto"/>
        <w:kinsoku w:val="0"/>
        <w:wordWrap w:val="0"/>
        <w:bidi w:val="0"/>
        <w:spacing w:line="500" w:lineRule="exact"/>
        <w:ind w:firstLine="480" w:firstLineChars="200"/>
        <w:jc w:val="left"/>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日  期：</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年</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月</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日</w:t>
      </w:r>
    </w:p>
    <w:p w14:paraId="7A6A42C7">
      <w:pPr>
        <w:keepNext w:val="0"/>
        <w:keepLines w:val="0"/>
        <w:pageBreakBefore w:val="0"/>
        <w:widowControl w:val="0"/>
        <w:shd w:val="clear" w:color="auto" w:fill="auto"/>
        <w:kinsoku w:val="0"/>
        <w:wordWrap w:val="0"/>
        <w:bidi w:val="0"/>
        <w:ind w:right="480"/>
        <w:jc w:val="center"/>
        <w:textAlignment w:val="auto"/>
        <w:rPr>
          <w:rFonts w:hint="eastAsia" w:asciiTheme="minorEastAsia" w:hAnsiTheme="minorEastAsia" w:eastAsiaTheme="minorEastAsia" w:cstheme="minorEastAsia"/>
          <w:color w:val="auto"/>
          <w:szCs w:val="21"/>
          <w:highlight w:val="none"/>
        </w:rPr>
      </w:pPr>
      <w:bookmarkStart w:id="93" w:name="_Toc258848989"/>
      <w:bookmarkStart w:id="94" w:name="_Toc355877222"/>
      <w:bookmarkStart w:id="95" w:name="_Toc258848988"/>
      <w:bookmarkStart w:id="96" w:name="_Toc213141093"/>
      <w:bookmarkStart w:id="97" w:name="_Toc144974467"/>
      <w:bookmarkStart w:id="98" w:name="_Toc266880234"/>
      <w:bookmarkStart w:id="99" w:name="_Toc355877221"/>
      <w:bookmarkStart w:id="100" w:name="_Toc152047263"/>
      <w:r>
        <w:rPr>
          <w:rFonts w:hint="eastAsia" w:asciiTheme="minorEastAsia" w:hAnsiTheme="minorEastAsia" w:eastAsiaTheme="minorEastAsia" w:cstheme="minorEastAsia"/>
          <w:b/>
          <w:color w:val="auto"/>
          <w:sz w:val="28"/>
          <w:szCs w:val="28"/>
          <w:highlight w:val="none"/>
        </w:rPr>
        <w:br w:type="page"/>
      </w:r>
      <w:bookmarkEnd w:id="93"/>
      <w:bookmarkEnd w:id="94"/>
    </w:p>
    <w:p w14:paraId="76393495">
      <w:pPr>
        <w:keepNext w:val="0"/>
        <w:keepLines w:val="0"/>
        <w:pageBreakBefore w:val="0"/>
        <w:widowControl w:val="0"/>
        <w:shd w:val="clear" w:color="auto" w:fill="auto"/>
        <w:kinsoku w:val="0"/>
        <w:wordWrap w:val="0"/>
        <w:bidi w:val="0"/>
        <w:jc w:val="center"/>
        <w:textAlignment w:val="auto"/>
        <w:outlineLvl w:val="1"/>
        <w:rPr>
          <w:rFonts w:hint="eastAsia" w:asciiTheme="minorEastAsia" w:hAnsiTheme="minorEastAsia" w:eastAsiaTheme="minorEastAsia" w:cstheme="minorEastAsia"/>
          <w:b/>
          <w:color w:val="auto"/>
          <w:sz w:val="24"/>
          <w:szCs w:val="24"/>
          <w:highlight w:val="none"/>
        </w:rPr>
      </w:pPr>
      <w:bookmarkStart w:id="101" w:name="_Toc12150"/>
      <w:bookmarkStart w:id="102" w:name="_Toc27550"/>
      <w:bookmarkStart w:id="103" w:name="_Toc403511223"/>
      <w:r>
        <w:rPr>
          <w:rFonts w:hint="eastAsia" w:asciiTheme="minorEastAsia" w:hAnsiTheme="minorEastAsia" w:eastAsiaTheme="minorEastAsia" w:cstheme="minorEastAsia"/>
          <w:b/>
          <w:color w:val="auto"/>
          <w:sz w:val="24"/>
          <w:szCs w:val="24"/>
          <w:highlight w:val="none"/>
          <w:lang w:val="en-US" w:eastAsia="zh-CN"/>
        </w:rPr>
        <w:t>开标</w:t>
      </w:r>
      <w:r>
        <w:rPr>
          <w:rFonts w:hint="eastAsia" w:asciiTheme="minorEastAsia" w:hAnsiTheme="minorEastAsia" w:eastAsiaTheme="minorEastAsia" w:cstheme="minorEastAsia"/>
          <w:b/>
          <w:color w:val="auto"/>
          <w:sz w:val="24"/>
          <w:szCs w:val="24"/>
          <w:highlight w:val="none"/>
        </w:rPr>
        <w:t>一览表</w:t>
      </w:r>
      <w:bookmarkEnd w:id="101"/>
      <w:bookmarkEnd w:id="102"/>
      <w:bookmarkEnd w:id="103"/>
    </w:p>
    <w:p w14:paraId="396C615B">
      <w:pPr>
        <w:keepNext w:val="0"/>
        <w:keepLines w:val="0"/>
        <w:pageBreakBefore w:val="0"/>
        <w:widowControl w:val="0"/>
        <w:shd w:val="clear" w:color="auto" w:fill="auto"/>
        <w:kinsoku w:val="0"/>
        <w:wordWrap w:val="0"/>
        <w:bidi w:val="0"/>
        <w:textAlignment w:val="auto"/>
        <w:rPr>
          <w:rFonts w:hint="eastAsia" w:asciiTheme="minorEastAsia" w:hAnsiTheme="minorEastAsia" w:eastAsiaTheme="minorEastAsia" w:cstheme="minorEastAsia"/>
          <w:color w:val="auto"/>
          <w:highlight w:val="none"/>
        </w:rPr>
      </w:pPr>
    </w:p>
    <w:p w14:paraId="0A10AC53">
      <w:pPr>
        <w:pStyle w:val="11"/>
        <w:keepNext w:val="0"/>
        <w:keepLines w:val="0"/>
        <w:pageBreakBefore w:val="0"/>
        <w:widowControl w:val="0"/>
        <w:shd w:val="clear" w:color="auto" w:fill="auto"/>
        <w:kinsoku w:val="0"/>
        <w:wordWrap w:val="0"/>
        <w:bidi w:val="0"/>
        <w:ind w:left="1654" w:hanging="1653" w:hangingChars="689"/>
        <w:textAlignment w:val="auto"/>
        <w:rPr>
          <w:rFonts w:hint="eastAsia" w:asciiTheme="minorEastAsia" w:hAnsiTheme="minorEastAsia" w:eastAsiaTheme="minorEastAsia" w:cstheme="minorEastAsia"/>
          <w:bCs/>
          <w:color w:val="auto"/>
          <w:sz w:val="24"/>
          <w:szCs w:val="24"/>
          <w:highlight w:val="none"/>
          <w:u w:val="single"/>
          <w:lang w:val="en-US"/>
        </w:rPr>
      </w:pPr>
      <w:r>
        <w:rPr>
          <w:rFonts w:hint="eastAsia" w:asciiTheme="minorEastAsia" w:hAnsiTheme="minorEastAsia" w:eastAsiaTheme="minorEastAsia" w:cstheme="minorEastAsia"/>
          <w:color w:val="auto"/>
          <w:sz w:val="24"/>
          <w:szCs w:val="24"/>
          <w:highlight w:val="none"/>
        </w:rPr>
        <w:t>项目名称：</w:t>
      </w:r>
      <w:r>
        <w:rPr>
          <w:rFonts w:hint="eastAsia" w:asciiTheme="minorEastAsia" w:hAnsiTheme="minorEastAsia" w:eastAsiaTheme="minorEastAsia" w:cstheme="minorEastAsia"/>
          <w:bCs/>
          <w:color w:val="auto"/>
          <w:sz w:val="24"/>
          <w:szCs w:val="24"/>
          <w:highlight w:val="none"/>
          <w:u w:val="single"/>
          <w:lang w:eastAsia="zh-CN"/>
        </w:rPr>
        <w:t>文笔小学功能室、食堂及信息化设备采购</w:t>
      </w:r>
    </w:p>
    <w:p w14:paraId="0BFEE65B">
      <w:pPr>
        <w:keepNext w:val="0"/>
        <w:keepLines w:val="0"/>
        <w:pageBreakBefore w:val="0"/>
        <w:widowControl w:val="0"/>
        <w:shd w:val="clear" w:color="auto" w:fill="auto"/>
        <w:kinsoku w:val="0"/>
        <w:wordWrap w:val="0"/>
        <w:bidi w:val="0"/>
        <w:spacing w:line="360" w:lineRule="auto"/>
        <w:ind w:firstLine="4440" w:firstLineChars="1850"/>
        <w:textAlignment w:val="auto"/>
        <w:rPr>
          <w:rFonts w:hint="eastAsia" w:asciiTheme="minorEastAsia" w:hAnsiTheme="minorEastAsia" w:eastAsiaTheme="minorEastAsia" w:cstheme="minorEastAsia"/>
          <w:color w:val="auto"/>
          <w:sz w:val="24"/>
          <w:szCs w:val="24"/>
          <w:highlight w:val="none"/>
        </w:rPr>
      </w:pPr>
    </w:p>
    <w:tbl>
      <w:tblPr>
        <w:tblStyle w:val="21"/>
        <w:tblW w:w="9104" w:type="dxa"/>
        <w:tblInd w:w="0" w:type="dxa"/>
        <w:tblLayout w:type="fixed"/>
        <w:tblCellMar>
          <w:top w:w="0" w:type="dxa"/>
          <w:left w:w="108" w:type="dxa"/>
          <w:bottom w:w="0" w:type="dxa"/>
          <w:right w:w="108" w:type="dxa"/>
        </w:tblCellMar>
      </w:tblPr>
      <w:tblGrid>
        <w:gridCol w:w="3121"/>
        <w:gridCol w:w="2664"/>
        <w:gridCol w:w="3319"/>
      </w:tblGrid>
      <w:tr w14:paraId="3673B3D5">
        <w:tblPrEx>
          <w:tblCellMar>
            <w:top w:w="0" w:type="dxa"/>
            <w:left w:w="108" w:type="dxa"/>
            <w:bottom w:w="0" w:type="dxa"/>
            <w:right w:w="108" w:type="dxa"/>
          </w:tblCellMar>
        </w:tblPrEx>
        <w:trPr>
          <w:cantSplit/>
          <w:trHeight w:val="880" w:hRule="atLeast"/>
        </w:trPr>
        <w:tc>
          <w:tcPr>
            <w:tcW w:w="3121" w:type="dxa"/>
            <w:tcBorders>
              <w:top w:val="single" w:color="auto" w:sz="4" w:space="0"/>
              <w:left w:val="single" w:color="auto" w:sz="4" w:space="0"/>
              <w:bottom w:val="single" w:color="auto" w:sz="4" w:space="0"/>
              <w:right w:val="single" w:color="auto" w:sz="4" w:space="0"/>
            </w:tcBorders>
            <w:noWrap w:val="0"/>
            <w:vAlign w:val="center"/>
          </w:tcPr>
          <w:p w14:paraId="3310267A">
            <w:pPr>
              <w:adjustRightInd w:val="0"/>
              <w:snapToGrid w:val="0"/>
              <w:spacing w:line="440" w:lineRule="exact"/>
              <w:jc w:val="center"/>
              <w:rPr>
                <w:rFonts w:ascii="宋体" w:hAnsi="宋体"/>
                <w:b/>
                <w:bCs/>
                <w:kern w:val="2"/>
                <w:sz w:val="24"/>
                <w:szCs w:val="24"/>
              </w:rPr>
            </w:pPr>
            <w:r>
              <w:rPr>
                <w:rFonts w:hint="eastAsia" w:ascii="宋体" w:hAnsi="宋体"/>
                <w:b/>
                <w:bCs/>
                <w:kern w:val="2"/>
                <w:sz w:val="24"/>
                <w:szCs w:val="24"/>
              </w:rPr>
              <w:t>投标总价(元)</w:t>
            </w:r>
          </w:p>
        </w:tc>
        <w:tc>
          <w:tcPr>
            <w:tcW w:w="2664" w:type="dxa"/>
            <w:tcBorders>
              <w:top w:val="single" w:color="auto" w:sz="4" w:space="0"/>
              <w:left w:val="nil"/>
              <w:right w:val="single" w:color="auto" w:sz="4" w:space="0"/>
            </w:tcBorders>
            <w:noWrap w:val="0"/>
            <w:vAlign w:val="center"/>
          </w:tcPr>
          <w:p w14:paraId="5471B1D0">
            <w:pPr>
              <w:jc w:val="center"/>
              <w:rPr>
                <w:rFonts w:ascii="宋体" w:hAnsi="宋体"/>
                <w:b/>
                <w:bCs/>
                <w:kern w:val="2"/>
                <w:sz w:val="24"/>
                <w:szCs w:val="24"/>
              </w:rPr>
            </w:pPr>
            <w:r>
              <w:rPr>
                <w:rFonts w:hint="eastAsia" w:ascii="宋体" w:hAnsi="宋体"/>
                <w:b/>
                <w:bCs/>
                <w:kern w:val="2"/>
                <w:sz w:val="24"/>
                <w:szCs w:val="24"/>
              </w:rPr>
              <w:t>交货期</w:t>
            </w:r>
          </w:p>
        </w:tc>
        <w:tc>
          <w:tcPr>
            <w:tcW w:w="3319" w:type="dxa"/>
            <w:tcBorders>
              <w:top w:val="single" w:color="auto" w:sz="4" w:space="0"/>
              <w:left w:val="nil"/>
              <w:bottom w:val="single" w:color="auto" w:sz="4" w:space="0"/>
              <w:right w:val="single" w:color="auto" w:sz="4" w:space="0"/>
            </w:tcBorders>
            <w:noWrap w:val="0"/>
            <w:vAlign w:val="center"/>
          </w:tcPr>
          <w:p w14:paraId="373C41B6">
            <w:pPr>
              <w:adjustRightInd w:val="0"/>
              <w:snapToGrid w:val="0"/>
              <w:spacing w:line="440" w:lineRule="exact"/>
              <w:jc w:val="center"/>
              <w:rPr>
                <w:rFonts w:ascii="宋体" w:hAnsi="宋体"/>
                <w:b/>
                <w:bCs/>
                <w:kern w:val="2"/>
                <w:sz w:val="24"/>
                <w:szCs w:val="24"/>
              </w:rPr>
            </w:pPr>
            <w:r>
              <w:rPr>
                <w:rFonts w:hint="eastAsia" w:ascii="宋体" w:hAnsi="宋体"/>
                <w:b/>
                <w:bCs/>
                <w:kern w:val="2"/>
                <w:sz w:val="24"/>
                <w:szCs w:val="24"/>
              </w:rPr>
              <w:t>质保期</w:t>
            </w:r>
          </w:p>
        </w:tc>
      </w:tr>
      <w:tr w14:paraId="0C0D5ADF">
        <w:tblPrEx>
          <w:tblCellMar>
            <w:top w:w="0" w:type="dxa"/>
            <w:left w:w="108" w:type="dxa"/>
            <w:bottom w:w="0" w:type="dxa"/>
            <w:right w:w="108" w:type="dxa"/>
          </w:tblCellMar>
        </w:tblPrEx>
        <w:trPr>
          <w:cantSplit/>
          <w:trHeight w:val="1633" w:hRule="atLeast"/>
        </w:trPr>
        <w:tc>
          <w:tcPr>
            <w:tcW w:w="3121" w:type="dxa"/>
            <w:tcBorders>
              <w:top w:val="single" w:color="auto" w:sz="4" w:space="0"/>
              <w:left w:val="single" w:color="auto" w:sz="4" w:space="0"/>
              <w:bottom w:val="single" w:color="auto" w:sz="4" w:space="0"/>
              <w:right w:val="single" w:color="auto" w:sz="4" w:space="0"/>
            </w:tcBorders>
            <w:noWrap w:val="0"/>
            <w:vAlign w:val="center"/>
          </w:tcPr>
          <w:p w14:paraId="3E6F624D">
            <w:pPr>
              <w:spacing w:line="460" w:lineRule="exact"/>
              <w:rPr>
                <w:rFonts w:hint="eastAsia" w:ascii="宋体" w:hAnsi="宋体"/>
                <w:b/>
                <w:bCs/>
                <w:kern w:val="2"/>
                <w:sz w:val="24"/>
                <w:szCs w:val="24"/>
              </w:rPr>
            </w:pPr>
            <w:r>
              <w:rPr>
                <w:rFonts w:hint="eastAsia" w:ascii="宋体" w:hAnsi="宋体"/>
                <w:b/>
                <w:bCs/>
                <w:kern w:val="2"/>
                <w:sz w:val="24"/>
                <w:szCs w:val="24"/>
              </w:rPr>
              <w:t>小写：</w:t>
            </w:r>
          </w:p>
          <w:p w14:paraId="4E47D65A">
            <w:pPr>
              <w:spacing w:line="460" w:lineRule="exact"/>
              <w:rPr>
                <w:rFonts w:hint="eastAsia" w:ascii="宋体" w:hAnsi="宋体" w:eastAsia="宋体"/>
                <w:b/>
                <w:bCs/>
                <w:kern w:val="2"/>
                <w:sz w:val="24"/>
                <w:szCs w:val="24"/>
                <w:lang w:val="en-US" w:eastAsia="zh-CN"/>
              </w:rPr>
            </w:pPr>
            <w:r>
              <w:rPr>
                <w:rFonts w:hint="eastAsia" w:ascii="宋体" w:hAnsi="宋体"/>
                <w:b/>
                <w:bCs/>
                <w:kern w:val="2"/>
                <w:sz w:val="24"/>
                <w:szCs w:val="24"/>
                <w:lang w:val="en-US" w:eastAsia="zh-CN"/>
              </w:rPr>
              <w:t>大写：</w:t>
            </w:r>
          </w:p>
        </w:tc>
        <w:tc>
          <w:tcPr>
            <w:tcW w:w="2664" w:type="dxa"/>
            <w:tcBorders>
              <w:top w:val="single" w:color="auto" w:sz="4" w:space="0"/>
              <w:left w:val="nil"/>
              <w:bottom w:val="single" w:color="auto" w:sz="4" w:space="0"/>
              <w:right w:val="single" w:color="auto" w:sz="4" w:space="0"/>
            </w:tcBorders>
            <w:noWrap w:val="0"/>
            <w:vAlign w:val="center"/>
          </w:tcPr>
          <w:p w14:paraId="5B45F1C6">
            <w:pPr>
              <w:spacing w:line="460" w:lineRule="exact"/>
              <w:jc w:val="center"/>
              <w:rPr>
                <w:rFonts w:ascii="宋体" w:hAnsi="宋体"/>
                <w:b/>
                <w:bCs/>
                <w:kern w:val="2"/>
                <w:sz w:val="24"/>
                <w:szCs w:val="24"/>
              </w:rPr>
            </w:pPr>
          </w:p>
        </w:tc>
        <w:tc>
          <w:tcPr>
            <w:tcW w:w="3319" w:type="dxa"/>
            <w:tcBorders>
              <w:top w:val="single" w:color="auto" w:sz="4" w:space="0"/>
              <w:left w:val="nil"/>
              <w:bottom w:val="single" w:color="auto" w:sz="4" w:space="0"/>
              <w:right w:val="single" w:color="auto" w:sz="4" w:space="0"/>
            </w:tcBorders>
            <w:noWrap w:val="0"/>
            <w:vAlign w:val="center"/>
          </w:tcPr>
          <w:p w14:paraId="51F02E6D">
            <w:pPr>
              <w:spacing w:line="460" w:lineRule="exact"/>
              <w:jc w:val="center"/>
              <w:rPr>
                <w:rFonts w:ascii="宋体" w:hAnsi="宋体"/>
                <w:b/>
                <w:bCs/>
                <w:kern w:val="2"/>
                <w:sz w:val="24"/>
                <w:szCs w:val="24"/>
              </w:rPr>
            </w:pPr>
          </w:p>
        </w:tc>
      </w:tr>
    </w:tbl>
    <w:p w14:paraId="2FBD0ED9">
      <w:pPr>
        <w:keepNext w:val="0"/>
        <w:keepLines w:val="0"/>
        <w:pageBreakBefore w:val="0"/>
        <w:widowControl w:val="0"/>
        <w:shd w:val="clear" w:color="auto" w:fill="auto"/>
        <w:kinsoku w:val="0"/>
        <w:wordWrap w:val="0"/>
        <w:bidi w:val="0"/>
        <w:spacing w:line="360" w:lineRule="auto"/>
        <w:jc w:val="left"/>
        <w:textAlignment w:val="auto"/>
        <w:rPr>
          <w:rFonts w:hint="eastAsia" w:asciiTheme="minorEastAsia" w:hAnsiTheme="minorEastAsia" w:eastAsiaTheme="minorEastAsia" w:cstheme="minorEastAsia"/>
          <w:color w:val="auto"/>
          <w:sz w:val="24"/>
          <w:szCs w:val="24"/>
          <w:highlight w:val="none"/>
          <w:lang w:val="en-US" w:eastAsia="zh-CN"/>
        </w:rPr>
      </w:pPr>
    </w:p>
    <w:p w14:paraId="1A6A6AB4">
      <w:pPr>
        <w:keepNext w:val="0"/>
        <w:keepLines w:val="0"/>
        <w:pageBreakBefore w:val="0"/>
        <w:widowControl w:val="0"/>
        <w:shd w:val="clear" w:color="auto" w:fill="auto"/>
        <w:kinsoku w:val="0"/>
        <w:wordWrap w:val="0"/>
        <w:bidi w:val="0"/>
        <w:spacing w:line="360" w:lineRule="auto"/>
        <w:jc w:val="lef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宋体" w:hAnsi="宋体"/>
          <w:b/>
          <w:sz w:val="24"/>
          <w:szCs w:val="24"/>
        </w:rPr>
        <w:t>注：此表中的投标总价即为最终报价，不允许另有折扣说明。</w:t>
      </w:r>
    </w:p>
    <w:p w14:paraId="5B39806B">
      <w:pPr>
        <w:keepNext w:val="0"/>
        <w:keepLines w:val="0"/>
        <w:pageBreakBefore w:val="0"/>
        <w:widowControl w:val="0"/>
        <w:shd w:val="clear" w:color="auto" w:fill="auto"/>
        <w:kinsoku w:val="0"/>
        <w:wordWrap w:val="0"/>
        <w:bidi w:val="0"/>
        <w:spacing w:line="360" w:lineRule="auto"/>
        <w:jc w:val="left"/>
        <w:textAlignment w:val="auto"/>
        <w:rPr>
          <w:rFonts w:hint="eastAsia" w:asciiTheme="minorEastAsia" w:hAnsiTheme="minorEastAsia" w:eastAsiaTheme="minorEastAsia" w:cstheme="minorEastAsia"/>
          <w:color w:val="auto"/>
          <w:sz w:val="24"/>
          <w:szCs w:val="24"/>
          <w:highlight w:val="none"/>
          <w:lang w:val="en-US" w:eastAsia="zh-CN"/>
        </w:rPr>
      </w:pPr>
    </w:p>
    <w:p w14:paraId="367DFDD5">
      <w:pPr>
        <w:keepNext w:val="0"/>
        <w:keepLines w:val="0"/>
        <w:pageBreakBefore w:val="0"/>
        <w:widowControl w:val="0"/>
        <w:shd w:val="clear" w:color="auto" w:fill="auto"/>
        <w:kinsoku w:val="0"/>
        <w:wordWrap w:val="0"/>
        <w:bidi w:val="0"/>
        <w:spacing w:line="360" w:lineRule="auto"/>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供应商</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（电子签章）</w:t>
      </w:r>
    </w:p>
    <w:p w14:paraId="04A1F5EC">
      <w:pPr>
        <w:keepNext w:val="0"/>
        <w:keepLines w:val="0"/>
        <w:pageBreakBefore w:val="0"/>
        <w:widowControl w:val="0"/>
        <w:shd w:val="clear" w:color="auto" w:fill="auto"/>
        <w:kinsoku w:val="0"/>
        <w:wordWrap w:val="0"/>
        <w:bidi w:val="0"/>
        <w:spacing w:line="360" w:lineRule="auto"/>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法定代表人或其委托代理人</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lang w:eastAsia="zh-CN"/>
        </w:rPr>
        <w:t>（电子签章）</w:t>
      </w:r>
    </w:p>
    <w:p w14:paraId="11E08234">
      <w:pPr>
        <w:keepNext w:val="0"/>
        <w:keepLines w:val="0"/>
        <w:pageBreakBefore w:val="0"/>
        <w:widowControl w:val="0"/>
        <w:shd w:val="clear" w:color="auto" w:fill="auto"/>
        <w:kinsoku w:val="0"/>
        <w:wordWrap w:val="0"/>
        <w:bidi w:val="0"/>
        <w:spacing w:line="360" w:lineRule="auto"/>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日  期：</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年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p w14:paraId="5E6A3622">
      <w:pPr>
        <w:keepNext w:val="0"/>
        <w:keepLines w:val="0"/>
        <w:pageBreakBefore w:val="0"/>
        <w:widowControl w:val="0"/>
        <w:shd w:val="clear" w:color="auto" w:fill="auto"/>
        <w:kinsoku w:val="0"/>
        <w:wordWrap w:val="0"/>
        <w:bidi w:val="0"/>
        <w:jc w:val="center"/>
        <w:textAlignment w:val="auto"/>
        <w:rPr>
          <w:rFonts w:hint="eastAsia" w:asciiTheme="minorEastAsia" w:hAnsiTheme="minorEastAsia" w:eastAsiaTheme="minorEastAsia" w:cstheme="minorEastAsia"/>
          <w:b/>
          <w:color w:val="auto"/>
          <w:sz w:val="24"/>
          <w:szCs w:val="24"/>
          <w:highlight w:val="none"/>
        </w:rPr>
        <w:sectPr>
          <w:pgSz w:w="11906" w:h="16838"/>
          <w:pgMar w:top="1361" w:right="1474" w:bottom="1361" w:left="1587" w:header="850" w:footer="992" w:gutter="0"/>
          <w:pgNumType w:fmt="decimal"/>
          <w:cols w:space="0" w:num="1"/>
          <w:rtlGutter w:val="0"/>
          <w:docGrid w:type="lines" w:linePitch="314" w:charSpace="0"/>
        </w:sectPr>
      </w:pPr>
    </w:p>
    <w:p w14:paraId="5DC9EE56">
      <w:pPr>
        <w:keepNext w:val="0"/>
        <w:keepLines w:val="0"/>
        <w:pageBreakBefore w:val="0"/>
        <w:widowControl w:val="0"/>
        <w:shd w:val="clear" w:color="auto" w:fill="auto"/>
        <w:kinsoku w:val="0"/>
        <w:wordWrap w:val="0"/>
        <w:bidi w:val="0"/>
        <w:jc w:val="center"/>
        <w:textAlignment w:val="auto"/>
        <w:outlineLvl w:val="1"/>
        <w:rPr>
          <w:rFonts w:hint="default" w:asciiTheme="minorEastAsia" w:hAnsiTheme="minorEastAsia" w:eastAsiaTheme="minorEastAsia" w:cstheme="minorEastAsia"/>
          <w:b/>
          <w:color w:val="auto"/>
          <w:sz w:val="24"/>
          <w:szCs w:val="24"/>
          <w:highlight w:val="none"/>
          <w:lang w:val="en-US" w:eastAsia="zh-CN"/>
        </w:rPr>
      </w:pPr>
      <w:bookmarkStart w:id="104" w:name="_Toc15476"/>
      <w:bookmarkStart w:id="105" w:name="_Toc23436"/>
      <w:r>
        <w:rPr>
          <w:rFonts w:hint="eastAsia" w:asciiTheme="minorEastAsia" w:hAnsiTheme="minorEastAsia" w:eastAsiaTheme="minorEastAsia" w:cstheme="minorEastAsia"/>
          <w:b/>
          <w:color w:val="auto"/>
          <w:sz w:val="24"/>
          <w:szCs w:val="24"/>
          <w:highlight w:val="none"/>
          <w:lang w:val="en-US" w:eastAsia="zh-CN"/>
        </w:rPr>
        <w:t>一</w:t>
      </w:r>
      <w:r>
        <w:rPr>
          <w:rFonts w:hint="eastAsia" w:asciiTheme="minorEastAsia" w:hAnsiTheme="minorEastAsia" w:eastAsiaTheme="minorEastAsia" w:cstheme="minorEastAsia"/>
          <w:b/>
          <w:color w:val="auto"/>
          <w:sz w:val="24"/>
          <w:szCs w:val="24"/>
          <w:highlight w:val="none"/>
        </w:rPr>
        <w:t>、</w:t>
      </w:r>
      <w:bookmarkEnd w:id="104"/>
      <w:r>
        <w:rPr>
          <w:rFonts w:hint="eastAsia" w:asciiTheme="minorEastAsia" w:hAnsiTheme="minorEastAsia" w:eastAsiaTheme="minorEastAsia" w:cstheme="minorEastAsia"/>
          <w:b/>
          <w:color w:val="auto"/>
          <w:sz w:val="24"/>
          <w:szCs w:val="24"/>
          <w:highlight w:val="none"/>
          <w:lang w:val="en-US" w:eastAsia="zh-CN"/>
        </w:rPr>
        <w:t>分部分项报价表</w:t>
      </w:r>
      <w:bookmarkEnd w:id="105"/>
    </w:p>
    <w:p w14:paraId="22175671">
      <w:pPr>
        <w:pStyle w:val="11"/>
        <w:keepNext w:val="0"/>
        <w:keepLines w:val="0"/>
        <w:pageBreakBefore w:val="0"/>
        <w:widowControl w:val="0"/>
        <w:shd w:val="clear" w:color="auto" w:fill="auto"/>
        <w:kinsoku w:val="0"/>
        <w:wordWrap w:val="0"/>
        <w:bidi w:val="0"/>
        <w:spacing w:line="360" w:lineRule="auto"/>
        <w:ind w:firstLine="480" w:firstLineChars="200"/>
        <w:textAlignment w:val="auto"/>
        <w:rPr>
          <w:rFonts w:hint="eastAsia" w:asciiTheme="minorEastAsia" w:hAnsiTheme="minorEastAsia" w:eastAsiaTheme="minorEastAsia" w:cstheme="minorEastAsia"/>
          <w:bCs/>
          <w:color w:val="auto"/>
          <w:sz w:val="24"/>
          <w:szCs w:val="24"/>
          <w:highlight w:val="none"/>
          <w:u w:val="single"/>
          <w:lang w:eastAsia="zh-CN"/>
        </w:rPr>
      </w:pPr>
      <w:r>
        <w:rPr>
          <w:rFonts w:hint="eastAsia" w:asciiTheme="minorEastAsia" w:hAnsiTheme="minorEastAsia" w:eastAsiaTheme="minorEastAsia" w:cstheme="minorEastAsia"/>
          <w:color w:val="auto"/>
          <w:sz w:val="24"/>
          <w:szCs w:val="24"/>
          <w:highlight w:val="none"/>
        </w:rPr>
        <w:t>项目名称：</w:t>
      </w:r>
      <w:r>
        <w:rPr>
          <w:rFonts w:hint="eastAsia" w:asciiTheme="minorEastAsia" w:hAnsiTheme="minorEastAsia" w:eastAsiaTheme="minorEastAsia" w:cstheme="minorEastAsia"/>
          <w:bCs/>
          <w:color w:val="auto"/>
          <w:sz w:val="24"/>
          <w:szCs w:val="24"/>
          <w:highlight w:val="none"/>
          <w:u w:val="single"/>
          <w:lang w:eastAsia="zh-CN"/>
        </w:rPr>
        <w:t>文笔小学功能室、食堂及信息化设备采购</w:t>
      </w: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01"/>
        <w:gridCol w:w="2640"/>
        <w:gridCol w:w="1899"/>
        <w:gridCol w:w="1712"/>
      </w:tblGrid>
      <w:tr w14:paraId="4BA9F9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01" w:type="dxa"/>
            <w:vAlign w:val="center"/>
          </w:tcPr>
          <w:p w14:paraId="1A47CF55">
            <w:pPr>
              <w:keepNext w:val="0"/>
              <w:keepLines w:val="0"/>
              <w:widowControl/>
              <w:suppressLineNumbers w:val="0"/>
              <w:jc w:val="center"/>
              <w:textAlignment w:val="center"/>
              <w:rPr>
                <w:rFonts w:hint="eastAsia" w:ascii="宋体" w:hAnsi="宋体" w:eastAsia="宋体" w:cs="宋体"/>
                <w:b/>
                <w:bCs/>
                <w:color w:val="auto"/>
                <w:sz w:val="24"/>
                <w:szCs w:val="24"/>
                <w:highlight w:val="none"/>
                <w:vertAlign w:val="baseline"/>
                <w:lang w:val="en-US" w:eastAsia="zh-CN"/>
              </w:rPr>
            </w:pPr>
            <w:r>
              <w:rPr>
                <w:rFonts w:hint="default" w:ascii="方正黑体_GBK" w:hAnsi="方正黑体_GBK" w:eastAsia="方正黑体_GBK" w:cs="方正黑体_GBK"/>
                <w:i w:val="0"/>
                <w:iCs w:val="0"/>
                <w:color w:val="000000"/>
                <w:kern w:val="0"/>
                <w:sz w:val="24"/>
                <w:szCs w:val="24"/>
                <w:u w:val="none"/>
                <w:lang w:val="en-US" w:eastAsia="zh-CN" w:bidi="ar"/>
              </w:rPr>
              <w:t>序号</w:t>
            </w:r>
          </w:p>
        </w:tc>
        <w:tc>
          <w:tcPr>
            <w:tcW w:w="2640" w:type="dxa"/>
            <w:vAlign w:val="center"/>
          </w:tcPr>
          <w:p w14:paraId="459EBE1E">
            <w:pPr>
              <w:keepNext w:val="0"/>
              <w:keepLines w:val="0"/>
              <w:widowControl/>
              <w:suppressLineNumbers w:val="0"/>
              <w:jc w:val="center"/>
              <w:textAlignment w:val="center"/>
              <w:rPr>
                <w:rFonts w:hint="eastAsia" w:ascii="宋体" w:hAnsi="宋体" w:eastAsia="宋体" w:cs="宋体"/>
                <w:b/>
                <w:bCs/>
                <w:color w:val="auto"/>
                <w:sz w:val="24"/>
                <w:szCs w:val="24"/>
                <w:highlight w:val="none"/>
                <w:vertAlign w:val="baseline"/>
                <w:lang w:val="en-US" w:eastAsia="zh-CN"/>
              </w:rPr>
            </w:pPr>
            <w:r>
              <w:rPr>
                <w:rFonts w:hint="default" w:ascii="方正黑体_GBK" w:hAnsi="方正黑体_GBK" w:eastAsia="方正黑体_GBK" w:cs="方正黑体_GBK"/>
                <w:i w:val="0"/>
                <w:iCs w:val="0"/>
                <w:color w:val="000000"/>
                <w:kern w:val="0"/>
                <w:sz w:val="24"/>
                <w:szCs w:val="24"/>
                <w:u w:val="none"/>
                <w:lang w:val="en-US" w:eastAsia="zh-CN" w:bidi="ar"/>
              </w:rPr>
              <w:t>采购货物名称</w:t>
            </w:r>
          </w:p>
        </w:tc>
        <w:tc>
          <w:tcPr>
            <w:tcW w:w="1899" w:type="dxa"/>
            <w:shd w:val="clear" w:color="auto" w:fill="auto"/>
            <w:vAlign w:val="center"/>
          </w:tcPr>
          <w:p w14:paraId="52E4ADDE">
            <w:pPr>
              <w:keepNext w:val="0"/>
              <w:keepLines w:val="0"/>
              <w:widowControl/>
              <w:suppressLineNumbers w:val="0"/>
              <w:jc w:val="center"/>
              <w:textAlignment w:val="center"/>
              <w:rPr>
                <w:rFonts w:hint="default" w:ascii="宋体" w:hAnsi="宋体" w:eastAsia="宋体" w:cs="宋体"/>
                <w:b/>
                <w:bCs/>
                <w:color w:val="auto"/>
                <w:kern w:val="2"/>
                <w:sz w:val="24"/>
                <w:szCs w:val="24"/>
                <w:highlight w:val="none"/>
                <w:vertAlign w:val="baseline"/>
                <w:lang w:val="en-US" w:eastAsia="zh-CN" w:bidi="ar-SA"/>
              </w:rPr>
            </w:pPr>
            <w:r>
              <w:rPr>
                <w:rFonts w:hint="eastAsia" w:ascii="宋体" w:hAnsi="宋体" w:cs="宋体"/>
                <w:b/>
                <w:bCs/>
                <w:color w:val="auto"/>
                <w:kern w:val="2"/>
                <w:sz w:val="24"/>
                <w:szCs w:val="24"/>
                <w:highlight w:val="none"/>
                <w:vertAlign w:val="baseline"/>
                <w:lang w:val="en-US" w:eastAsia="zh-CN" w:bidi="ar-SA"/>
              </w:rPr>
              <w:t>单价报价/元</w:t>
            </w:r>
          </w:p>
        </w:tc>
        <w:tc>
          <w:tcPr>
            <w:tcW w:w="1712" w:type="dxa"/>
            <w:shd w:val="clear" w:color="auto" w:fill="auto"/>
            <w:vAlign w:val="center"/>
          </w:tcPr>
          <w:p w14:paraId="336A5AC5">
            <w:pPr>
              <w:keepNext w:val="0"/>
              <w:keepLines w:val="0"/>
              <w:widowControl/>
              <w:suppressLineNumbers w:val="0"/>
              <w:jc w:val="center"/>
              <w:textAlignment w:val="center"/>
              <w:rPr>
                <w:rFonts w:hint="eastAsia" w:ascii="宋体" w:hAnsi="宋体" w:eastAsia="宋体" w:cs="宋体"/>
                <w:b/>
                <w:bCs/>
                <w:color w:val="auto"/>
                <w:kern w:val="2"/>
                <w:sz w:val="24"/>
                <w:szCs w:val="24"/>
                <w:highlight w:val="none"/>
                <w:vertAlign w:val="baseline"/>
                <w:lang w:val="en-US" w:eastAsia="zh-CN" w:bidi="ar-SA"/>
              </w:rPr>
            </w:pPr>
            <w:r>
              <w:rPr>
                <w:rFonts w:hint="eastAsia" w:ascii="方正黑体_GBK" w:hAnsi="方正黑体_GBK" w:eastAsia="方正黑体_GBK" w:cs="方正黑体_GBK"/>
                <w:i w:val="0"/>
                <w:iCs w:val="0"/>
                <w:color w:val="000000"/>
                <w:kern w:val="0"/>
                <w:sz w:val="24"/>
                <w:szCs w:val="24"/>
                <w:u w:val="none"/>
                <w:lang w:val="en-US" w:eastAsia="zh-CN" w:bidi="ar"/>
              </w:rPr>
              <w:t>备注</w:t>
            </w:r>
          </w:p>
        </w:tc>
      </w:tr>
      <w:tr w14:paraId="121B90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01" w:type="dxa"/>
            <w:vAlign w:val="center"/>
          </w:tcPr>
          <w:p w14:paraId="78D24C83">
            <w:pPr>
              <w:keepNext w:val="0"/>
              <w:keepLines w:val="0"/>
              <w:pageBreakBefore w:val="0"/>
              <w:widowControl w:val="0"/>
              <w:kinsoku w:val="0"/>
              <w:wordWrap w:val="0"/>
              <w:overflowPunct/>
              <w:topLinePunct w:val="0"/>
              <w:autoSpaceDE/>
              <w:bidi w:val="0"/>
              <w:adjustRightInd/>
              <w:snapToGrid/>
              <w:spacing w:line="500" w:lineRule="exact"/>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1</w:t>
            </w:r>
          </w:p>
        </w:tc>
        <w:tc>
          <w:tcPr>
            <w:tcW w:w="2640" w:type="dxa"/>
            <w:vAlign w:val="center"/>
          </w:tcPr>
          <w:p w14:paraId="2965B814">
            <w:pPr>
              <w:keepNext w:val="0"/>
              <w:keepLines w:val="0"/>
              <w:pageBreakBefore w:val="0"/>
              <w:widowControl w:val="0"/>
              <w:kinsoku w:val="0"/>
              <w:wordWrap w:val="0"/>
              <w:overflowPunct/>
              <w:topLinePunct w:val="0"/>
              <w:autoSpaceDE/>
              <w:bidi w:val="0"/>
              <w:adjustRightInd/>
              <w:snapToGrid/>
              <w:spacing w:line="500" w:lineRule="exact"/>
              <w:jc w:val="center"/>
              <w:textAlignment w:val="auto"/>
              <w:rPr>
                <w:rFonts w:hint="default" w:ascii="宋体" w:hAnsi="宋体" w:eastAsia="宋体" w:cs="宋体"/>
                <w:b w:val="0"/>
                <w:bCs w:val="0"/>
                <w:color w:val="auto"/>
                <w:sz w:val="24"/>
                <w:szCs w:val="24"/>
                <w:highlight w:val="none"/>
                <w:vertAlign w:val="baseline"/>
                <w:lang w:val="en-US"/>
              </w:rPr>
            </w:pPr>
          </w:p>
        </w:tc>
        <w:tc>
          <w:tcPr>
            <w:tcW w:w="1899" w:type="dxa"/>
            <w:vAlign w:val="center"/>
          </w:tcPr>
          <w:p w14:paraId="1180A321">
            <w:pPr>
              <w:keepNext w:val="0"/>
              <w:keepLines w:val="0"/>
              <w:pageBreakBefore w:val="0"/>
              <w:widowControl w:val="0"/>
              <w:kinsoku w:val="0"/>
              <w:wordWrap w:val="0"/>
              <w:overflowPunct/>
              <w:topLinePunct w:val="0"/>
              <w:autoSpaceDE/>
              <w:bidi w:val="0"/>
              <w:adjustRightInd/>
              <w:snapToGrid/>
              <w:spacing w:line="500" w:lineRule="exact"/>
              <w:jc w:val="center"/>
              <w:textAlignment w:val="auto"/>
              <w:rPr>
                <w:rFonts w:hint="eastAsia" w:ascii="宋体" w:hAnsi="宋体" w:eastAsia="宋体" w:cs="宋体"/>
                <w:b w:val="0"/>
                <w:bCs w:val="0"/>
                <w:color w:val="auto"/>
                <w:sz w:val="24"/>
                <w:szCs w:val="24"/>
                <w:highlight w:val="none"/>
                <w:vertAlign w:val="baseline"/>
                <w:lang w:val="en-US" w:eastAsia="zh-CN"/>
              </w:rPr>
            </w:pPr>
          </w:p>
        </w:tc>
        <w:tc>
          <w:tcPr>
            <w:tcW w:w="1712" w:type="dxa"/>
            <w:vAlign w:val="center"/>
          </w:tcPr>
          <w:p w14:paraId="06BE0AE9">
            <w:pPr>
              <w:keepNext w:val="0"/>
              <w:keepLines w:val="0"/>
              <w:pageBreakBefore w:val="0"/>
              <w:widowControl w:val="0"/>
              <w:kinsoku w:val="0"/>
              <w:wordWrap w:val="0"/>
              <w:overflowPunct/>
              <w:topLinePunct w:val="0"/>
              <w:autoSpaceDE/>
              <w:bidi w:val="0"/>
              <w:adjustRightInd/>
              <w:snapToGrid/>
              <w:spacing w:line="500" w:lineRule="exact"/>
              <w:jc w:val="center"/>
              <w:textAlignment w:val="auto"/>
              <w:rPr>
                <w:rFonts w:hint="eastAsia" w:ascii="宋体" w:hAnsi="宋体" w:eastAsia="宋体" w:cs="宋体"/>
                <w:b w:val="0"/>
                <w:bCs w:val="0"/>
                <w:color w:val="auto"/>
                <w:sz w:val="24"/>
                <w:szCs w:val="24"/>
                <w:highlight w:val="none"/>
                <w:vertAlign w:val="baseline"/>
              </w:rPr>
            </w:pPr>
          </w:p>
        </w:tc>
      </w:tr>
      <w:tr w14:paraId="2EA0D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01" w:type="dxa"/>
            <w:vAlign w:val="center"/>
          </w:tcPr>
          <w:p w14:paraId="59EC69CD">
            <w:pPr>
              <w:keepNext w:val="0"/>
              <w:keepLines w:val="0"/>
              <w:pageBreakBefore w:val="0"/>
              <w:widowControl w:val="0"/>
              <w:kinsoku w:val="0"/>
              <w:wordWrap w:val="0"/>
              <w:overflowPunct/>
              <w:topLinePunct w:val="0"/>
              <w:autoSpaceDE/>
              <w:bidi w:val="0"/>
              <w:adjustRightInd/>
              <w:snapToGrid/>
              <w:spacing w:line="500" w:lineRule="exact"/>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2</w:t>
            </w:r>
          </w:p>
        </w:tc>
        <w:tc>
          <w:tcPr>
            <w:tcW w:w="2640" w:type="dxa"/>
            <w:vAlign w:val="center"/>
          </w:tcPr>
          <w:p w14:paraId="5E864E72">
            <w:pPr>
              <w:keepNext w:val="0"/>
              <w:keepLines w:val="0"/>
              <w:pageBreakBefore w:val="0"/>
              <w:widowControl w:val="0"/>
              <w:kinsoku w:val="0"/>
              <w:wordWrap w:val="0"/>
              <w:overflowPunct/>
              <w:topLinePunct w:val="0"/>
              <w:autoSpaceDE/>
              <w:bidi w:val="0"/>
              <w:adjustRightInd/>
              <w:snapToGrid/>
              <w:spacing w:line="500" w:lineRule="exact"/>
              <w:jc w:val="center"/>
              <w:textAlignment w:val="auto"/>
              <w:rPr>
                <w:rFonts w:hint="default" w:ascii="宋体" w:hAnsi="宋体" w:eastAsia="宋体" w:cs="宋体"/>
                <w:b w:val="0"/>
                <w:bCs w:val="0"/>
                <w:color w:val="auto"/>
                <w:sz w:val="24"/>
                <w:szCs w:val="24"/>
                <w:highlight w:val="none"/>
                <w:vertAlign w:val="baseline"/>
                <w:lang w:val="en-US" w:eastAsia="zh-CN"/>
              </w:rPr>
            </w:pPr>
          </w:p>
        </w:tc>
        <w:tc>
          <w:tcPr>
            <w:tcW w:w="1899" w:type="dxa"/>
            <w:vAlign w:val="center"/>
          </w:tcPr>
          <w:p w14:paraId="717F198D">
            <w:pPr>
              <w:keepNext w:val="0"/>
              <w:keepLines w:val="0"/>
              <w:pageBreakBefore w:val="0"/>
              <w:widowControl w:val="0"/>
              <w:kinsoku w:val="0"/>
              <w:wordWrap w:val="0"/>
              <w:overflowPunct/>
              <w:topLinePunct w:val="0"/>
              <w:autoSpaceDE/>
              <w:bidi w:val="0"/>
              <w:adjustRightInd/>
              <w:snapToGrid/>
              <w:spacing w:line="500" w:lineRule="exact"/>
              <w:jc w:val="center"/>
              <w:textAlignment w:val="auto"/>
              <w:rPr>
                <w:rFonts w:hint="eastAsia" w:ascii="宋体" w:hAnsi="宋体" w:eastAsia="宋体" w:cs="宋体"/>
                <w:b w:val="0"/>
                <w:bCs w:val="0"/>
                <w:color w:val="auto"/>
                <w:sz w:val="24"/>
                <w:szCs w:val="24"/>
                <w:highlight w:val="none"/>
                <w:vertAlign w:val="baseline"/>
                <w:lang w:val="en-US" w:eastAsia="zh-CN"/>
              </w:rPr>
            </w:pPr>
          </w:p>
        </w:tc>
        <w:tc>
          <w:tcPr>
            <w:tcW w:w="1712" w:type="dxa"/>
            <w:vAlign w:val="center"/>
          </w:tcPr>
          <w:p w14:paraId="4CC2A512">
            <w:pPr>
              <w:keepNext w:val="0"/>
              <w:keepLines w:val="0"/>
              <w:pageBreakBefore w:val="0"/>
              <w:widowControl w:val="0"/>
              <w:kinsoku w:val="0"/>
              <w:wordWrap w:val="0"/>
              <w:overflowPunct/>
              <w:topLinePunct w:val="0"/>
              <w:autoSpaceDE/>
              <w:bidi w:val="0"/>
              <w:adjustRightInd/>
              <w:snapToGrid/>
              <w:spacing w:line="500" w:lineRule="exact"/>
              <w:jc w:val="center"/>
              <w:textAlignment w:val="auto"/>
              <w:rPr>
                <w:rFonts w:hint="eastAsia" w:ascii="宋体" w:hAnsi="宋体" w:eastAsia="宋体" w:cs="宋体"/>
                <w:b w:val="0"/>
                <w:bCs w:val="0"/>
                <w:color w:val="auto"/>
                <w:sz w:val="24"/>
                <w:szCs w:val="24"/>
                <w:highlight w:val="none"/>
                <w:vertAlign w:val="baseline"/>
              </w:rPr>
            </w:pPr>
          </w:p>
        </w:tc>
      </w:tr>
      <w:tr w14:paraId="23C0F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01" w:type="dxa"/>
            <w:vAlign w:val="center"/>
          </w:tcPr>
          <w:p w14:paraId="66F6E0CB">
            <w:pPr>
              <w:keepNext w:val="0"/>
              <w:keepLines w:val="0"/>
              <w:pageBreakBefore w:val="0"/>
              <w:widowControl w:val="0"/>
              <w:kinsoku w:val="0"/>
              <w:wordWrap w:val="0"/>
              <w:overflowPunct/>
              <w:topLinePunct w:val="0"/>
              <w:autoSpaceDE/>
              <w:bidi w:val="0"/>
              <w:adjustRightInd/>
              <w:snapToGrid/>
              <w:spacing w:line="500" w:lineRule="exact"/>
              <w:jc w:val="center"/>
              <w:textAlignment w:val="auto"/>
              <w:rPr>
                <w:rFonts w:hint="default" w:ascii="宋体" w:hAnsi="宋体" w:eastAsia="宋体" w:cs="宋体"/>
                <w:b w:val="0"/>
                <w:bCs w:val="0"/>
                <w:color w:val="auto"/>
                <w:sz w:val="24"/>
                <w:szCs w:val="24"/>
                <w:highlight w:val="none"/>
                <w:vertAlign w:val="baseline"/>
                <w:lang w:val="en-US" w:eastAsia="zh-CN"/>
              </w:rPr>
            </w:pPr>
            <w:r>
              <w:rPr>
                <w:rFonts w:hint="eastAsia" w:ascii="宋体" w:hAnsi="宋体" w:cs="宋体"/>
                <w:b w:val="0"/>
                <w:bCs w:val="0"/>
                <w:color w:val="auto"/>
                <w:sz w:val="24"/>
                <w:szCs w:val="24"/>
                <w:highlight w:val="none"/>
                <w:vertAlign w:val="baseline"/>
                <w:lang w:val="en-US" w:eastAsia="zh-CN"/>
              </w:rPr>
              <w:t>……</w:t>
            </w:r>
          </w:p>
        </w:tc>
        <w:tc>
          <w:tcPr>
            <w:tcW w:w="2640" w:type="dxa"/>
            <w:vAlign w:val="center"/>
          </w:tcPr>
          <w:p w14:paraId="4A24B61B">
            <w:pPr>
              <w:keepNext w:val="0"/>
              <w:keepLines w:val="0"/>
              <w:pageBreakBefore w:val="0"/>
              <w:widowControl w:val="0"/>
              <w:kinsoku w:val="0"/>
              <w:wordWrap w:val="0"/>
              <w:overflowPunct/>
              <w:topLinePunct w:val="0"/>
              <w:autoSpaceDE/>
              <w:bidi w:val="0"/>
              <w:adjustRightInd/>
              <w:snapToGrid/>
              <w:spacing w:line="500" w:lineRule="exact"/>
              <w:jc w:val="center"/>
              <w:textAlignment w:val="auto"/>
              <w:rPr>
                <w:rFonts w:hint="default" w:ascii="宋体" w:hAnsi="宋体" w:eastAsia="宋体" w:cs="宋体"/>
                <w:b w:val="0"/>
                <w:bCs w:val="0"/>
                <w:color w:val="auto"/>
                <w:sz w:val="24"/>
                <w:szCs w:val="24"/>
                <w:highlight w:val="none"/>
                <w:vertAlign w:val="baseline"/>
                <w:lang w:val="en-US" w:eastAsia="zh-CN"/>
              </w:rPr>
            </w:pPr>
          </w:p>
        </w:tc>
        <w:tc>
          <w:tcPr>
            <w:tcW w:w="1899" w:type="dxa"/>
            <w:vAlign w:val="center"/>
          </w:tcPr>
          <w:p w14:paraId="36D47AE5">
            <w:pPr>
              <w:keepNext w:val="0"/>
              <w:keepLines w:val="0"/>
              <w:pageBreakBefore w:val="0"/>
              <w:widowControl w:val="0"/>
              <w:kinsoku w:val="0"/>
              <w:wordWrap w:val="0"/>
              <w:overflowPunct/>
              <w:topLinePunct w:val="0"/>
              <w:autoSpaceDE/>
              <w:bidi w:val="0"/>
              <w:adjustRightInd/>
              <w:snapToGrid/>
              <w:spacing w:line="500" w:lineRule="exact"/>
              <w:jc w:val="center"/>
              <w:textAlignment w:val="auto"/>
              <w:rPr>
                <w:rFonts w:hint="eastAsia" w:ascii="宋体" w:hAnsi="宋体" w:eastAsia="宋体" w:cs="宋体"/>
                <w:b w:val="0"/>
                <w:bCs w:val="0"/>
                <w:color w:val="auto"/>
                <w:sz w:val="24"/>
                <w:szCs w:val="24"/>
                <w:highlight w:val="none"/>
                <w:vertAlign w:val="baseline"/>
                <w:lang w:val="en-US" w:eastAsia="zh-CN"/>
              </w:rPr>
            </w:pPr>
          </w:p>
        </w:tc>
        <w:tc>
          <w:tcPr>
            <w:tcW w:w="1712" w:type="dxa"/>
            <w:vAlign w:val="center"/>
          </w:tcPr>
          <w:p w14:paraId="60013A75">
            <w:pPr>
              <w:keepNext w:val="0"/>
              <w:keepLines w:val="0"/>
              <w:pageBreakBefore w:val="0"/>
              <w:widowControl w:val="0"/>
              <w:kinsoku w:val="0"/>
              <w:wordWrap w:val="0"/>
              <w:overflowPunct/>
              <w:topLinePunct w:val="0"/>
              <w:autoSpaceDE/>
              <w:bidi w:val="0"/>
              <w:adjustRightInd/>
              <w:snapToGrid/>
              <w:spacing w:line="500" w:lineRule="exact"/>
              <w:jc w:val="center"/>
              <w:textAlignment w:val="auto"/>
              <w:rPr>
                <w:rFonts w:hint="eastAsia" w:ascii="宋体" w:hAnsi="宋体" w:eastAsia="宋体" w:cs="宋体"/>
                <w:b w:val="0"/>
                <w:bCs w:val="0"/>
                <w:color w:val="auto"/>
                <w:sz w:val="24"/>
                <w:szCs w:val="24"/>
                <w:highlight w:val="none"/>
                <w:vertAlign w:val="baseline"/>
              </w:rPr>
            </w:pPr>
          </w:p>
        </w:tc>
      </w:tr>
    </w:tbl>
    <w:p w14:paraId="432B0B92">
      <w:pPr>
        <w:rPr>
          <w:rFonts w:hint="eastAsia"/>
          <w:u w:val="none"/>
          <w:lang w:val="en-US" w:eastAsia="zh-CN"/>
        </w:rPr>
      </w:pPr>
    </w:p>
    <w:p w14:paraId="2BEC23D6">
      <w:pPr>
        <w:keepNext w:val="0"/>
        <w:keepLines w:val="0"/>
        <w:pageBreakBefore w:val="0"/>
        <w:widowControl w:val="0"/>
        <w:shd w:val="clear" w:color="auto" w:fill="auto"/>
        <w:tabs>
          <w:tab w:val="left" w:pos="180"/>
        </w:tabs>
        <w:kinsoku w:val="0"/>
        <w:wordWrap w:val="0"/>
        <w:bidi w:val="0"/>
        <w:spacing w:line="360" w:lineRule="auto"/>
        <w:ind w:firstLine="482" w:firstLineChars="200"/>
        <w:textAlignment w:val="auto"/>
        <w:rPr>
          <w:rFonts w:hint="default" w:asciiTheme="minorEastAsia" w:hAnsiTheme="minorEastAsia" w:eastAsiaTheme="minorEastAsia" w:cstheme="minorEastAsia"/>
          <w:b/>
          <w:bCs w:val="0"/>
          <w:color w:val="auto"/>
          <w:sz w:val="24"/>
          <w:szCs w:val="24"/>
          <w:highlight w:val="none"/>
          <w:lang w:val="en-US" w:eastAsia="zh-CN"/>
        </w:rPr>
      </w:pPr>
      <w:r>
        <w:rPr>
          <w:rFonts w:hint="eastAsia" w:asciiTheme="minorEastAsia" w:hAnsiTheme="minorEastAsia" w:eastAsiaTheme="minorEastAsia" w:cstheme="minorEastAsia"/>
          <w:b/>
          <w:bCs w:val="0"/>
          <w:color w:val="auto"/>
          <w:sz w:val="24"/>
          <w:szCs w:val="24"/>
          <w:highlight w:val="none"/>
          <w:lang w:val="en-US" w:eastAsia="zh-CN"/>
        </w:rPr>
        <w:t>请按此格式依次报出所有分部分项单价。</w:t>
      </w:r>
    </w:p>
    <w:p w14:paraId="761466E8">
      <w:pPr>
        <w:keepNext w:val="0"/>
        <w:keepLines w:val="0"/>
        <w:pageBreakBefore w:val="0"/>
        <w:widowControl w:val="0"/>
        <w:shd w:val="clear" w:color="auto" w:fill="auto"/>
        <w:tabs>
          <w:tab w:val="left" w:pos="180"/>
        </w:tabs>
        <w:kinsoku w:val="0"/>
        <w:wordWrap w:val="0"/>
        <w:bidi w:val="0"/>
        <w:spacing w:line="360" w:lineRule="auto"/>
        <w:ind w:firstLine="482" w:firstLineChars="200"/>
        <w:textAlignment w:val="auto"/>
        <w:rPr>
          <w:rFonts w:hint="eastAsia" w:asciiTheme="minorEastAsia" w:hAnsiTheme="minorEastAsia" w:eastAsiaTheme="minorEastAsia" w:cstheme="minorEastAsia"/>
          <w:b/>
          <w:bCs w:val="0"/>
          <w:color w:val="auto"/>
          <w:sz w:val="24"/>
          <w:szCs w:val="24"/>
          <w:highlight w:val="none"/>
        </w:rPr>
      </w:pPr>
      <w:r>
        <w:rPr>
          <w:rFonts w:hint="eastAsia" w:asciiTheme="minorEastAsia" w:hAnsiTheme="minorEastAsia" w:eastAsiaTheme="minorEastAsia" w:cstheme="minorEastAsia"/>
          <w:b/>
          <w:bCs w:val="0"/>
          <w:color w:val="auto"/>
          <w:sz w:val="24"/>
          <w:szCs w:val="24"/>
          <w:highlight w:val="none"/>
          <w:lang w:val="en-US" w:eastAsia="zh-CN"/>
        </w:rPr>
        <w:t>注：投标报价为完成本次采购所需的全部费用，包括但不限于设备自生产（或采购）至安装调试验收合格、培训、售后服务等的全部费用，包括但不限于生产（或采购）、商检（如涉及）、包装、运输（含二次运输）、装卸、保管、安装调试、检验、验收、测试、保修、维护保养、备品备件、技术培训、售后服务、保险费、管理费、税费等全部费用</w:t>
      </w:r>
      <w:r>
        <w:rPr>
          <w:rFonts w:hint="eastAsia" w:asciiTheme="minorEastAsia" w:hAnsiTheme="minorEastAsia" w:eastAsiaTheme="minorEastAsia" w:cstheme="minorEastAsia"/>
          <w:b/>
          <w:bCs w:val="0"/>
          <w:color w:val="auto"/>
          <w:sz w:val="24"/>
          <w:szCs w:val="24"/>
          <w:highlight w:val="none"/>
          <w:lang w:eastAsia="zh-CN"/>
        </w:rPr>
        <w:t>；</w:t>
      </w:r>
      <w:r>
        <w:rPr>
          <w:rFonts w:hint="eastAsia" w:asciiTheme="minorEastAsia" w:hAnsiTheme="minorEastAsia" w:eastAsiaTheme="minorEastAsia" w:cstheme="minorEastAsia"/>
          <w:b/>
          <w:bCs w:val="0"/>
          <w:color w:val="auto"/>
          <w:sz w:val="24"/>
          <w:szCs w:val="24"/>
          <w:highlight w:val="none"/>
          <w:lang w:val="en-US" w:eastAsia="zh-CN"/>
        </w:rPr>
        <w:t>投标报价</w:t>
      </w:r>
      <w:r>
        <w:rPr>
          <w:rFonts w:hint="eastAsia" w:asciiTheme="minorEastAsia" w:hAnsiTheme="minorEastAsia" w:eastAsiaTheme="minorEastAsia" w:cstheme="minorEastAsia"/>
          <w:b/>
          <w:bCs w:val="0"/>
          <w:color w:val="auto"/>
          <w:sz w:val="24"/>
          <w:szCs w:val="24"/>
          <w:highlight w:val="none"/>
          <w:lang w:eastAsia="zh-CN"/>
        </w:rPr>
        <w:t>应充分考虑市场风险、价格风险、政策风险、汇率风险等所有因素</w:t>
      </w:r>
      <w:r>
        <w:rPr>
          <w:rFonts w:hint="eastAsia" w:asciiTheme="minorEastAsia" w:hAnsiTheme="minorEastAsia" w:eastAsiaTheme="minorEastAsia" w:cstheme="minorEastAsia"/>
          <w:b/>
          <w:bCs w:val="0"/>
          <w:color w:val="auto"/>
          <w:sz w:val="24"/>
          <w:szCs w:val="24"/>
          <w:highlight w:val="none"/>
        </w:rPr>
        <w:t>。</w:t>
      </w:r>
    </w:p>
    <w:p w14:paraId="6074D320">
      <w:pPr>
        <w:keepNext w:val="0"/>
        <w:keepLines w:val="0"/>
        <w:pageBreakBefore w:val="0"/>
        <w:widowControl w:val="0"/>
        <w:shd w:val="clear" w:color="auto" w:fill="auto"/>
        <w:kinsoku w:val="0"/>
        <w:wordWrap w:val="0"/>
        <w:bidi w:val="0"/>
        <w:spacing w:line="360" w:lineRule="auto"/>
        <w:jc w:val="left"/>
        <w:textAlignment w:val="auto"/>
        <w:rPr>
          <w:rFonts w:hint="eastAsia" w:asciiTheme="minorEastAsia" w:hAnsiTheme="minorEastAsia" w:eastAsiaTheme="minorEastAsia" w:cstheme="minorEastAsia"/>
          <w:color w:val="auto"/>
          <w:sz w:val="24"/>
          <w:szCs w:val="24"/>
          <w:highlight w:val="none"/>
          <w:lang w:val="en-US" w:eastAsia="zh-CN"/>
        </w:rPr>
      </w:pPr>
    </w:p>
    <w:p w14:paraId="50682AD6">
      <w:pPr>
        <w:keepNext w:val="0"/>
        <w:keepLines w:val="0"/>
        <w:pageBreakBefore w:val="0"/>
        <w:widowControl w:val="0"/>
        <w:shd w:val="clear" w:color="auto" w:fill="auto"/>
        <w:kinsoku w:val="0"/>
        <w:wordWrap w:val="0"/>
        <w:bidi w:val="0"/>
        <w:spacing w:line="360" w:lineRule="auto"/>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供应商</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（电子签章）  </w:t>
      </w:r>
    </w:p>
    <w:p w14:paraId="7BAB39A3">
      <w:pPr>
        <w:keepNext w:val="0"/>
        <w:keepLines w:val="0"/>
        <w:pageBreakBefore w:val="0"/>
        <w:widowControl w:val="0"/>
        <w:shd w:val="clear" w:color="auto" w:fill="auto"/>
        <w:kinsoku w:val="0"/>
        <w:wordWrap w:val="0"/>
        <w:bidi w:val="0"/>
        <w:spacing w:line="360" w:lineRule="auto"/>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法定代表人或其委托代理人</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lang w:eastAsia="zh-CN"/>
        </w:rPr>
        <w:t>（电子签章）</w:t>
      </w:r>
      <w:r>
        <w:rPr>
          <w:rFonts w:hint="eastAsia" w:asciiTheme="minorEastAsia" w:hAnsiTheme="minorEastAsia" w:eastAsiaTheme="minorEastAsia" w:cstheme="minorEastAsia"/>
          <w:color w:val="auto"/>
          <w:sz w:val="24"/>
          <w:szCs w:val="24"/>
          <w:highlight w:val="none"/>
        </w:rPr>
        <w:t xml:space="preserve"> </w:t>
      </w:r>
    </w:p>
    <w:p w14:paraId="2597E837">
      <w:pPr>
        <w:keepNext w:val="0"/>
        <w:keepLines w:val="0"/>
        <w:pageBreakBefore w:val="0"/>
        <w:widowControl w:val="0"/>
        <w:shd w:val="clear" w:color="auto" w:fill="auto"/>
        <w:kinsoku w:val="0"/>
        <w:wordWrap w:val="0"/>
        <w:bidi w:val="0"/>
        <w:spacing w:line="360" w:lineRule="auto"/>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日  期：</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年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p w14:paraId="41B3E922">
      <w:pPr>
        <w:keepNext w:val="0"/>
        <w:keepLines w:val="0"/>
        <w:pageBreakBefore w:val="0"/>
        <w:widowControl w:val="0"/>
        <w:shd w:val="clear" w:color="auto" w:fill="auto"/>
        <w:kinsoku w:val="0"/>
        <w:wordWrap w:val="0"/>
        <w:bidi w:val="0"/>
        <w:jc w:val="center"/>
        <w:textAlignment w:val="auto"/>
        <w:rPr>
          <w:rFonts w:hint="eastAsia" w:asciiTheme="minorEastAsia" w:hAnsiTheme="minorEastAsia" w:eastAsiaTheme="minorEastAsia" w:cstheme="minorEastAsia"/>
          <w:b/>
          <w:color w:val="auto"/>
          <w:sz w:val="24"/>
          <w:szCs w:val="24"/>
          <w:highlight w:val="none"/>
          <w:lang w:val="en-US" w:eastAsia="zh-CN"/>
        </w:rPr>
      </w:pPr>
    </w:p>
    <w:p w14:paraId="5ED47096">
      <w:pPr>
        <w:keepNext w:val="0"/>
        <w:keepLines w:val="0"/>
        <w:pageBreakBefore w:val="0"/>
        <w:widowControl w:val="0"/>
        <w:shd w:val="clear" w:color="auto" w:fill="auto"/>
        <w:kinsoku w:val="0"/>
        <w:wordWrap w:val="0"/>
        <w:bidi w:val="0"/>
        <w:jc w:val="center"/>
        <w:textAlignment w:val="auto"/>
        <w:rPr>
          <w:rFonts w:hint="eastAsia" w:asciiTheme="minorEastAsia" w:hAnsiTheme="minorEastAsia" w:eastAsiaTheme="minorEastAsia" w:cstheme="minorEastAsia"/>
          <w:b/>
          <w:color w:val="auto"/>
          <w:sz w:val="24"/>
          <w:szCs w:val="24"/>
          <w:highlight w:val="none"/>
          <w:lang w:val="en-US" w:eastAsia="zh-CN"/>
        </w:rPr>
      </w:pPr>
    </w:p>
    <w:p w14:paraId="7914D56E">
      <w:pPr>
        <w:keepNext w:val="0"/>
        <w:keepLines w:val="0"/>
        <w:pageBreakBefore w:val="0"/>
        <w:widowControl w:val="0"/>
        <w:shd w:val="clear" w:color="auto" w:fill="auto"/>
        <w:kinsoku w:val="0"/>
        <w:wordWrap w:val="0"/>
        <w:bidi w:val="0"/>
        <w:jc w:val="center"/>
        <w:textAlignment w:val="auto"/>
        <w:rPr>
          <w:rFonts w:hint="eastAsia" w:asciiTheme="minorEastAsia" w:hAnsiTheme="minorEastAsia" w:eastAsiaTheme="minorEastAsia" w:cstheme="minorEastAsia"/>
          <w:b/>
          <w:color w:val="auto"/>
          <w:sz w:val="24"/>
          <w:szCs w:val="24"/>
          <w:highlight w:val="none"/>
          <w:lang w:val="en-US" w:eastAsia="zh-CN"/>
        </w:rPr>
      </w:pPr>
    </w:p>
    <w:p w14:paraId="52AFFB0C">
      <w:pPr>
        <w:keepNext w:val="0"/>
        <w:keepLines w:val="0"/>
        <w:pageBreakBefore w:val="0"/>
        <w:widowControl w:val="0"/>
        <w:shd w:val="clear" w:color="auto" w:fill="auto"/>
        <w:kinsoku w:val="0"/>
        <w:wordWrap w:val="0"/>
        <w:bidi w:val="0"/>
        <w:jc w:val="center"/>
        <w:textAlignment w:val="auto"/>
        <w:rPr>
          <w:rFonts w:hint="eastAsia" w:asciiTheme="minorEastAsia" w:hAnsiTheme="minorEastAsia" w:eastAsiaTheme="minorEastAsia" w:cstheme="minorEastAsia"/>
          <w:b/>
          <w:color w:val="auto"/>
          <w:sz w:val="24"/>
          <w:szCs w:val="24"/>
          <w:highlight w:val="none"/>
          <w:lang w:val="en-US" w:eastAsia="zh-CN"/>
        </w:rPr>
      </w:pPr>
    </w:p>
    <w:p w14:paraId="2E500692">
      <w:pPr>
        <w:keepNext w:val="0"/>
        <w:keepLines w:val="0"/>
        <w:pageBreakBefore w:val="0"/>
        <w:widowControl w:val="0"/>
        <w:shd w:val="clear" w:color="auto" w:fill="auto"/>
        <w:kinsoku w:val="0"/>
        <w:wordWrap w:val="0"/>
        <w:bidi w:val="0"/>
        <w:jc w:val="center"/>
        <w:textAlignment w:val="auto"/>
        <w:rPr>
          <w:rFonts w:hint="eastAsia" w:asciiTheme="minorEastAsia" w:hAnsiTheme="minorEastAsia" w:eastAsiaTheme="minorEastAsia" w:cstheme="minorEastAsia"/>
          <w:b/>
          <w:color w:val="auto"/>
          <w:sz w:val="24"/>
          <w:szCs w:val="24"/>
          <w:highlight w:val="none"/>
          <w:lang w:val="en-US" w:eastAsia="zh-CN"/>
        </w:rPr>
      </w:pPr>
    </w:p>
    <w:p w14:paraId="752BEF77">
      <w:pPr>
        <w:keepNext w:val="0"/>
        <w:keepLines w:val="0"/>
        <w:pageBreakBefore w:val="0"/>
        <w:widowControl w:val="0"/>
        <w:shd w:val="clear" w:color="auto" w:fill="auto"/>
        <w:kinsoku w:val="0"/>
        <w:wordWrap w:val="0"/>
        <w:bidi w:val="0"/>
        <w:jc w:val="center"/>
        <w:textAlignment w:val="auto"/>
        <w:rPr>
          <w:rFonts w:hint="eastAsia" w:asciiTheme="minorEastAsia" w:hAnsiTheme="minorEastAsia" w:eastAsiaTheme="minorEastAsia" w:cstheme="minorEastAsia"/>
          <w:b/>
          <w:color w:val="auto"/>
          <w:sz w:val="24"/>
          <w:szCs w:val="24"/>
          <w:highlight w:val="none"/>
          <w:lang w:val="en-US" w:eastAsia="zh-CN"/>
        </w:rPr>
      </w:pPr>
    </w:p>
    <w:p w14:paraId="0BC941BB">
      <w:pPr>
        <w:keepNext w:val="0"/>
        <w:keepLines w:val="0"/>
        <w:pageBreakBefore w:val="0"/>
        <w:widowControl w:val="0"/>
        <w:shd w:val="clear" w:color="auto" w:fill="auto"/>
        <w:kinsoku w:val="0"/>
        <w:wordWrap w:val="0"/>
        <w:bidi w:val="0"/>
        <w:jc w:val="center"/>
        <w:textAlignment w:val="auto"/>
        <w:outlineLvl w:val="1"/>
        <w:rPr>
          <w:rFonts w:hint="eastAsia" w:asciiTheme="minorEastAsia" w:hAnsiTheme="minorEastAsia" w:eastAsiaTheme="minorEastAsia" w:cstheme="minorEastAsia"/>
          <w:b/>
          <w:color w:val="auto"/>
          <w:sz w:val="24"/>
          <w:szCs w:val="24"/>
          <w:highlight w:val="none"/>
          <w:lang w:val="en-US" w:eastAsia="zh-CN"/>
        </w:rPr>
        <w:sectPr>
          <w:pgSz w:w="11906" w:h="16838"/>
          <w:pgMar w:top="1361" w:right="1474" w:bottom="1361" w:left="1587" w:header="850" w:footer="992" w:gutter="0"/>
          <w:pgNumType w:fmt="decimal"/>
          <w:cols w:space="0" w:num="1"/>
          <w:rtlGutter w:val="0"/>
          <w:docGrid w:type="lines" w:linePitch="314" w:charSpace="0"/>
        </w:sectPr>
      </w:pPr>
      <w:bookmarkStart w:id="106" w:name="_Toc22448"/>
    </w:p>
    <w:p w14:paraId="39FA8AB5">
      <w:pPr>
        <w:keepNext w:val="0"/>
        <w:keepLines w:val="0"/>
        <w:pageBreakBefore w:val="0"/>
        <w:widowControl w:val="0"/>
        <w:shd w:val="clear" w:color="auto" w:fill="auto"/>
        <w:kinsoku w:val="0"/>
        <w:wordWrap w:val="0"/>
        <w:bidi w:val="0"/>
        <w:jc w:val="center"/>
        <w:textAlignment w:val="auto"/>
        <w:outlineLvl w:val="1"/>
        <w:rPr>
          <w:rFonts w:hint="eastAsia" w:asciiTheme="minorEastAsia" w:hAnsiTheme="minorEastAsia" w:eastAsiaTheme="minorEastAsia" w:cstheme="minorEastAsia"/>
          <w:b/>
          <w:color w:val="auto"/>
          <w:sz w:val="24"/>
          <w:szCs w:val="24"/>
          <w:highlight w:val="none"/>
        </w:rPr>
      </w:pPr>
      <w:bookmarkStart w:id="107" w:name="_Toc31017"/>
      <w:r>
        <w:rPr>
          <w:rFonts w:hint="eastAsia" w:asciiTheme="minorEastAsia" w:hAnsiTheme="minorEastAsia" w:eastAsiaTheme="minorEastAsia" w:cstheme="minorEastAsia"/>
          <w:b/>
          <w:color w:val="auto"/>
          <w:sz w:val="24"/>
          <w:szCs w:val="24"/>
          <w:highlight w:val="none"/>
          <w:lang w:val="en-US" w:eastAsia="zh-CN"/>
        </w:rPr>
        <w:t>二</w:t>
      </w:r>
      <w:r>
        <w:rPr>
          <w:rFonts w:hint="eastAsia" w:asciiTheme="minorEastAsia" w:hAnsiTheme="minorEastAsia" w:eastAsiaTheme="minorEastAsia" w:cstheme="minorEastAsia"/>
          <w:b/>
          <w:color w:val="auto"/>
          <w:sz w:val="24"/>
          <w:szCs w:val="24"/>
          <w:highlight w:val="none"/>
        </w:rPr>
        <w:t>、投标函</w:t>
      </w:r>
      <w:bookmarkEnd w:id="106"/>
      <w:bookmarkEnd w:id="107"/>
    </w:p>
    <w:p w14:paraId="41FCB884">
      <w:pPr>
        <w:keepNext w:val="0"/>
        <w:keepLines w:val="0"/>
        <w:pageBreakBefore w:val="0"/>
        <w:widowControl w:val="0"/>
        <w:shd w:val="clear" w:color="auto" w:fill="auto"/>
        <w:kinsoku w:val="0"/>
        <w:wordWrap w:val="0"/>
        <w:overflowPunct/>
        <w:topLinePunct/>
        <w:autoSpaceDE/>
        <w:autoSpaceDN/>
        <w:bidi w:val="0"/>
        <w:adjustRightInd w:val="0"/>
        <w:snapToGrid/>
        <w:spacing w:line="360" w:lineRule="auto"/>
        <w:textAlignment w:val="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lang w:val="en-US" w:eastAsia="zh-CN"/>
        </w:rPr>
        <w:t>（采购人）</w:t>
      </w:r>
      <w:r>
        <w:rPr>
          <w:rFonts w:hint="eastAsia" w:asciiTheme="minorEastAsia" w:hAnsiTheme="minorEastAsia" w:eastAsiaTheme="minorEastAsia" w:cstheme="minorEastAsia"/>
          <w:color w:val="auto"/>
          <w:sz w:val="24"/>
          <w:szCs w:val="24"/>
          <w:highlight w:val="none"/>
          <w:u w:val="none"/>
        </w:rPr>
        <w:t>：</w:t>
      </w:r>
    </w:p>
    <w:p w14:paraId="5AE65F86">
      <w:pPr>
        <w:keepNext w:val="0"/>
        <w:keepLines w:val="0"/>
        <w:pageBreakBefore w:val="0"/>
        <w:widowControl w:val="0"/>
        <w:shd w:val="clear" w:color="auto" w:fill="auto"/>
        <w:kinsoku w:val="0"/>
        <w:wordWrap w:val="0"/>
        <w:overflowPunct/>
        <w:topLinePunct/>
        <w:autoSpaceDE/>
        <w:autoSpaceDN/>
        <w:bidi w:val="0"/>
        <w:adjustRightInd w:val="0"/>
        <w:snapToGrid/>
        <w:spacing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根据贵方</w:t>
      </w:r>
      <w:r>
        <w:rPr>
          <w:rFonts w:hint="eastAsia" w:asciiTheme="minorEastAsia" w:hAnsiTheme="minorEastAsia" w:eastAsiaTheme="minorEastAsia" w:cstheme="minorEastAsia"/>
          <w:color w:val="auto"/>
          <w:sz w:val="24"/>
          <w:szCs w:val="24"/>
          <w:highlight w:val="none"/>
          <w:u w:val="single"/>
          <w:lang w:eastAsia="zh-CN"/>
        </w:rPr>
        <w:t>文笔小学功能室、食堂及信息化设备采购</w:t>
      </w:r>
      <w:r>
        <w:rPr>
          <w:rFonts w:hint="eastAsia" w:asciiTheme="minorEastAsia" w:hAnsiTheme="minorEastAsia" w:eastAsiaTheme="minorEastAsia" w:cstheme="minorEastAsia"/>
          <w:color w:val="auto"/>
          <w:sz w:val="24"/>
          <w:szCs w:val="24"/>
          <w:highlight w:val="none"/>
          <w:u w:val="none"/>
          <w:lang w:val="en-US" w:eastAsia="zh-CN"/>
        </w:rPr>
        <w:t>的</w:t>
      </w:r>
      <w:r>
        <w:rPr>
          <w:rFonts w:hint="eastAsia" w:asciiTheme="minorEastAsia" w:hAnsiTheme="minorEastAsia" w:eastAsiaTheme="minorEastAsia" w:cstheme="minorEastAsia"/>
          <w:color w:val="auto"/>
          <w:sz w:val="24"/>
          <w:szCs w:val="24"/>
          <w:highlight w:val="none"/>
          <w:lang w:eastAsia="zh-CN"/>
        </w:rPr>
        <w:t>采购公告</w:t>
      </w:r>
      <w:r>
        <w:rPr>
          <w:rFonts w:hint="eastAsia" w:asciiTheme="minorEastAsia" w:hAnsiTheme="minorEastAsia" w:eastAsiaTheme="minorEastAsia" w:cstheme="minorEastAsia"/>
          <w:color w:val="auto"/>
          <w:sz w:val="24"/>
          <w:szCs w:val="24"/>
          <w:highlight w:val="none"/>
        </w:rPr>
        <w:t>，正式授权下述签字人</w:t>
      </w:r>
      <w:r>
        <w:rPr>
          <w:rFonts w:hint="eastAsia" w:asciiTheme="minorEastAsia" w:hAnsiTheme="minorEastAsia" w:eastAsiaTheme="minorEastAsia" w:cstheme="minorEastAsia"/>
          <w:color w:val="auto"/>
          <w:sz w:val="24"/>
          <w:szCs w:val="24"/>
          <w:highlight w:val="none"/>
          <w:u w:val="single"/>
        </w:rPr>
        <w:t xml:space="preserve"> （姓名和职务） </w:t>
      </w:r>
      <w:r>
        <w:rPr>
          <w:rFonts w:hint="eastAsia" w:asciiTheme="minorEastAsia" w:hAnsiTheme="minorEastAsia" w:eastAsiaTheme="minorEastAsia" w:cstheme="minorEastAsia"/>
          <w:color w:val="auto"/>
          <w:sz w:val="24"/>
          <w:szCs w:val="24"/>
          <w:highlight w:val="none"/>
        </w:rPr>
        <w:t>全权代表</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eastAsia="zh-CN"/>
        </w:rPr>
        <w:t>供应商</w:t>
      </w:r>
      <w:r>
        <w:rPr>
          <w:rFonts w:hint="eastAsia" w:asciiTheme="minorEastAsia" w:hAnsiTheme="minorEastAsia" w:eastAsiaTheme="minorEastAsia" w:cstheme="minorEastAsia"/>
          <w:color w:val="auto"/>
          <w:sz w:val="24"/>
          <w:szCs w:val="24"/>
          <w:highlight w:val="none"/>
          <w:u w:val="single"/>
        </w:rPr>
        <w:t xml:space="preserve">全称）   </w:t>
      </w:r>
      <w:r>
        <w:rPr>
          <w:rFonts w:hint="eastAsia" w:asciiTheme="minorEastAsia" w:hAnsiTheme="minorEastAsia" w:eastAsiaTheme="minorEastAsia" w:cstheme="minorEastAsia"/>
          <w:color w:val="auto"/>
          <w:sz w:val="24"/>
          <w:szCs w:val="24"/>
          <w:highlight w:val="none"/>
        </w:rPr>
        <w:t>参加</w:t>
      </w:r>
      <w:r>
        <w:rPr>
          <w:rFonts w:hint="eastAsia" w:asciiTheme="minorEastAsia" w:hAnsiTheme="minorEastAsia" w:eastAsiaTheme="minorEastAsia" w:cstheme="minorEastAsia"/>
          <w:color w:val="auto"/>
          <w:sz w:val="24"/>
          <w:szCs w:val="24"/>
          <w:highlight w:val="none"/>
          <w:u w:val="single"/>
          <w:lang w:eastAsia="zh-CN"/>
        </w:rPr>
        <w:t>文笔小学功能室、食堂及信息化设备采购</w:t>
      </w:r>
      <w:r>
        <w:rPr>
          <w:rFonts w:hint="eastAsia" w:asciiTheme="minorEastAsia" w:hAnsiTheme="minorEastAsia" w:eastAsiaTheme="minorEastAsia" w:cstheme="minorEastAsia"/>
          <w:color w:val="auto"/>
          <w:sz w:val="24"/>
          <w:szCs w:val="24"/>
          <w:highlight w:val="none"/>
          <w:lang w:val="en-US" w:eastAsia="zh-CN"/>
        </w:rPr>
        <w:t>投</w:t>
      </w:r>
      <w:r>
        <w:rPr>
          <w:rFonts w:hint="eastAsia" w:asciiTheme="minorEastAsia" w:hAnsiTheme="minorEastAsia" w:eastAsiaTheme="minorEastAsia" w:cstheme="minorEastAsia"/>
          <w:color w:val="auto"/>
          <w:sz w:val="24"/>
          <w:szCs w:val="24"/>
          <w:highlight w:val="none"/>
          <w:lang w:eastAsia="zh-CN"/>
        </w:rPr>
        <w:t>标</w:t>
      </w:r>
      <w:r>
        <w:rPr>
          <w:rFonts w:hint="eastAsia" w:asciiTheme="minorEastAsia" w:hAnsiTheme="minorEastAsia" w:eastAsiaTheme="minorEastAsia" w:cstheme="minorEastAsia"/>
          <w:color w:val="auto"/>
          <w:sz w:val="24"/>
          <w:szCs w:val="24"/>
          <w:highlight w:val="none"/>
        </w:rPr>
        <w:t>，并提交</w:t>
      </w:r>
      <w:r>
        <w:rPr>
          <w:rFonts w:hint="eastAsia" w:asciiTheme="minorEastAsia" w:hAnsiTheme="minorEastAsia" w:eastAsiaTheme="minorEastAsia" w:cstheme="minorEastAsia"/>
          <w:color w:val="auto"/>
          <w:sz w:val="24"/>
          <w:szCs w:val="24"/>
          <w:highlight w:val="none"/>
          <w:lang w:eastAsia="zh-CN"/>
        </w:rPr>
        <w:t>投标文件</w:t>
      </w:r>
      <w:r>
        <w:rPr>
          <w:rFonts w:hint="eastAsia" w:asciiTheme="minorEastAsia" w:hAnsiTheme="minorEastAsia" w:eastAsiaTheme="minorEastAsia" w:cstheme="minorEastAsia"/>
          <w:color w:val="auto"/>
          <w:sz w:val="24"/>
          <w:szCs w:val="24"/>
          <w:highlight w:val="none"/>
        </w:rPr>
        <w:t>。</w:t>
      </w:r>
    </w:p>
    <w:p w14:paraId="7B72023A">
      <w:pPr>
        <w:keepNext w:val="0"/>
        <w:keepLines w:val="0"/>
        <w:pageBreakBefore w:val="0"/>
        <w:widowControl w:val="0"/>
        <w:shd w:val="clear" w:color="auto" w:fill="auto"/>
        <w:kinsoku w:val="0"/>
        <w:wordWrap w:val="0"/>
        <w:overflowPunct/>
        <w:topLinePunct/>
        <w:autoSpaceDE/>
        <w:autoSpaceDN/>
        <w:bidi w:val="0"/>
        <w:adjustRightInd w:val="0"/>
        <w:snapToGrid/>
        <w:spacing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据此函，签字人兹宣布同意如下：</w:t>
      </w:r>
    </w:p>
    <w:p w14:paraId="7DCDB1AA">
      <w:pPr>
        <w:keepNext w:val="0"/>
        <w:keepLines w:val="0"/>
        <w:pageBreakBefore w:val="0"/>
        <w:widowControl w:val="0"/>
        <w:shd w:val="clear" w:color="auto" w:fill="auto"/>
        <w:kinsoku w:val="0"/>
        <w:wordWrap w:val="0"/>
        <w:overflowPunct/>
        <w:topLinePunct/>
        <w:autoSpaceDE/>
        <w:autoSpaceDN/>
        <w:bidi w:val="0"/>
        <w:adjustRightInd w:val="0"/>
        <w:snapToGrid/>
        <w:spacing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1.按</w:t>
      </w:r>
      <w:r>
        <w:rPr>
          <w:rFonts w:hint="eastAsia" w:asciiTheme="minorEastAsia" w:hAnsiTheme="minorEastAsia" w:eastAsiaTheme="minorEastAsia" w:cstheme="minorEastAsia"/>
          <w:color w:val="auto"/>
          <w:sz w:val="24"/>
          <w:szCs w:val="24"/>
          <w:highlight w:val="none"/>
          <w:lang w:val="en-US" w:eastAsia="zh-CN"/>
        </w:rPr>
        <w:t>采购文件</w:t>
      </w:r>
      <w:r>
        <w:rPr>
          <w:rFonts w:hint="eastAsia" w:asciiTheme="minorEastAsia" w:hAnsiTheme="minorEastAsia" w:eastAsiaTheme="minorEastAsia" w:cstheme="minorEastAsia"/>
          <w:color w:val="auto"/>
          <w:sz w:val="24"/>
          <w:szCs w:val="24"/>
          <w:highlight w:val="none"/>
        </w:rPr>
        <w:t>采购</w:t>
      </w:r>
      <w:r>
        <w:rPr>
          <w:rFonts w:hint="eastAsia" w:asciiTheme="minorEastAsia" w:hAnsiTheme="minorEastAsia" w:eastAsiaTheme="minorEastAsia" w:cstheme="minorEastAsia"/>
          <w:color w:val="auto"/>
          <w:sz w:val="24"/>
          <w:szCs w:val="24"/>
          <w:highlight w:val="none"/>
          <w:lang w:val="en-US" w:eastAsia="zh-CN"/>
        </w:rPr>
        <w:t>需求</w:t>
      </w:r>
      <w:r>
        <w:rPr>
          <w:rFonts w:hint="eastAsia" w:asciiTheme="minorEastAsia" w:hAnsiTheme="minorEastAsia" w:eastAsiaTheme="minorEastAsia" w:cstheme="minorEastAsia"/>
          <w:color w:val="auto"/>
          <w:sz w:val="24"/>
          <w:szCs w:val="24"/>
          <w:highlight w:val="none"/>
        </w:rPr>
        <w:t>，我单位报价见《</w:t>
      </w:r>
      <w:r>
        <w:rPr>
          <w:rFonts w:hint="eastAsia" w:asciiTheme="minorEastAsia" w:hAnsiTheme="minorEastAsia" w:eastAsiaTheme="minorEastAsia" w:cstheme="minorEastAsia"/>
          <w:color w:val="auto"/>
          <w:sz w:val="24"/>
          <w:szCs w:val="24"/>
          <w:highlight w:val="none"/>
          <w:lang w:val="en-US" w:eastAsia="zh-CN"/>
        </w:rPr>
        <w:t>开标</w:t>
      </w:r>
      <w:r>
        <w:rPr>
          <w:rFonts w:hint="eastAsia" w:asciiTheme="minorEastAsia" w:hAnsiTheme="minorEastAsia" w:eastAsiaTheme="minorEastAsia" w:cstheme="minorEastAsia"/>
          <w:color w:val="auto"/>
          <w:sz w:val="24"/>
          <w:szCs w:val="24"/>
          <w:highlight w:val="none"/>
        </w:rPr>
        <w:t>一览表》。</w:t>
      </w:r>
    </w:p>
    <w:p w14:paraId="49851AAF">
      <w:pPr>
        <w:keepNext w:val="0"/>
        <w:keepLines w:val="0"/>
        <w:pageBreakBefore w:val="0"/>
        <w:widowControl w:val="0"/>
        <w:shd w:val="clear" w:color="auto" w:fill="auto"/>
        <w:kinsoku w:val="0"/>
        <w:wordWrap w:val="0"/>
        <w:overflowPunct/>
        <w:topLinePunct/>
        <w:autoSpaceDE/>
        <w:autoSpaceDN/>
        <w:bidi w:val="0"/>
        <w:adjustRightInd w:val="0"/>
        <w:snapToGrid/>
        <w:spacing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r>
        <w:rPr>
          <w:rFonts w:hint="eastAsia" w:asciiTheme="minorEastAsia" w:hAnsiTheme="minorEastAsia" w:eastAsiaTheme="minorEastAsia" w:cstheme="minorEastAsia"/>
          <w:color w:val="auto"/>
          <w:sz w:val="24"/>
          <w:szCs w:val="24"/>
          <w:highlight w:val="none"/>
          <w:lang w:eastAsia="zh-CN"/>
        </w:rPr>
        <w:t>投标</w:t>
      </w:r>
      <w:r>
        <w:rPr>
          <w:rFonts w:hint="eastAsia" w:asciiTheme="minorEastAsia" w:hAnsiTheme="minorEastAsia" w:eastAsiaTheme="minorEastAsia" w:cstheme="minorEastAsia"/>
          <w:color w:val="auto"/>
          <w:sz w:val="24"/>
          <w:szCs w:val="24"/>
          <w:highlight w:val="none"/>
        </w:rPr>
        <w:t>有效期为</w:t>
      </w:r>
      <w:r>
        <w:rPr>
          <w:rFonts w:hint="eastAsia" w:asciiTheme="minorEastAsia" w:hAnsiTheme="minorEastAsia" w:eastAsiaTheme="minorEastAsia" w:cstheme="minorEastAsia"/>
          <w:color w:val="auto"/>
          <w:sz w:val="24"/>
          <w:szCs w:val="24"/>
          <w:highlight w:val="none"/>
          <w:u w:val="none"/>
          <w:lang w:val="en-US" w:eastAsia="zh-CN"/>
        </w:rPr>
        <w:t>90日历天</w:t>
      </w:r>
      <w:r>
        <w:rPr>
          <w:rFonts w:hint="eastAsia" w:asciiTheme="minorEastAsia" w:hAnsiTheme="minorEastAsia" w:eastAsiaTheme="minorEastAsia" w:cstheme="minorEastAsia"/>
          <w:color w:val="auto"/>
          <w:sz w:val="24"/>
          <w:szCs w:val="24"/>
          <w:highlight w:val="none"/>
        </w:rPr>
        <w:t>，自</w:t>
      </w:r>
      <w:r>
        <w:rPr>
          <w:rFonts w:hint="eastAsia" w:asciiTheme="minorEastAsia" w:hAnsiTheme="minorEastAsia" w:eastAsiaTheme="minorEastAsia" w:cstheme="minorEastAsia"/>
          <w:color w:val="auto"/>
          <w:sz w:val="24"/>
          <w:szCs w:val="24"/>
          <w:highlight w:val="none"/>
          <w:lang w:eastAsia="zh-CN"/>
        </w:rPr>
        <w:t>投标</w:t>
      </w:r>
      <w:r>
        <w:rPr>
          <w:rFonts w:hint="eastAsia" w:asciiTheme="minorEastAsia" w:hAnsiTheme="minorEastAsia" w:eastAsiaTheme="minorEastAsia" w:cstheme="minorEastAsia"/>
          <w:color w:val="auto"/>
          <w:sz w:val="24"/>
          <w:szCs w:val="24"/>
          <w:highlight w:val="none"/>
        </w:rPr>
        <w:t>截止时间算起。我方同意在规定的</w:t>
      </w:r>
      <w:r>
        <w:rPr>
          <w:rFonts w:hint="eastAsia" w:asciiTheme="minorEastAsia" w:hAnsiTheme="minorEastAsia" w:eastAsiaTheme="minorEastAsia" w:cstheme="minorEastAsia"/>
          <w:color w:val="auto"/>
          <w:sz w:val="24"/>
          <w:szCs w:val="24"/>
          <w:highlight w:val="none"/>
          <w:lang w:eastAsia="zh-CN"/>
        </w:rPr>
        <w:t>投标</w:t>
      </w:r>
      <w:r>
        <w:rPr>
          <w:rFonts w:hint="eastAsia" w:asciiTheme="minorEastAsia" w:hAnsiTheme="minorEastAsia" w:eastAsiaTheme="minorEastAsia" w:cstheme="minorEastAsia"/>
          <w:color w:val="auto"/>
          <w:sz w:val="24"/>
          <w:szCs w:val="24"/>
          <w:highlight w:val="none"/>
        </w:rPr>
        <w:t>有效期遵循本</w:t>
      </w:r>
      <w:r>
        <w:rPr>
          <w:rFonts w:hint="eastAsia" w:asciiTheme="minorEastAsia" w:hAnsiTheme="minorEastAsia" w:eastAsiaTheme="minorEastAsia" w:cstheme="minorEastAsia"/>
          <w:color w:val="auto"/>
          <w:sz w:val="24"/>
          <w:szCs w:val="24"/>
          <w:highlight w:val="none"/>
          <w:lang w:eastAsia="zh-CN"/>
        </w:rPr>
        <w:t>投标文件</w:t>
      </w:r>
      <w:r>
        <w:rPr>
          <w:rFonts w:hint="eastAsia" w:asciiTheme="minorEastAsia" w:hAnsiTheme="minorEastAsia" w:eastAsiaTheme="minorEastAsia" w:cstheme="minorEastAsia"/>
          <w:color w:val="auto"/>
          <w:sz w:val="24"/>
          <w:szCs w:val="24"/>
          <w:highlight w:val="none"/>
        </w:rPr>
        <w:t>，并在规定的</w:t>
      </w:r>
      <w:r>
        <w:rPr>
          <w:rFonts w:hint="eastAsia" w:asciiTheme="minorEastAsia" w:hAnsiTheme="minorEastAsia" w:eastAsiaTheme="minorEastAsia" w:cstheme="minorEastAsia"/>
          <w:color w:val="auto"/>
          <w:sz w:val="24"/>
          <w:szCs w:val="24"/>
          <w:highlight w:val="none"/>
          <w:lang w:eastAsia="zh-CN"/>
        </w:rPr>
        <w:t>投标</w:t>
      </w:r>
      <w:r>
        <w:rPr>
          <w:rFonts w:hint="eastAsia" w:asciiTheme="minorEastAsia" w:hAnsiTheme="minorEastAsia" w:eastAsiaTheme="minorEastAsia" w:cstheme="minorEastAsia"/>
          <w:color w:val="auto"/>
          <w:sz w:val="24"/>
          <w:szCs w:val="24"/>
          <w:highlight w:val="none"/>
        </w:rPr>
        <w:t>有效期满之前均具有约束力。如果我方</w:t>
      </w:r>
      <w:r>
        <w:rPr>
          <w:rFonts w:hint="eastAsia" w:asciiTheme="minorEastAsia" w:hAnsiTheme="minorEastAsia" w:eastAsiaTheme="minorEastAsia" w:cstheme="minorEastAsia"/>
          <w:color w:val="auto"/>
          <w:sz w:val="24"/>
          <w:szCs w:val="24"/>
          <w:highlight w:val="none"/>
          <w:lang w:eastAsia="zh-CN"/>
        </w:rPr>
        <w:t>投标文件</w:t>
      </w:r>
      <w:r>
        <w:rPr>
          <w:rFonts w:hint="eastAsia" w:asciiTheme="minorEastAsia" w:hAnsiTheme="minorEastAsia" w:eastAsiaTheme="minorEastAsia" w:cstheme="minorEastAsia"/>
          <w:color w:val="auto"/>
          <w:sz w:val="24"/>
          <w:szCs w:val="24"/>
          <w:highlight w:val="none"/>
        </w:rPr>
        <w:t>被接受，则至合同履行完为止，本函保持有效。</w:t>
      </w:r>
    </w:p>
    <w:p w14:paraId="5DE5BD59">
      <w:pPr>
        <w:keepNext w:val="0"/>
        <w:keepLines w:val="0"/>
        <w:pageBreakBefore w:val="0"/>
        <w:widowControl w:val="0"/>
        <w:shd w:val="clear" w:color="auto" w:fill="auto"/>
        <w:kinsoku w:val="0"/>
        <w:wordWrap w:val="0"/>
        <w:overflowPunct/>
        <w:topLinePunct/>
        <w:autoSpaceDE/>
        <w:autoSpaceDN/>
        <w:bidi w:val="0"/>
        <w:adjustRightInd w:val="0"/>
        <w:snapToGrid/>
        <w:spacing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3.我方承诺已经具备《中华人民共和国政府采购法》及《中华人民共和国政府采购法实施条例》中规定的参加政府采购活动的</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应当具备的条件。</w:t>
      </w:r>
    </w:p>
    <w:p w14:paraId="6B83D238">
      <w:pPr>
        <w:keepNext w:val="0"/>
        <w:keepLines w:val="0"/>
        <w:pageBreakBefore w:val="0"/>
        <w:widowControl w:val="0"/>
        <w:shd w:val="clear" w:color="auto" w:fill="auto"/>
        <w:kinsoku w:val="0"/>
        <w:wordWrap w:val="0"/>
        <w:overflowPunct/>
        <w:topLinePunct/>
        <w:autoSpaceDE/>
        <w:autoSpaceDN/>
        <w:bidi w:val="0"/>
        <w:adjustRightInd w:val="0"/>
        <w:snapToGrid/>
        <w:spacing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4.如我方</w:t>
      </w:r>
      <w:r>
        <w:rPr>
          <w:rFonts w:hint="eastAsia" w:asciiTheme="minorEastAsia" w:hAnsiTheme="minorEastAsia" w:eastAsiaTheme="minorEastAsia" w:cstheme="minorEastAsia"/>
          <w:color w:val="auto"/>
          <w:sz w:val="24"/>
          <w:szCs w:val="24"/>
          <w:highlight w:val="none"/>
          <w:lang w:eastAsia="zh-CN"/>
        </w:rPr>
        <w:t>投标文件</w:t>
      </w:r>
      <w:r>
        <w:rPr>
          <w:rFonts w:hint="eastAsia" w:asciiTheme="minorEastAsia" w:hAnsiTheme="minorEastAsia" w:eastAsiaTheme="minorEastAsia" w:cstheme="minorEastAsia"/>
          <w:color w:val="auto"/>
          <w:sz w:val="24"/>
          <w:szCs w:val="24"/>
          <w:highlight w:val="none"/>
        </w:rPr>
        <w:t>被接受，将保证在合同有效期内承担合同规定的责任义务。</w:t>
      </w:r>
    </w:p>
    <w:p w14:paraId="0407A7CB">
      <w:pPr>
        <w:keepNext w:val="0"/>
        <w:keepLines w:val="0"/>
        <w:pageBreakBefore w:val="0"/>
        <w:widowControl w:val="0"/>
        <w:shd w:val="clear" w:color="auto" w:fill="auto"/>
        <w:kinsoku w:val="0"/>
        <w:wordWrap w:val="0"/>
        <w:overflowPunct/>
        <w:topLinePunct/>
        <w:autoSpaceDE/>
        <w:autoSpaceDN/>
        <w:bidi w:val="0"/>
        <w:adjustRightInd w:val="0"/>
        <w:snapToGrid/>
        <w:spacing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5.我方已详细审核</w:t>
      </w:r>
      <w:r>
        <w:rPr>
          <w:rFonts w:hint="eastAsia" w:asciiTheme="minorEastAsia" w:hAnsiTheme="minorEastAsia" w:eastAsiaTheme="minorEastAsia" w:cstheme="minorEastAsia"/>
          <w:color w:val="auto"/>
          <w:sz w:val="24"/>
          <w:szCs w:val="24"/>
          <w:highlight w:val="none"/>
          <w:lang w:val="en-US" w:eastAsia="zh-CN"/>
        </w:rPr>
        <w:t>采购文件</w:t>
      </w:r>
      <w:r>
        <w:rPr>
          <w:rFonts w:hint="eastAsia" w:asciiTheme="minorEastAsia" w:hAnsiTheme="minorEastAsia" w:eastAsiaTheme="minorEastAsia" w:cstheme="minorEastAsia"/>
          <w:color w:val="auto"/>
          <w:sz w:val="24"/>
          <w:szCs w:val="24"/>
          <w:highlight w:val="none"/>
        </w:rPr>
        <w:t>，我方知道必须放弃提出含糊不清或误解问题的权利。</w:t>
      </w:r>
    </w:p>
    <w:p w14:paraId="325E582A">
      <w:pPr>
        <w:keepNext w:val="0"/>
        <w:keepLines w:val="0"/>
        <w:pageBreakBefore w:val="0"/>
        <w:widowControl w:val="0"/>
        <w:shd w:val="clear" w:color="auto" w:fill="auto"/>
        <w:kinsoku w:val="0"/>
        <w:wordWrap w:val="0"/>
        <w:overflowPunct/>
        <w:topLinePunct/>
        <w:autoSpaceDE/>
        <w:autoSpaceDN/>
        <w:bidi w:val="0"/>
        <w:adjustRightInd w:val="0"/>
        <w:snapToGrid/>
        <w:spacing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rPr>
        <w:t>.同意应贵方要求提供与本</w:t>
      </w:r>
      <w:r>
        <w:rPr>
          <w:rFonts w:hint="eastAsia" w:asciiTheme="minorEastAsia" w:hAnsiTheme="minorEastAsia" w:eastAsiaTheme="minorEastAsia" w:cstheme="minorEastAsia"/>
          <w:color w:val="auto"/>
          <w:sz w:val="24"/>
          <w:szCs w:val="24"/>
          <w:highlight w:val="none"/>
          <w:lang w:eastAsia="zh-CN"/>
        </w:rPr>
        <w:t>招标</w:t>
      </w:r>
      <w:r>
        <w:rPr>
          <w:rFonts w:hint="eastAsia" w:asciiTheme="minorEastAsia" w:hAnsiTheme="minorEastAsia" w:eastAsiaTheme="minorEastAsia" w:cstheme="minorEastAsia"/>
          <w:color w:val="auto"/>
          <w:sz w:val="24"/>
          <w:szCs w:val="24"/>
          <w:highlight w:val="none"/>
        </w:rPr>
        <w:t>有关的任何数据或资料。</w:t>
      </w:r>
    </w:p>
    <w:p w14:paraId="7D0A1540">
      <w:pPr>
        <w:keepNext w:val="0"/>
        <w:keepLines w:val="0"/>
        <w:pageBreakBefore w:val="0"/>
        <w:widowControl w:val="0"/>
        <w:shd w:val="clear" w:color="auto" w:fill="auto"/>
        <w:kinsoku w:val="0"/>
        <w:wordWrap w:val="0"/>
        <w:bidi w:val="0"/>
        <w:spacing w:line="360" w:lineRule="auto"/>
        <w:ind w:firstLine="1260" w:firstLineChars="600"/>
        <w:textAlignment w:val="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              </w:t>
      </w:r>
    </w:p>
    <w:p w14:paraId="38695C6C">
      <w:pPr>
        <w:keepNext w:val="0"/>
        <w:keepLines w:val="0"/>
        <w:pageBreakBefore w:val="0"/>
        <w:widowControl w:val="0"/>
        <w:shd w:val="clear" w:color="auto" w:fill="auto"/>
        <w:kinsoku w:val="0"/>
        <w:wordWrap w:val="0"/>
        <w:bidi w:val="0"/>
        <w:spacing w:line="360" w:lineRule="auto"/>
        <w:ind w:firstLine="1260" w:firstLineChars="600"/>
        <w:textAlignment w:val="auto"/>
        <w:rPr>
          <w:rFonts w:hint="eastAsia" w:asciiTheme="minorEastAsia" w:hAnsiTheme="minorEastAsia" w:eastAsiaTheme="minorEastAsia" w:cstheme="minorEastAsia"/>
          <w:color w:val="auto"/>
          <w:szCs w:val="21"/>
          <w:highlight w:val="none"/>
        </w:rPr>
      </w:pPr>
    </w:p>
    <w:p w14:paraId="15F6EC94">
      <w:pPr>
        <w:keepNext w:val="0"/>
        <w:keepLines w:val="0"/>
        <w:pageBreakBefore w:val="0"/>
        <w:widowControl w:val="0"/>
        <w:shd w:val="clear" w:color="auto" w:fill="auto"/>
        <w:kinsoku w:val="0"/>
        <w:wordWrap w:val="0"/>
        <w:bidi w:val="0"/>
        <w:spacing w:line="360" w:lineRule="auto"/>
        <w:ind w:firstLine="1260" w:firstLineChars="600"/>
        <w:textAlignment w:val="auto"/>
        <w:rPr>
          <w:rFonts w:hint="eastAsia" w:asciiTheme="minorEastAsia" w:hAnsiTheme="minorEastAsia" w:eastAsiaTheme="minorEastAsia" w:cstheme="minorEastAsia"/>
          <w:color w:val="auto"/>
          <w:szCs w:val="21"/>
          <w:highlight w:val="none"/>
        </w:rPr>
      </w:pPr>
    </w:p>
    <w:p w14:paraId="2A5488B3">
      <w:pPr>
        <w:keepNext w:val="0"/>
        <w:keepLines w:val="0"/>
        <w:pageBreakBefore w:val="0"/>
        <w:widowControl w:val="0"/>
        <w:shd w:val="clear" w:color="auto" w:fill="auto"/>
        <w:kinsoku w:val="0"/>
        <w:wordWrap w:val="0"/>
        <w:bidi w:val="0"/>
        <w:spacing w:line="360" w:lineRule="auto"/>
        <w:ind w:right="48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供应商</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（电子签章）</w:t>
      </w:r>
    </w:p>
    <w:p w14:paraId="3E4A37DE">
      <w:pPr>
        <w:keepNext w:val="0"/>
        <w:keepLines w:val="0"/>
        <w:pageBreakBefore w:val="0"/>
        <w:widowControl w:val="0"/>
        <w:shd w:val="clear" w:color="auto" w:fill="auto"/>
        <w:kinsoku w:val="0"/>
        <w:wordWrap w:val="0"/>
        <w:bidi w:val="0"/>
        <w:spacing w:line="360" w:lineRule="auto"/>
        <w:ind w:right="48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法定代表人或其委托代理人</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lang w:eastAsia="zh-CN"/>
        </w:rPr>
        <w:t>（电子签章）</w:t>
      </w:r>
    </w:p>
    <w:p w14:paraId="7A5F15D9">
      <w:pPr>
        <w:keepNext w:val="0"/>
        <w:keepLines w:val="0"/>
        <w:pageBreakBefore w:val="0"/>
        <w:widowControl w:val="0"/>
        <w:shd w:val="clear" w:color="auto" w:fill="auto"/>
        <w:kinsoku w:val="0"/>
        <w:wordWrap w:val="0"/>
        <w:bidi w:val="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日  期：</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年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p w14:paraId="04726172">
      <w:pPr>
        <w:keepNext w:val="0"/>
        <w:keepLines w:val="0"/>
        <w:pageBreakBefore w:val="0"/>
        <w:widowControl w:val="0"/>
        <w:shd w:val="clear" w:color="auto" w:fill="auto"/>
        <w:kinsoku w:val="0"/>
        <w:wordWrap w:val="0"/>
        <w:bidi w:val="0"/>
        <w:jc w:val="right"/>
        <w:textAlignment w:val="auto"/>
        <w:rPr>
          <w:rFonts w:hint="eastAsia" w:asciiTheme="minorEastAsia" w:hAnsiTheme="minorEastAsia" w:eastAsiaTheme="minorEastAsia" w:cstheme="minorEastAsia"/>
          <w:color w:val="auto"/>
          <w:szCs w:val="21"/>
          <w:highlight w:val="none"/>
        </w:rPr>
      </w:pPr>
    </w:p>
    <w:p w14:paraId="3446B650">
      <w:pPr>
        <w:keepNext w:val="0"/>
        <w:keepLines w:val="0"/>
        <w:pageBreakBefore w:val="0"/>
        <w:widowControl w:val="0"/>
        <w:shd w:val="clear" w:color="auto" w:fill="auto"/>
        <w:kinsoku w:val="0"/>
        <w:wordWrap w:val="0"/>
        <w:bidi w:val="0"/>
        <w:jc w:val="center"/>
        <w:textAlignment w:val="auto"/>
        <w:rPr>
          <w:rFonts w:hint="eastAsia" w:asciiTheme="minorEastAsia" w:hAnsiTheme="minorEastAsia" w:eastAsiaTheme="minorEastAsia" w:cstheme="minorEastAsia"/>
          <w:b/>
          <w:color w:val="auto"/>
          <w:sz w:val="24"/>
          <w:szCs w:val="24"/>
          <w:highlight w:val="none"/>
        </w:rPr>
      </w:pPr>
    </w:p>
    <w:p w14:paraId="3782ADFD">
      <w:pPr>
        <w:keepNext w:val="0"/>
        <w:keepLines w:val="0"/>
        <w:pageBreakBefore w:val="0"/>
        <w:widowControl w:val="0"/>
        <w:shd w:val="clear" w:color="auto" w:fill="auto"/>
        <w:kinsoku w:val="0"/>
        <w:wordWrap w:val="0"/>
        <w:bidi w:val="0"/>
        <w:jc w:val="center"/>
        <w:textAlignment w:val="auto"/>
        <w:rPr>
          <w:rFonts w:hint="eastAsia" w:asciiTheme="minorEastAsia" w:hAnsiTheme="minorEastAsia" w:eastAsiaTheme="minorEastAsia" w:cstheme="minorEastAsia"/>
          <w:b/>
          <w:color w:val="auto"/>
          <w:sz w:val="24"/>
          <w:szCs w:val="24"/>
          <w:highlight w:val="none"/>
        </w:rPr>
      </w:pPr>
    </w:p>
    <w:p w14:paraId="63B04CC9">
      <w:pPr>
        <w:keepNext w:val="0"/>
        <w:keepLines w:val="0"/>
        <w:pageBreakBefore w:val="0"/>
        <w:widowControl w:val="0"/>
        <w:shd w:val="clear" w:color="auto" w:fill="auto"/>
        <w:kinsoku w:val="0"/>
        <w:wordWrap w:val="0"/>
        <w:bidi w:val="0"/>
        <w:jc w:val="center"/>
        <w:textAlignment w:val="auto"/>
        <w:rPr>
          <w:rFonts w:hint="eastAsia" w:asciiTheme="minorEastAsia" w:hAnsiTheme="minorEastAsia" w:eastAsiaTheme="minorEastAsia" w:cstheme="minorEastAsia"/>
          <w:b/>
          <w:color w:val="auto"/>
          <w:sz w:val="24"/>
          <w:szCs w:val="24"/>
          <w:highlight w:val="none"/>
        </w:rPr>
      </w:pPr>
    </w:p>
    <w:p w14:paraId="7198A270">
      <w:pPr>
        <w:keepNext w:val="0"/>
        <w:keepLines w:val="0"/>
        <w:pageBreakBefore w:val="0"/>
        <w:widowControl w:val="0"/>
        <w:shd w:val="clear" w:color="auto" w:fill="auto"/>
        <w:kinsoku w:val="0"/>
        <w:wordWrap w:val="0"/>
        <w:bidi w:val="0"/>
        <w:jc w:val="center"/>
        <w:textAlignment w:val="auto"/>
        <w:rPr>
          <w:rFonts w:hint="eastAsia" w:asciiTheme="minorEastAsia" w:hAnsiTheme="minorEastAsia" w:eastAsiaTheme="minorEastAsia" w:cstheme="minorEastAsia"/>
          <w:b/>
          <w:color w:val="auto"/>
          <w:sz w:val="24"/>
          <w:szCs w:val="24"/>
          <w:highlight w:val="none"/>
        </w:rPr>
      </w:pPr>
    </w:p>
    <w:p w14:paraId="45ACB0CF">
      <w:pPr>
        <w:keepNext w:val="0"/>
        <w:keepLines w:val="0"/>
        <w:pageBreakBefore w:val="0"/>
        <w:widowControl w:val="0"/>
        <w:shd w:val="clear" w:color="auto" w:fill="auto"/>
        <w:kinsoku w:val="0"/>
        <w:wordWrap w:val="0"/>
        <w:bidi w:val="0"/>
        <w:jc w:val="center"/>
        <w:textAlignment w:val="auto"/>
        <w:rPr>
          <w:rFonts w:hint="eastAsia" w:asciiTheme="minorEastAsia" w:hAnsiTheme="minorEastAsia" w:eastAsiaTheme="minorEastAsia" w:cstheme="minorEastAsia"/>
          <w:b/>
          <w:color w:val="auto"/>
          <w:sz w:val="24"/>
          <w:szCs w:val="24"/>
          <w:highlight w:val="none"/>
        </w:rPr>
      </w:pPr>
    </w:p>
    <w:p w14:paraId="07D748C7">
      <w:pPr>
        <w:keepNext w:val="0"/>
        <w:keepLines w:val="0"/>
        <w:pageBreakBefore w:val="0"/>
        <w:widowControl w:val="0"/>
        <w:shd w:val="clear" w:color="auto" w:fill="auto"/>
        <w:kinsoku w:val="0"/>
        <w:wordWrap w:val="0"/>
        <w:bidi w:val="0"/>
        <w:jc w:val="center"/>
        <w:textAlignment w:val="auto"/>
        <w:outlineLvl w:val="1"/>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
          <w:color w:val="auto"/>
          <w:kern w:val="0"/>
          <w:szCs w:val="21"/>
          <w:highlight w:val="none"/>
        </w:rPr>
        <w:br w:type="page"/>
      </w:r>
      <w:bookmarkStart w:id="108" w:name="_Toc403511224"/>
      <w:bookmarkStart w:id="109" w:name="_Toc22327"/>
      <w:bookmarkStart w:id="110" w:name="_Toc15012"/>
      <w:r>
        <w:rPr>
          <w:rFonts w:hint="eastAsia" w:asciiTheme="minorEastAsia" w:hAnsiTheme="minorEastAsia" w:eastAsiaTheme="minorEastAsia" w:cstheme="minorEastAsia"/>
          <w:b/>
          <w:color w:val="auto"/>
          <w:kern w:val="0"/>
          <w:sz w:val="24"/>
          <w:szCs w:val="24"/>
          <w:highlight w:val="none"/>
          <w:lang w:val="en-US" w:eastAsia="zh-CN"/>
        </w:rPr>
        <w:t>三</w:t>
      </w:r>
      <w:r>
        <w:rPr>
          <w:rFonts w:hint="eastAsia" w:asciiTheme="minorEastAsia" w:hAnsiTheme="minorEastAsia" w:eastAsiaTheme="minorEastAsia" w:cstheme="minorEastAsia"/>
          <w:b/>
          <w:color w:val="auto"/>
          <w:sz w:val="24"/>
          <w:szCs w:val="24"/>
          <w:highlight w:val="none"/>
        </w:rPr>
        <w:t>、法定代表人身份证明</w:t>
      </w:r>
      <w:bookmarkEnd w:id="108"/>
      <w:bookmarkEnd w:id="109"/>
      <w:bookmarkEnd w:id="110"/>
    </w:p>
    <w:p w14:paraId="60B2FBF7">
      <w:pPr>
        <w:keepNext w:val="0"/>
        <w:keepLines w:val="0"/>
        <w:pageBreakBefore w:val="0"/>
        <w:widowControl w:val="0"/>
        <w:shd w:val="clear" w:color="auto" w:fill="auto"/>
        <w:kinsoku w:val="0"/>
        <w:wordWrap w:val="0"/>
        <w:bidi w:val="0"/>
        <w:spacing w:line="360" w:lineRule="auto"/>
        <w:textAlignment w:val="auto"/>
        <w:rPr>
          <w:rFonts w:hint="eastAsia" w:asciiTheme="minorEastAsia" w:hAnsiTheme="minorEastAsia" w:eastAsiaTheme="minorEastAsia" w:cstheme="minorEastAsia"/>
          <w:color w:val="auto"/>
          <w:szCs w:val="21"/>
          <w:highlight w:val="none"/>
        </w:rPr>
      </w:pPr>
    </w:p>
    <w:p w14:paraId="7CC9A4EC">
      <w:pPr>
        <w:keepNext w:val="0"/>
        <w:keepLines w:val="0"/>
        <w:pageBreakBefore w:val="0"/>
        <w:widowControl w:val="0"/>
        <w:shd w:val="clear" w:color="auto" w:fill="auto"/>
        <w:kinsoku w:val="0"/>
        <w:wordWrap w:val="0"/>
        <w:topLinePunct/>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lang w:val="en-US" w:eastAsia="zh-CN"/>
        </w:rPr>
        <w:t>供应商</w:t>
      </w:r>
      <w:r>
        <w:rPr>
          <w:rFonts w:hint="eastAsia" w:asciiTheme="minorEastAsia" w:hAnsiTheme="minorEastAsia" w:eastAsiaTheme="minorEastAsia" w:cstheme="minorEastAsia"/>
          <w:color w:val="auto"/>
          <w:sz w:val="24"/>
          <w:szCs w:val="24"/>
          <w:highlight w:val="none"/>
        </w:rPr>
        <w:t>名称：</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w:t>
      </w:r>
    </w:p>
    <w:p w14:paraId="378BDDA1">
      <w:pPr>
        <w:keepNext w:val="0"/>
        <w:keepLines w:val="0"/>
        <w:pageBreakBefore w:val="0"/>
        <w:widowControl w:val="0"/>
        <w:shd w:val="clear" w:color="auto" w:fill="auto"/>
        <w:kinsoku w:val="0"/>
        <w:wordWrap w:val="0"/>
        <w:topLinePunct/>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单位性质：</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w:t>
      </w:r>
    </w:p>
    <w:p w14:paraId="1B28CFCC">
      <w:pPr>
        <w:keepNext w:val="0"/>
        <w:keepLines w:val="0"/>
        <w:pageBreakBefore w:val="0"/>
        <w:widowControl w:val="0"/>
        <w:shd w:val="clear" w:color="auto" w:fill="auto"/>
        <w:kinsoku w:val="0"/>
        <w:wordWrap w:val="0"/>
        <w:topLinePunct/>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成立时间：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p w14:paraId="5A7F4291">
      <w:pPr>
        <w:keepNext w:val="0"/>
        <w:keepLines w:val="0"/>
        <w:pageBreakBefore w:val="0"/>
        <w:widowControl w:val="0"/>
        <w:shd w:val="clear" w:color="auto" w:fill="auto"/>
        <w:kinsoku w:val="0"/>
        <w:wordWrap w:val="0"/>
        <w:topLinePunct/>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经营期限：</w:t>
      </w:r>
      <w:r>
        <w:rPr>
          <w:rFonts w:hint="eastAsia" w:asciiTheme="minorEastAsia" w:hAnsiTheme="minorEastAsia" w:eastAsiaTheme="minorEastAsia" w:cstheme="minorEastAsia"/>
          <w:color w:val="auto"/>
          <w:sz w:val="24"/>
          <w:szCs w:val="24"/>
          <w:highlight w:val="none"/>
          <w:u w:val="single"/>
        </w:rPr>
        <w:t xml:space="preserve">            </w:t>
      </w:r>
    </w:p>
    <w:p w14:paraId="0EBF0EBD">
      <w:pPr>
        <w:keepNext w:val="0"/>
        <w:keepLines w:val="0"/>
        <w:pageBreakBefore w:val="0"/>
        <w:widowControl w:val="0"/>
        <w:shd w:val="clear" w:color="auto" w:fill="auto"/>
        <w:kinsoku w:val="0"/>
        <w:wordWrap w:val="0"/>
        <w:topLinePunct/>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姓名：</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性别：</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年龄：</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职务：</w:t>
      </w:r>
      <w:r>
        <w:rPr>
          <w:rFonts w:hint="eastAsia" w:asciiTheme="minorEastAsia" w:hAnsiTheme="minorEastAsia" w:eastAsiaTheme="minorEastAsia" w:cstheme="minorEastAsia"/>
          <w:color w:val="auto"/>
          <w:sz w:val="24"/>
          <w:szCs w:val="24"/>
          <w:highlight w:val="none"/>
          <w:u w:val="single"/>
        </w:rPr>
        <w:t xml:space="preserve">         </w:t>
      </w:r>
    </w:p>
    <w:p w14:paraId="2EAB1598">
      <w:pPr>
        <w:keepNext w:val="0"/>
        <w:keepLines w:val="0"/>
        <w:pageBreakBefore w:val="0"/>
        <w:widowControl w:val="0"/>
        <w:shd w:val="clear" w:color="auto" w:fill="auto"/>
        <w:kinsoku w:val="0"/>
        <w:wordWrap w:val="0"/>
        <w:topLinePunct/>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系</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供应商</w:t>
      </w:r>
      <w:r>
        <w:rPr>
          <w:rFonts w:hint="eastAsia" w:asciiTheme="minorEastAsia" w:hAnsiTheme="minorEastAsia" w:eastAsiaTheme="minorEastAsia" w:cstheme="minorEastAsia"/>
          <w:color w:val="auto"/>
          <w:sz w:val="24"/>
          <w:szCs w:val="24"/>
          <w:highlight w:val="none"/>
        </w:rPr>
        <w:t>名称）的法定代表人。</w:t>
      </w:r>
    </w:p>
    <w:p w14:paraId="62ADC926">
      <w:pPr>
        <w:keepNext w:val="0"/>
        <w:keepLines w:val="0"/>
        <w:pageBreakBefore w:val="0"/>
        <w:widowControl w:val="0"/>
        <w:shd w:val="clear" w:color="auto" w:fill="auto"/>
        <w:kinsoku w:val="0"/>
        <w:wordWrap w:val="0"/>
        <w:topLinePunct/>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特此证明。</w:t>
      </w:r>
    </w:p>
    <w:p w14:paraId="4A3E6B80">
      <w:pPr>
        <w:keepNext w:val="0"/>
        <w:keepLines w:val="0"/>
        <w:pageBreakBefore w:val="0"/>
        <w:widowControl w:val="0"/>
        <w:shd w:val="clear" w:color="auto" w:fill="auto"/>
        <w:kinsoku w:val="0"/>
        <w:wordWrap w:val="0"/>
        <w:topLinePunct/>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p>
    <w:p w14:paraId="2FBDE39A">
      <w:pPr>
        <w:keepNext w:val="0"/>
        <w:keepLines w:val="0"/>
        <w:pageBreakBefore w:val="0"/>
        <w:widowControl w:val="0"/>
        <w:shd w:val="clear" w:color="auto" w:fill="auto"/>
        <w:kinsoku w:val="0"/>
        <w:wordWrap w:val="0"/>
        <w:topLinePunct/>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供应商</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（电子签章）</w:t>
      </w:r>
    </w:p>
    <w:p w14:paraId="2F52BA52">
      <w:pPr>
        <w:keepNext w:val="0"/>
        <w:keepLines w:val="0"/>
        <w:pageBreakBefore w:val="0"/>
        <w:widowControl w:val="0"/>
        <w:shd w:val="clear" w:color="auto" w:fill="auto"/>
        <w:kinsoku w:val="0"/>
        <w:wordWrap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日  期：</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日 </w:t>
      </w:r>
    </w:p>
    <w:p w14:paraId="0BF4985D">
      <w:pPr>
        <w:keepNext w:val="0"/>
        <w:keepLines w:val="0"/>
        <w:pageBreakBefore w:val="0"/>
        <w:widowControl w:val="0"/>
        <w:shd w:val="clear" w:color="auto" w:fill="auto"/>
        <w:kinsoku w:val="0"/>
        <w:wordWrap w:val="0"/>
        <w:bidi w:val="0"/>
        <w:spacing w:line="360" w:lineRule="auto"/>
        <w:ind w:left="5280" w:hanging="5280" w:hangingChars="2200"/>
        <w:textAlignment w:val="auto"/>
        <w:rPr>
          <w:rFonts w:hint="eastAsia" w:asciiTheme="minorEastAsia" w:hAnsiTheme="minorEastAsia" w:eastAsiaTheme="minorEastAsia" w:cstheme="minorEastAsia"/>
          <w:color w:val="auto"/>
          <w:sz w:val="24"/>
          <w:szCs w:val="24"/>
          <w:highlight w:val="none"/>
        </w:rPr>
      </w:pPr>
    </w:p>
    <w:p w14:paraId="055E8200">
      <w:pPr>
        <w:keepNext w:val="0"/>
        <w:keepLines w:val="0"/>
        <w:pageBreakBefore w:val="0"/>
        <w:widowControl w:val="0"/>
        <w:shd w:val="clear" w:color="auto" w:fill="auto"/>
        <w:kinsoku w:val="0"/>
        <w:wordWrap w:val="0"/>
        <w:bidi w:val="0"/>
        <w:spacing w:line="360" w:lineRule="auto"/>
        <w:ind w:firstLine="480" w:firstLineChars="200"/>
        <w:jc w:val="left"/>
        <w:textAlignment w:val="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 w:val="24"/>
          <w:szCs w:val="24"/>
          <w:highlight w:val="none"/>
        </w:rPr>
        <w:t>注：附法定代表人身份证（正反面）</w:t>
      </w:r>
    </w:p>
    <w:p w14:paraId="4A0A8E66">
      <w:pPr>
        <w:keepNext w:val="0"/>
        <w:keepLines w:val="0"/>
        <w:pageBreakBefore w:val="0"/>
        <w:widowControl w:val="0"/>
        <w:shd w:val="clear" w:color="auto" w:fill="auto"/>
        <w:kinsoku w:val="0"/>
        <w:wordWrap w:val="0"/>
        <w:bidi w:val="0"/>
        <w:spacing w:line="360" w:lineRule="auto"/>
        <w:ind w:firstLine="480" w:firstLineChars="200"/>
        <w:jc w:val="center"/>
        <w:textAlignment w:val="auto"/>
        <w:rPr>
          <w:rFonts w:hint="eastAsia" w:asciiTheme="minorEastAsia" w:hAnsiTheme="minorEastAsia" w:eastAsiaTheme="minorEastAsia" w:cstheme="minorEastAsia"/>
          <w:color w:val="auto"/>
          <w:sz w:val="24"/>
          <w:szCs w:val="24"/>
          <w:highlight w:val="none"/>
        </w:rPr>
      </w:pPr>
    </w:p>
    <w:p w14:paraId="1EF31455">
      <w:pPr>
        <w:keepNext w:val="0"/>
        <w:keepLines w:val="0"/>
        <w:pageBreakBefore w:val="0"/>
        <w:widowControl w:val="0"/>
        <w:shd w:val="clear" w:color="auto" w:fill="auto"/>
        <w:kinsoku w:val="0"/>
        <w:wordWrap w:val="0"/>
        <w:bidi w:val="0"/>
        <w:spacing w:line="360" w:lineRule="auto"/>
        <w:ind w:firstLine="480" w:firstLineChars="200"/>
        <w:jc w:val="center"/>
        <w:textAlignment w:val="auto"/>
        <w:rPr>
          <w:rFonts w:hint="eastAsia" w:asciiTheme="minorEastAsia" w:hAnsiTheme="minorEastAsia" w:eastAsiaTheme="minorEastAsia" w:cstheme="minorEastAsia"/>
          <w:color w:val="auto"/>
          <w:sz w:val="24"/>
          <w:szCs w:val="24"/>
          <w:highlight w:val="none"/>
        </w:rPr>
      </w:pPr>
    </w:p>
    <w:p w14:paraId="46BA08D5">
      <w:pPr>
        <w:keepNext w:val="0"/>
        <w:keepLines w:val="0"/>
        <w:pageBreakBefore w:val="0"/>
        <w:widowControl w:val="0"/>
        <w:shd w:val="clear" w:color="auto" w:fill="auto"/>
        <w:kinsoku w:val="0"/>
        <w:wordWrap w:val="0"/>
        <w:bidi w:val="0"/>
        <w:spacing w:line="360" w:lineRule="auto"/>
        <w:ind w:firstLine="480" w:firstLineChars="200"/>
        <w:jc w:val="center"/>
        <w:textAlignment w:val="auto"/>
        <w:rPr>
          <w:rFonts w:hint="eastAsia" w:asciiTheme="minorEastAsia" w:hAnsiTheme="minorEastAsia" w:eastAsiaTheme="minorEastAsia" w:cstheme="minorEastAsia"/>
          <w:color w:val="auto"/>
          <w:sz w:val="24"/>
          <w:szCs w:val="24"/>
          <w:highlight w:val="none"/>
        </w:rPr>
      </w:pPr>
    </w:p>
    <w:p w14:paraId="3485A173">
      <w:pPr>
        <w:keepNext w:val="0"/>
        <w:keepLines w:val="0"/>
        <w:pageBreakBefore w:val="0"/>
        <w:widowControl w:val="0"/>
        <w:shd w:val="clear" w:color="auto" w:fill="auto"/>
        <w:kinsoku w:val="0"/>
        <w:wordWrap w:val="0"/>
        <w:bidi w:val="0"/>
        <w:spacing w:line="360" w:lineRule="auto"/>
        <w:ind w:firstLine="562" w:firstLineChars="200"/>
        <w:jc w:val="center"/>
        <w:textAlignment w:val="auto"/>
        <w:rPr>
          <w:rFonts w:hint="eastAsia" w:asciiTheme="minorEastAsia" w:hAnsiTheme="minorEastAsia" w:eastAsiaTheme="minorEastAsia" w:cstheme="minorEastAsia"/>
          <w:b/>
          <w:color w:val="auto"/>
          <w:sz w:val="28"/>
          <w:szCs w:val="28"/>
          <w:highlight w:val="none"/>
        </w:rPr>
      </w:pPr>
    </w:p>
    <w:p w14:paraId="3514634D">
      <w:pPr>
        <w:keepNext w:val="0"/>
        <w:keepLines w:val="0"/>
        <w:pageBreakBefore w:val="0"/>
        <w:widowControl w:val="0"/>
        <w:shd w:val="clear" w:color="auto" w:fill="auto"/>
        <w:kinsoku w:val="0"/>
        <w:wordWrap w:val="0"/>
        <w:bidi w:val="0"/>
        <w:spacing w:line="360" w:lineRule="auto"/>
        <w:ind w:firstLine="562" w:firstLineChars="200"/>
        <w:jc w:val="center"/>
        <w:textAlignment w:val="auto"/>
        <w:rPr>
          <w:rFonts w:hint="eastAsia" w:asciiTheme="minorEastAsia" w:hAnsiTheme="minorEastAsia" w:eastAsiaTheme="minorEastAsia" w:cstheme="minorEastAsia"/>
          <w:b/>
          <w:color w:val="auto"/>
          <w:sz w:val="28"/>
          <w:szCs w:val="28"/>
          <w:highlight w:val="none"/>
        </w:rPr>
      </w:pPr>
    </w:p>
    <w:p w14:paraId="48510E53">
      <w:pPr>
        <w:keepNext w:val="0"/>
        <w:keepLines w:val="0"/>
        <w:pageBreakBefore w:val="0"/>
        <w:widowControl w:val="0"/>
        <w:shd w:val="clear" w:color="auto" w:fill="auto"/>
        <w:kinsoku w:val="0"/>
        <w:wordWrap w:val="0"/>
        <w:bidi w:val="0"/>
        <w:spacing w:line="360" w:lineRule="auto"/>
        <w:ind w:firstLine="562" w:firstLineChars="200"/>
        <w:jc w:val="center"/>
        <w:textAlignment w:val="auto"/>
        <w:rPr>
          <w:rFonts w:hint="eastAsia" w:asciiTheme="minorEastAsia" w:hAnsiTheme="minorEastAsia" w:eastAsiaTheme="minorEastAsia" w:cstheme="minorEastAsia"/>
          <w:b/>
          <w:color w:val="auto"/>
          <w:sz w:val="28"/>
          <w:szCs w:val="28"/>
          <w:highlight w:val="none"/>
        </w:rPr>
      </w:pPr>
    </w:p>
    <w:p w14:paraId="017A648C">
      <w:pPr>
        <w:keepNext w:val="0"/>
        <w:keepLines w:val="0"/>
        <w:pageBreakBefore w:val="0"/>
        <w:widowControl w:val="0"/>
        <w:shd w:val="clear" w:color="auto" w:fill="auto"/>
        <w:kinsoku w:val="0"/>
        <w:wordWrap w:val="0"/>
        <w:bidi w:val="0"/>
        <w:spacing w:line="360" w:lineRule="auto"/>
        <w:ind w:firstLine="562" w:firstLineChars="200"/>
        <w:jc w:val="center"/>
        <w:textAlignment w:val="auto"/>
        <w:rPr>
          <w:rFonts w:hint="eastAsia" w:asciiTheme="minorEastAsia" w:hAnsiTheme="minorEastAsia" w:eastAsiaTheme="minorEastAsia" w:cstheme="minorEastAsia"/>
          <w:b/>
          <w:color w:val="auto"/>
          <w:sz w:val="28"/>
          <w:szCs w:val="28"/>
          <w:highlight w:val="none"/>
        </w:rPr>
      </w:pPr>
    </w:p>
    <w:p w14:paraId="5797AAF1">
      <w:pPr>
        <w:keepNext w:val="0"/>
        <w:keepLines w:val="0"/>
        <w:pageBreakBefore w:val="0"/>
        <w:widowControl w:val="0"/>
        <w:shd w:val="clear" w:color="auto" w:fill="auto"/>
        <w:kinsoku w:val="0"/>
        <w:wordWrap w:val="0"/>
        <w:bidi w:val="0"/>
        <w:spacing w:line="360" w:lineRule="auto"/>
        <w:ind w:firstLine="562" w:firstLineChars="200"/>
        <w:jc w:val="center"/>
        <w:textAlignment w:val="auto"/>
        <w:outlineLvl w:val="1"/>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8"/>
          <w:szCs w:val="28"/>
          <w:highlight w:val="none"/>
        </w:rPr>
        <w:br w:type="page"/>
      </w:r>
      <w:bookmarkStart w:id="111" w:name="_Toc26475"/>
      <w:bookmarkStart w:id="112" w:name="_Toc13724"/>
      <w:r>
        <w:rPr>
          <w:rFonts w:hint="eastAsia" w:asciiTheme="minorEastAsia" w:hAnsiTheme="minorEastAsia" w:eastAsiaTheme="minorEastAsia" w:cstheme="minorEastAsia"/>
          <w:b/>
          <w:color w:val="auto"/>
          <w:sz w:val="24"/>
          <w:szCs w:val="24"/>
          <w:highlight w:val="none"/>
          <w:lang w:val="en-US" w:eastAsia="zh-CN"/>
        </w:rPr>
        <w:t>四</w:t>
      </w:r>
      <w:r>
        <w:rPr>
          <w:rFonts w:hint="eastAsia" w:asciiTheme="minorEastAsia" w:hAnsiTheme="minorEastAsia" w:eastAsiaTheme="minorEastAsia" w:cstheme="minorEastAsia"/>
          <w:b/>
          <w:color w:val="auto"/>
          <w:sz w:val="24"/>
          <w:szCs w:val="24"/>
          <w:highlight w:val="none"/>
        </w:rPr>
        <w:t>、授权委托书</w:t>
      </w:r>
      <w:bookmarkEnd w:id="111"/>
      <w:bookmarkEnd w:id="112"/>
    </w:p>
    <w:p w14:paraId="7944927A">
      <w:pPr>
        <w:keepNext w:val="0"/>
        <w:keepLines w:val="0"/>
        <w:pageBreakBefore w:val="0"/>
        <w:widowControl w:val="0"/>
        <w:shd w:val="clear" w:color="auto" w:fill="auto"/>
        <w:kinsoku w:val="0"/>
        <w:wordWrap w:val="0"/>
        <w:topLinePunct/>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p>
    <w:p w14:paraId="48247DC3">
      <w:pPr>
        <w:keepNext w:val="0"/>
        <w:keepLines w:val="0"/>
        <w:pageBreakBefore w:val="0"/>
        <w:widowControl w:val="0"/>
        <w:shd w:val="clear" w:color="auto" w:fill="auto"/>
        <w:kinsoku w:val="0"/>
        <w:wordWrap w:val="0"/>
        <w:topLinePunct/>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（姓名）系</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供应商</w:t>
      </w:r>
      <w:r>
        <w:rPr>
          <w:rFonts w:hint="eastAsia" w:asciiTheme="minorEastAsia" w:hAnsiTheme="minorEastAsia" w:eastAsiaTheme="minorEastAsia" w:cstheme="minorEastAsia"/>
          <w:color w:val="auto"/>
          <w:sz w:val="24"/>
          <w:szCs w:val="24"/>
          <w:highlight w:val="none"/>
        </w:rPr>
        <w:t>名称）的法定代表人，现委托</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（姓名）为我方代理人。代理人根据授权，以我方名义签署、澄清、递交、撤回、修改</w:t>
      </w:r>
      <w:r>
        <w:rPr>
          <w:rFonts w:hint="eastAsia" w:asciiTheme="minorEastAsia" w:hAnsiTheme="minorEastAsia" w:eastAsiaTheme="minorEastAsia" w:cstheme="minorEastAsia"/>
          <w:color w:val="auto"/>
          <w:sz w:val="24"/>
          <w:szCs w:val="24"/>
          <w:highlight w:val="none"/>
          <w:u w:val="single"/>
        </w:rPr>
        <w:t xml:space="preserve">                  （采购项目名称）</w:t>
      </w:r>
      <w:r>
        <w:rPr>
          <w:rFonts w:hint="eastAsia" w:asciiTheme="minorEastAsia" w:hAnsiTheme="minorEastAsia" w:eastAsiaTheme="minorEastAsia" w:cstheme="minorEastAsia"/>
          <w:color w:val="auto"/>
          <w:sz w:val="24"/>
          <w:szCs w:val="24"/>
          <w:highlight w:val="none"/>
        </w:rPr>
        <w:t>投标文件及投标过程中的相关承诺文件，其法律后果由我方承担。</w:t>
      </w:r>
    </w:p>
    <w:p w14:paraId="125AEF21">
      <w:pPr>
        <w:keepNext w:val="0"/>
        <w:keepLines w:val="0"/>
        <w:pageBreakBefore w:val="0"/>
        <w:widowControl w:val="0"/>
        <w:shd w:val="clear" w:color="auto" w:fill="auto"/>
        <w:kinsoku w:val="0"/>
        <w:wordWrap w:val="0"/>
        <w:topLinePunct/>
        <w:bidi w:val="0"/>
        <w:spacing w:line="360" w:lineRule="auto"/>
        <w:textAlignment w:val="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    委托期限：</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w:t>
      </w:r>
    </w:p>
    <w:p w14:paraId="1D36BF84">
      <w:pPr>
        <w:keepNext w:val="0"/>
        <w:keepLines w:val="0"/>
        <w:pageBreakBefore w:val="0"/>
        <w:widowControl w:val="0"/>
        <w:shd w:val="clear" w:color="auto" w:fill="auto"/>
        <w:kinsoku w:val="0"/>
        <w:wordWrap w:val="0"/>
        <w:topLinePunct/>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代理人无转委托权。</w:t>
      </w:r>
    </w:p>
    <w:p w14:paraId="472ECAD4">
      <w:pPr>
        <w:keepNext w:val="0"/>
        <w:keepLines w:val="0"/>
        <w:pageBreakBefore w:val="0"/>
        <w:widowControl w:val="0"/>
        <w:shd w:val="clear" w:color="auto" w:fill="auto"/>
        <w:kinsoku w:val="0"/>
        <w:wordWrap w:val="0"/>
        <w:topLinePunct/>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p>
    <w:p w14:paraId="46E92E2D">
      <w:pPr>
        <w:keepNext w:val="0"/>
        <w:keepLines w:val="0"/>
        <w:pageBreakBefore w:val="0"/>
        <w:widowControl w:val="0"/>
        <w:shd w:val="clear" w:color="auto" w:fill="auto"/>
        <w:kinsoku w:val="0"/>
        <w:wordWrap w:val="0"/>
        <w:topLinePunct/>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附：代理人身份证（正反面）</w:t>
      </w:r>
    </w:p>
    <w:p w14:paraId="2D341471">
      <w:pPr>
        <w:keepNext w:val="0"/>
        <w:keepLines w:val="0"/>
        <w:pageBreakBefore w:val="0"/>
        <w:widowControl w:val="0"/>
        <w:shd w:val="clear" w:color="auto" w:fill="auto"/>
        <w:kinsoku w:val="0"/>
        <w:wordWrap w:val="0"/>
        <w:topLinePunct/>
        <w:bidi w:val="0"/>
        <w:spacing w:line="360" w:lineRule="auto"/>
        <w:ind w:firstLine="610"/>
        <w:textAlignment w:val="auto"/>
        <w:rPr>
          <w:rFonts w:hint="eastAsia" w:asciiTheme="minorEastAsia" w:hAnsiTheme="minorEastAsia" w:eastAsiaTheme="minorEastAsia" w:cstheme="minorEastAsia"/>
          <w:color w:val="auto"/>
          <w:sz w:val="24"/>
          <w:szCs w:val="24"/>
          <w:highlight w:val="none"/>
        </w:rPr>
      </w:pPr>
    </w:p>
    <w:p w14:paraId="7D721760">
      <w:pPr>
        <w:keepNext w:val="0"/>
        <w:keepLines w:val="0"/>
        <w:pageBreakBefore w:val="0"/>
        <w:widowControl w:val="0"/>
        <w:shd w:val="clear" w:color="auto" w:fill="auto"/>
        <w:kinsoku w:val="0"/>
        <w:wordWrap w:val="0"/>
        <w:topLinePunct/>
        <w:bidi w:val="0"/>
        <w:spacing w:line="360" w:lineRule="auto"/>
        <w:ind w:firstLine="61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14:paraId="6C68D5B2">
      <w:pPr>
        <w:keepNext w:val="0"/>
        <w:keepLines w:val="0"/>
        <w:pageBreakBefore w:val="0"/>
        <w:widowControl w:val="0"/>
        <w:shd w:val="clear" w:color="auto" w:fill="auto"/>
        <w:kinsoku w:val="0"/>
        <w:wordWrap w:val="0"/>
        <w:topLinePunct/>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供应商</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（电子签章）</w:t>
      </w:r>
    </w:p>
    <w:p w14:paraId="7B080F22">
      <w:pPr>
        <w:keepNext w:val="0"/>
        <w:keepLines w:val="0"/>
        <w:pageBreakBefore w:val="0"/>
        <w:widowControl w:val="0"/>
        <w:shd w:val="clear" w:color="auto" w:fill="auto"/>
        <w:kinsoku w:val="0"/>
        <w:wordWrap w:val="0"/>
        <w:topLinePunct/>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p>
    <w:p w14:paraId="4D974B92">
      <w:pPr>
        <w:keepNext w:val="0"/>
        <w:keepLines w:val="0"/>
        <w:pageBreakBefore w:val="0"/>
        <w:widowControl w:val="0"/>
        <w:shd w:val="clear" w:color="auto" w:fill="auto"/>
        <w:kinsoku w:val="0"/>
        <w:wordWrap w:val="0"/>
        <w:topLinePunct/>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法定代表人：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（电子签章</w:t>
      </w:r>
      <w:r>
        <w:rPr>
          <w:rFonts w:hint="eastAsia" w:asciiTheme="minorEastAsia" w:hAnsiTheme="minorEastAsia" w:eastAsiaTheme="minorEastAsia" w:cstheme="minorEastAsia"/>
          <w:color w:val="auto"/>
          <w:sz w:val="24"/>
          <w:szCs w:val="24"/>
          <w:highlight w:val="none"/>
          <w:lang w:val="en-US" w:eastAsia="zh-CN"/>
        </w:rPr>
        <w:t>或签字</w:t>
      </w:r>
      <w:r>
        <w:rPr>
          <w:rFonts w:hint="eastAsia" w:asciiTheme="minorEastAsia" w:hAnsiTheme="minorEastAsia" w:eastAsiaTheme="minorEastAsia" w:cstheme="minorEastAsia"/>
          <w:color w:val="auto"/>
          <w:sz w:val="24"/>
          <w:szCs w:val="24"/>
          <w:highlight w:val="none"/>
        </w:rPr>
        <w:t>）</w:t>
      </w:r>
    </w:p>
    <w:p w14:paraId="6D7F693B">
      <w:pPr>
        <w:keepNext w:val="0"/>
        <w:keepLines w:val="0"/>
        <w:pageBreakBefore w:val="0"/>
        <w:widowControl w:val="0"/>
        <w:shd w:val="clear" w:color="auto" w:fill="auto"/>
        <w:kinsoku w:val="0"/>
        <w:wordWrap w:val="0"/>
        <w:topLinePunct/>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p>
    <w:p w14:paraId="39A7B998">
      <w:pPr>
        <w:keepNext w:val="0"/>
        <w:keepLines w:val="0"/>
        <w:pageBreakBefore w:val="0"/>
        <w:widowControl w:val="0"/>
        <w:shd w:val="clear" w:color="auto" w:fill="auto"/>
        <w:kinsoku w:val="0"/>
        <w:wordWrap w:val="0"/>
        <w:topLinePunct/>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身份证号码：</w:t>
      </w:r>
      <w:r>
        <w:rPr>
          <w:rFonts w:hint="eastAsia" w:asciiTheme="minorEastAsia" w:hAnsiTheme="minorEastAsia" w:eastAsiaTheme="minorEastAsia" w:cstheme="minorEastAsia"/>
          <w:color w:val="auto"/>
          <w:sz w:val="24"/>
          <w:szCs w:val="24"/>
          <w:highlight w:val="none"/>
          <w:u w:val="single"/>
        </w:rPr>
        <w:t xml:space="preserve">                       </w:t>
      </w:r>
    </w:p>
    <w:p w14:paraId="40A9FB79">
      <w:pPr>
        <w:keepNext w:val="0"/>
        <w:keepLines w:val="0"/>
        <w:pageBreakBefore w:val="0"/>
        <w:widowControl w:val="0"/>
        <w:shd w:val="clear" w:color="auto" w:fill="auto"/>
        <w:kinsoku w:val="0"/>
        <w:wordWrap w:val="0"/>
        <w:topLinePunct/>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p>
    <w:p w14:paraId="0B0071D4">
      <w:pPr>
        <w:keepNext w:val="0"/>
        <w:keepLines w:val="0"/>
        <w:pageBreakBefore w:val="0"/>
        <w:widowControl w:val="0"/>
        <w:shd w:val="clear" w:color="auto" w:fill="auto"/>
        <w:kinsoku w:val="0"/>
        <w:wordWrap w:val="0"/>
        <w:topLinePunct/>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委托代理人：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（签字或盖章）</w:t>
      </w:r>
    </w:p>
    <w:p w14:paraId="327AE309">
      <w:pPr>
        <w:keepNext w:val="0"/>
        <w:keepLines w:val="0"/>
        <w:pageBreakBefore w:val="0"/>
        <w:widowControl w:val="0"/>
        <w:shd w:val="clear" w:color="auto" w:fill="auto"/>
        <w:kinsoku w:val="0"/>
        <w:wordWrap w:val="0"/>
        <w:topLinePunct/>
        <w:bidi w:val="0"/>
        <w:spacing w:line="360" w:lineRule="auto"/>
        <w:ind w:left="2699"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14:paraId="2B0F5946">
      <w:pPr>
        <w:keepNext w:val="0"/>
        <w:keepLines w:val="0"/>
        <w:pageBreakBefore w:val="0"/>
        <w:widowControl w:val="0"/>
        <w:shd w:val="clear" w:color="auto" w:fill="auto"/>
        <w:kinsoku w:val="0"/>
        <w:wordWrap w:val="0"/>
        <w:topLinePunct/>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身份证号码：</w:t>
      </w:r>
      <w:r>
        <w:rPr>
          <w:rFonts w:hint="eastAsia" w:asciiTheme="minorEastAsia" w:hAnsiTheme="minorEastAsia" w:eastAsiaTheme="minorEastAsia" w:cstheme="minorEastAsia"/>
          <w:color w:val="auto"/>
          <w:sz w:val="24"/>
          <w:szCs w:val="24"/>
          <w:highlight w:val="none"/>
          <w:u w:val="single"/>
        </w:rPr>
        <w:t xml:space="preserve">                            </w:t>
      </w:r>
    </w:p>
    <w:p w14:paraId="77B43DA8">
      <w:pPr>
        <w:keepNext w:val="0"/>
        <w:keepLines w:val="0"/>
        <w:pageBreakBefore w:val="0"/>
        <w:widowControl w:val="0"/>
        <w:shd w:val="clear" w:color="auto" w:fill="auto"/>
        <w:kinsoku w:val="0"/>
        <w:wordWrap w:val="0"/>
        <w:topLinePunct/>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p>
    <w:p w14:paraId="2094D100">
      <w:pPr>
        <w:keepNext w:val="0"/>
        <w:keepLines w:val="0"/>
        <w:pageBreakBefore w:val="0"/>
        <w:widowControl w:val="0"/>
        <w:shd w:val="clear" w:color="auto" w:fill="auto"/>
        <w:kinsoku w:val="0"/>
        <w:wordWrap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日  期：</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日 </w:t>
      </w:r>
    </w:p>
    <w:p w14:paraId="25A46003">
      <w:pPr>
        <w:keepNext w:val="0"/>
        <w:keepLines w:val="0"/>
        <w:pageBreakBefore w:val="0"/>
        <w:widowControl w:val="0"/>
        <w:shd w:val="clear" w:color="auto" w:fill="auto"/>
        <w:kinsoku w:val="0"/>
        <w:wordWrap w:val="0"/>
        <w:bidi w:val="0"/>
        <w:spacing w:line="360" w:lineRule="auto"/>
        <w:ind w:left="5280" w:firstLine="480" w:firstLineChars="200"/>
        <w:textAlignment w:val="auto"/>
        <w:rPr>
          <w:rFonts w:hint="eastAsia" w:asciiTheme="minorEastAsia" w:hAnsiTheme="minorEastAsia" w:eastAsiaTheme="minorEastAsia" w:cstheme="minorEastAsia"/>
          <w:color w:val="auto"/>
          <w:sz w:val="24"/>
          <w:highlight w:val="none"/>
        </w:rPr>
      </w:pPr>
    </w:p>
    <w:p w14:paraId="01D44F64">
      <w:pPr>
        <w:keepNext w:val="0"/>
        <w:keepLines w:val="0"/>
        <w:pageBreakBefore w:val="0"/>
        <w:widowControl w:val="0"/>
        <w:shd w:val="clear" w:color="auto" w:fill="auto"/>
        <w:kinsoku w:val="0"/>
        <w:wordWrap w:val="0"/>
        <w:bidi w:val="0"/>
        <w:spacing w:line="360" w:lineRule="auto"/>
        <w:ind w:left="5280" w:firstLine="480" w:firstLineChars="200"/>
        <w:textAlignment w:val="auto"/>
        <w:rPr>
          <w:rFonts w:hint="eastAsia" w:asciiTheme="minorEastAsia" w:hAnsiTheme="minorEastAsia" w:eastAsiaTheme="minorEastAsia" w:cstheme="minorEastAsia"/>
          <w:color w:val="auto"/>
          <w:sz w:val="24"/>
          <w:highlight w:val="none"/>
        </w:rPr>
      </w:pPr>
    </w:p>
    <w:p w14:paraId="4A4A376E">
      <w:pPr>
        <w:keepNext w:val="0"/>
        <w:keepLines w:val="0"/>
        <w:pageBreakBefore w:val="0"/>
        <w:widowControl w:val="0"/>
        <w:shd w:val="clear" w:color="auto" w:fill="auto"/>
        <w:kinsoku w:val="0"/>
        <w:wordWrap w:val="0"/>
        <w:bidi w:val="0"/>
        <w:spacing w:line="360" w:lineRule="auto"/>
        <w:jc w:val="center"/>
        <w:textAlignment w:val="auto"/>
        <w:rPr>
          <w:rFonts w:hint="eastAsia" w:asciiTheme="minorEastAsia" w:hAnsiTheme="minorEastAsia" w:eastAsiaTheme="minorEastAsia" w:cstheme="minorEastAsia"/>
          <w:color w:val="auto"/>
          <w:szCs w:val="21"/>
          <w:highlight w:val="none"/>
        </w:rPr>
      </w:pPr>
      <w:bookmarkStart w:id="113" w:name="_Toc403511225"/>
      <w:r>
        <w:rPr>
          <w:rFonts w:hint="eastAsia" w:asciiTheme="minorEastAsia" w:hAnsiTheme="minorEastAsia" w:eastAsiaTheme="minorEastAsia" w:cstheme="minorEastAsia"/>
          <w:b/>
          <w:color w:val="auto"/>
          <w:sz w:val="28"/>
          <w:szCs w:val="28"/>
          <w:highlight w:val="none"/>
        </w:rPr>
        <w:br w:type="page"/>
      </w:r>
      <w:bookmarkEnd w:id="113"/>
    </w:p>
    <w:p w14:paraId="20FC6AE8">
      <w:pPr>
        <w:keepNext w:val="0"/>
        <w:keepLines w:val="0"/>
        <w:pageBreakBefore w:val="0"/>
        <w:widowControl w:val="0"/>
        <w:shd w:val="clear" w:color="auto" w:fill="auto"/>
        <w:kinsoku w:val="0"/>
        <w:wordWrap w:val="0"/>
        <w:bidi w:val="0"/>
        <w:spacing w:line="360" w:lineRule="auto"/>
        <w:jc w:val="center"/>
        <w:textAlignment w:val="auto"/>
        <w:outlineLvl w:val="1"/>
        <w:rPr>
          <w:rFonts w:hint="eastAsia" w:asciiTheme="minorEastAsia" w:hAnsiTheme="minorEastAsia" w:eastAsiaTheme="minorEastAsia" w:cstheme="minorEastAsia"/>
          <w:b/>
          <w:color w:val="auto"/>
          <w:sz w:val="24"/>
          <w:szCs w:val="24"/>
          <w:highlight w:val="none"/>
          <w:lang w:val="en-US" w:eastAsia="zh-CN"/>
        </w:rPr>
      </w:pPr>
      <w:bookmarkStart w:id="114" w:name="_Toc403511226"/>
      <w:bookmarkStart w:id="115" w:name="_Toc3291"/>
      <w:bookmarkStart w:id="116" w:name="_Toc20844"/>
      <w:r>
        <w:rPr>
          <w:rFonts w:hint="eastAsia" w:asciiTheme="minorEastAsia" w:hAnsiTheme="minorEastAsia" w:eastAsiaTheme="minorEastAsia" w:cstheme="minorEastAsia"/>
          <w:b/>
          <w:color w:val="auto"/>
          <w:sz w:val="24"/>
          <w:szCs w:val="24"/>
          <w:highlight w:val="none"/>
          <w:lang w:val="en-US" w:eastAsia="zh-CN"/>
        </w:rPr>
        <w:t>五、</w:t>
      </w:r>
      <w:bookmarkEnd w:id="114"/>
      <w:r>
        <w:rPr>
          <w:rFonts w:hint="eastAsia" w:asciiTheme="minorEastAsia" w:hAnsiTheme="minorEastAsia" w:eastAsiaTheme="minorEastAsia" w:cstheme="minorEastAsia"/>
          <w:b/>
          <w:color w:val="auto"/>
          <w:sz w:val="24"/>
          <w:szCs w:val="24"/>
          <w:highlight w:val="none"/>
          <w:lang w:val="en-US" w:eastAsia="zh-CN"/>
        </w:rPr>
        <w:t>供应商基本情况表</w:t>
      </w:r>
      <w:bookmarkEnd w:id="115"/>
      <w:bookmarkEnd w:id="116"/>
    </w:p>
    <w:tbl>
      <w:tblPr>
        <w:tblStyle w:val="21"/>
        <w:tblW w:w="9472"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669"/>
        <w:gridCol w:w="1080"/>
        <w:gridCol w:w="1050"/>
        <w:gridCol w:w="1548"/>
        <w:gridCol w:w="344"/>
        <w:gridCol w:w="1191"/>
        <w:gridCol w:w="542"/>
        <w:gridCol w:w="951"/>
        <w:gridCol w:w="1097"/>
      </w:tblGrid>
      <w:tr w14:paraId="4887EEE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5" w:hRule="atLeast"/>
          <w:jc w:val="center"/>
        </w:trPr>
        <w:tc>
          <w:tcPr>
            <w:tcW w:w="1669" w:type="dxa"/>
            <w:tcBorders>
              <w:top w:val="single" w:color="auto" w:sz="4" w:space="0"/>
              <w:left w:val="single" w:color="auto" w:sz="4" w:space="0"/>
              <w:bottom w:val="single" w:color="auto" w:sz="4" w:space="0"/>
              <w:right w:val="single" w:color="auto" w:sz="4" w:space="0"/>
            </w:tcBorders>
            <w:noWrap w:val="0"/>
            <w:vAlign w:val="center"/>
          </w:tcPr>
          <w:p w14:paraId="27D0362F">
            <w:pPr>
              <w:keepNext w:val="0"/>
              <w:keepLines w:val="0"/>
              <w:pageBreakBefore w:val="0"/>
              <w:widowControl w:val="0"/>
              <w:shd w:val="clear" w:color="auto" w:fill="auto"/>
              <w:kinsoku w:val="0"/>
              <w:wordWrap w:val="0"/>
              <w:topLinePunct/>
              <w:bidi w:val="0"/>
              <w:spacing w:line="360" w:lineRule="auto"/>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供应商</w:t>
            </w:r>
            <w:r>
              <w:rPr>
                <w:rFonts w:hint="eastAsia" w:asciiTheme="minorEastAsia" w:hAnsiTheme="minorEastAsia" w:eastAsiaTheme="minorEastAsia" w:cstheme="minorEastAsia"/>
                <w:color w:val="auto"/>
                <w:sz w:val="24"/>
                <w:szCs w:val="24"/>
                <w:highlight w:val="none"/>
              </w:rPr>
              <w:t>名称</w:t>
            </w:r>
          </w:p>
        </w:tc>
        <w:tc>
          <w:tcPr>
            <w:tcW w:w="7803" w:type="dxa"/>
            <w:gridSpan w:val="8"/>
            <w:tcBorders>
              <w:top w:val="single" w:color="auto" w:sz="4" w:space="0"/>
              <w:left w:val="single" w:color="auto" w:sz="4" w:space="0"/>
              <w:bottom w:val="single" w:color="auto" w:sz="4" w:space="0"/>
              <w:right w:val="single" w:color="auto" w:sz="4" w:space="0"/>
            </w:tcBorders>
            <w:noWrap w:val="0"/>
            <w:vAlign w:val="center"/>
          </w:tcPr>
          <w:p w14:paraId="370E801E">
            <w:pPr>
              <w:keepNext w:val="0"/>
              <w:keepLines w:val="0"/>
              <w:pageBreakBefore w:val="0"/>
              <w:widowControl w:val="0"/>
              <w:shd w:val="clear" w:color="auto" w:fill="auto"/>
              <w:kinsoku w:val="0"/>
              <w:wordWrap w:val="0"/>
              <w:topLinePunct/>
              <w:bidi w:val="0"/>
              <w:spacing w:line="360" w:lineRule="auto"/>
              <w:jc w:val="both"/>
              <w:textAlignment w:val="auto"/>
              <w:rPr>
                <w:rFonts w:hint="eastAsia" w:asciiTheme="minorEastAsia" w:hAnsiTheme="minorEastAsia" w:eastAsiaTheme="minorEastAsia" w:cstheme="minorEastAsia"/>
                <w:color w:val="auto"/>
                <w:sz w:val="24"/>
                <w:szCs w:val="24"/>
                <w:highlight w:val="none"/>
              </w:rPr>
            </w:pPr>
          </w:p>
        </w:tc>
      </w:tr>
      <w:tr w14:paraId="05F8C5F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3" w:hRule="atLeast"/>
          <w:jc w:val="center"/>
        </w:trPr>
        <w:tc>
          <w:tcPr>
            <w:tcW w:w="1669" w:type="dxa"/>
            <w:tcBorders>
              <w:top w:val="single" w:color="auto" w:sz="4" w:space="0"/>
              <w:left w:val="single" w:color="auto" w:sz="4" w:space="0"/>
              <w:bottom w:val="single" w:color="auto" w:sz="4" w:space="0"/>
              <w:right w:val="single" w:color="auto" w:sz="4" w:space="0"/>
            </w:tcBorders>
            <w:noWrap w:val="0"/>
            <w:vAlign w:val="center"/>
          </w:tcPr>
          <w:p w14:paraId="57FA4FF7">
            <w:pPr>
              <w:keepNext w:val="0"/>
              <w:keepLines w:val="0"/>
              <w:pageBreakBefore w:val="0"/>
              <w:widowControl w:val="0"/>
              <w:shd w:val="clear" w:color="auto" w:fill="auto"/>
              <w:kinsoku w:val="0"/>
              <w:wordWrap w:val="0"/>
              <w:topLinePunct/>
              <w:bidi w:val="0"/>
              <w:spacing w:line="360" w:lineRule="auto"/>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注册地址</w:t>
            </w:r>
          </w:p>
        </w:tc>
        <w:tc>
          <w:tcPr>
            <w:tcW w:w="4022" w:type="dxa"/>
            <w:gridSpan w:val="4"/>
            <w:tcBorders>
              <w:top w:val="single" w:color="auto" w:sz="4" w:space="0"/>
              <w:left w:val="single" w:color="auto" w:sz="4" w:space="0"/>
              <w:bottom w:val="single" w:color="auto" w:sz="4" w:space="0"/>
              <w:right w:val="single" w:color="auto" w:sz="4" w:space="0"/>
            </w:tcBorders>
            <w:noWrap w:val="0"/>
            <w:vAlign w:val="center"/>
          </w:tcPr>
          <w:p w14:paraId="3F47C4A6">
            <w:pPr>
              <w:keepNext w:val="0"/>
              <w:keepLines w:val="0"/>
              <w:pageBreakBefore w:val="0"/>
              <w:widowControl w:val="0"/>
              <w:shd w:val="clear" w:color="auto" w:fill="auto"/>
              <w:kinsoku w:val="0"/>
              <w:wordWrap w:val="0"/>
              <w:topLinePunct/>
              <w:bidi w:val="0"/>
              <w:spacing w:line="360" w:lineRule="auto"/>
              <w:jc w:val="both"/>
              <w:textAlignment w:val="auto"/>
              <w:rPr>
                <w:rFonts w:hint="eastAsia" w:asciiTheme="minorEastAsia" w:hAnsiTheme="minorEastAsia" w:eastAsiaTheme="minorEastAsia" w:cstheme="minorEastAsia"/>
                <w:color w:val="auto"/>
                <w:sz w:val="24"/>
                <w:szCs w:val="24"/>
                <w:highlight w:val="none"/>
              </w:rPr>
            </w:pPr>
          </w:p>
        </w:tc>
        <w:tc>
          <w:tcPr>
            <w:tcW w:w="1191" w:type="dxa"/>
            <w:tcBorders>
              <w:top w:val="single" w:color="auto" w:sz="4" w:space="0"/>
              <w:left w:val="single" w:color="auto" w:sz="4" w:space="0"/>
              <w:bottom w:val="single" w:color="auto" w:sz="4" w:space="0"/>
              <w:right w:val="single" w:color="auto" w:sz="4" w:space="0"/>
            </w:tcBorders>
            <w:noWrap w:val="0"/>
            <w:vAlign w:val="center"/>
          </w:tcPr>
          <w:p w14:paraId="70E851B2">
            <w:pPr>
              <w:keepNext w:val="0"/>
              <w:keepLines w:val="0"/>
              <w:pageBreakBefore w:val="0"/>
              <w:widowControl w:val="0"/>
              <w:shd w:val="clear" w:color="auto" w:fill="auto"/>
              <w:kinsoku w:val="0"/>
              <w:wordWrap w:val="0"/>
              <w:topLinePunct/>
              <w:bidi w:val="0"/>
              <w:spacing w:line="360" w:lineRule="auto"/>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邮政编码</w:t>
            </w:r>
          </w:p>
        </w:tc>
        <w:tc>
          <w:tcPr>
            <w:tcW w:w="2590" w:type="dxa"/>
            <w:gridSpan w:val="3"/>
            <w:tcBorders>
              <w:top w:val="single" w:color="auto" w:sz="4" w:space="0"/>
              <w:left w:val="single" w:color="auto" w:sz="4" w:space="0"/>
              <w:bottom w:val="single" w:color="auto" w:sz="4" w:space="0"/>
              <w:right w:val="single" w:color="auto" w:sz="4" w:space="0"/>
            </w:tcBorders>
            <w:noWrap w:val="0"/>
            <w:vAlign w:val="center"/>
          </w:tcPr>
          <w:p w14:paraId="7CC0D6B5">
            <w:pPr>
              <w:keepNext w:val="0"/>
              <w:keepLines w:val="0"/>
              <w:pageBreakBefore w:val="0"/>
              <w:widowControl w:val="0"/>
              <w:shd w:val="clear" w:color="auto" w:fill="auto"/>
              <w:kinsoku w:val="0"/>
              <w:wordWrap w:val="0"/>
              <w:topLinePunct/>
              <w:bidi w:val="0"/>
              <w:spacing w:line="360" w:lineRule="auto"/>
              <w:jc w:val="both"/>
              <w:textAlignment w:val="auto"/>
              <w:rPr>
                <w:rFonts w:hint="eastAsia" w:asciiTheme="minorEastAsia" w:hAnsiTheme="minorEastAsia" w:eastAsiaTheme="minorEastAsia" w:cstheme="minorEastAsia"/>
                <w:color w:val="auto"/>
                <w:sz w:val="24"/>
                <w:szCs w:val="24"/>
                <w:highlight w:val="none"/>
              </w:rPr>
            </w:pPr>
          </w:p>
        </w:tc>
      </w:tr>
      <w:tr w14:paraId="258628D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77" w:hRule="atLeast"/>
          <w:jc w:val="center"/>
        </w:trPr>
        <w:tc>
          <w:tcPr>
            <w:tcW w:w="1669" w:type="dxa"/>
            <w:vMerge w:val="restart"/>
            <w:tcBorders>
              <w:top w:val="single" w:color="auto" w:sz="4" w:space="0"/>
              <w:left w:val="single" w:color="auto" w:sz="4" w:space="0"/>
              <w:bottom w:val="single" w:color="auto" w:sz="4" w:space="0"/>
              <w:right w:val="single" w:color="auto" w:sz="4" w:space="0"/>
            </w:tcBorders>
            <w:noWrap w:val="0"/>
            <w:vAlign w:val="center"/>
          </w:tcPr>
          <w:p w14:paraId="37BC894E">
            <w:pPr>
              <w:keepNext w:val="0"/>
              <w:keepLines w:val="0"/>
              <w:pageBreakBefore w:val="0"/>
              <w:widowControl w:val="0"/>
              <w:shd w:val="clear" w:color="auto" w:fill="auto"/>
              <w:kinsoku w:val="0"/>
              <w:wordWrap w:val="0"/>
              <w:topLinePunct/>
              <w:bidi w:val="0"/>
              <w:spacing w:line="360" w:lineRule="auto"/>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联系方式</w:t>
            </w:r>
          </w:p>
        </w:tc>
        <w:tc>
          <w:tcPr>
            <w:tcW w:w="1080" w:type="dxa"/>
            <w:tcBorders>
              <w:top w:val="single" w:color="auto" w:sz="4" w:space="0"/>
              <w:left w:val="single" w:color="auto" w:sz="4" w:space="0"/>
              <w:bottom w:val="single" w:color="auto" w:sz="4" w:space="0"/>
              <w:right w:val="single" w:color="auto" w:sz="4" w:space="0"/>
            </w:tcBorders>
            <w:noWrap w:val="0"/>
            <w:vAlign w:val="center"/>
          </w:tcPr>
          <w:p w14:paraId="03D26480">
            <w:pPr>
              <w:keepNext w:val="0"/>
              <w:keepLines w:val="0"/>
              <w:pageBreakBefore w:val="0"/>
              <w:widowControl w:val="0"/>
              <w:shd w:val="clear" w:color="auto" w:fill="auto"/>
              <w:kinsoku w:val="0"/>
              <w:wordWrap w:val="0"/>
              <w:topLinePunct/>
              <w:bidi w:val="0"/>
              <w:spacing w:line="360" w:lineRule="auto"/>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联系人</w:t>
            </w:r>
          </w:p>
        </w:tc>
        <w:tc>
          <w:tcPr>
            <w:tcW w:w="2942" w:type="dxa"/>
            <w:gridSpan w:val="3"/>
            <w:tcBorders>
              <w:top w:val="single" w:color="auto" w:sz="4" w:space="0"/>
              <w:left w:val="single" w:color="auto" w:sz="4" w:space="0"/>
              <w:bottom w:val="single" w:color="auto" w:sz="4" w:space="0"/>
              <w:right w:val="single" w:color="auto" w:sz="4" w:space="0"/>
            </w:tcBorders>
            <w:noWrap w:val="0"/>
            <w:vAlign w:val="center"/>
          </w:tcPr>
          <w:p w14:paraId="43C1D4D0">
            <w:pPr>
              <w:keepNext w:val="0"/>
              <w:keepLines w:val="0"/>
              <w:pageBreakBefore w:val="0"/>
              <w:widowControl w:val="0"/>
              <w:shd w:val="clear" w:color="auto" w:fill="auto"/>
              <w:kinsoku w:val="0"/>
              <w:wordWrap w:val="0"/>
              <w:topLinePunct/>
              <w:bidi w:val="0"/>
              <w:spacing w:line="360" w:lineRule="auto"/>
              <w:jc w:val="both"/>
              <w:textAlignment w:val="auto"/>
              <w:rPr>
                <w:rFonts w:hint="eastAsia" w:asciiTheme="minorEastAsia" w:hAnsiTheme="minorEastAsia" w:eastAsiaTheme="minorEastAsia" w:cstheme="minorEastAsia"/>
                <w:color w:val="auto"/>
                <w:sz w:val="24"/>
                <w:szCs w:val="24"/>
                <w:highlight w:val="none"/>
              </w:rPr>
            </w:pPr>
          </w:p>
        </w:tc>
        <w:tc>
          <w:tcPr>
            <w:tcW w:w="1191" w:type="dxa"/>
            <w:tcBorders>
              <w:top w:val="single" w:color="auto" w:sz="4" w:space="0"/>
              <w:left w:val="single" w:color="auto" w:sz="4" w:space="0"/>
              <w:bottom w:val="single" w:color="auto" w:sz="4" w:space="0"/>
              <w:right w:val="single" w:color="auto" w:sz="4" w:space="0"/>
            </w:tcBorders>
            <w:noWrap w:val="0"/>
            <w:vAlign w:val="center"/>
          </w:tcPr>
          <w:p w14:paraId="5101D560">
            <w:pPr>
              <w:keepNext w:val="0"/>
              <w:keepLines w:val="0"/>
              <w:pageBreakBefore w:val="0"/>
              <w:widowControl w:val="0"/>
              <w:shd w:val="clear" w:color="auto" w:fill="auto"/>
              <w:kinsoku w:val="0"/>
              <w:wordWrap w:val="0"/>
              <w:topLinePunct/>
              <w:bidi w:val="0"/>
              <w:spacing w:line="360" w:lineRule="auto"/>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电话</w:t>
            </w:r>
          </w:p>
        </w:tc>
        <w:tc>
          <w:tcPr>
            <w:tcW w:w="2590" w:type="dxa"/>
            <w:gridSpan w:val="3"/>
            <w:tcBorders>
              <w:top w:val="single" w:color="auto" w:sz="4" w:space="0"/>
              <w:left w:val="single" w:color="auto" w:sz="4" w:space="0"/>
              <w:bottom w:val="single" w:color="auto" w:sz="4" w:space="0"/>
              <w:right w:val="single" w:color="auto" w:sz="4" w:space="0"/>
            </w:tcBorders>
            <w:noWrap w:val="0"/>
            <w:vAlign w:val="center"/>
          </w:tcPr>
          <w:p w14:paraId="3E1C3A07">
            <w:pPr>
              <w:keepNext w:val="0"/>
              <w:keepLines w:val="0"/>
              <w:pageBreakBefore w:val="0"/>
              <w:widowControl w:val="0"/>
              <w:shd w:val="clear" w:color="auto" w:fill="auto"/>
              <w:kinsoku w:val="0"/>
              <w:wordWrap w:val="0"/>
              <w:topLinePunct/>
              <w:bidi w:val="0"/>
              <w:spacing w:line="360" w:lineRule="auto"/>
              <w:jc w:val="both"/>
              <w:textAlignment w:val="auto"/>
              <w:rPr>
                <w:rFonts w:hint="eastAsia" w:asciiTheme="minorEastAsia" w:hAnsiTheme="minorEastAsia" w:eastAsiaTheme="minorEastAsia" w:cstheme="minorEastAsia"/>
                <w:color w:val="auto"/>
                <w:sz w:val="24"/>
                <w:szCs w:val="24"/>
                <w:highlight w:val="none"/>
              </w:rPr>
            </w:pPr>
          </w:p>
        </w:tc>
      </w:tr>
      <w:tr w14:paraId="27A99EF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85" w:hRule="atLeast"/>
          <w:jc w:val="center"/>
        </w:trPr>
        <w:tc>
          <w:tcPr>
            <w:tcW w:w="1669" w:type="dxa"/>
            <w:vMerge w:val="continue"/>
            <w:tcBorders>
              <w:top w:val="single" w:color="auto" w:sz="4" w:space="0"/>
              <w:left w:val="single" w:color="auto" w:sz="4" w:space="0"/>
              <w:bottom w:val="single" w:color="auto" w:sz="4" w:space="0"/>
              <w:right w:val="single" w:color="auto" w:sz="4" w:space="0"/>
            </w:tcBorders>
            <w:noWrap w:val="0"/>
            <w:vAlign w:val="center"/>
          </w:tcPr>
          <w:p w14:paraId="0B1EE630">
            <w:pPr>
              <w:keepNext w:val="0"/>
              <w:keepLines w:val="0"/>
              <w:pageBreakBefore w:val="0"/>
              <w:widowControl w:val="0"/>
              <w:shd w:val="clear" w:color="auto" w:fill="auto"/>
              <w:kinsoku w:val="0"/>
              <w:wordWrap w:val="0"/>
              <w:bidi w:val="0"/>
              <w:jc w:val="center"/>
              <w:textAlignment w:val="auto"/>
              <w:rPr>
                <w:rFonts w:hint="eastAsia" w:asciiTheme="minorEastAsia" w:hAnsiTheme="minorEastAsia" w:eastAsiaTheme="minorEastAsia" w:cstheme="minorEastAsia"/>
                <w:color w:val="auto"/>
                <w:sz w:val="24"/>
                <w:szCs w:val="24"/>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61B86DE6">
            <w:pPr>
              <w:keepNext w:val="0"/>
              <w:keepLines w:val="0"/>
              <w:pageBreakBefore w:val="0"/>
              <w:widowControl w:val="0"/>
              <w:shd w:val="clear" w:color="auto" w:fill="auto"/>
              <w:kinsoku w:val="0"/>
              <w:wordWrap w:val="0"/>
              <w:topLinePunct/>
              <w:bidi w:val="0"/>
              <w:spacing w:line="360" w:lineRule="auto"/>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传真</w:t>
            </w:r>
          </w:p>
        </w:tc>
        <w:tc>
          <w:tcPr>
            <w:tcW w:w="2942" w:type="dxa"/>
            <w:gridSpan w:val="3"/>
            <w:tcBorders>
              <w:top w:val="single" w:color="auto" w:sz="4" w:space="0"/>
              <w:left w:val="single" w:color="auto" w:sz="4" w:space="0"/>
              <w:bottom w:val="single" w:color="auto" w:sz="4" w:space="0"/>
              <w:right w:val="single" w:color="auto" w:sz="4" w:space="0"/>
            </w:tcBorders>
            <w:noWrap w:val="0"/>
            <w:vAlign w:val="center"/>
          </w:tcPr>
          <w:p w14:paraId="0F179C75">
            <w:pPr>
              <w:keepNext w:val="0"/>
              <w:keepLines w:val="0"/>
              <w:pageBreakBefore w:val="0"/>
              <w:widowControl w:val="0"/>
              <w:shd w:val="clear" w:color="auto" w:fill="auto"/>
              <w:kinsoku w:val="0"/>
              <w:wordWrap w:val="0"/>
              <w:topLinePunct/>
              <w:bidi w:val="0"/>
              <w:spacing w:line="360" w:lineRule="auto"/>
              <w:jc w:val="both"/>
              <w:textAlignment w:val="auto"/>
              <w:rPr>
                <w:rFonts w:hint="eastAsia" w:asciiTheme="minorEastAsia" w:hAnsiTheme="minorEastAsia" w:eastAsiaTheme="minorEastAsia" w:cstheme="minorEastAsia"/>
                <w:color w:val="auto"/>
                <w:sz w:val="24"/>
                <w:szCs w:val="24"/>
                <w:highlight w:val="none"/>
              </w:rPr>
            </w:pPr>
          </w:p>
        </w:tc>
        <w:tc>
          <w:tcPr>
            <w:tcW w:w="1191" w:type="dxa"/>
            <w:tcBorders>
              <w:top w:val="single" w:color="auto" w:sz="4" w:space="0"/>
              <w:left w:val="single" w:color="auto" w:sz="4" w:space="0"/>
              <w:bottom w:val="single" w:color="auto" w:sz="4" w:space="0"/>
              <w:right w:val="single" w:color="auto" w:sz="4" w:space="0"/>
            </w:tcBorders>
            <w:noWrap w:val="0"/>
            <w:vAlign w:val="center"/>
          </w:tcPr>
          <w:p w14:paraId="6436BB10">
            <w:pPr>
              <w:keepNext w:val="0"/>
              <w:keepLines w:val="0"/>
              <w:pageBreakBefore w:val="0"/>
              <w:widowControl w:val="0"/>
              <w:shd w:val="clear" w:color="auto" w:fill="auto"/>
              <w:kinsoku w:val="0"/>
              <w:wordWrap w:val="0"/>
              <w:topLinePunct/>
              <w:bidi w:val="0"/>
              <w:spacing w:line="360" w:lineRule="auto"/>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网址</w:t>
            </w:r>
          </w:p>
        </w:tc>
        <w:tc>
          <w:tcPr>
            <w:tcW w:w="2590" w:type="dxa"/>
            <w:gridSpan w:val="3"/>
            <w:tcBorders>
              <w:top w:val="single" w:color="auto" w:sz="4" w:space="0"/>
              <w:left w:val="single" w:color="auto" w:sz="4" w:space="0"/>
              <w:bottom w:val="single" w:color="auto" w:sz="4" w:space="0"/>
              <w:right w:val="single" w:color="auto" w:sz="4" w:space="0"/>
            </w:tcBorders>
            <w:noWrap w:val="0"/>
            <w:vAlign w:val="center"/>
          </w:tcPr>
          <w:p w14:paraId="551C523F">
            <w:pPr>
              <w:keepNext w:val="0"/>
              <w:keepLines w:val="0"/>
              <w:pageBreakBefore w:val="0"/>
              <w:widowControl w:val="0"/>
              <w:shd w:val="clear" w:color="auto" w:fill="auto"/>
              <w:kinsoku w:val="0"/>
              <w:wordWrap w:val="0"/>
              <w:topLinePunct/>
              <w:bidi w:val="0"/>
              <w:spacing w:line="360" w:lineRule="auto"/>
              <w:jc w:val="both"/>
              <w:textAlignment w:val="auto"/>
              <w:rPr>
                <w:rFonts w:hint="eastAsia" w:asciiTheme="minorEastAsia" w:hAnsiTheme="minorEastAsia" w:eastAsiaTheme="minorEastAsia" w:cstheme="minorEastAsia"/>
                <w:color w:val="auto"/>
                <w:sz w:val="24"/>
                <w:szCs w:val="24"/>
                <w:highlight w:val="none"/>
              </w:rPr>
            </w:pPr>
          </w:p>
        </w:tc>
      </w:tr>
      <w:tr w14:paraId="53FD013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6" w:hRule="atLeast"/>
          <w:jc w:val="center"/>
        </w:trPr>
        <w:tc>
          <w:tcPr>
            <w:tcW w:w="1669" w:type="dxa"/>
            <w:tcBorders>
              <w:top w:val="single" w:color="auto" w:sz="4" w:space="0"/>
              <w:left w:val="single" w:color="auto" w:sz="4" w:space="0"/>
              <w:bottom w:val="single" w:color="auto" w:sz="4" w:space="0"/>
              <w:right w:val="single" w:color="auto" w:sz="4" w:space="0"/>
            </w:tcBorders>
            <w:noWrap w:val="0"/>
            <w:vAlign w:val="center"/>
          </w:tcPr>
          <w:p w14:paraId="524EFE81">
            <w:pPr>
              <w:keepNext w:val="0"/>
              <w:keepLines w:val="0"/>
              <w:pageBreakBefore w:val="0"/>
              <w:widowControl w:val="0"/>
              <w:shd w:val="clear" w:color="auto" w:fill="auto"/>
              <w:kinsoku w:val="0"/>
              <w:wordWrap w:val="0"/>
              <w:topLinePunct/>
              <w:bidi w:val="0"/>
              <w:spacing w:line="360" w:lineRule="auto"/>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组织结构</w:t>
            </w:r>
          </w:p>
        </w:tc>
        <w:tc>
          <w:tcPr>
            <w:tcW w:w="7803" w:type="dxa"/>
            <w:gridSpan w:val="8"/>
            <w:tcBorders>
              <w:top w:val="single" w:color="auto" w:sz="4" w:space="0"/>
              <w:left w:val="single" w:color="auto" w:sz="4" w:space="0"/>
              <w:bottom w:val="single" w:color="auto" w:sz="4" w:space="0"/>
              <w:right w:val="single" w:color="auto" w:sz="4" w:space="0"/>
            </w:tcBorders>
            <w:noWrap w:val="0"/>
            <w:vAlign w:val="center"/>
          </w:tcPr>
          <w:p w14:paraId="67A45EAA">
            <w:pPr>
              <w:keepNext w:val="0"/>
              <w:keepLines w:val="0"/>
              <w:pageBreakBefore w:val="0"/>
              <w:widowControl w:val="0"/>
              <w:shd w:val="clear" w:color="auto" w:fill="auto"/>
              <w:kinsoku w:val="0"/>
              <w:wordWrap w:val="0"/>
              <w:topLinePunct/>
              <w:bidi w:val="0"/>
              <w:spacing w:line="360" w:lineRule="auto"/>
              <w:jc w:val="both"/>
              <w:textAlignment w:val="auto"/>
              <w:rPr>
                <w:rFonts w:hint="eastAsia" w:asciiTheme="minorEastAsia" w:hAnsiTheme="minorEastAsia" w:eastAsiaTheme="minorEastAsia" w:cstheme="minorEastAsia"/>
                <w:color w:val="auto"/>
                <w:sz w:val="24"/>
                <w:szCs w:val="24"/>
                <w:highlight w:val="none"/>
              </w:rPr>
            </w:pPr>
          </w:p>
        </w:tc>
      </w:tr>
      <w:tr w14:paraId="4DB5491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580" w:hRule="atLeast"/>
          <w:jc w:val="center"/>
        </w:trPr>
        <w:tc>
          <w:tcPr>
            <w:tcW w:w="1669" w:type="dxa"/>
            <w:tcBorders>
              <w:top w:val="single" w:color="auto" w:sz="4" w:space="0"/>
              <w:left w:val="single" w:color="auto" w:sz="4" w:space="0"/>
              <w:bottom w:val="single" w:color="auto" w:sz="4" w:space="0"/>
              <w:right w:val="single" w:color="auto" w:sz="4" w:space="0"/>
            </w:tcBorders>
            <w:noWrap w:val="0"/>
            <w:vAlign w:val="center"/>
          </w:tcPr>
          <w:p w14:paraId="2017AABE">
            <w:pPr>
              <w:keepNext w:val="0"/>
              <w:keepLines w:val="0"/>
              <w:pageBreakBefore w:val="0"/>
              <w:widowControl w:val="0"/>
              <w:shd w:val="clear" w:color="auto" w:fill="auto"/>
              <w:kinsoku w:val="0"/>
              <w:wordWrap w:val="0"/>
              <w:topLinePunct/>
              <w:bidi w:val="0"/>
              <w:spacing w:line="360" w:lineRule="auto"/>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法定代表人</w:t>
            </w:r>
          </w:p>
        </w:tc>
        <w:tc>
          <w:tcPr>
            <w:tcW w:w="2130" w:type="dxa"/>
            <w:gridSpan w:val="2"/>
            <w:tcBorders>
              <w:top w:val="single" w:color="auto" w:sz="4" w:space="0"/>
              <w:left w:val="single" w:color="auto" w:sz="4" w:space="0"/>
              <w:bottom w:val="single" w:color="auto" w:sz="4" w:space="0"/>
              <w:right w:val="single" w:color="auto" w:sz="4" w:space="0"/>
            </w:tcBorders>
            <w:noWrap w:val="0"/>
            <w:vAlign w:val="center"/>
          </w:tcPr>
          <w:p w14:paraId="79BDF0CE">
            <w:pPr>
              <w:keepNext w:val="0"/>
              <w:keepLines w:val="0"/>
              <w:pageBreakBefore w:val="0"/>
              <w:widowControl w:val="0"/>
              <w:shd w:val="clear" w:color="auto" w:fill="auto"/>
              <w:kinsoku w:val="0"/>
              <w:wordWrap w:val="0"/>
              <w:topLinePunct/>
              <w:bidi w:val="0"/>
              <w:spacing w:line="360" w:lineRule="auto"/>
              <w:jc w:val="both"/>
              <w:textAlignment w:val="auto"/>
              <w:rPr>
                <w:rFonts w:hint="eastAsia" w:asciiTheme="minorEastAsia" w:hAnsiTheme="minorEastAsia" w:eastAsiaTheme="minorEastAsia" w:cstheme="minorEastAsia"/>
                <w:color w:val="auto"/>
                <w:sz w:val="24"/>
                <w:szCs w:val="24"/>
                <w:highlight w:val="none"/>
              </w:rPr>
            </w:pPr>
          </w:p>
        </w:tc>
        <w:tc>
          <w:tcPr>
            <w:tcW w:w="1548" w:type="dxa"/>
            <w:tcBorders>
              <w:top w:val="single" w:color="auto" w:sz="4" w:space="0"/>
              <w:left w:val="single" w:color="auto" w:sz="4" w:space="0"/>
              <w:bottom w:val="single" w:color="auto" w:sz="4" w:space="0"/>
              <w:right w:val="single" w:color="auto" w:sz="4" w:space="0"/>
            </w:tcBorders>
            <w:noWrap w:val="0"/>
            <w:vAlign w:val="center"/>
          </w:tcPr>
          <w:p w14:paraId="635174A9">
            <w:pPr>
              <w:keepNext w:val="0"/>
              <w:keepLines w:val="0"/>
              <w:pageBreakBefore w:val="0"/>
              <w:widowControl w:val="0"/>
              <w:shd w:val="clear" w:color="auto" w:fill="auto"/>
              <w:kinsoku w:val="0"/>
              <w:wordWrap w:val="0"/>
              <w:topLinePunct/>
              <w:bidi w:val="0"/>
              <w:spacing w:line="360" w:lineRule="auto"/>
              <w:jc w:val="both"/>
              <w:textAlignment w:val="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学历或</w:t>
            </w:r>
            <w:r>
              <w:rPr>
                <w:rFonts w:hint="eastAsia" w:asciiTheme="minorEastAsia" w:hAnsiTheme="minorEastAsia" w:eastAsiaTheme="minorEastAsia" w:cstheme="minorEastAsia"/>
                <w:color w:val="auto"/>
                <w:sz w:val="24"/>
                <w:szCs w:val="24"/>
                <w:highlight w:val="none"/>
              </w:rPr>
              <w:t>职称</w:t>
            </w:r>
          </w:p>
        </w:tc>
        <w:tc>
          <w:tcPr>
            <w:tcW w:w="2077" w:type="dxa"/>
            <w:gridSpan w:val="3"/>
            <w:tcBorders>
              <w:top w:val="single" w:color="auto" w:sz="4" w:space="0"/>
              <w:left w:val="single" w:color="auto" w:sz="4" w:space="0"/>
              <w:bottom w:val="single" w:color="auto" w:sz="4" w:space="0"/>
              <w:right w:val="single" w:color="auto" w:sz="4" w:space="0"/>
            </w:tcBorders>
            <w:noWrap w:val="0"/>
            <w:vAlign w:val="center"/>
          </w:tcPr>
          <w:p w14:paraId="70A412AB">
            <w:pPr>
              <w:keepNext w:val="0"/>
              <w:keepLines w:val="0"/>
              <w:pageBreakBefore w:val="0"/>
              <w:widowControl w:val="0"/>
              <w:shd w:val="clear" w:color="auto" w:fill="auto"/>
              <w:kinsoku w:val="0"/>
              <w:wordWrap w:val="0"/>
              <w:topLinePunct/>
              <w:bidi w:val="0"/>
              <w:spacing w:line="360" w:lineRule="auto"/>
              <w:jc w:val="both"/>
              <w:textAlignment w:val="auto"/>
              <w:rPr>
                <w:rFonts w:hint="eastAsia" w:asciiTheme="minorEastAsia" w:hAnsiTheme="minorEastAsia" w:eastAsiaTheme="minorEastAsia" w:cstheme="minorEastAsia"/>
                <w:color w:val="auto"/>
                <w:sz w:val="24"/>
                <w:szCs w:val="24"/>
                <w:highlight w:val="none"/>
              </w:rPr>
            </w:pPr>
          </w:p>
        </w:tc>
        <w:tc>
          <w:tcPr>
            <w:tcW w:w="951" w:type="dxa"/>
            <w:tcBorders>
              <w:top w:val="single" w:color="auto" w:sz="4" w:space="0"/>
              <w:left w:val="single" w:color="auto" w:sz="4" w:space="0"/>
              <w:bottom w:val="single" w:color="auto" w:sz="4" w:space="0"/>
              <w:right w:val="single" w:color="auto" w:sz="4" w:space="0"/>
            </w:tcBorders>
            <w:noWrap w:val="0"/>
            <w:vAlign w:val="center"/>
          </w:tcPr>
          <w:p w14:paraId="6DD4AA56">
            <w:pPr>
              <w:keepNext w:val="0"/>
              <w:keepLines w:val="0"/>
              <w:pageBreakBefore w:val="0"/>
              <w:widowControl w:val="0"/>
              <w:shd w:val="clear" w:color="auto" w:fill="auto"/>
              <w:kinsoku w:val="0"/>
              <w:wordWrap w:val="0"/>
              <w:topLinePunct/>
              <w:bidi w:val="0"/>
              <w:spacing w:line="360" w:lineRule="auto"/>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电话</w:t>
            </w:r>
          </w:p>
        </w:tc>
        <w:tc>
          <w:tcPr>
            <w:tcW w:w="1097" w:type="dxa"/>
            <w:tcBorders>
              <w:top w:val="single" w:color="auto" w:sz="4" w:space="0"/>
              <w:left w:val="single" w:color="auto" w:sz="4" w:space="0"/>
              <w:bottom w:val="single" w:color="auto" w:sz="4" w:space="0"/>
              <w:right w:val="single" w:color="auto" w:sz="4" w:space="0"/>
            </w:tcBorders>
            <w:noWrap w:val="0"/>
            <w:vAlign w:val="center"/>
          </w:tcPr>
          <w:p w14:paraId="3B5D6FEF">
            <w:pPr>
              <w:keepNext w:val="0"/>
              <w:keepLines w:val="0"/>
              <w:pageBreakBefore w:val="0"/>
              <w:widowControl w:val="0"/>
              <w:shd w:val="clear" w:color="auto" w:fill="auto"/>
              <w:kinsoku w:val="0"/>
              <w:wordWrap w:val="0"/>
              <w:topLinePunct/>
              <w:bidi w:val="0"/>
              <w:spacing w:line="360" w:lineRule="auto"/>
              <w:jc w:val="both"/>
              <w:textAlignment w:val="auto"/>
              <w:rPr>
                <w:rFonts w:hint="eastAsia" w:asciiTheme="minorEastAsia" w:hAnsiTheme="minorEastAsia" w:eastAsiaTheme="minorEastAsia" w:cstheme="minorEastAsia"/>
                <w:color w:val="auto"/>
                <w:sz w:val="24"/>
                <w:szCs w:val="24"/>
                <w:highlight w:val="none"/>
              </w:rPr>
            </w:pPr>
          </w:p>
        </w:tc>
      </w:tr>
      <w:tr w14:paraId="3802379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0" w:hRule="atLeast"/>
          <w:jc w:val="center"/>
        </w:trPr>
        <w:tc>
          <w:tcPr>
            <w:tcW w:w="1669" w:type="dxa"/>
            <w:tcBorders>
              <w:top w:val="single" w:color="auto" w:sz="4" w:space="0"/>
              <w:left w:val="single" w:color="auto" w:sz="4" w:space="0"/>
              <w:bottom w:val="single" w:color="auto" w:sz="4" w:space="0"/>
              <w:right w:val="single" w:color="auto" w:sz="4" w:space="0"/>
            </w:tcBorders>
            <w:noWrap w:val="0"/>
            <w:vAlign w:val="center"/>
          </w:tcPr>
          <w:p w14:paraId="563C507C">
            <w:pPr>
              <w:keepNext w:val="0"/>
              <w:keepLines w:val="0"/>
              <w:pageBreakBefore w:val="0"/>
              <w:widowControl w:val="0"/>
              <w:shd w:val="clear" w:color="auto" w:fill="auto"/>
              <w:kinsoku w:val="0"/>
              <w:wordWrap w:val="0"/>
              <w:topLinePunct/>
              <w:bidi w:val="0"/>
              <w:spacing w:line="360" w:lineRule="auto"/>
              <w:jc w:val="center"/>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质量负责人</w:t>
            </w:r>
          </w:p>
        </w:tc>
        <w:tc>
          <w:tcPr>
            <w:tcW w:w="2130" w:type="dxa"/>
            <w:gridSpan w:val="2"/>
            <w:tcBorders>
              <w:top w:val="single" w:color="auto" w:sz="4" w:space="0"/>
              <w:left w:val="single" w:color="auto" w:sz="4" w:space="0"/>
              <w:bottom w:val="single" w:color="auto" w:sz="4" w:space="0"/>
              <w:right w:val="single" w:color="auto" w:sz="4" w:space="0"/>
            </w:tcBorders>
            <w:noWrap w:val="0"/>
            <w:vAlign w:val="center"/>
          </w:tcPr>
          <w:p w14:paraId="0531CD3A">
            <w:pPr>
              <w:keepNext w:val="0"/>
              <w:keepLines w:val="0"/>
              <w:pageBreakBefore w:val="0"/>
              <w:widowControl w:val="0"/>
              <w:shd w:val="clear" w:color="auto" w:fill="auto"/>
              <w:kinsoku w:val="0"/>
              <w:wordWrap w:val="0"/>
              <w:topLinePunct/>
              <w:bidi w:val="0"/>
              <w:spacing w:line="360" w:lineRule="auto"/>
              <w:jc w:val="both"/>
              <w:textAlignment w:val="auto"/>
              <w:rPr>
                <w:rFonts w:hint="eastAsia" w:asciiTheme="minorEastAsia" w:hAnsiTheme="minorEastAsia" w:eastAsiaTheme="minorEastAsia" w:cstheme="minorEastAsia"/>
                <w:color w:val="auto"/>
                <w:sz w:val="24"/>
                <w:szCs w:val="24"/>
                <w:highlight w:val="none"/>
              </w:rPr>
            </w:pPr>
          </w:p>
        </w:tc>
        <w:tc>
          <w:tcPr>
            <w:tcW w:w="1548" w:type="dxa"/>
            <w:tcBorders>
              <w:top w:val="single" w:color="auto" w:sz="4" w:space="0"/>
              <w:left w:val="single" w:color="auto" w:sz="4" w:space="0"/>
              <w:bottom w:val="single" w:color="auto" w:sz="4" w:space="0"/>
              <w:right w:val="single" w:color="auto" w:sz="4" w:space="0"/>
            </w:tcBorders>
            <w:noWrap w:val="0"/>
            <w:vAlign w:val="center"/>
          </w:tcPr>
          <w:p w14:paraId="4861FEDB">
            <w:pPr>
              <w:keepNext w:val="0"/>
              <w:keepLines w:val="0"/>
              <w:pageBreakBefore w:val="0"/>
              <w:widowControl w:val="0"/>
              <w:shd w:val="clear" w:color="auto" w:fill="auto"/>
              <w:kinsoku w:val="0"/>
              <w:wordWrap w:val="0"/>
              <w:topLinePunct/>
              <w:bidi w:val="0"/>
              <w:spacing w:line="360" w:lineRule="auto"/>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学历或</w:t>
            </w:r>
            <w:r>
              <w:rPr>
                <w:rFonts w:hint="eastAsia" w:asciiTheme="minorEastAsia" w:hAnsiTheme="minorEastAsia" w:eastAsiaTheme="minorEastAsia" w:cstheme="minorEastAsia"/>
                <w:color w:val="auto"/>
                <w:sz w:val="24"/>
                <w:szCs w:val="24"/>
                <w:highlight w:val="none"/>
              </w:rPr>
              <w:t>职称</w:t>
            </w:r>
          </w:p>
        </w:tc>
        <w:tc>
          <w:tcPr>
            <w:tcW w:w="2077" w:type="dxa"/>
            <w:gridSpan w:val="3"/>
            <w:tcBorders>
              <w:top w:val="single" w:color="auto" w:sz="4" w:space="0"/>
              <w:left w:val="single" w:color="auto" w:sz="4" w:space="0"/>
              <w:bottom w:val="single" w:color="auto" w:sz="4" w:space="0"/>
              <w:right w:val="single" w:color="auto" w:sz="4" w:space="0"/>
            </w:tcBorders>
            <w:noWrap w:val="0"/>
            <w:vAlign w:val="center"/>
          </w:tcPr>
          <w:p w14:paraId="524355BF">
            <w:pPr>
              <w:keepNext w:val="0"/>
              <w:keepLines w:val="0"/>
              <w:pageBreakBefore w:val="0"/>
              <w:widowControl w:val="0"/>
              <w:shd w:val="clear" w:color="auto" w:fill="auto"/>
              <w:kinsoku w:val="0"/>
              <w:wordWrap w:val="0"/>
              <w:topLinePunct/>
              <w:bidi w:val="0"/>
              <w:spacing w:line="360" w:lineRule="auto"/>
              <w:jc w:val="both"/>
              <w:textAlignment w:val="auto"/>
              <w:rPr>
                <w:rFonts w:hint="eastAsia" w:asciiTheme="minorEastAsia" w:hAnsiTheme="minorEastAsia" w:eastAsiaTheme="minorEastAsia" w:cstheme="minorEastAsia"/>
                <w:color w:val="auto"/>
                <w:sz w:val="24"/>
                <w:szCs w:val="24"/>
                <w:highlight w:val="none"/>
              </w:rPr>
            </w:pPr>
          </w:p>
        </w:tc>
        <w:tc>
          <w:tcPr>
            <w:tcW w:w="951" w:type="dxa"/>
            <w:tcBorders>
              <w:top w:val="single" w:color="auto" w:sz="4" w:space="0"/>
              <w:left w:val="single" w:color="auto" w:sz="4" w:space="0"/>
              <w:bottom w:val="single" w:color="auto" w:sz="4" w:space="0"/>
              <w:right w:val="single" w:color="auto" w:sz="4" w:space="0"/>
            </w:tcBorders>
            <w:noWrap w:val="0"/>
            <w:vAlign w:val="center"/>
          </w:tcPr>
          <w:p w14:paraId="1C9896A9">
            <w:pPr>
              <w:keepNext w:val="0"/>
              <w:keepLines w:val="0"/>
              <w:pageBreakBefore w:val="0"/>
              <w:widowControl w:val="0"/>
              <w:shd w:val="clear" w:color="auto" w:fill="auto"/>
              <w:kinsoku w:val="0"/>
              <w:wordWrap w:val="0"/>
              <w:topLinePunct/>
              <w:bidi w:val="0"/>
              <w:spacing w:line="360" w:lineRule="auto"/>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电话</w:t>
            </w:r>
          </w:p>
        </w:tc>
        <w:tc>
          <w:tcPr>
            <w:tcW w:w="1097" w:type="dxa"/>
            <w:tcBorders>
              <w:top w:val="single" w:color="auto" w:sz="4" w:space="0"/>
              <w:left w:val="single" w:color="auto" w:sz="4" w:space="0"/>
              <w:bottom w:val="single" w:color="auto" w:sz="4" w:space="0"/>
              <w:right w:val="single" w:color="auto" w:sz="4" w:space="0"/>
            </w:tcBorders>
            <w:noWrap w:val="0"/>
            <w:vAlign w:val="center"/>
          </w:tcPr>
          <w:p w14:paraId="2DD3883F">
            <w:pPr>
              <w:keepNext w:val="0"/>
              <w:keepLines w:val="0"/>
              <w:pageBreakBefore w:val="0"/>
              <w:widowControl w:val="0"/>
              <w:shd w:val="clear" w:color="auto" w:fill="auto"/>
              <w:kinsoku w:val="0"/>
              <w:wordWrap w:val="0"/>
              <w:topLinePunct/>
              <w:bidi w:val="0"/>
              <w:spacing w:line="360" w:lineRule="auto"/>
              <w:jc w:val="both"/>
              <w:textAlignment w:val="auto"/>
              <w:rPr>
                <w:rFonts w:hint="eastAsia" w:asciiTheme="minorEastAsia" w:hAnsiTheme="minorEastAsia" w:eastAsiaTheme="minorEastAsia" w:cstheme="minorEastAsia"/>
                <w:color w:val="auto"/>
                <w:sz w:val="24"/>
                <w:szCs w:val="24"/>
                <w:highlight w:val="none"/>
              </w:rPr>
            </w:pPr>
          </w:p>
        </w:tc>
      </w:tr>
      <w:tr w14:paraId="047879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5" w:hRule="atLeast"/>
          <w:jc w:val="center"/>
        </w:trPr>
        <w:tc>
          <w:tcPr>
            <w:tcW w:w="1669" w:type="dxa"/>
            <w:tcBorders>
              <w:top w:val="single" w:color="auto" w:sz="4" w:space="0"/>
              <w:left w:val="single" w:color="auto" w:sz="4" w:space="0"/>
              <w:bottom w:val="single" w:color="auto" w:sz="4" w:space="0"/>
              <w:right w:val="single" w:color="auto" w:sz="4" w:space="0"/>
            </w:tcBorders>
            <w:noWrap w:val="0"/>
            <w:vAlign w:val="center"/>
          </w:tcPr>
          <w:p w14:paraId="2467DD42">
            <w:pPr>
              <w:keepNext w:val="0"/>
              <w:keepLines w:val="0"/>
              <w:pageBreakBefore w:val="0"/>
              <w:widowControl w:val="0"/>
              <w:shd w:val="clear" w:color="auto" w:fill="auto"/>
              <w:kinsoku w:val="0"/>
              <w:wordWrap w:val="0"/>
              <w:topLinePunct/>
              <w:bidi w:val="0"/>
              <w:spacing w:line="360" w:lineRule="auto"/>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成立时间</w:t>
            </w:r>
          </w:p>
        </w:tc>
        <w:tc>
          <w:tcPr>
            <w:tcW w:w="2130" w:type="dxa"/>
            <w:gridSpan w:val="2"/>
            <w:tcBorders>
              <w:top w:val="single" w:color="auto" w:sz="4" w:space="0"/>
              <w:left w:val="single" w:color="auto" w:sz="4" w:space="0"/>
              <w:bottom w:val="single" w:color="auto" w:sz="4" w:space="0"/>
              <w:right w:val="single" w:color="auto" w:sz="4" w:space="0"/>
            </w:tcBorders>
            <w:noWrap w:val="0"/>
            <w:vAlign w:val="center"/>
          </w:tcPr>
          <w:p w14:paraId="4D6EACBB">
            <w:pPr>
              <w:keepNext w:val="0"/>
              <w:keepLines w:val="0"/>
              <w:pageBreakBefore w:val="0"/>
              <w:widowControl w:val="0"/>
              <w:shd w:val="clear" w:color="auto" w:fill="auto"/>
              <w:kinsoku w:val="0"/>
              <w:wordWrap w:val="0"/>
              <w:topLinePunct/>
              <w:bidi w:val="0"/>
              <w:spacing w:line="360" w:lineRule="auto"/>
              <w:jc w:val="both"/>
              <w:textAlignment w:val="auto"/>
              <w:rPr>
                <w:rFonts w:hint="eastAsia" w:asciiTheme="minorEastAsia" w:hAnsiTheme="minorEastAsia" w:eastAsiaTheme="minorEastAsia" w:cstheme="minorEastAsia"/>
                <w:color w:val="auto"/>
                <w:sz w:val="24"/>
                <w:szCs w:val="24"/>
                <w:highlight w:val="none"/>
              </w:rPr>
            </w:pPr>
          </w:p>
        </w:tc>
        <w:tc>
          <w:tcPr>
            <w:tcW w:w="5673" w:type="dxa"/>
            <w:gridSpan w:val="6"/>
            <w:tcBorders>
              <w:top w:val="single" w:color="auto" w:sz="4" w:space="0"/>
              <w:left w:val="single" w:color="auto" w:sz="4" w:space="0"/>
              <w:bottom w:val="single" w:color="auto" w:sz="4" w:space="0"/>
              <w:right w:val="single" w:color="auto" w:sz="4" w:space="0"/>
            </w:tcBorders>
            <w:noWrap w:val="0"/>
            <w:vAlign w:val="center"/>
          </w:tcPr>
          <w:p w14:paraId="05FA2E2B">
            <w:pPr>
              <w:keepNext w:val="0"/>
              <w:keepLines w:val="0"/>
              <w:pageBreakBefore w:val="0"/>
              <w:widowControl w:val="0"/>
              <w:shd w:val="clear" w:color="auto" w:fill="auto"/>
              <w:kinsoku w:val="0"/>
              <w:wordWrap w:val="0"/>
              <w:topLinePunct/>
              <w:bidi w:val="0"/>
              <w:spacing w:line="360" w:lineRule="auto"/>
              <w:jc w:val="both"/>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员工总人数</w:t>
            </w:r>
            <w:r>
              <w:rPr>
                <w:rFonts w:hint="eastAsia" w:asciiTheme="minorEastAsia" w:hAnsiTheme="minorEastAsia" w:eastAsiaTheme="minorEastAsia" w:cstheme="minorEastAsia"/>
                <w:color w:val="auto"/>
                <w:sz w:val="24"/>
                <w:szCs w:val="24"/>
                <w:highlight w:val="none"/>
                <w:lang w:eastAsia="zh-CN"/>
              </w:rPr>
              <w:t>：</w:t>
            </w:r>
          </w:p>
        </w:tc>
      </w:tr>
      <w:tr w14:paraId="5173CE7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82" w:hRule="atLeast"/>
          <w:jc w:val="center"/>
        </w:trPr>
        <w:tc>
          <w:tcPr>
            <w:tcW w:w="1669" w:type="dxa"/>
            <w:tcBorders>
              <w:top w:val="single" w:color="auto" w:sz="4" w:space="0"/>
              <w:left w:val="single" w:color="auto" w:sz="4" w:space="0"/>
              <w:bottom w:val="single" w:color="auto" w:sz="4" w:space="0"/>
              <w:right w:val="single" w:color="auto" w:sz="4" w:space="0"/>
            </w:tcBorders>
            <w:noWrap w:val="0"/>
            <w:vAlign w:val="center"/>
          </w:tcPr>
          <w:p w14:paraId="6D5F7661">
            <w:pPr>
              <w:keepNext w:val="0"/>
              <w:keepLines w:val="0"/>
              <w:pageBreakBefore w:val="0"/>
              <w:widowControl w:val="0"/>
              <w:shd w:val="clear" w:color="auto" w:fill="auto"/>
              <w:kinsoku w:val="0"/>
              <w:wordWrap w:val="0"/>
              <w:topLinePunct/>
              <w:bidi w:val="0"/>
              <w:spacing w:line="360" w:lineRule="auto"/>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营业执照号</w:t>
            </w:r>
          </w:p>
        </w:tc>
        <w:tc>
          <w:tcPr>
            <w:tcW w:w="7803" w:type="dxa"/>
            <w:gridSpan w:val="8"/>
            <w:tcBorders>
              <w:top w:val="single" w:color="auto" w:sz="4" w:space="0"/>
              <w:left w:val="single" w:color="auto" w:sz="4" w:space="0"/>
              <w:bottom w:val="single" w:color="auto" w:sz="4" w:space="0"/>
              <w:right w:val="single" w:color="auto" w:sz="4" w:space="0"/>
            </w:tcBorders>
            <w:noWrap w:val="0"/>
            <w:vAlign w:val="center"/>
          </w:tcPr>
          <w:p w14:paraId="4799348E">
            <w:pPr>
              <w:keepNext w:val="0"/>
              <w:keepLines w:val="0"/>
              <w:pageBreakBefore w:val="0"/>
              <w:widowControl w:val="0"/>
              <w:shd w:val="clear" w:color="auto" w:fill="auto"/>
              <w:kinsoku w:val="0"/>
              <w:wordWrap w:val="0"/>
              <w:topLinePunct/>
              <w:bidi w:val="0"/>
              <w:spacing w:line="360" w:lineRule="auto"/>
              <w:jc w:val="both"/>
              <w:textAlignment w:val="auto"/>
              <w:rPr>
                <w:rFonts w:hint="eastAsia" w:asciiTheme="minorEastAsia" w:hAnsiTheme="minorEastAsia" w:eastAsiaTheme="minorEastAsia" w:cstheme="minorEastAsia"/>
                <w:color w:val="auto"/>
                <w:sz w:val="24"/>
                <w:szCs w:val="24"/>
                <w:highlight w:val="none"/>
              </w:rPr>
            </w:pPr>
          </w:p>
        </w:tc>
      </w:tr>
      <w:tr w14:paraId="112FED0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76" w:hRule="atLeast"/>
          <w:jc w:val="center"/>
        </w:trPr>
        <w:tc>
          <w:tcPr>
            <w:tcW w:w="1669" w:type="dxa"/>
            <w:tcBorders>
              <w:top w:val="single" w:color="auto" w:sz="4" w:space="0"/>
              <w:left w:val="single" w:color="auto" w:sz="4" w:space="0"/>
              <w:bottom w:val="single" w:color="auto" w:sz="4" w:space="0"/>
              <w:right w:val="single" w:color="auto" w:sz="4" w:space="0"/>
            </w:tcBorders>
            <w:noWrap w:val="0"/>
            <w:vAlign w:val="center"/>
          </w:tcPr>
          <w:p w14:paraId="79F80946">
            <w:pPr>
              <w:keepNext w:val="0"/>
              <w:keepLines w:val="0"/>
              <w:pageBreakBefore w:val="0"/>
              <w:widowControl w:val="0"/>
              <w:shd w:val="clear" w:color="auto" w:fill="auto"/>
              <w:kinsoku w:val="0"/>
              <w:wordWrap w:val="0"/>
              <w:topLinePunct/>
              <w:bidi w:val="0"/>
              <w:spacing w:line="360" w:lineRule="auto"/>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注册资金</w:t>
            </w:r>
          </w:p>
        </w:tc>
        <w:tc>
          <w:tcPr>
            <w:tcW w:w="7803" w:type="dxa"/>
            <w:gridSpan w:val="8"/>
            <w:tcBorders>
              <w:top w:val="single" w:color="auto" w:sz="4" w:space="0"/>
              <w:left w:val="single" w:color="auto" w:sz="4" w:space="0"/>
              <w:bottom w:val="single" w:color="auto" w:sz="4" w:space="0"/>
              <w:right w:val="single" w:color="auto" w:sz="4" w:space="0"/>
            </w:tcBorders>
            <w:noWrap w:val="0"/>
            <w:vAlign w:val="center"/>
          </w:tcPr>
          <w:p w14:paraId="41084A3A">
            <w:pPr>
              <w:keepNext w:val="0"/>
              <w:keepLines w:val="0"/>
              <w:pageBreakBefore w:val="0"/>
              <w:widowControl w:val="0"/>
              <w:shd w:val="clear" w:color="auto" w:fill="auto"/>
              <w:kinsoku w:val="0"/>
              <w:wordWrap w:val="0"/>
              <w:topLinePunct/>
              <w:bidi w:val="0"/>
              <w:spacing w:line="360" w:lineRule="auto"/>
              <w:jc w:val="both"/>
              <w:textAlignment w:val="auto"/>
              <w:rPr>
                <w:rFonts w:hint="eastAsia" w:asciiTheme="minorEastAsia" w:hAnsiTheme="minorEastAsia" w:eastAsiaTheme="minorEastAsia" w:cstheme="minorEastAsia"/>
                <w:color w:val="auto"/>
                <w:sz w:val="24"/>
                <w:szCs w:val="24"/>
                <w:highlight w:val="none"/>
              </w:rPr>
            </w:pPr>
          </w:p>
        </w:tc>
      </w:tr>
      <w:tr w14:paraId="2E6A682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97" w:hRule="atLeast"/>
          <w:jc w:val="center"/>
        </w:trPr>
        <w:tc>
          <w:tcPr>
            <w:tcW w:w="1669" w:type="dxa"/>
            <w:tcBorders>
              <w:top w:val="single" w:color="auto" w:sz="4" w:space="0"/>
              <w:left w:val="single" w:color="auto" w:sz="4" w:space="0"/>
              <w:bottom w:val="single" w:color="auto" w:sz="4" w:space="0"/>
              <w:right w:val="single" w:color="auto" w:sz="4" w:space="0"/>
            </w:tcBorders>
            <w:noWrap w:val="0"/>
            <w:vAlign w:val="center"/>
          </w:tcPr>
          <w:p w14:paraId="1A4D022E">
            <w:pPr>
              <w:keepNext w:val="0"/>
              <w:keepLines w:val="0"/>
              <w:pageBreakBefore w:val="0"/>
              <w:widowControl w:val="0"/>
              <w:shd w:val="clear" w:color="auto" w:fill="auto"/>
              <w:kinsoku w:val="0"/>
              <w:wordWrap w:val="0"/>
              <w:topLinePunct/>
              <w:bidi w:val="0"/>
              <w:spacing w:line="360" w:lineRule="auto"/>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开户银行</w:t>
            </w:r>
          </w:p>
        </w:tc>
        <w:tc>
          <w:tcPr>
            <w:tcW w:w="7803" w:type="dxa"/>
            <w:gridSpan w:val="8"/>
            <w:tcBorders>
              <w:top w:val="single" w:color="auto" w:sz="4" w:space="0"/>
              <w:left w:val="single" w:color="auto" w:sz="4" w:space="0"/>
              <w:bottom w:val="single" w:color="auto" w:sz="4" w:space="0"/>
              <w:right w:val="single" w:color="auto" w:sz="4" w:space="0"/>
            </w:tcBorders>
            <w:noWrap w:val="0"/>
            <w:vAlign w:val="center"/>
          </w:tcPr>
          <w:p w14:paraId="4336DE53">
            <w:pPr>
              <w:keepNext w:val="0"/>
              <w:keepLines w:val="0"/>
              <w:pageBreakBefore w:val="0"/>
              <w:widowControl w:val="0"/>
              <w:shd w:val="clear" w:color="auto" w:fill="auto"/>
              <w:kinsoku w:val="0"/>
              <w:wordWrap w:val="0"/>
              <w:topLinePunct/>
              <w:bidi w:val="0"/>
              <w:spacing w:line="360" w:lineRule="auto"/>
              <w:jc w:val="both"/>
              <w:textAlignment w:val="auto"/>
              <w:rPr>
                <w:rFonts w:hint="eastAsia" w:asciiTheme="minorEastAsia" w:hAnsiTheme="minorEastAsia" w:eastAsiaTheme="minorEastAsia" w:cstheme="minorEastAsia"/>
                <w:color w:val="auto"/>
                <w:sz w:val="24"/>
                <w:szCs w:val="24"/>
                <w:highlight w:val="none"/>
              </w:rPr>
            </w:pPr>
          </w:p>
        </w:tc>
      </w:tr>
      <w:tr w14:paraId="5B6B36A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78" w:hRule="atLeast"/>
          <w:jc w:val="center"/>
        </w:trPr>
        <w:tc>
          <w:tcPr>
            <w:tcW w:w="1669" w:type="dxa"/>
            <w:tcBorders>
              <w:top w:val="single" w:color="auto" w:sz="4" w:space="0"/>
              <w:left w:val="single" w:color="auto" w:sz="4" w:space="0"/>
              <w:bottom w:val="single" w:color="auto" w:sz="4" w:space="0"/>
              <w:right w:val="single" w:color="auto" w:sz="4" w:space="0"/>
            </w:tcBorders>
            <w:noWrap w:val="0"/>
            <w:vAlign w:val="center"/>
          </w:tcPr>
          <w:p w14:paraId="7BEF310B">
            <w:pPr>
              <w:keepNext w:val="0"/>
              <w:keepLines w:val="0"/>
              <w:pageBreakBefore w:val="0"/>
              <w:widowControl w:val="0"/>
              <w:shd w:val="clear" w:color="auto" w:fill="auto"/>
              <w:kinsoku w:val="0"/>
              <w:wordWrap w:val="0"/>
              <w:topLinePunct/>
              <w:bidi w:val="0"/>
              <w:spacing w:line="360" w:lineRule="auto"/>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账号</w:t>
            </w:r>
          </w:p>
        </w:tc>
        <w:tc>
          <w:tcPr>
            <w:tcW w:w="7803" w:type="dxa"/>
            <w:gridSpan w:val="8"/>
            <w:tcBorders>
              <w:top w:val="single" w:color="auto" w:sz="4" w:space="0"/>
              <w:left w:val="single" w:color="auto" w:sz="4" w:space="0"/>
              <w:bottom w:val="single" w:color="auto" w:sz="4" w:space="0"/>
              <w:right w:val="single" w:color="auto" w:sz="4" w:space="0"/>
            </w:tcBorders>
            <w:noWrap w:val="0"/>
            <w:vAlign w:val="center"/>
          </w:tcPr>
          <w:p w14:paraId="731871CF">
            <w:pPr>
              <w:keepNext w:val="0"/>
              <w:keepLines w:val="0"/>
              <w:pageBreakBefore w:val="0"/>
              <w:widowControl w:val="0"/>
              <w:shd w:val="clear" w:color="auto" w:fill="auto"/>
              <w:kinsoku w:val="0"/>
              <w:wordWrap w:val="0"/>
              <w:topLinePunct/>
              <w:bidi w:val="0"/>
              <w:spacing w:line="360" w:lineRule="auto"/>
              <w:jc w:val="both"/>
              <w:textAlignment w:val="auto"/>
              <w:rPr>
                <w:rFonts w:hint="eastAsia" w:asciiTheme="minorEastAsia" w:hAnsiTheme="minorEastAsia" w:eastAsiaTheme="minorEastAsia" w:cstheme="minorEastAsia"/>
                <w:color w:val="auto"/>
                <w:sz w:val="24"/>
                <w:szCs w:val="24"/>
                <w:highlight w:val="none"/>
              </w:rPr>
            </w:pPr>
          </w:p>
        </w:tc>
      </w:tr>
      <w:tr w14:paraId="7C6438F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91" w:hRule="atLeast"/>
          <w:jc w:val="center"/>
        </w:trPr>
        <w:tc>
          <w:tcPr>
            <w:tcW w:w="1669" w:type="dxa"/>
            <w:tcBorders>
              <w:top w:val="single" w:color="auto" w:sz="4" w:space="0"/>
              <w:left w:val="single" w:color="auto" w:sz="4" w:space="0"/>
              <w:bottom w:val="single" w:color="auto" w:sz="4" w:space="0"/>
              <w:right w:val="single" w:color="auto" w:sz="4" w:space="0"/>
            </w:tcBorders>
            <w:noWrap w:val="0"/>
            <w:vAlign w:val="center"/>
          </w:tcPr>
          <w:p w14:paraId="28E99302">
            <w:pPr>
              <w:keepNext w:val="0"/>
              <w:keepLines w:val="0"/>
              <w:pageBreakBefore w:val="0"/>
              <w:widowControl w:val="0"/>
              <w:shd w:val="clear" w:color="auto" w:fill="auto"/>
              <w:kinsoku w:val="0"/>
              <w:wordWrap w:val="0"/>
              <w:topLinePunct/>
              <w:bidi w:val="0"/>
              <w:spacing w:line="360" w:lineRule="auto"/>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经营范围</w:t>
            </w:r>
          </w:p>
        </w:tc>
        <w:tc>
          <w:tcPr>
            <w:tcW w:w="7803" w:type="dxa"/>
            <w:gridSpan w:val="8"/>
            <w:tcBorders>
              <w:top w:val="single" w:color="auto" w:sz="4" w:space="0"/>
              <w:left w:val="single" w:color="auto" w:sz="4" w:space="0"/>
              <w:bottom w:val="single" w:color="auto" w:sz="4" w:space="0"/>
              <w:right w:val="single" w:color="auto" w:sz="4" w:space="0"/>
            </w:tcBorders>
            <w:noWrap w:val="0"/>
            <w:vAlign w:val="center"/>
          </w:tcPr>
          <w:p w14:paraId="0C308DB9">
            <w:pPr>
              <w:keepNext w:val="0"/>
              <w:keepLines w:val="0"/>
              <w:pageBreakBefore w:val="0"/>
              <w:widowControl w:val="0"/>
              <w:shd w:val="clear" w:color="auto" w:fill="auto"/>
              <w:kinsoku w:val="0"/>
              <w:wordWrap w:val="0"/>
              <w:topLinePunct/>
              <w:bidi w:val="0"/>
              <w:spacing w:line="360" w:lineRule="auto"/>
              <w:jc w:val="both"/>
              <w:textAlignment w:val="auto"/>
              <w:rPr>
                <w:rFonts w:hint="eastAsia" w:asciiTheme="minorEastAsia" w:hAnsiTheme="minorEastAsia" w:eastAsiaTheme="minorEastAsia" w:cstheme="minorEastAsia"/>
                <w:color w:val="auto"/>
                <w:sz w:val="24"/>
                <w:szCs w:val="24"/>
                <w:highlight w:val="none"/>
              </w:rPr>
            </w:pPr>
          </w:p>
        </w:tc>
      </w:tr>
    </w:tbl>
    <w:p w14:paraId="41F377BC">
      <w:pPr>
        <w:keepNext w:val="0"/>
        <w:keepLines w:val="0"/>
        <w:pageBreakBefore w:val="0"/>
        <w:widowControl w:val="0"/>
        <w:shd w:val="clear" w:color="auto" w:fill="auto"/>
        <w:kinsoku w:val="0"/>
        <w:wordWrap w:val="0"/>
        <w:bidi w:val="0"/>
        <w:spacing w:line="360" w:lineRule="auto"/>
        <w:jc w:val="left"/>
        <w:textAlignment w:val="auto"/>
        <w:rPr>
          <w:rFonts w:hint="eastAsia" w:asciiTheme="minorEastAsia" w:hAnsiTheme="minorEastAsia" w:eastAsiaTheme="minorEastAsia" w:cstheme="minorEastAsia"/>
          <w:b/>
          <w:bCs/>
          <w:color w:val="auto"/>
          <w:szCs w:val="21"/>
          <w:highlight w:val="none"/>
        </w:rPr>
      </w:pPr>
    </w:p>
    <w:p w14:paraId="6710D925">
      <w:pPr>
        <w:keepNext w:val="0"/>
        <w:keepLines w:val="0"/>
        <w:pageBreakBefore w:val="0"/>
        <w:widowControl w:val="0"/>
        <w:shd w:val="clear" w:color="auto" w:fill="auto"/>
        <w:kinsoku w:val="0"/>
        <w:wordWrap w:val="0"/>
        <w:bidi w:val="0"/>
        <w:spacing w:line="360" w:lineRule="auto"/>
        <w:jc w:val="left"/>
        <w:textAlignment w:val="auto"/>
        <w:rPr>
          <w:rFonts w:hint="eastAsia" w:asciiTheme="minorEastAsia" w:hAnsiTheme="minorEastAsia" w:eastAsiaTheme="minorEastAsia" w:cstheme="minorEastAsia"/>
          <w:b/>
          <w:bCs/>
          <w:color w:val="auto"/>
          <w:szCs w:val="21"/>
          <w:highlight w:val="none"/>
        </w:rPr>
      </w:pPr>
    </w:p>
    <w:p w14:paraId="0F09C8A5">
      <w:pPr>
        <w:keepNext w:val="0"/>
        <w:keepLines w:val="0"/>
        <w:pageBreakBefore w:val="0"/>
        <w:widowControl w:val="0"/>
        <w:shd w:val="clear" w:color="auto" w:fill="auto"/>
        <w:kinsoku w:val="0"/>
        <w:wordWrap w:val="0"/>
        <w:bidi w:val="0"/>
        <w:spacing w:line="360" w:lineRule="auto"/>
        <w:jc w:val="left"/>
        <w:textAlignment w:val="auto"/>
        <w:rPr>
          <w:rFonts w:hint="eastAsia" w:asciiTheme="minorEastAsia" w:hAnsiTheme="minorEastAsia" w:eastAsiaTheme="minorEastAsia" w:cstheme="minorEastAsia"/>
          <w:b/>
          <w:bCs/>
          <w:color w:val="auto"/>
          <w:szCs w:val="21"/>
          <w:highlight w:val="none"/>
        </w:rPr>
      </w:pPr>
    </w:p>
    <w:p w14:paraId="5A2B5ECB">
      <w:pPr>
        <w:keepNext w:val="0"/>
        <w:keepLines w:val="0"/>
        <w:pageBreakBefore w:val="0"/>
        <w:widowControl w:val="0"/>
        <w:shd w:val="clear" w:color="auto" w:fill="auto"/>
        <w:kinsoku w:val="0"/>
        <w:wordWrap w:val="0"/>
        <w:bidi w:val="0"/>
        <w:spacing w:line="360" w:lineRule="auto"/>
        <w:jc w:val="left"/>
        <w:textAlignment w:val="auto"/>
        <w:rPr>
          <w:rFonts w:hint="eastAsia" w:asciiTheme="minorEastAsia" w:hAnsiTheme="minorEastAsia" w:eastAsiaTheme="minorEastAsia" w:cstheme="minorEastAsia"/>
          <w:b/>
          <w:bCs/>
          <w:color w:val="auto"/>
          <w:szCs w:val="21"/>
          <w:highlight w:val="none"/>
        </w:rPr>
      </w:pPr>
    </w:p>
    <w:p w14:paraId="2F77AC67">
      <w:pPr>
        <w:keepNext w:val="0"/>
        <w:keepLines w:val="0"/>
        <w:pageBreakBefore w:val="0"/>
        <w:widowControl w:val="0"/>
        <w:shd w:val="clear" w:color="auto" w:fill="auto"/>
        <w:kinsoku w:val="0"/>
        <w:wordWrap w:val="0"/>
        <w:bidi w:val="0"/>
        <w:spacing w:line="360" w:lineRule="auto"/>
        <w:jc w:val="left"/>
        <w:textAlignment w:val="auto"/>
        <w:rPr>
          <w:rFonts w:hint="eastAsia" w:asciiTheme="minorEastAsia" w:hAnsiTheme="minorEastAsia" w:eastAsiaTheme="minorEastAsia" w:cstheme="minorEastAsia"/>
          <w:b/>
          <w:bCs/>
          <w:color w:val="auto"/>
          <w:szCs w:val="21"/>
          <w:highlight w:val="none"/>
        </w:rPr>
      </w:pPr>
    </w:p>
    <w:p w14:paraId="5FA08447">
      <w:pPr>
        <w:keepNext w:val="0"/>
        <w:keepLines w:val="0"/>
        <w:pageBreakBefore w:val="0"/>
        <w:widowControl w:val="0"/>
        <w:shd w:val="clear" w:color="auto" w:fill="auto"/>
        <w:kinsoku w:val="0"/>
        <w:wordWrap w:val="0"/>
        <w:bidi w:val="0"/>
        <w:spacing w:line="360" w:lineRule="auto"/>
        <w:jc w:val="left"/>
        <w:textAlignment w:val="auto"/>
        <w:rPr>
          <w:rFonts w:hint="eastAsia" w:asciiTheme="minorEastAsia" w:hAnsiTheme="minorEastAsia" w:eastAsiaTheme="minorEastAsia" w:cstheme="minorEastAsia"/>
          <w:b/>
          <w:bCs/>
          <w:color w:val="auto"/>
          <w:szCs w:val="21"/>
          <w:highlight w:val="none"/>
        </w:rPr>
      </w:pPr>
    </w:p>
    <w:p w14:paraId="5C14AF22">
      <w:pPr>
        <w:keepNext w:val="0"/>
        <w:keepLines w:val="0"/>
        <w:pageBreakBefore w:val="0"/>
        <w:widowControl w:val="0"/>
        <w:shd w:val="clear" w:color="auto" w:fill="auto"/>
        <w:kinsoku w:val="0"/>
        <w:wordWrap w:val="0"/>
        <w:bidi w:val="0"/>
        <w:spacing w:line="360" w:lineRule="auto"/>
        <w:jc w:val="left"/>
        <w:textAlignment w:val="auto"/>
        <w:rPr>
          <w:rFonts w:hint="eastAsia" w:asciiTheme="minorEastAsia" w:hAnsiTheme="minorEastAsia" w:eastAsiaTheme="minorEastAsia" w:cstheme="minorEastAsia"/>
          <w:b/>
          <w:bCs/>
          <w:color w:val="auto"/>
          <w:szCs w:val="21"/>
          <w:highlight w:val="none"/>
        </w:rPr>
      </w:pPr>
    </w:p>
    <w:p w14:paraId="029DFA8E">
      <w:pPr>
        <w:keepNext w:val="0"/>
        <w:keepLines w:val="0"/>
        <w:pageBreakBefore w:val="0"/>
        <w:widowControl w:val="0"/>
        <w:shd w:val="clear" w:color="auto" w:fill="auto"/>
        <w:kinsoku w:val="0"/>
        <w:wordWrap w:val="0"/>
        <w:bidi w:val="0"/>
        <w:spacing w:line="360" w:lineRule="auto"/>
        <w:jc w:val="left"/>
        <w:textAlignment w:val="auto"/>
        <w:rPr>
          <w:rFonts w:hint="eastAsia" w:asciiTheme="minorEastAsia" w:hAnsiTheme="minorEastAsia" w:eastAsiaTheme="minorEastAsia" w:cstheme="minorEastAsia"/>
          <w:b/>
          <w:bCs/>
          <w:color w:val="auto"/>
          <w:szCs w:val="21"/>
          <w:highlight w:val="none"/>
        </w:rPr>
      </w:pPr>
    </w:p>
    <w:p w14:paraId="2089E39A">
      <w:pPr>
        <w:keepNext w:val="0"/>
        <w:keepLines w:val="0"/>
        <w:pageBreakBefore w:val="0"/>
        <w:widowControl w:val="0"/>
        <w:shd w:val="clear" w:color="auto" w:fill="auto"/>
        <w:kinsoku w:val="0"/>
        <w:wordWrap w:val="0"/>
        <w:bidi w:val="0"/>
        <w:spacing w:line="360" w:lineRule="auto"/>
        <w:jc w:val="left"/>
        <w:textAlignment w:val="auto"/>
        <w:rPr>
          <w:rFonts w:hint="eastAsia" w:asciiTheme="minorEastAsia" w:hAnsiTheme="minorEastAsia" w:eastAsiaTheme="minorEastAsia" w:cstheme="minorEastAsia"/>
          <w:b/>
          <w:bCs/>
          <w:color w:val="auto"/>
          <w:szCs w:val="21"/>
          <w:highlight w:val="none"/>
        </w:rPr>
      </w:pPr>
    </w:p>
    <w:p w14:paraId="0EA6AC2B">
      <w:pPr>
        <w:pStyle w:val="9"/>
        <w:keepNext w:val="0"/>
        <w:keepLines w:val="0"/>
        <w:pageBreakBefore w:val="0"/>
        <w:widowControl w:val="0"/>
        <w:shd w:val="clear" w:color="auto" w:fill="auto"/>
        <w:kinsoku w:val="0"/>
        <w:wordWrap w:val="0"/>
        <w:bidi w:val="0"/>
        <w:textAlignment w:val="auto"/>
        <w:rPr>
          <w:rFonts w:hint="eastAsia" w:asciiTheme="minorEastAsia" w:hAnsiTheme="minorEastAsia" w:eastAsiaTheme="minorEastAsia" w:cstheme="minorEastAsia"/>
          <w:color w:val="auto"/>
          <w:highlight w:val="none"/>
        </w:rPr>
      </w:pPr>
    </w:p>
    <w:p w14:paraId="6A2B7ED7">
      <w:pPr>
        <w:pStyle w:val="9"/>
        <w:keepNext w:val="0"/>
        <w:keepLines w:val="0"/>
        <w:pageBreakBefore w:val="0"/>
        <w:widowControl w:val="0"/>
        <w:shd w:val="clear" w:color="auto" w:fill="auto"/>
        <w:kinsoku w:val="0"/>
        <w:wordWrap w:val="0"/>
        <w:bidi w:val="0"/>
        <w:textAlignment w:val="auto"/>
        <w:rPr>
          <w:rFonts w:hint="eastAsia" w:asciiTheme="minorEastAsia" w:hAnsiTheme="minorEastAsia" w:eastAsiaTheme="minorEastAsia" w:cstheme="minorEastAsia"/>
          <w:b/>
          <w:bCs/>
          <w:color w:val="auto"/>
          <w:szCs w:val="21"/>
          <w:highlight w:val="none"/>
        </w:rPr>
      </w:pPr>
    </w:p>
    <w:p w14:paraId="177AC0A5">
      <w:pPr>
        <w:keepNext w:val="0"/>
        <w:keepLines w:val="0"/>
        <w:pageBreakBefore w:val="0"/>
        <w:widowControl w:val="0"/>
        <w:shd w:val="clear" w:color="auto" w:fill="auto"/>
        <w:kinsoku w:val="0"/>
        <w:wordWrap w:val="0"/>
        <w:bidi w:val="0"/>
        <w:jc w:val="center"/>
        <w:textAlignment w:val="auto"/>
        <w:outlineLvl w:val="1"/>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8"/>
          <w:szCs w:val="28"/>
          <w:highlight w:val="none"/>
        </w:rPr>
        <w:br w:type="page"/>
      </w:r>
      <w:bookmarkStart w:id="117" w:name="_Toc12077"/>
      <w:bookmarkStart w:id="118" w:name="_Toc23278"/>
      <w:r>
        <w:rPr>
          <w:rFonts w:hint="eastAsia" w:asciiTheme="minorEastAsia" w:hAnsiTheme="minorEastAsia" w:eastAsiaTheme="minorEastAsia" w:cstheme="minorEastAsia"/>
          <w:b/>
          <w:color w:val="auto"/>
          <w:sz w:val="24"/>
          <w:szCs w:val="24"/>
          <w:highlight w:val="none"/>
          <w:lang w:val="en-US" w:eastAsia="zh-CN"/>
        </w:rPr>
        <w:t>六</w:t>
      </w:r>
      <w:r>
        <w:rPr>
          <w:rFonts w:hint="eastAsia" w:asciiTheme="minorEastAsia" w:hAnsiTheme="minorEastAsia" w:eastAsiaTheme="minorEastAsia" w:cstheme="minorEastAsia"/>
          <w:b/>
          <w:color w:val="auto"/>
          <w:sz w:val="24"/>
          <w:szCs w:val="24"/>
          <w:highlight w:val="none"/>
        </w:rPr>
        <w:t>、</w:t>
      </w:r>
      <w:r>
        <w:rPr>
          <w:rFonts w:hint="eastAsia" w:asciiTheme="minorEastAsia" w:hAnsiTheme="minorEastAsia" w:eastAsiaTheme="minorEastAsia" w:cstheme="minorEastAsia"/>
          <w:b/>
          <w:color w:val="auto"/>
          <w:sz w:val="24"/>
          <w:szCs w:val="24"/>
          <w:highlight w:val="none"/>
          <w:lang w:val="en-US" w:eastAsia="zh-CN"/>
        </w:rPr>
        <w:t>供应商</w:t>
      </w:r>
      <w:r>
        <w:rPr>
          <w:rFonts w:hint="eastAsia" w:asciiTheme="minorEastAsia" w:hAnsiTheme="minorEastAsia" w:eastAsiaTheme="minorEastAsia" w:cstheme="minorEastAsia"/>
          <w:b/>
          <w:color w:val="auto"/>
          <w:sz w:val="24"/>
          <w:szCs w:val="24"/>
          <w:highlight w:val="none"/>
        </w:rPr>
        <w:t>相关证明资料</w:t>
      </w:r>
      <w:bookmarkEnd w:id="117"/>
      <w:bookmarkEnd w:id="118"/>
    </w:p>
    <w:p w14:paraId="3599A07A">
      <w:pPr>
        <w:keepNext w:val="0"/>
        <w:keepLines w:val="0"/>
        <w:pageBreakBefore w:val="0"/>
        <w:widowControl w:val="0"/>
        <w:shd w:val="clear" w:color="auto" w:fill="auto"/>
        <w:kinsoku w:val="0"/>
        <w:wordWrap w:val="0"/>
        <w:bidi w:val="0"/>
        <w:spacing w:line="480" w:lineRule="exact"/>
        <w:ind w:firstLine="480" w:firstLineChars="200"/>
        <w:textAlignment w:val="auto"/>
        <w:rPr>
          <w:rFonts w:hint="eastAsia" w:asciiTheme="minorEastAsia" w:hAnsiTheme="minorEastAsia" w:eastAsiaTheme="minorEastAsia" w:cstheme="minorEastAsia"/>
          <w:bCs/>
          <w:color w:val="auto"/>
          <w:sz w:val="24"/>
          <w:szCs w:val="24"/>
          <w:highlight w:val="none"/>
        </w:rPr>
      </w:pPr>
    </w:p>
    <w:p w14:paraId="650A7D00">
      <w:pPr>
        <w:pStyle w:val="11"/>
        <w:keepNext w:val="0"/>
        <w:keepLines w:val="0"/>
        <w:pageBreakBefore w:val="0"/>
        <w:widowControl w:val="0"/>
        <w:shd w:val="clear" w:color="auto" w:fill="auto"/>
        <w:kinsoku w:val="0"/>
        <w:wordWrap w:val="0"/>
        <w:bidi w:val="0"/>
        <w:spacing w:line="480" w:lineRule="exact"/>
        <w:ind w:firstLine="480" w:firstLineChars="200"/>
        <w:jc w:val="left"/>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1.供应商须为在中华人民共和国注册且具有独立承担民事责任能力的法人或其他组织，具有有效的营业执照</w:t>
      </w:r>
      <w:r>
        <w:rPr>
          <w:rFonts w:hint="eastAsia" w:asciiTheme="minorEastAsia" w:hAnsiTheme="minorEastAsia" w:eastAsiaTheme="minorEastAsia" w:cstheme="minorEastAsia"/>
          <w:bCs/>
          <w:color w:val="auto"/>
          <w:sz w:val="24"/>
          <w:szCs w:val="24"/>
          <w:highlight w:val="none"/>
          <w:lang w:eastAsia="zh-CN"/>
        </w:rPr>
        <w:t>，投标文件中提供扫描件</w:t>
      </w:r>
      <w:r>
        <w:rPr>
          <w:rFonts w:hint="eastAsia" w:asciiTheme="minorEastAsia" w:hAnsiTheme="minorEastAsia" w:eastAsiaTheme="minorEastAsia" w:cstheme="minorEastAsia"/>
          <w:bCs/>
          <w:color w:val="auto"/>
          <w:sz w:val="24"/>
          <w:szCs w:val="24"/>
          <w:highlight w:val="none"/>
        </w:rPr>
        <w:t>。</w:t>
      </w:r>
    </w:p>
    <w:p w14:paraId="526B1102">
      <w:pPr>
        <w:pStyle w:val="11"/>
        <w:keepNext w:val="0"/>
        <w:keepLines w:val="0"/>
        <w:pageBreakBefore w:val="0"/>
        <w:widowControl w:val="0"/>
        <w:shd w:val="clear" w:color="auto" w:fill="auto"/>
        <w:kinsoku w:val="0"/>
        <w:wordWrap w:val="0"/>
        <w:bidi w:val="0"/>
        <w:spacing w:line="480" w:lineRule="exact"/>
        <w:ind w:firstLine="480" w:firstLineChars="200"/>
        <w:jc w:val="left"/>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2.供应商须具有健全的财务会计制度，提供财务状况报告（经审计的财务报告或银行出具的资信证明或供应商应具备的财务资料），投标文件中提供扫描件</w:t>
      </w:r>
      <w:r>
        <w:rPr>
          <w:rFonts w:hint="eastAsia" w:asciiTheme="minorEastAsia" w:hAnsiTheme="minorEastAsia" w:eastAsiaTheme="minorEastAsia" w:cstheme="minorEastAsia"/>
          <w:bCs/>
          <w:color w:val="auto"/>
          <w:sz w:val="24"/>
          <w:szCs w:val="24"/>
          <w:highlight w:val="none"/>
          <w:lang w:eastAsia="zh-CN"/>
        </w:rPr>
        <w:t>。</w:t>
      </w:r>
    </w:p>
    <w:p w14:paraId="758BFAD0">
      <w:pPr>
        <w:pStyle w:val="11"/>
        <w:keepNext w:val="0"/>
        <w:keepLines w:val="0"/>
        <w:pageBreakBefore w:val="0"/>
        <w:widowControl w:val="0"/>
        <w:shd w:val="clear" w:color="auto" w:fill="auto"/>
        <w:kinsoku w:val="0"/>
        <w:wordWrap w:val="0"/>
        <w:bidi w:val="0"/>
        <w:spacing w:line="480" w:lineRule="exact"/>
        <w:ind w:firstLine="480" w:firstLineChars="200"/>
        <w:jc w:val="left"/>
        <w:textAlignment w:val="auto"/>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3.供应商须具有依法缴纳税收和社保资金的良好记录，具有相关证明材料（新成立不满3个月的供应商，提供情况说明或未拖欠税收、社保资金承诺或证明材料）；依法免税或不需要缴纳社会保障资金的供应商，应具有相应证明文件，</w:t>
      </w:r>
      <w:r>
        <w:rPr>
          <w:rFonts w:hint="eastAsia" w:asciiTheme="minorEastAsia" w:hAnsiTheme="minorEastAsia" w:eastAsiaTheme="minorEastAsia" w:cstheme="minorEastAsia"/>
          <w:bCs/>
          <w:color w:val="auto"/>
          <w:sz w:val="24"/>
          <w:szCs w:val="24"/>
          <w:highlight w:val="none"/>
          <w:lang w:eastAsia="zh-CN"/>
        </w:rPr>
        <w:t>投标文件中提供扫描件</w:t>
      </w:r>
      <w:r>
        <w:rPr>
          <w:rFonts w:hint="eastAsia" w:asciiTheme="minorEastAsia" w:hAnsiTheme="minorEastAsia" w:eastAsiaTheme="minorEastAsia" w:cstheme="minorEastAsia"/>
          <w:bCs/>
          <w:color w:val="auto"/>
          <w:sz w:val="24"/>
          <w:szCs w:val="24"/>
          <w:highlight w:val="none"/>
          <w:lang w:val="en-US" w:eastAsia="zh-CN"/>
        </w:rPr>
        <w:t>。</w:t>
      </w:r>
    </w:p>
    <w:p w14:paraId="78A8A514">
      <w:pPr>
        <w:pStyle w:val="11"/>
        <w:keepNext w:val="0"/>
        <w:keepLines w:val="0"/>
        <w:pageBreakBefore w:val="0"/>
        <w:widowControl w:val="0"/>
        <w:shd w:val="clear" w:color="auto" w:fill="auto"/>
        <w:kinsoku w:val="0"/>
        <w:wordWrap w:val="0"/>
        <w:bidi w:val="0"/>
        <w:spacing w:line="480" w:lineRule="exact"/>
        <w:ind w:firstLine="480" w:firstLineChars="200"/>
        <w:jc w:val="left"/>
        <w:textAlignment w:val="auto"/>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4.根据《中华人民共和国政府采购法实施条例》第十八条规定，单位负责人为同一人或者存在直接控股、管理关系的不同供应商，不得参加同一合同项下的政府采购活动，投标文件中提供承诺书。</w:t>
      </w:r>
    </w:p>
    <w:p w14:paraId="0AC24DEF">
      <w:pPr>
        <w:pStyle w:val="11"/>
        <w:keepNext w:val="0"/>
        <w:keepLines w:val="0"/>
        <w:pageBreakBefore w:val="0"/>
        <w:widowControl w:val="0"/>
        <w:shd w:val="clear" w:color="auto" w:fill="auto"/>
        <w:kinsoku w:val="0"/>
        <w:wordWrap w:val="0"/>
        <w:bidi w:val="0"/>
        <w:spacing w:line="480" w:lineRule="exact"/>
        <w:ind w:firstLine="480" w:firstLineChars="200"/>
        <w:jc w:val="left"/>
        <w:textAlignment w:val="auto"/>
        <w:rPr>
          <w:rFonts w:hint="eastAsia" w:asciiTheme="minorEastAsia" w:hAnsiTheme="minorEastAsia" w:eastAsiaTheme="minorEastAsia" w:cstheme="minorEastAsia"/>
          <w:bCs/>
          <w:color w:val="auto"/>
          <w:sz w:val="24"/>
          <w:szCs w:val="24"/>
          <w:highlight w:val="none"/>
          <w:lang w:val="en-US" w:eastAsia="zh-CN"/>
        </w:rPr>
      </w:pPr>
    </w:p>
    <w:p w14:paraId="637014B2">
      <w:pPr>
        <w:keepNext w:val="0"/>
        <w:keepLines w:val="0"/>
        <w:pageBreakBefore w:val="0"/>
        <w:widowControl w:val="0"/>
        <w:shd w:val="clear" w:color="auto" w:fill="auto"/>
        <w:kinsoku w:val="0"/>
        <w:wordWrap w:val="0"/>
        <w:bidi w:val="0"/>
        <w:jc w:val="center"/>
        <w:textAlignment w:val="auto"/>
        <w:rPr>
          <w:rFonts w:hint="eastAsia" w:asciiTheme="minorEastAsia" w:hAnsiTheme="minorEastAsia" w:eastAsiaTheme="minorEastAsia" w:cstheme="minorEastAsia"/>
          <w:color w:val="auto"/>
          <w:sz w:val="21"/>
          <w:szCs w:val="21"/>
          <w:highlight w:val="none"/>
          <w:lang w:val="en-US" w:eastAsia="zh-CN"/>
        </w:rPr>
      </w:pPr>
    </w:p>
    <w:p w14:paraId="1C174AE6">
      <w:pPr>
        <w:keepNext w:val="0"/>
        <w:keepLines w:val="0"/>
        <w:pageBreakBefore w:val="0"/>
        <w:widowControl w:val="0"/>
        <w:shd w:val="clear" w:color="auto" w:fill="auto"/>
        <w:kinsoku w:val="0"/>
        <w:wordWrap w:val="0"/>
        <w:bidi w:val="0"/>
        <w:jc w:val="center"/>
        <w:textAlignment w:val="auto"/>
        <w:rPr>
          <w:rFonts w:hint="eastAsia" w:asciiTheme="minorEastAsia" w:hAnsiTheme="minorEastAsia" w:eastAsiaTheme="minorEastAsia" w:cstheme="minorEastAsia"/>
          <w:color w:val="auto"/>
          <w:sz w:val="21"/>
          <w:szCs w:val="21"/>
          <w:highlight w:val="none"/>
          <w:lang w:val="en-US" w:eastAsia="zh-CN"/>
        </w:rPr>
      </w:pPr>
    </w:p>
    <w:p w14:paraId="1404DBD3">
      <w:pPr>
        <w:keepNext w:val="0"/>
        <w:keepLines w:val="0"/>
        <w:pageBreakBefore w:val="0"/>
        <w:widowControl w:val="0"/>
        <w:shd w:val="clear" w:color="auto" w:fill="auto"/>
        <w:kinsoku w:val="0"/>
        <w:wordWrap w:val="0"/>
        <w:bidi w:val="0"/>
        <w:jc w:val="center"/>
        <w:textAlignment w:val="auto"/>
        <w:rPr>
          <w:rFonts w:hint="eastAsia" w:asciiTheme="minorEastAsia" w:hAnsiTheme="minorEastAsia" w:eastAsiaTheme="minorEastAsia" w:cstheme="minorEastAsia"/>
          <w:color w:val="auto"/>
          <w:sz w:val="21"/>
          <w:szCs w:val="21"/>
          <w:highlight w:val="none"/>
          <w:lang w:val="en-US" w:eastAsia="zh-CN"/>
        </w:rPr>
      </w:pPr>
    </w:p>
    <w:p w14:paraId="67834F19">
      <w:pPr>
        <w:keepNext w:val="0"/>
        <w:keepLines w:val="0"/>
        <w:pageBreakBefore w:val="0"/>
        <w:widowControl w:val="0"/>
        <w:shd w:val="clear" w:color="auto" w:fill="auto"/>
        <w:kinsoku w:val="0"/>
        <w:wordWrap w:val="0"/>
        <w:bidi w:val="0"/>
        <w:jc w:val="center"/>
        <w:textAlignment w:val="auto"/>
        <w:rPr>
          <w:rFonts w:hint="eastAsia" w:asciiTheme="minorEastAsia" w:hAnsiTheme="minorEastAsia" w:eastAsiaTheme="minorEastAsia" w:cstheme="minorEastAsia"/>
          <w:color w:val="auto"/>
          <w:sz w:val="21"/>
          <w:szCs w:val="21"/>
          <w:highlight w:val="none"/>
          <w:lang w:val="en-US" w:eastAsia="zh-CN"/>
        </w:rPr>
      </w:pPr>
    </w:p>
    <w:p w14:paraId="0C1EF9AA">
      <w:pPr>
        <w:keepNext w:val="0"/>
        <w:keepLines w:val="0"/>
        <w:pageBreakBefore w:val="0"/>
        <w:widowControl w:val="0"/>
        <w:shd w:val="clear" w:color="auto" w:fill="auto"/>
        <w:kinsoku w:val="0"/>
        <w:wordWrap w:val="0"/>
        <w:bidi w:val="0"/>
        <w:jc w:val="center"/>
        <w:textAlignment w:val="auto"/>
        <w:rPr>
          <w:rFonts w:hint="eastAsia" w:asciiTheme="minorEastAsia" w:hAnsiTheme="minorEastAsia" w:eastAsiaTheme="minorEastAsia" w:cstheme="minorEastAsia"/>
          <w:color w:val="auto"/>
          <w:sz w:val="21"/>
          <w:szCs w:val="21"/>
          <w:highlight w:val="none"/>
          <w:lang w:val="en-US" w:eastAsia="zh-CN"/>
        </w:rPr>
      </w:pPr>
    </w:p>
    <w:p w14:paraId="7CD477D7">
      <w:pPr>
        <w:keepNext w:val="0"/>
        <w:keepLines w:val="0"/>
        <w:pageBreakBefore w:val="0"/>
        <w:widowControl w:val="0"/>
        <w:shd w:val="clear" w:color="auto" w:fill="auto"/>
        <w:kinsoku w:val="0"/>
        <w:wordWrap w:val="0"/>
        <w:bidi w:val="0"/>
        <w:jc w:val="center"/>
        <w:textAlignment w:val="auto"/>
        <w:rPr>
          <w:rFonts w:hint="eastAsia" w:asciiTheme="minorEastAsia" w:hAnsiTheme="minorEastAsia" w:eastAsiaTheme="minorEastAsia" w:cstheme="minorEastAsia"/>
          <w:color w:val="auto"/>
          <w:sz w:val="21"/>
          <w:szCs w:val="21"/>
          <w:highlight w:val="none"/>
          <w:lang w:val="en-US" w:eastAsia="zh-CN"/>
        </w:rPr>
      </w:pPr>
    </w:p>
    <w:p w14:paraId="3E5DCC97">
      <w:pPr>
        <w:keepNext w:val="0"/>
        <w:keepLines w:val="0"/>
        <w:pageBreakBefore w:val="0"/>
        <w:widowControl w:val="0"/>
        <w:shd w:val="clear" w:color="auto" w:fill="auto"/>
        <w:kinsoku w:val="0"/>
        <w:wordWrap w:val="0"/>
        <w:bidi w:val="0"/>
        <w:jc w:val="center"/>
        <w:textAlignment w:val="auto"/>
        <w:rPr>
          <w:rFonts w:hint="eastAsia" w:asciiTheme="minorEastAsia" w:hAnsiTheme="minorEastAsia" w:eastAsiaTheme="minorEastAsia" w:cstheme="minorEastAsia"/>
          <w:color w:val="auto"/>
          <w:sz w:val="21"/>
          <w:szCs w:val="21"/>
          <w:highlight w:val="none"/>
          <w:lang w:val="en-US" w:eastAsia="zh-CN"/>
        </w:rPr>
      </w:pPr>
    </w:p>
    <w:p w14:paraId="342B30D3">
      <w:pPr>
        <w:keepNext w:val="0"/>
        <w:keepLines w:val="0"/>
        <w:pageBreakBefore w:val="0"/>
        <w:widowControl w:val="0"/>
        <w:shd w:val="clear" w:color="auto" w:fill="auto"/>
        <w:kinsoku w:val="0"/>
        <w:wordWrap w:val="0"/>
        <w:bidi w:val="0"/>
        <w:jc w:val="center"/>
        <w:textAlignment w:val="auto"/>
        <w:rPr>
          <w:rFonts w:hint="eastAsia" w:asciiTheme="minorEastAsia" w:hAnsiTheme="minorEastAsia" w:eastAsiaTheme="minorEastAsia" w:cstheme="minorEastAsia"/>
          <w:b/>
          <w:bCs/>
          <w:color w:val="auto"/>
          <w:sz w:val="24"/>
          <w:szCs w:val="24"/>
          <w:highlight w:val="none"/>
          <w:lang w:val="en-US" w:eastAsia="zh-CN"/>
        </w:rPr>
      </w:pPr>
    </w:p>
    <w:p w14:paraId="2907A96E">
      <w:pPr>
        <w:pStyle w:val="9"/>
        <w:keepNext w:val="0"/>
        <w:keepLines w:val="0"/>
        <w:pageBreakBefore w:val="0"/>
        <w:widowControl w:val="0"/>
        <w:shd w:val="clear" w:color="auto" w:fill="auto"/>
        <w:kinsoku w:val="0"/>
        <w:wordWrap w:val="0"/>
        <w:bidi w:val="0"/>
        <w:textAlignment w:val="auto"/>
        <w:rPr>
          <w:rFonts w:hint="eastAsia" w:asciiTheme="minorEastAsia" w:hAnsiTheme="minorEastAsia" w:eastAsiaTheme="minorEastAsia" w:cstheme="minorEastAsia"/>
          <w:b/>
          <w:bCs/>
          <w:color w:val="auto"/>
          <w:sz w:val="24"/>
          <w:szCs w:val="24"/>
          <w:highlight w:val="none"/>
          <w:lang w:val="en-US" w:eastAsia="zh-CN"/>
        </w:rPr>
      </w:pPr>
    </w:p>
    <w:p w14:paraId="1FCAC6D4">
      <w:pPr>
        <w:keepNext w:val="0"/>
        <w:keepLines w:val="0"/>
        <w:pageBreakBefore w:val="0"/>
        <w:widowControl w:val="0"/>
        <w:shd w:val="clear" w:color="auto" w:fill="auto"/>
        <w:kinsoku w:val="0"/>
        <w:wordWrap w:val="0"/>
        <w:bidi w:val="0"/>
        <w:textAlignment w:val="auto"/>
        <w:rPr>
          <w:rFonts w:hint="eastAsia" w:asciiTheme="minorEastAsia" w:hAnsiTheme="minorEastAsia" w:eastAsiaTheme="minorEastAsia" w:cstheme="minorEastAsia"/>
          <w:color w:val="auto"/>
          <w:highlight w:val="none"/>
          <w:lang w:val="en-US" w:eastAsia="zh-CN"/>
        </w:rPr>
      </w:pPr>
    </w:p>
    <w:p w14:paraId="74EC8741">
      <w:pPr>
        <w:keepNext w:val="0"/>
        <w:keepLines w:val="0"/>
        <w:pageBreakBefore w:val="0"/>
        <w:widowControl w:val="0"/>
        <w:shd w:val="clear" w:color="auto" w:fill="auto"/>
        <w:kinsoku w:val="0"/>
        <w:wordWrap w:val="0"/>
        <w:bidi w:val="0"/>
        <w:jc w:val="center"/>
        <w:textAlignment w:val="auto"/>
        <w:rPr>
          <w:rFonts w:hint="eastAsia" w:asciiTheme="minorEastAsia" w:hAnsiTheme="minorEastAsia" w:eastAsiaTheme="minorEastAsia" w:cstheme="minorEastAsia"/>
          <w:b/>
          <w:bCs/>
          <w:color w:val="auto"/>
          <w:sz w:val="24"/>
          <w:szCs w:val="24"/>
          <w:highlight w:val="none"/>
          <w:lang w:val="en-US" w:eastAsia="zh-CN"/>
        </w:rPr>
      </w:pPr>
    </w:p>
    <w:p w14:paraId="0D5772CD">
      <w:pPr>
        <w:keepNext w:val="0"/>
        <w:keepLines w:val="0"/>
        <w:pageBreakBefore w:val="0"/>
        <w:widowControl w:val="0"/>
        <w:shd w:val="clear" w:color="auto" w:fill="auto"/>
        <w:kinsoku w:val="0"/>
        <w:wordWrap w:val="0"/>
        <w:bidi w:val="0"/>
        <w:jc w:val="center"/>
        <w:textAlignment w:val="auto"/>
        <w:rPr>
          <w:rFonts w:hint="eastAsia" w:asciiTheme="minorEastAsia" w:hAnsiTheme="minorEastAsia" w:eastAsiaTheme="minorEastAsia" w:cstheme="minorEastAsia"/>
          <w:b/>
          <w:bCs/>
          <w:color w:val="auto"/>
          <w:sz w:val="24"/>
          <w:szCs w:val="24"/>
          <w:highlight w:val="none"/>
          <w:lang w:val="en-US" w:eastAsia="zh-CN"/>
        </w:rPr>
      </w:pPr>
    </w:p>
    <w:p w14:paraId="036A6A21">
      <w:pPr>
        <w:keepNext w:val="0"/>
        <w:keepLines w:val="0"/>
        <w:pageBreakBefore w:val="0"/>
        <w:widowControl w:val="0"/>
        <w:shd w:val="clear" w:color="auto" w:fill="auto"/>
        <w:kinsoku w:val="0"/>
        <w:wordWrap w:val="0"/>
        <w:bidi w:val="0"/>
        <w:jc w:val="center"/>
        <w:textAlignment w:val="auto"/>
        <w:rPr>
          <w:rFonts w:hint="eastAsia" w:asciiTheme="minorEastAsia" w:hAnsiTheme="minorEastAsia" w:eastAsiaTheme="minorEastAsia" w:cstheme="minorEastAsia"/>
          <w:b/>
          <w:bCs/>
          <w:color w:val="auto"/>
          <w:sz w:val="24"/>
          <w:szCs w:val="24"/>
          <w:highlight w:val="none"/>
          <w:lang w:val="en-US" w:eastAsia="zh-CN"/>
        </w:rPr>
      </w:pPr>
    </w:p>
    <w:p w14:paraId="395C4198">
      <w:pPr>
        <w:keepNext w:val="0"/>
        <w:keepLines w:val="0"/>
        <w:pageBreakBefore w:val="0"/>
        <w:widowControl w:val="0"/>
        <w:shd w:val="clear" w:color="auto" w:fill="auto"/>
        <w:kinsoku w:val="0"/>
        <w:wordWrap w:val="0"/>
        <w:bidi w:val="0"/>
        <w:jc w:val="center"/>
        <w:textAlignment w:val="auto"/>
        <w:rPr>
          <w:rFonts w:hint="eastAsia" w:asciiTheme="minorEastAsia" w:hAnsiTheme="minorEastAsia" w:eastAsiaTheme="minorEastAsia" w:cstheme="minorEastAsia"/>
          <w:b/>
          <w:bCs/>
          <w:color w:val="auto"/>
          <w:sz w:val="24"/>
          <w:szCs w:val="24"/>
          <w:highlight w:val="none"/>
          <w:lang w:val="en-US" w:eastAsia="zh-CN"/>
        </w:rPr>
      </w:pPr>
    </w:p>
    <w:p w14:paraId="429E53C3">
      <w:pPr>
        <w:keepNext w:val="0"/>
        <w:keepLines w:val="0"/>
        <w:pageBreakBefore w:val="0"/>
        <w:widowControl w:val="0"/>
        <w:shd w:val="clear" w:color="auto" w:fill="auto"/>
        <w:kinsoku w:val="0"/>
        <w:wordWrap w:val="0"/>
        <w:bidi w:val="0"/>
        <w:jc w:val="center"/>
        <w:textAlignment w:val="auto"/>
        <w:rPr>
          <w:rFonts w:hint="eastAsia" w:asciiTheme="minorEastAsia" w:hAnsiTheme="minorEastAsia" w:eastAsiaTheme="minorEastAsia" w:cstheme="minorEastAsia"/>
          <w:b/>
          <w:bCs/>
          <w:color w:val="auto"/>
          <w:sz w:val="24"/>
          <w:szCs w:val="24"/>
          <w:highlight w:val="none"/>
          <w:lang w:val="en-US" w:eastAsia="zh-CN"/>
        </w:rPr>
      </w:pPr>
    </w:p>
    <w:p w14:paraId="7C5F9E24">
      <w:pPr>
        <w:keepNext w:val="0"/>
        <w:keepLines w:val="0"/>
        <w:pageBreakBefore w:val="0"/>
        <w:widowControl w:val="0"/>
        <w:shd w:val="clear" w:color="auto" w:fill="auto"/>
        <w:kinsoku w:val="0"/>
        <w:wordWrap w:val="0"/>
        <w:bidi w:val="0"/>
        <w:jc w:val="center"/>
        <w:textAlignment w:val="auto"/>
        <w:rPr>
          <w:rFonts w:hint="eastAsia" w:asciiTheme="minorEastAsia" w:hAnsiTheme="minorEastAsia" w:eastAsiaTheme="minorEastAsia" w:cstheme="minorEastAsia"/>
          <w:b/>
          <w:bCs/>
          <w:color w:val="auto"/>
          <w:sz w:val="24"/>
          <w:szCs w:val="24"/>
          <w:highlight w:val="none"/>
          <w:lang w:val="en-US" w:eastAsia="zh-CN"/>
        </w:rPr>
      </w:pPr>
    </w:p>
    <w:p w14:paraId="6A68D997">
      <w:pPr>
        <w:keepNext w:val="0"/>
        <w:keepLines w:val="0"/>
        <w:pageBreakBefore w:val="0"/>
        <w:widowControl w:val="0"/>
        <w:shd w:val="clear" w:color="auto" w:fill="auto"/>
        <w:kinsoku w:val="0"/>
        <w:wordWrap w:val="0"/>
        <w:bidi w:val="0"/>
        <w:jc w:val="center"/>
        <w:textAlignment w:val="auto"/>
        <w:rPr>
          <w:rFonts w:hint="eastAsia" w:asciiTheme="minorEastAsia" w:hAnsiTheme="minorEastAsia" w:eastAsiaTheme="minorEastAsia" w:cstheme="minorEastAsia"/>
          <w:b/>
          <w:bCs/>
          <w:color w:val="auto"/>
          <w:sz w:val="24"/>
          <w:szCs w:val="24"/>
          <w:highlight w:val="none"/>
          <w:lang w:val="en-US" w:eastAsia="zh-CN"/>
        </w:rPr>
      </w:pPr>
    </w:p>
    <w:p w14:paraId="222E5F8F">
      <w:pPr>
        <w:keepNext w:val="0"/>
        <w:keepLines w:val="0"/>
        <w:pageBreakBefore w:val="0"/>
        <w:widowControl w:val="0"/>
        <w:shd w:val="clear" w:color="auto" w:fill="auto"/>
        <w:kinsoku w:val="0"/>
        <w:wordWrap w:val="0"/>
        <w:bidi w:val="0"/>
        <w:jc w:val="center"/>
        <w:textAlignment w:val="auto"/>
        <w:rPr>
          <w:rFonts w:hint="eastAsia" w:asciiTheme="minorEastAsia" w:hAnsiTheme="minorEastAsia" w:eastAsiaTheme="minorEastAsia" w:cstheme="minorEastAsia"/>
          <w:b/>
          <w:bCs/>
          <w:color w:val="auto"/>
          <w:sz w:val="24"/>
          <w:szCs w:val="24"/>
          <w:highlight w:val="none"/>
          <w:lang w:val="en-US" w:eastAsia="zh-CN"/>
        </w:rPr>
      </w:pPr>
    </w:p>
    <w:p w14:paraId="7B6A5D4E">
      <w:pPr>
        <w:keepNext w:val="0"/>
        <w:keepLines w:val="0"/>
        <w:pageBreakBefore w:val="0"/>
        <w:widowControl w:val="0"/>
        <w:shd w:val="clear" w:color="auto" w:fill="auto"/>
        <w:kinsoku w:val="0"/>
        <w:wordWrap w:val="0"/>
        <w:bidi w:val="0"/>
        <w:jc w:val="center"/>
        <w:textAlignment w:val="auto"/>
        <w:rPr>
          <w:rFonts w:hint="eastAsia" w:asciiTheme="minorEastAsia" w:hAnsiTheme="minorEastAsia" w:eastAsiaTheme="minorEastAsia" w:cstheme="minorEastAsia"/>
          <w:b/>
          <w:bCs/>
          <w:color w:val="auto"/>
          <w:sz w:val="24"/>
          <w:szCs w:val="24"/>
          <w:highlight w:val="none"/>
          <w:lang w:val="en-US" w:eastAsia="zh-CN"/>
        </w:rPr>
      </w:pPr>
    </w:p>
    <w:p w14:paraId="072D0F8F">
      <w:pPr>
        <w:keepNext w:val="0"/>
        <w:keepLines w:val="0"/>
        <w:pageBreakBefore w:val="0"/>
        <w:widowControl w:val="0"/>
        <w:shd w:val="clear" w:color="auto" w:fill="auto"/>
        <w:kinsoku w:val="0"/>
        <w:wordWrap w:val="0"/>
        <w:bidi w:val="0"/>
        <w:jc w:val="center"/>
        <w:textAlignment w:val="auto"/>
        <w:rPr>
          <w:rFonts w:hint="eastAsia" w:asciiTheme="minorEastAsia" w:hAnsiTheme="minorEastAsia" w:eastAsiaTheme="minorEastAsia" w:cstheme="minorEastAsia"/>
          <w:b/>
          <w:bCs/>
          <w:color w:val="auto"/>
          <w:sz w:val="24"/>
          <w:szCs w:val="24"/>
          <w:highlight w:val="none"/>
          <w:lang w:val="en-US" w:eastAsia="zh-CN"/>
        </w:rPr>
      </w:pPr>
    </w:p>
    <w:p w14:paraId="2DE9684A">
      <w:pPr>
        <w:keepNext w:val="0"/>
        <w:keepLines w:val="0"/>
        <w:pageBreakBefore w:val="0"/>
        <w:widowControl w:val="0"/>
        <w:shd w:val="clear" w:color="auto" w:fill="auto"/>
        <w:kinsoku w:val="0"/>
        <w:wordWrap w:val="0"/>
        <w:bidi w:val="0"/>
        <w:jc w:val="center"/>
        <w:textAlignment w:val="auto"/>
        <w:rPr>
          <w:rFonts w:hint="eastAsia" w:asciiTheme="minorEastAsia" w:hAnsiTheme="minorEastAsia" w:eastAsiaTheme="minorEastAsia" w:cstheme="minorEastAsia"/>
          <w:b/>
          <w:bCs/>
          <w:color w:val="auto"/>
          <w:sz w:val="24"/>
          <w:szCs w:val="24"/>
          <w:highlight w:val="none"/>
          <w:lang w:val="en-US" w:eastAsia="zh-CN"/>
        </w:rPr>
      </w:pPr>
    </w:p>
    <w:p w14:paraId="1EA659FF">
      <w:pPr>
        <w:keepNext w:val="0"/>
        <w:keepLines w:val="0"/>
        <w:pageBreakBefore w:val="0"/>
        <w:widowControl w:val="0"/>
        <w:shd w:val="clear" w:color="auto" w:fill="auto"/>
        <w:kinsoku w:val="0"/>
        <w:wordWrap w:val="0"/>
        <w:bidi w:val="0"/>
        <w:jc w:val="center"/>
        <w:textAlignment w:val="auto"/>
        <w:rPr>
          <w:rFonts w:hint="eastAsia" w:asciiTheme="minorEastAsia" w:hAnsiTheme="minorEastAsia" w:eastAsiaTheme="minorEastAsia" w:cstheme="minorEastAsia"/>
          <w:b/>
          <w:bCs/>
          <w:color w:val="auto"/>
          <w:sz w:val="24"/>
          <w:szCs w:val="24"/>
          <w:highlight w:val="none"/>
          <w:lang w:val="en-US" w:eastAsia="zh-CN"/>
        </w:rPr>
      </w:pPr>
    </w:p>
    <w:p w14:paraId="42E785C5">
      <w:pPr>
        <w:keepNext w:val="0"/>
        <w:keepLines w:val="0"/>
        <w:pageBreakBefore w:val="0"/>
        <w:widowControl w:val="0"/>
        <w:shd w:val="clear" w:color="auto" w:fill="auto"/>
        <w:kinsoku w:val="0"/>
        <w:wordWrap w:val="0"/>
        <w:bidi w:val="0"/>
        <w:jc w:val="center"/>
        <w:textAlignment w:val="auto"/>
        <w:rPr>
          <w:rFonts w:hint="eastAsia" w:asciiTheme="minorEastAsia" w:hAnsiTheme="minorEastAsia" w:eastAsiaTheme="minorEastAsia" w:cstheme="minorEastAsia"/>
          <w:b/>
          <w:bCs/>
          <w:color w:val="auto"/>
          <w:sz w:val="24"/>
          <w:szCs w:val="24"/>
          <w:highlight w:val="none"/>
          <w:lang w:val="en-US" w:eastAsia="zh-CN"/>
        </w:rPr>
      </w:pPr>
    </w:p>
    <w:p w14:paraId="088A2EB9">
      <w:pPr>
        <w:keepNext w:val="0"/>
        <w:keepLines w:val="0"/>
        <w:pageBreakBefore w:val="0"/>
        <w:widowControl w:val="0"/>
        <w:shd w:val="clear" w:color="auto" w:fill="auto"/>
        <w:kinsoku w:val="0"/>
        <w:wordWrap w:val="0"/>
        <w:bidi w:val="0"/>
        <w:jc w:val="center"/>
        <w:textAlignment w:val="auto"/>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5.供应商具有良好的商业信誉的承诺书</w:t>
      </w:r>
    </w:p>
    <w:p w14:paraId="670B8E96">
      <w:pPr>
        <w:keepNext w:val="0"/>
        <w:keepLines w:val="0"/>
        <w:pageBreakBefore w:val="0"/>
        <w:widowControl w:val="0"/>
        <w:shd w:val="clear" w:color="auto" w:fill="auto"/>
        <w:kinsoku w:val="0"/>
        <w:wordWrap w:val="0"/>
        <w:bidi w:val="0"/>
        <w:textAlignment w:val="auto"/>
        <w:rPr>
          <w:rFonts w:hint="eastAsia" w:asciiTheme="minorEastAsia" w:hAnsiTheme="minorEastAsia" w:eastAsiaTheme="minorEastAsia" w:cstheme="minorEastAsia"/>
          <w:b/>
          <w:bCs/>
          <w:color w:val="auto"/>
          <w:sz w:val="21"/>
          <w:szCs w:val="21"/>
          <w:highlight w:val="none"/>
          <w:lang w:val="en-US" w:eastAsia="zh-CN"/>
        </w:rPr>
      </w:pPr>
    </w:p>
    <w:p w14:paraId="3F7891D4">
      <w:pPr>
        <w:keepNext w:val="0"/>
        <w:keepLines w:val="0"/>
        <w:pageBreakBefore w:val="0"/>
        <w:widowControl w:val="0"/>
        <w:shd w:val="clear" w:color="auto" w:fill="auto"/>
        <w:kinsoku w:val="0"/>
        <w:wordWrap w:val="0"/>
        <w:bidi w:val="0"/>
        <w:adjustRightInd w:val="0"/>
        <w:snapToGrid w:val="0"/>
        <w:spacing w:line="480" w:lineRule="auto"/>
        <w:jc w:val="left"/>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u w:val="single"/>
        </w:rPr>
        <w:t xml:space="preserve">（采购人） </w:t>
      </w:r>
      <w:r>
        <w:rPr>
          <w:rFonts w:hint="eastAsia" w:asciiTheme="minorEastAsia" w:hAnsiTheme="minorEastAsia" w:eastAsiaTheme="minorEastAsia" w:cstheme="minorEastAsia"/>
          <w:color w:val="auto"/>
          <w:kern w:val="0"/>
          <w:sz w:val="24"/>
          <w:szCs w:val="24"/>
          <w:highlight w:val="none"/>
        </w:rPr>
        <w:t>：</w:t>
      </w:r>
    </w:p>
    <w:p w14:paraId="0DA11FD3">
      <w:pPr>
        <w:keepNext w:val="0"/>
        <w:keepLines w:val="0"/>
        <w:pageBreakBefore w:val="0"/>
        <w:widowControl w:val="0"/>
        <w:shd w:val="clear" w:color="auto" w:fill="auto"/>
        <w:kinsoku w:val="0"/>
        <w:wordWrap w:val="0"/>
        <w:overflowPunct/>
        <w:topLinePunct w:val="0"/>
        <w:autoSpaceDE/>
        <w:autoSpaceDN/>
        <w:bidi w:val="0"/>
        <w:adjustRightInd w:val="0"/>
        <w:snapToGrid w:val="0"/>
        <w:spacing w:line="520" w:lineRule="exact"/>
        <w:ind w:firstLine="480" w:firstLineChars="200"/>
        <w:jc w:val="left"/>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我方</w:t>
      </w:r>
      <w:r>
        <w:rPr>
          <w:rFonts w:hint="eastAsia" w:asciiTheme="minorEastAsia" w:hAnsiTheme="minorEastAsia" w:eastAsiaTheme="minorEastAsia" w:cstheme="minorEastAsia"/>
          <w:color w:val="auto"/>
          <w:kern w:val="0"/>
          <w:sz w:val="24"/>
          <w:szCs w:val="24"/>
          <w:highlight w:val="none"/>
          <w:u w:val="single"/>
        </w:rPr>
        <w:t xml:space="preserve">    （</w:t>
      </w:r>
      <w:r>
        <w:rPr>
          <w:rFonts w:hint="eastAsia" w:asciiTheme="minorEastAsia" w:hAnsiTheme="minorEastAsia" w:eastAsiaTheme="minorEastAsia" w:cstheme="minorEastAsia"/>
          <w:color w:val="auto"/>
          <w:kern w:val="0"/>
          <w:sz w:val="24"/>
          <w:szCs w:val="24"/>
          <w:highlight w:val="none"/>
          <w:u w:val="single"/>
          <w:lang w:val="en-US" w:eastAsia="zh-CN"/>
        </w:rPr>
        <w:t>供应商</w:t>
      </w:r>
      <w:r>
        <w:rPr>
          <w:rFonts w:hint="eastAsia" w:asciiTheme="minorEastAsia" w:hAnsiTheme="minorEastAsia" w:eastAsiaTheme="minorEastAsia" w:cstheme="minorEastAsia"/>
          <w:color w:val="auto"/>
          <w:kern w:val="0"/>
          <w:sz w:val="24"/>
          <w:szCs w:val="24"/>
          <w:highlight w:val="none"/>
          <w:u w:val="single"/>
        </w:rPr>
        <w:t xml:space="preserve">）   </w:t>
      </w:r>
      <w:r>
        <w:rPr>
          <w:rFonts w:hint="eastAsia" w:asciiTheme="minorEastAsia" w:hAnsiTheme="minorEastAsia" w:eastAsiaTheme="minorEastAsia" w:cstheme="minorEastAsia"/>
          <w:color w:val="auto"/>
          <w:kern w:val="0"/>
          <w:sz w:val="24"/>
          <w:szCs w:val="24"/>
          <w:highlight w:val="none"/>
        </w:rPr>
        <w:t>承诺</w:t>
      </w:r>
      <w:r>
        <w:rPr>
          <w:rFonts w:hint="eastAsia" w:asciiTheme="minorEastAsia" w:hAnsiTheme="minorEastAsia" w:eastAsiaTheme="minorEastAsia" w:cstheme="minorEastAsia"/>
          <w:color w:val="auto"/>
          <w:kern w:val="0"/>
          <w:sz w:val="24"/>
          <w:szCs w:val="24"/>
          <w:highlight w:val="none"/>
          <w:lang w:val="en-US" w:eastAsia="zh-CN"/>
        </w:rPr>
        <w:t>具有</w:t>
      </w:r>
      <w:r>
        <w:rPr>
          <w:rFonts w:hint="eastAsia" w:asciiTheme="minorEastAsia" w:hAnsiTheme="minorEastAsia" w:eastAsiaTheme="minorEastAsia" w:cstheme="minorEastAsia"/>
          <w:color w:val="auto"/>
          <w:kern w:val="0"/>
          <w:sz w:val="24"/>
          <w:szCs w:val="24"/>
          <w:highlight w:val="none"/>
        </w:rPr>
        <w:t>良好的商业信誉。如有虚假，采购人可取消我方任何资格（</w:t>
      </w:r>
      <w:r>
        <w:rPr>
          <w:rFonts w:hint="eastAsia" w:asciiTheme="minorEastAsia" w:hAnsiTheme="minorEastAsia" w:eastAsiaTheme="minorEastAsia" w:cstheme="minorEastAsia"/>
          <w:color w:val="auto"/>
          <w:kern w:val="0"/>
          <w:sz w:val="24"/>
          <w:szCs w:val="24"/>
          <w:highlight w:val="none"/>
          <w:lang w:val="en-US" w:eastAsia="zh-CN"/>
        </w:rPr>
        <w:t>投标</w:t>
      </w:r>
      <w:r>
        <w:rPr>
          <w:rFonts w:hint="eastAsia" w:asciiTheme="minorEastAsia" w:hAnsiTheme="minorEastAsia" w:eastAsiaTheme="minorEastAsia" w:cstheme="minorEastAsia"/>
          <w:color w:val="auto"/>
          <w:kern w:val="0"/>
          <w:sz w:val="24"/>
          <w:szCs w:val="24"/>
          <w:highlight w:val="none"/>
        </w:rPr>
        <w:t>/</w:t>
      </w:r>
      <w:r>
        <w:rPr>
          <w:rFonts w:hint="eastAsia" w:asciiTheme="minorEastAsia" w:hAnsiTheme="minorEastAsia" w:eastAsiaTheme="minorEastAsia" w:cstheme="minorEastAsia"/>
          <w:color w:val="auto"/>
          <w:kern w:val="0"/>
          <w:sz w:val="24"/>
          <w:szCs w:val="24"/>
          <w:highlight w:val="none"/>
          <w:lang w:val="en-US" w:eastAsia="zh-CN"/>
        </w:rPr>
        <w:t>中标</w:t>
      </w:r>
      <w:r>
        <w:rPr>
          <w:rFonts w:hint="eastAsia" w:asciiTheme="minorEastAsia" w:hAnsiTheme="minorEastAsia" w:eastAsiaTheme="minorEastAsia" w:cstheme="minorEastAsia"/>
          <w:color w:val="auto"/>
          <w:kern w:val="0"/>
          <w:sz w:val="24"/>
          <w:szCs w:val="24"/>
          <w:highlight w:val="none"/>
        </w:rPr>
        <w:t>/签订合同），我方对此无任何异议。</w:t>
      </w:r>
    </w:p>
    <w:p w14:paraId="3FF9C5AB">
      <w:pPr>
        <w:keepNext w:val="0"/>
        <w:keepLines w:val="0"/>
        <w:pageBreakBefore w:val="0"/>
        <w:widowControl w:val="0"/>
        <w:shd w:val="clear" w:color="auto" w:fill="auto"/>
        <w:kinsoku w:val="0"/>
        <w:wordWrap w:val="0"/>
        <w:overflowPunct/>
        <w:topLinePunct w:val="0"/>
        <w:autoSpaceDE/>
        <w:autoSpaceDN/>
        <w:bidi w:val="0"/>
        <w:adjustRightInd w:val="0"/>
        <w:snapToGrid w:val="0"/>
        <w:spacing w:line="520" w:lineRule="exact"/>
        <w:ind w:firstLine="480" w:firstLineChars="200"/>
        <w:jc w:val="left"/>
        <w:textAlignment w:val="auto"/>
        <w:rPr>
          <w:rFonts w:hint="eastAsia"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rPr>
        <w:t xml:space="preserve"> </w:t>
      </w:r>
      <w:r>
        <w:rPr>
          <w:rFonts w:hint="eastAsia" w:asciiTheme="minorEastAsia" w:hAnsiTheme="minorEastAsia" w:eastAsiaTheme="minorEastAsia" w:cstheme="minorEastAsia"/>
          <w:color w:val="auto"/>
          <w:kern w:val="0"/>
          <w:sz w:val="24"/>
          <w:szCs w:val="24"/>
          <w:highlight w:val="none"/>
          <w:lang w:val="en-US" w:eastAsia="zh-CN"/>
        </w:rPr>
        <w:t>特此承诺！</w:t>
      </w:r>
    </w:p>
    <w:p w14:paraId="187DEE6A">
      <w:pPr>
        <w:keepNext w:val="0"/>
        <w:keepLines w:val="0"/>
        <w:pageBreakBefore w:val="0"/>
        <w:widowControl w:val="0"/>
        <w:shd w:val="clear" w:color="auto" w:fill="auto"/>
        <w:kinsoku w:val="0"/>
        <w:wordWrap w:val="0"/>
        <w:bidi w:val="0"/>
        <w:spacing w:line="440" w:lineRule="exact"/>
        <w:ind w:firstLine="360" w:firstLineChars="15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14:paraId="51291210">
      <w:pPr>
        <w:keepNext w:val="0"/>
        <w:keepLines w:val="0"/>
        <w:pageBreakBefore w:val="0"/>
        <w:widowControl w:val="0"/>
        <w:shd w:val="clear" w:color="auto" w:fill="auto"/>
        <w:kinsoku w:val="0"/>
        <w:wordWrap w:val="0"/>
        <w:bidi w:val="0"/>
        <w:spacing w:line="440" w:lineRule="exact"/>
        <w:ind w:firstLine="360" w:firstLineChars="150"/>
        <w:textAlignment w:val="auto"/>
        <w:rPr>
          <w:rFonts w:hint="eastAsia" w:asciiTheme="minorEastAsia" w:hAnsiTheme="minorEastAsia" w:eastAsiaTheme="minorEastAsia" w:cstheme="minorEastAsia"/>
          <w:color w:val="auto"/>
          <w:sz w:val="24"/>
          <w:szCs w:val="24"/>
          <w:highlight w:val="none"/>
        </w:rPr>
      </w:pPr>
    </w:p>
    <w:p w14:paraId="601AC22C">
      <w:pPr>
        <w:keepNext w:val="0"/>
        <w:keepLines w:val="0"/>
        <w:pageBreakBefore w:val="0"/>
        <w:widowControl w:val="0"/>
        <w:shd w:val="clear" w:color="auto" w:fill="auto"/>
        <w:tabs>
          <w:tab w:val="left" w:pos="0"/>
        </w:tabs>
        <w:kinsoku w:val="0"/>
        <w:wordWrap w:val="0"/>
        <w:overflowPunct/>
        <w:topLinePunct/>
        <w:autoSpaceDE/>
        <w:autoSpaceDN/>
        <w:bidi w:val="0"/>
        <w:adjustRightInd w:val="0"/>
        <w:snapToGrid/>
        <w:spacing w:line="520" w:lineRule="exact"/>
        <w:ind w:left="0" w:leftChars="0" w:right="-210" w:firstLine="235" w:firstLineChars="98"/>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lang w:eastAsia="zh-CN"/>
        </w:rPr>
        <w:t>（电子签章）</w:t>
      </w:r>
    </w:p>
    <w:p w14:paraId="2C805A0E">
      <w:pPr>
        <w:keepNext w:val="0"/>
        <w:keepLines w:val="0"/>
        <w:pageBreakBefore w:val="0"/>
        <w:widowControl w:val="0"/>
        <w:shd w:val="clear" w:color="auto" w:fill="auto"/>
        <w:tabs>
          <w:tab w:val="left" w:pos="0"/>
        </w:tabs>
        <w:kinsoku w:val="0"/>
        <w:wordWrap w:val="0"/>
        <w:overflowPunct/>
        <w:topLinePunct/>
        <w:autoSpaceDE/>
        <w:autoSpaceDN/>
        <w:bidi w:val="0"/>
        <w:adjustRightInd w:val="0"/>
        <w:snapToGrid/>
        <w:spacing w:line="520" w:lineRule="exact"/>
        <w:ind w:left="0" w:leftChars="0" w:right="-210" w:firstLine="235" w:firstLineChars="98"/>
        <w:textAlignment w:val="auto"/>
        <w:rPr>
          <w:rFonts w:hint="eastAsia" w:asciiTheme="minorEastAsia" w:hAnsiTheme="minorEastAsia" w:eastAsiaTheme="minorEastAsia" w:cstheme="minorEastAsia"/>
          <w:color w:val="auto"/>
          <w:sz w:val="24"/>
          <w:szCs w:val="24"/>
          <w:highlight w:val="none"/>
          <w:u w:val="single"/>
          <w:lang w:eastAsia="zh-CN"/>
        </w:rPr>
      </w:pPr>
      <w:r>
        <w:rPr>
          <w:rFonts w:hint="eastAsia" w:asciiTheme="minorEastAsia" w:hAnsiTheme="minorEastAsia" w:eastAsiaTheme="minorEastAsia" w:cstheme="minorEastAsia"/>
          <w:color w:val="auto"/>
          <w:sz w:val="24"/>
          <w:szCs w:val="24"/>
          <w:highlight w:val="none"/>
          <w:lang w:eastAsia="zh-CN"/>
        </w:rPr>
        <w:t>法定代表人或其委托代理人</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lang w:eastAsia="zh-CN"/>
        </w:rPr>
        <w:t>（电子签章）</w:t>
      </w:r>
    </w:p>
    <w:p w14:paraId="2BC3E124">
      <w:pPr>
        <w:keepNext w:val="0"/>
        <w:keepLines w:val="0"/>
        <w:pageBreakBefore w:val="0"/>
        <w:widowControl w:val="0"/>
        <w:shd w:val="clear" w:color="auto" w:fill="auto"/>
        <w:tabs>
          <w:tab w:val="left" w:pos="0"/>
        </w:tabs>
        <w:kinsoku w:val="0"/>
        <w:wordWrap w:val="0"/>
        <w:overflowPunct/>
        <w:topLinePunct/>
        <w:autoSpaceDE/>
        <w:autoSpaceDN/>
        <w:bidi w:val="0"/>
        <w:adjustRightInd w:val="0"/>
        <w:snapToGrid/>
        <w:spacing w:line="520" w:lineRule="exact"/>
        <w:ind w:left="0" w:leftChars="0" w:right="-210" w:firstLine="235" w:firstLineChars="98"/>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日</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期：</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p w14:paraId="4716B016">
      <w:pPr>
        <w:keepNext w:val="0"/>
        <w:keepLines w:val="0"/>
        <w:pageBreakBefore w:val="0"/>
        <w:widowControl w:val="0"/>
        <w:shd w:val="clear" w:color="auto" w:fill="auto"/>
        <w:kinsoku w:val="0"/>
        <w:wordWrap w:val="0"/>
        <w:bidi w:val="0"/>
        <w:textAlignment w:val="auto"/>
        <w:rPr>
          <w:rFonts w:hint="eastAsia" w:asciiTheme="minorEastAsia" w:hAnsiTheme="minorEastAsia" w:eastAsiaTheme="minorEastAsia" w:cstheme="minorEastAsia"/>
          <w:b/>
          <w:bCs/>
          <w:color w:val="auto"/>
          <w:sz w:val="21"/>
          <w:szCs w:val="21"/>
          <w:highlight w:val="none"/>
          <w:lang w:val="en-US" w:eastAsia="zh-CN"/>
        </w:rPr>
      </w:pPr>
    </w:p>
    <w:p w14:paraId="46BC9E44">
      <w:pPr>
        <w:keepNext w:val="0"/>
        <w:keepLines w:val="0"/>
        <w:pageBreakBefore w:val="0"/>
        <w:widowControl w:val="0"/>
        <w:shd w:val="clear" w:color="auto" w:fill="auto"/>
        <w:kinsoku w:val="0"/>
        <w:wordWrap w:val="0"/>
        <w:bidi w:val="0"/>
        <w:textAlignment w:val="auto"/>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br w:type="page"/>
      </w:r>
    </w:p>
    <w:p w14:paraId="13E5AEAA">
      <w:pPr>
        <w:keepNext w:val="0"/>
        <w:keepLines w:val="0"/>
        <w:pageBreakBefore w:val="0"/>
        <w:widowControl w:val="0"/>
        <w:shd w:val="clear" w:color="auto" w:fill="auto"/>
        <w:kinsoku w:val="0"/>
        <w:wordWrap w:val="0"/>
        <w:bidi w:val="0"/>
        <w:jc w:val="center"/>
        <w:textAlignment w:val="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6.供应商具有履行合同所必需的设备和专业技术能力的承诺书</w:t>
      </w:r>
    </w:p>
    <w:p w14:paraId="359C7CCB">
      <w:pPr>
        <w:keepNext w:val="0"/>
        <w:keepLines w:val="0"/>
        <w:pageBreakBefore w:val="0"/>
        <w:widowControl w:val="0"/>
        <w:shd w:val="clear" w:color="auto" w:fill="auto"/>
        <w:kinsoku w:val="0"/>
        <w:wordWrap w:val="0"/>
        <w:bidi w:val="0"/>
        <w:adjustRightInd w:val="0"/>
        <w:snapToGrid w:val="0"/>
        <w:spacing w:line="480" w:lineRule="auto"/>
        <w:jc w:val="left"/>
        <w:textAlignment w:val="auto"/>
        <w:rPr>
          <w:rFonts w:hint="eastAsia" w:asciiTheme="minorEastAsia" w:hAnsiTheme="minorEastAsia" w:eastAsiaTheme="minorEastAsia" w:cstheme="minorEastAsia"/>
          <w:color w:val="auto"/>
          <w:kern w:val="0"/>
          <w:sz w:val="24"/>
          <w:szCs w:val="24"/>
          <w:highlight w:val="none"/>
          <w:u w:val="single"/>
        </w:rPr>
      </w:pPr>
    </w:p>
    <w:p w14:paraId="6A5E5E79">
      <w:pPr>
        <w:keepNext w:val="0"/>
        <w:keepLines w:val="0"/>
        <w:pageBreakBefore w:val="0"/>
        <w:widowControl w:val="0"/>
        <w:shd w:val="clear" w:color="auto" w:fill="auto"/>
        <w:kinsoku w:val="0"/>
        <w:wordWrap w:val="0"/>
        <w:bidi w:val="0"/>
        <w:adjustRightInd w:val="0"/>
        <w:snapToGrid w:val="0"/>
        <w:spacing w:line="480" w:lineRule="auto"/>
        <w:jc w:val="left"/>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u w:val="single"/>
        </w:rPr>
        <w:t xml:space="preserve">（采购人）  </w:t>
      </w:r>
      <w:r>
        <w:rPr>
          <w:rFonts w:hint="eastAsia" w:asciiTheme="minorEastAsia" w:hAnsiTheme="minorEastAsia" w:eastAsiaTheme="minorEastAsia" w:cstheme="minorEastAsia"/>
          <w:color w:val="auto"/>
          <w:kern w:val="0"/>
          <w:sz w:val="24"/>
          <w:szCs w:val="24"/>
          <w:highlight w:val="none"/>
        </w:rPr>
        <w:t>：</w:t>
      </w:r>
    </w:p>
    <w:p w14:paraId="61EB6C74">
      <w:pPr>
        <w:keepNext w:val="0"/>
        <w:keepLines w:val="0"/>
        <w:pageBreakBefore w:val="0"/>
        <w:widowControl w:val="0"/>
        <w:shd w:val="clear" w:color="auto" w:fill="auto"/>
        <w:kinsoku w:val="0"/>
        <w:wordWrap w:val="0"/>
        <w:overflowPunct/>
        <w:topLinePunct w:val="0"/>
        <w:autoSpaceDE/>
        <w:autoSpaceDN/>
        <w:bidi w:val="0"/>
        <w:adjustRightInd w:val="0"/>
        <w:snapToGrid w:val="0"/>
        <w:spacing w:line="520" w:lineRule="exact"/>
        <w:ind w:firstLine="480" w:firstLineChars="200"/>
        <w:jc w:val="left"/>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我方</w:t>
      </w:r>
      <w:r>
        <w:rPr>
          <w:rFonts w:hint="eastAsia" w:asciiTheme="minorEastAsia" w:hAnsiTheme="minorEastAsia" w:eastAsiaTheme="minorEastAsia" w:cstheme="minorEastAsia"/>
          <w:color w:val="auto"/>
          <w:kern w:val="0"/>
          <w:sz w:val="24"/>
          <w:szCs w:val="24"/>
          <w:highlight w:val="none"/>
          <w:u w:val="single"/>
        </w:rPr>
        <w:t xml:space="preserve">    （</w:t>
      </w:r>
      <w:r>
        <w:rPr>
          <w:rFonts w:hint="eastAsia" w:asciiTheme="minorEastAsia" w:hAnsiTheme="minorEastAsia" w:eastAsiaTheme="minorEastAsia" w:cstheme="minorEastAsia"/>
          <w:color w:val="auto"/>
          <w:kern w:val="0"/>
          <w:sz w:val="24"/>
          <w:szCs w:val="24"/>
          <w:highlight w:val="none"/>
          <w:u w:val="single"/>
          <w:lang w:val="en-US" w:eastAsia="zh-CN"/>
        </w:rPr>
        <w:t>供应商</w:t>
      </w:r>
      <w:r>
        <w:rPr>
          <w:rFonts w:hint="eastAsia" w:asciiTheme="minorEastAsia" w:hAnsiTheme="minorEastAsia" w:eastAsiaTheme="minorEastAsia" w:cstheme="minorEastAsia"/>
          <w:color w:val="auto"/>
          <w:kern w:val="0"/>
          <w:sz w:val="24"/>
          <w:szCs w:val="24"/>
          <w:highlight w:val="none"/>
          <w:u w:val="single"/>
        </w:rPr>
        <w:t xml:space="preserve">）   </w:t>
      </w:r>
      <w:r>
        <w:rPr>
          <w:rFonts w:hint="eastAsia" w:asciiTheme="minorEastAsia" w:hAnsiTheme="minorEastAsia" w:eastAsiaTheme="minorEastAsia" w:cstheme="minorEastAsia"/>
          <w:color w:val="auto"/>
          <w:kern w:val="0"/>
          <w:sz w:val="24"/>
          <w:szCs w:val="24"/>
          <w:highlight w:val="none"/>
        </w:rPr>
        <w:t>承诺</w:t>
      </w:r>
      <w:r>
        <w:rPr>
          <w:rFonts w:hint="eastAsia" w:asciiTheme="minorEastAsia" w:hAnsiTheme="minorEastAsia" w:eastAsiaTheme="minorEastAsia" w:cstheme="minorEastAsia"/>
          <w:color w:val="auto"/>
          <w:kern w:val="0"/>
          <w:sz w:val="24"/>
          <w:szCs w:val="24"/>
          <w:highlight w:val="none"/>
          <w:lang w:val="en-US" w:eastAsia="zh-CN"/>
        </w:rPr>
        <w:t>具有履行合同所必需的设备和专业技术能力</w:t>
      </w:r>
      <w:r>
        <w:rPr>
          <w:rFonts w:hint="eastAsia" w:asciiTheme="minorEastAsia" w:hAnsiTheme="minorEastAsia" w:eastAsiaTheme="minorEastAsia" w:cstheme="minorEastAsia"/>
          <w:color w:val="auto"/>
          <w:kern w:val="0"/>
          <w:sz w:val="24"/>
          <w:szCs w:val="24"/>
          <w:highlight w:val="none"/>
        </w:rPr>
        <w:t>。如有虚假，采购人可取消我方任何资格（</w:t>
      </w:r>
      <w:r>
        <w:rPr>
          <w:rFonts w:hint="eastAsia" w:asciiTheme="minorEastAsia" w:hAnsiTheme="minorEastAsia" w:eastAsiaTheme="minorEastAsia" w:cstheme="minorEastAsia"/>
          <w:color w:val="auto"/>
          <w:kern w:val="0"/>
          <w:sz w:val="24"/>
          <w:szCs w:val="24"/>
          <w:highlight w:val="none"/>
          <w:lang w:val="en-US" w:eastAsia="zh-CN"/>
        </w:rPr>
        <w:t>投标</w:t>
      </w:r>
      <w:r>
        <w:rPr>
          <w:rFonts w:hint="eastAsia" w:asciiTheme="minorEastAsia" w:hAnsiTheme="minorEastAsia" w:eastAsiaTheme="minorEastAsia" w:cstheme="minorEastAsia"/>
          <w:color w:val="auto"/>
          <w:kern w:val="0"/>
          <w:sz w:val="24"/>
          <w:szCs w:val="24"/>
          <w:highlight w:val="none"/>
        </w:rPr>
        <w:t>/</w:t>
      </w:r>
      <w:r>
        <w:rPr>
          <w:rFonts w:hint="eastAsia" w:asciiTheme="minorEastAsia" w:hAnsiTheme="minorEastAsia" w:eastAsiaTheme="minorEastAsia" w:cstheme="minorEastAsia"/>
          <w:color w:val="auto"/>
          <w:kern w:val="0"/>
          <w:sz w:val="24"/>
          <w:szCs w:val="24"/>
          <w:highlight w:val="none"/>
          <w:lang w:val="en-US" w:eastAsia="zh-CN"/>
        </w:rPr>
        <w:t>中标</w:t>
      </w:r>
      <w:r>
        <w:rPr>
          <w:rFonts w:hint="eastAsia" w:asciiTheme="minorEastAsia" w:hAnsiTheme="minorEastAsia" w:eastAsiaTheme="minorEastAsia" w:cstheme="minorEastAsia"/>
          <w:color w:val="auto"/>
          <w:kern w:val="0"/>
          <w:sz w:val="24"/>
          <w:szCs w:val="24"/>
          <w:highlight w:val="none"/>
        </w:rPr>
        <w:t>/签订合同），我方对此无任何异议。</w:t>
      </w:r>
    </w:p>
    <w:p w14:paraId="1C47974C">
      <w:pPr>
        <w:keepNext w:val="0"/>
        <w:keepLines w:val="0"/>
        <w:pageBreakBefore w:val="0"/>
        <w:widowControl w:val="0"/>
        <w:shd w:val="clear" w:color="auto" w:fill="auto"/>
        <w:kinsoku w:val="0"/>
        <w:wordWrap w:val="0"/>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 xml:space="preserve"> </w:t>
      </w:r>
    </w:p>
    <w:p w14:paraId="68FB5B03">
      <w:pPr>
        <w:keepNext w:val="0"/>
        <w:keepLines w:val="0"/>
        <w:pageBreakBefore w:val="0"/>
        <w:widowControl w:val="0"/>
        <w:shd w:val="clear" w:color="auto" w:fill="auto"/>
        <w:kinsoku w:val="0"/>
        <w:wordWrap w:val="0"/>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特此承诺！</w:t>
      </w:r>
    </w:p>
    <w:p w14:paraId="05E62974">
      <w:pPr>
        <w:keepNext w:val="0"/>
        <w:keepLines w:val="0"/>
        <w:pageBreakBefore w:val="0"/>
        <w:widowControl w:val="0"/>
        <w:shd w:val="clear" w:color="auto" w:fill="auto"/>
        <w:tabs>
          <w:tab w:val="left" w:pos="0"/>
        </w:tabs>
        <w:kinsoku w:val="0"/>
        <w:wordWrap w:val="0"/>
        <w:overflowPunct/>
        <w:topLinePunct/>
        <w:autoSpaceDE/>
        <w:autoSpaceDN/>
        <w:bidi w:val="0"/>
        <w:adjustRightInd w:val="0"/>
        <w:snapToGrid/>
        <w:spacing w:line="520" w:lineRule="exact"/>
        <w:ind w:left="0" w:leftChars="0" w:right="-210" w:firstLine="235" w:firstLineChars="98"/>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lang w:eastAsia="zh-CN"/>
        </w:rPr>
        <w:t>（电子签章）</w:t>
      </w:r>
    </w:p>
    <w:p w14:paraId="046E37F4">
      <w:pPr>
        <w:keepNext w:val="0"/>
        <w:keepLines w:val="0"/>
        <w:pageBreakBefore w:val="0"/>
        <w:widowControl w:val="0"/>
        <w:shd w:val="clear" w:color="auto" w:fill="auto"/>
        <w:tabs>
          <w:tab w:val="left" w:pos="0"/>
        </w:tabs>
        <w:kinsoku w:val="0"/>
        <w:wordWrap w:val="0"/>
        <w:overflowPunct/>
        <w:topLinePunct/>
        <w:autoSpaceDE/>
        <w:autoSpaceDN/>
        <w:bidi w:val="0"/>
        <w:adjustRightInd w:val="0"/>
        <w:snapToGrid/>
        <w:spacing w:line="520" w:lineRule="exact"/>
        <w:ind w:left="0" w:leftChars="0" w:right="-210" w:firstLine="235" w:firstLineChars="98"/>
        <w:textAlignment w:val="auto"/>
        <w:rPr>
          <w:rFonts w:hint="eastAsia" w:asciiTheme="minorEastAsia" w:hAnsiTheme="minorEastAsia" w:eastAsiaTheme="minorEastAsia" w:cstheme="minorEastAsia"/>
          <w:color w:val="auto"/>
          <w:sz w:val="24"/>
          <w:szCs w:val="24"/>
          <w:highlight w:val="none"/>
          <w:u w:val="single"/>
          <w:lang w:eastAsia="zh-CN"/>
        </w:rPr>
      </w:pPr>
      <w:r>
        <w:rPr>
          <w:rFonts w:hint="eastAsia" w:asciiTheme="minorEastAsia" w:hAnsiTheme="minorEastAsia" w:eastAsiaTheme="minorEastAsia" w:cstheme="minorEastAsia"/>
          <w:color w:val="auto"/>
          <w:sz w:val="24"/>
          <w:szCs w:val="24"/>
          <w:highlight w:val="none"/>
          <w:lang w:eastAsia="zh-CN"/>
        </w:rPr>
        <w:t>法定代表人或其委托代理人</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lang w:eastAsia="zh-CN"/>
        </w:rPr>
        <w:t>（电子签章）</w:t>
      </w:r>
    </w:p>
    <w:p w14:paraId="1B5F3F80">
      <w:pPr>
        <w:keepNext w:val="0"/>
        <w:keepLines w:val="0"/>
        <w:pageBreakBefore w:val="0"/>
        <w:widowControl w:val="0"/>
        <w:shd w:val="clear" w:color="auto" w:fill="auto"/>
        <w:tabs>
          <w:tab w:val="left" w:pos="0"/>
        </w:tabs>
        <w:kinsoku w:val="0"/>
        <w:wordWrap w:val="0"/>
        <w:overflowPunct/>
        <w:topLinePunct/>
        <w:autoSpaceDE/>
        <w:autoSpaceDN/>
        <w:bidi w:val="0"/>
        <w:adjustRightInd w:val="0"/>
        <w:snapToGrid/>
        <w:spacing w:line="520" w:lineRule="exact"/>
        <w:ind w:left="0" w:leftChars="0" w:right="-210" w:firstLine="235" w:firstLineChars="98"/>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日</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期：</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p w14:paraId="2E96628B">
      <w:pPr>
        <w:keepNext w:val="0"/>
        <w:keepLines w:val="0"/>
        <w:pageBreakBefore w:val="0"/>
        <w:widowControl w:val="0"/>
        <w:shd w:val="clear" w:color="auto" w:fill="auto"/>
        <w:kinsoku w:val="0"/>
        <w:wordWrap w:val="0"/>
        <w:bidi w:val="0"/>
        <w:textAlignment w:val="auto"/>
        <w:rPr>
          <w:rFonts w:hint="eastAsia" w:asciiTheme="minorEastAsia" w:hAnsiTheme="minorEastAsia" w:eastAsiaTheme="minorEastAsia" w:cstheme="minorEastAsia"/>
          <w:b/>
          <w:bCs/>
          <w:color w:val="auto"/>
          <w:sz w:val="21"/>
          <w:szCs w:val="21"/>
          <w:highlight w:val="none"/>
          <w:lang w:val="en-US" w:eastAsia="zh-CN"/>
        </w:rPr>
      </w:pPr>
    </w:p>
    <w:p w14:paraId="754F3E70">
      <w:pPr>
        <w:keepNext w:val="0"/>
        <w:keepLines w:val="0"/>
        <w:pageBreakBefore w:val="0"/>
        <w:widowControl w:val="0"/>
        <w:shd w:val="clear" w:color="auto" w:fill="auto"/>
        <w:kinsoku w:val="0"/>
        <w:wordWrap w:val="0"/>
        <w:bidi w:val="0"/>
        <w:textAlignment w:val="auto"/>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br w:type="page"/>
      </w:r>
    </w:p>
    <w:p w14:paraId="3C034DDB">
      <w:pPr>
        <w:keepNext w:val="0"/>
        <w:keepLines w:val="0"/>
        <w:pageBreakBefore w:val="0"/>
        <w:widowControl w:val="0"/>
        <w:shd w:val="clear" w:color="auto" w:fill="auto"/>
        <w:kinsoku w:val="0"/>
        <w:wordWrap w:val="0"/>
        <w:overflowPunct w:val="0"/>
        <w:topLinePunct/>
        <w:autoSpaceDE/>
        <w:autoSpaceDN/>
        <w:bidi w:val="0"/>
        <w:adjustRightInd w:val="0"/>
        <w:spacing w:before="120" w:beforeLines="50" w:after="120" w:afterLines="50" w:line="480" w:lineRule="exact"/>
        <w:ind w:left="0" w:leftChars="0" w:firstLine="118" w:firstLineChars="49"/>
        <w:jc w:val="center"/>
        <w:textAlignment w:val="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4"/>
          <w:szCs w:val="24"/>
          <w:highlight w:val="none"/>
          <w:lang w:val="en-US" w:eastAsia="zh-CN"/>
        </w:rPr>
        <w:t>7.</w:t>
      </w:r>
      <w:r>
        <w:rPr>
          <w:rFonts w:hint="eastAsia" w:asciiTheme="minorEastAsia" w:hAnsiTheme="minorEastAsia" w:eastAsiaTheme="minorEastAsia" w:cstheme="minorEastAsia"/>
          <w:b/>
          <w:bCs/>
          <w:color w:val="auto"/>
          <w:sz w:val="24"/>
          <w:szCs w:val="24"/>
          <w:highlight w:val="none"/>
        </w:rPr>
        <w:t>参加政府采购</w:t>
      </w:r>
      <w:r>
        <w:rPr>
          <w:rFonts w:hint="eastAsia" w:asciiTheme="minorEastAsia" w:hAnsiTheme="minorEastAsia" w:eastAsiaTheme="minorEastAsia" w:cstheme="minorEastAsia"/>
          <w:b/>
          <w:bCs/>
          <w:color w:val="auto"/>
          <w:sz w:val="24"/>
          <w:szCs w:val="24"/>
          <w:highlight w:val="none"/>
          <w:lang w:eastAsia="zh-CN"/>
        </w:rPr>
        <w:t>活动前三年内，</w:t>
      </w:r>
      <w:r>
        <w:rPr>
          <w:rFonts w:hint="eastAsia" w:asciiTheme="minorEastAsia" w:hAnsiTheme="minorEastAsia" w:eastAsiaTheme="minorEastAsia" w:cstheme="minorEastAsia"/>
          <w:b/>
          <w:bCs/>
          <w:color w:val="auto"/>
          <w:sz w:val="24"/>
          <w:szCs w:val="24"/>
          <w:highlight w:val="none"/>
        </w:rPr>
        <w:t>在经营活动中没有重大违法记录的声明函</w:t>
      </w:r>
    </w:p>
    <w:p w14:paraId="443043D9">
      <w:pPr>
        <w:keepNext w:val="0"/>
        <w:keepLines w:val="0"/>
        <w:pageBreakBefore w:val="0"/>
        <w:widowControl w:val="0"/>
        <w:shd w:val="clear" w:color="auto" w:fill="auto"/>
        <w:kinsoku w:val="0"/>
        <w:wordWrap w:val="0"/>
        <w:overflowPunct/>
        <w:topLinePunct/>
        <w:autoSpaceDE/>
        <w:autoSpaceDN/>
        <w:bidi w:val="0"/>
        <w:adjustRightInd w:val="0"/>
        <w:snapToGrid w:val="0"/>
        <w:spacing w:line="480" w:lineRule="exact"/>
        <w:ind w:left="0" w:leftChars="0"/>
        <w:jc w:val="left"/>
        <w:textAlignment w:val="auto"/>
        <w:rPr>
          <w:rFonts w:hint="eastAsia" w:asciiTheme="minorEastAsia" w:hAnsiTheme="minorEastAsia" w:eastAsiaTheme="minorEastAsia" w:cstheme="minorEastAsia"/>
          <w:color w:val="auto"/>
          <w:kern w:val="0"/>
          <w:sz w:val="21"/>
          <w:szCs w:val="21"/>
          <w:highlight w:val="none"/>
          <w:u w:val="single"/>
        </w:rPr>
      </w:pPr>
    </w:p>
    <w:p w14:paraId="606E5636">
      <w:pPr>
        <w:keepNext w:val="0"/>
        <w:keepLines w:val="0"/>
        <w:pageBreakBefore w:val="0"/>
        <w:widowControl w:val="0"/>
        <w:shd w:val="clear" w:color="auto" w:fill="auto"/>
        <w:kinsoku w:val="0"/>
        <w:wordWrap w:val="0"/>
        <w:overflowPunct/>
        <w:topLinePunct/>
        <w:autoSpaceDE/>
        <w:autoSpaceDN/>
        <w:bidi w:val="0"/>
        <w:adjustRightInd w:val="0"/>
        <w:snapToGrid w:val="0"/>
        <w:spacing w:line="480" w:lineRule="exact"/>
        <w:ind w:left="0" w:leftChars="0"/>
        <w:jc w:val="left"/>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u w:val="single"/>
        </w:rPr>
        <w:t>（采购人）</w:t>
      </w:r>
      <w:r>
        <w:rPr>
          <w:rFonts w:hint="eastAsia" w:asciiTheme="minorEastAsia" w:hAnsiTheme="minorEastAsia" w:eastAsiaTheme="minorEastAsia" w:cstheme="minorEastAsia"/>
          <w:color w:val="auto"/>
          <w:kern w:val="0"/>
          <w:sz w:val="24"/>
          <w:szCs w:val="24"/>
          <w:highlight w:val="none"/>
        </w:rPr>
        <w:t>：</w:t>
      </w:r>
    </w:p>
    <w:p w14:paraId="04ED9C8C">
      <w:pPr>
        <w:keepNext w:val="0"/>
        <w:keepLines w:val="0"/>
        <w:pageBreakBefore w:val="0"/>
        <w:widowControl w:val="0"/>
        <w:shd w:val="clear" w:color="auto" w:fill="auto"/>
        <w:kinsoku w:val="0"/>
        <w:wordWrap w:val="0"/>
        <w:overflowPunct/>
        <w:topLinePunct/>
        <w:autoSpaceDE/>
        <w:autoSpaceDN/>
        <w:bidi w:val="0"/>
        <w:adjustRightInd w:val="0"/>
        <w:snapToGrid w:val="0"/>
        <w:spacing w:line="480" w:lineRule="exact"/>
        <w:ind w:left="0" w:leftChars="0" w:firstLine="480" w:firstLineChars="200"/>
        <w:jc w:val="left"/>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我方</w:t>
      </w:r>
      <w:r>
        <w:rPr>
          <w:rFonts w:hint="eastAsia" w:asciiTheme="minorEastAsia" w:hAnsiTheme="minorEastAsia" w:eastAsiaTheme="minorEastAsia" w:cstheme="minorEastAsia"/>
          <w:color w:val="auto"/>
          <w:kern w:val="0"/>
          <w:sz w:val="24"/>
          <w:szCs w:val="24"/>
          <w:highlight w:val="none"/>
          <w:u w:val="single"/>
        </w:rPr>
        <w:t xml:space="preserve">    （</w:t>
      </w:r>
      <w:r>
        <w:rPr>
          <w:rFonts w:hint="eastAsia" w:asciiTheme="minorEastAsia" w:hAnsiTheme="minorEastAsia" w:eastAsiaTheme="minorEastAsia" w:cstheme="minorEastAsia"/>
          <w:color w:val="auto"/>
          <w:kern w:val="0"/>
          <w:sz w:val="24"/>
          <w:szCs w:val="24"/>
          <w:highlight w:val="none"/>
          <w:u w:val="single"/>
          <w:lang w:val="en-US" w:eastAsia="zh-CN"/>
        </w:rPr>
        <w:t>供应商</w:t>
      </w:r>
      <w:r>
        <w:rPr>
          <w:rFonts w:hint="eastAsia" w:asciiTheme="minorEastAsia" w:hAnsiTheme="minorEastAsia" w:eastAsiaTheme="minorEastAsia" w:cstheme="minorEastAsia"/>
          <w:color w:val="auto"/>
          <w:kern w:val="0"/>
          <w:sz w:val="24"/>
          <w:szCs w:val="24"/>
          <w:highlight w:val="none"/>
          <w:u w:val="single"/>
        </w:rPr>
        <w:t xml:space="preserve">）   </w:t>
      </w:r>
      <w:r>
        <w:rPr>
          <w:rFonts w:hint="eastAsia" w:ascii="宋体" w:hAnsi="宋体" w:eastAsia="宋体" w:cs="宋体"/>
          <w:color w:val="auto"/>
          <w:sz w:val="24"/>
          <w:szCs w:val="24"/>
          <w:highlight w:val="none"/>
          <w:u w:val="none"/>
          <w:lang w:val="en-US" w:eastAsia="zh-CN"/>
        </w:rPr>
        <w:t>参加政府采购活动前三年内，在经营活动中没有重大违法记录（重大违法记录是指供应商因违法经营受到刑事处罚或者责令停产停业、吊销许可证或者执照、较大数额罚款等行政处罚）</w:t>
      </w:r>
      <w:r>
        <w:rPr>
          <w:rFonts w:hint="eastAsia" w:asciiTheme="minorEastAsia" w:hAnsiTheme="minorEastAsia" w:eastAsiaTheme="minorEastAsia" w:cstheme="minorEastAsia"/>
          <w:color w:val="auto"/>
          <w:kern w:val="0"/>
          <w:sz w:val="24"/>
          <w:szCs w:val="24"/>
          <w:highlight w:val="none"/>
          <w:u w:val="none"/>
        </w:rPr>
        <w:t>。如有虚假，采购人可取消我方任何资格（</w:t>
      </w:r>
      <w:r>
        <w:rPr>
          <w:rFonts w:hint="eastAsia" w:asciiTheme="minorEastAsia" w:hAnsiTheme="minorEastAsia" w:eastAsiaTheme="minorEastAsia" w:cstheme="minorEastAsia"/>
          <w:color w:val="auto"/>
          <w:kern w:val="0"/>
          <w:sz w:val="24"/>
          <w:szCs w:val="24"/>
          <w:highlight w:val="none"/>
          <w:u w:val="none"/>
          <w:lang w:val="en-US" w:eastAsia="zh-CN"/>
        </w:rPr>
        <w:t>投标</w:t>
      </w:r>
      <w:r>
        <w:rPr>
          <w:rFonts w:hint="eastAsia" w:asciiTheme="minorEastAsia" w:hAnsiTheme="minorEastAsia" w:eastAsiaTheme="minorEastAsia" w:cstheme="minorEastAsia"/>
          <w:color w:val="auto"/>
          <w:kern w:val="0"/>
          <w:sz w:val="24"/>
          <w:szCs w:val="24"/>
          <w:highlight w:val="none"/>
          <w:u w:val="none"/>
        </w:rPr>
        <w:t>/中标/签订合同），我方对此无任何异议</w:t>
      </w:r>
      <w:r>
        <w:rPr>
          <w:rFonts w:hint="eastAsia" w:asciiTheme="minorEastAsia" w:hAnsiTheme="minorEastAsia" w:eastAsiaTheme="minorEastAsia" w:cstheme="minorEastAsia"/>
          <w:color w:val="auto"/>
          <w:kern w:val="0"/>
          <w:sz w:val="24"/>
          <w:szCs w:val="24"/>
          <w:highlight w:val="none"/>
        </w:rPr>
        <w:t>。</w:t>
      </w:r>
    </w:p>
    <w:p w14:paraId="7320CE74">
      <w:pPr>
        <w:keepNext w:val="0"/>
        <w:keepLines w:val="0"/>
        <w:pageBreakBefore w:val="0"/>
        <w:widowControl w:val="0"/>
        <w:shd w:val="clear" w:color="auto" w:fill="auto"/>
        <w:kinsoku w:val="0"/>
        <w:wordWrap w:val="0"/>
        <w:overflowPunct/>
        <w:topLinePunct/>
        <w:autoSpaceDE/>
        <w:autoSpaceDN/>
        <w:bidi w:val="0"/>
        <w:adjustRightInd w:val="0"/>
        <w:snapToGrid w:val="0"/>
        <w:spacing w:line="480" w:lineRule="exact"/>
        <w:ind w:left="0" w:leftChars="0" w:firstLine="480" w:firstLineChars="200"/>
        <w:jc w:val="left"/>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特此承诺！</w:t>
      </w:r>
    </w:p>
    <w:p w14:paraId="1F81FABF">
      <w:pPr>
        <w:keepNext w:val="0"/>
        <w:keepLines w:val="0"/>
        <w:pageBreakBefore w:val="0"/>
        <w:widowControl w:val="0"/>
        <w:shd w:val="clear" w:color="auto" w:fill="auto"/>
        <w:kinsoku w:val="0"/>
        <w:wordWrap w:val="0"/>
        <w:overflowPunct/>
        <w:topLinePunct/>
        <w:autoSpaceDE/>
        <w:autoSpaceDN/>
        <w:bidi w:val="0"/>
        <w:adjustRightInd w:val="0"/>
        <w:snapToGrid w:val="0"/>
        <w:spacing w:line="480" w:lineRule="exact"/>
        <w:ind w:left="0" w:leftChars="0" w:firstLine="480" w:firstLineChars="200"/>
        <w:jc w:val="left"/>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 xml:space="preserve"> </w:t>
      </w:r>
    </w:p>
    <w:p w14:paraId="2A1EE540">
      <w:pPr>
        <w:pStyle w:val="9"/>
        <w:keepNext w:val="0"/>
        <w:keepLines w:val="0"/>
        <w:pageBreakBefore w:val="0"/>
        <w:widowControl w:val="0"/>
        <w:shd w:val="clear" w:color="auto" w:fill="auto"/>
        <w:kinsoku w:val="0"/>
        <w:wordWrap w:val="0"/>
        <w:bidi w:val="0"/>
        <w:textAlignment w:val="auto"/>
        <w:rPr>
          <w:rFonts w:hint="eastAsia" w:asciiTheme="minorEastAsia" w:hAnsiTheme="minorEastAsia" w:eastAsiaTheme="minorEastAsia" w:cstheme="minorEastAsia"/>
          <w:color w:val="auto"/>
          <w:kern w:val="0"/>
          <w:sz w:val="24"/>
          <w:szCs w:val="24"/>
          <w:highlight w:val="none"/>
        </w:rPr>
      </w:pPr>
    </w:p>
    <w:p w14:paraId="730D057A">
      <w:pPr>
        <w:keepNext w:val="0"/>
        <w:keepLines w:val="0"/>
        <w:pageBreakBefore w:val="0"/>
        <w:widowControl w:val="0"/>
        <w:shd w:val="clear" w:color="auto" w:fill="auto"/>
        <w:kinsoku w:val="0"/>
        <w:wordWrap w:val="0"/>
        <w:bidi w:val="0"/>
        <w:textAlignment w:val="auto"/>
        <w:rPr>
          <w:rFonts w:hint="eastAsia" w:asciiTheme="minorEastAsia" w:hAnsiTheme="minorEastAsia" w:eastAsiaTheme="minorEastAsia" w:cstheme="minorEastAsia"/>
          <w:color w:val="auto"/>
          <w:sz w:val="24"/>
          <w:szCs w:val="24"/>
          <w:highlight w:val="none"/>
        </w:rPr>
      </w:pPr>
    </w:p>
    <w:p w14:paraId="7001CBF0">
      <w:pPr>
        <w:keepNext w:val="0"/>
        <w:keepLines w:val="0"/>
        <w:pageBreakBefore w:val="0"/>
        <w:widowControl w:val="0"/>
        <w:shd w:val="clear" w:color="auto" w:fill="auto"/>
        <w:tabs>
          <w:tab w:val="left" w:pos="0"/>
        </w:tabs>
        <w:kinsoku w:val="0"/>
        <w:wordWrap w:val="0"/>
        <w:overflowPunct/>
        <w:topLinePunct/>
        <w:autoSpaceDE/>
        <w:autoSpaceDN/>
        <w:bidi w:val="0"/>
        <w:adjustRightInd w:val="0"/>
        <w:snapToGrid/>
        <w:spacing w:line="520" w:lineRule="exact"/>
        <w:ind w:left="0" w:leftChars="0" w:right="-210" w:firstLine="235" w:firstLineChars="98"/>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lang w:eastAsia="zh-CN"/>
        </w:rPr>
        <w:t>（电子签章）</w:t>
      </w:r>
    </w:p>
    <w:p w14:paraId="03AA117C">
      <w:pPr>
        <w:keepNext w:val="0"/>
        <w:keepLines w:val="0"/>
        <w:pageBreakBefore w:val="0"/>
        <w:widowControl w:val="0"/>
        <w:shd w:val="clear" w:color="auto" w:fill="auto"/>
        <w:tabs>
          <w:tab w:val="left" w:pos="0"/>
        </w:tabs>
        <w:kinsoku w:val="0"/>
        <w:wordWrap w:val="0"/>
        <w:overflowPunct/>
        <w:topLinePunct/>
        <w:autoSpaceDE/>
        <w:autoSpaceDN/>
        <w:bidi w:val="0"/>
        <w:adjustRightInd w:val="0"/>
        <w:snapToGrid/>
        <w:spacing w:line="520" w:lineRule="exact"/>
        <w:ind w:left="0" w:leftChars="0" w:right="-210" w:firstLine="235" w:firstLineChars="98"/>
        <w:textAlignment w:val="auto"/>
        <w:rPr>
          <w:rFonts w:hint="eastAsia" w:asciiTheme="minorEastAsia" w:hAnsiTheme="minorEastAsia" w:eastAsiaTheme="minorEastAsia" w:cstheme="minorEastAsia"/>
          <w:color w:val="auto"/>
          <w:sz w:val="24"/>
          <w:szCs w:val="24"/>
          <w:highlight w:val="none"/>
          <w:u w:val="single"/>
          <w:lang w:eastAsia="zh-CN"/>
        </w:rPr>
      </w:pPr>
      <w:r>
        <w:rPr>
          <w:rFonts w:hint="eastAsia" w:asciiTheme="minorEastAsia" w:hAnsiTheme="minorEastAsia" w:eastAsiaTheme="minorEastAsia" w:cstheme="minorEastAsia"/>
          <w:color w:val="auto"/>
          <w:sz w:val="24"/>
          <w:szCs w:val="24"/>
          <w:highlight w:val="none"/>
          <w:lang w:eastAsia="zh-CN"/>
        </w:rPr>
        <w:t>法定代表人或其委托代理人</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lang w:eastAsia="zh-CN"/>
        </w:rPr>
        <w:t>（电子签章）</w:t>
      </w:r>
    </w:p>
    <w:p w14:paraId="7DC2512E">
      <w:pPr>
        <w:keepNext w:val="0"/>
        <w:keepLines w:val="0"/>
        <w:pageBreakBefore w:val="0"/>
        <w:widowControl w:val="0"/>
        <w:shd w:val="clear" w:color="auto" w:fill="auto"/>
        <w:tabs>
          <w:tab w:val="left" w:pos="0"/>
        </w:tabs>
        <w:kinsoku w:val="0"/>
        <w:wordWrap w:val="0"/>
        <w:overflowPunct/>
        <w:topLinePunct/>
        <w:autoSpaceDE/>
        <w:autoSpaceDN/>
        <w:bidi w:val="0"/>
        <w:adjustRightInd w:val="0"/>
        <w:snapToGrid/>
        <w:spacing w:line="520" w:lineRule="exact"/>
        <w:ind w:left="0" w:leftChars="0" w:right="-210" w:firstLine="235" w:firstLineChars="98"/>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日</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期：</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p w14:paraId="7B5109EA">
      <w:pPr>
        <w:pStyle w:val="11"/>
        <w:keepNext w:val="0"/>
        <w:keepLines w:val="0"/>
        <w:pageBreakBefore w:val="0"/>
        <w:widowControl w:val="0"/>
        <w:shd w:val="clear" w:color="auto" w:fill="auto"/>
        <w:kinsoku w:val="0"/>
        <w:wordWrap w:val="0"/>
        <w:overflowPunct/>
        <w:topLinePunct/>
        <w:autoSpaceDE/>
        <w:autoSpaceDN/>
        <w:bidi w:val="0"/>
        <w:adjustRightInd w:val="0"/>
        <w:spacing w:line="480" w:lineRule="exact"/>
        <w:ind w:left="0" w:leftChars="0"/>
        <w:jc w:val="left"/>
        <w:textAlignment w:val="auto"/>
        <w:rPr>
          <w:rFonts w:hint="eastAsia" w:asciiTheme="minorEastAsia" w:hAnsiTheme="minorEastAsia" w:eastAsiaTheme="minorEastAsia" w:cstheme="minorEastAsia"/>
          <w:color w:val="auto"/>
          <w:sz w:val="24"/>
          <w:szCs w:val="24"/>
          <w:highlight w:val="none"/>
        </w:rPr>
      </w:pPr>
    </w:p>
    <w:p w14:paraId="15C5392A">
      <w:pPr>
        <w:pStyle w:val="11"/>
        <w:keepNext w:val="0"/>
        <w:keepLines w:val="0"/>
        <w:pageBreakBefore w:val="0"/>
        <w:widowControl w:val="0"/>
        <w:shd w:val="clear" w:color="auto" w:fill="auto"/>
        <w:kinsoku w:val="0"/>
        <w:wordWrap w:val="0"/>
        <w:overflowPunct/>
        <w:topLinePunct/>
        <w:autoSpaceDE/>
        <w:autoSpaceDN/>
        <w:bidi w:val="0"/>
        <w:adjustRightInd w:val="0"/>
        <w:spacing w:line="480" w:lineRule="exact"/>
        <w:ind w:left="0" w:leftChars="0"/>
        <w:jc w:val="left"/>
        <w:textAlignment w:val="auto"/>
        <w:rPr>
          <w:rFonts w:hint="eastAsia" w:asciiTheme="minorEastAsia" w:hAnsiTheme="minorEastAsia" w:eastAsiaTheme="minorEastAsia" w:cstheme="minorEastAsia"/>
          <w:color w:val="auto"/>
          <w:sz w:val="24"/>
          <w:szCs w:val="24"/>
          <w:highlight w:val="none"/>
        </w:rPr>
      </w:pPr>
    </w:p>
    <w:p w14:paraId="5B670966">
      <w:pPr>
        <w:pStyle w:val="11"/>
        <w:keepNext w:val="0"/>
        <w:keepLines w:val="0"/>
        <w:pageBreakBefore w:val="0"/>
        <w:widowControl w:val="0"/>
        <w:shd w:val="clear" w:color="auto" w:fill="auto"/>
        <w:kinsoku w:val="0"/>
        <w:wordWrap w:val="0"/>
        <w:bidi w:val="0"/>
        <w:spacing w:line="480" w:lineRule="exact"/>
        <w:ind w:firstLine="442" w:firstLineChars="200"/>
        <w:jc w:val="left"/>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bCs/>
          <w:color w:val="auto"/>
          <w:sz w:val="22"/>
          <w:szCs w:val="22"/>
          <w:highlight w:val="none"/>
          <w:lang w:val="en-US" w:eastAsia="zh-CN"/>
        </w:rPr>
        <w:t>注：依据《财政部关于&lt;中华人民共和国政府采购法实施条例&gt;第十九条第一款“较大数额罚款”具体适用问题的意见》（财库〔2022〕3号）规定，较大数额罚款指200万元以上的罚款。</w:t>
      </w:r>
      <w:bookmarkEnd w:id="95"/>
      <w:bookmarkEnd w:id="96"/>
      <w:bookmarkEnd w:id="97"/>
      <w:bookmarkEnd w:id="98"/>
      <w:bookmarkEnd w:id="99"/>
      <w:bookmarkEnd w:id="100"/>
      <w:r>
        <w:rPr>
          <w:rFonts w:hint="eastAsia" w:asciiTheme="minorEastAsia" w:hAnsiTheme="minorEastAsia" w:eastAsiaTheme="minorEastAsia" w:cstheme="minorEastAsia"/>
          <w:b/>
          <w:color w:val="auto"/>
          <w:sz w:val="24"/>
          <w:szCs w:val="24"/>
          <w:highlight w:val="none"/>
        </w:rPr>
        <w:br w:type="page"/>
      </w:r>
    </w:p>
    <w:p w14:paraId="45611C12">
      <w:pPr>
        <w:keepNext w:val="0"/>
        <w:keepLines w:val="0"/>
        <w:pageBreakBefore w:val="0"/>
        <w:widowControl w:val="0"/>
        <w:shd w:val="clear" w:color="auto" w:fill="auto"/>
        <w:kinsoku w:val="0"/>
        <w:wordWrap w:val="0"/>
        <w:overflowPunct/>
        <w:bidi w:val="0"/>
        <w:spacing w:line="360" w:lineRule="auto"/>
        <w:jc w:val="center"/>
        <w:textAlignment w:val="auto"/>
        <w:outlineLvl w:val="1"/>
        <w:rPr>
          <w:rFonts w:hint="eastAsia" w:asciiTheme="minorEastAsia" w:hAnsiTheme="minorEastAsia" w:eastAsiaTheme="minorEastAsia" w:cstheme="minorEastAsia"/>
          <w:b/>
          <w:bCs/>
          <w:color w:val="auto"/>
          <w:sz w:val="24"/>
          <w:szCs w:val="24"/>
          <w:highlight w:val="none"/>
          <w:lang w:val="en-US" w:eastAsia="zh-CN"/>
        </w:rPr>
      </w:pPr>
      <w:bookmarkStart w:id="119" w:name="_Toc16329"/>
      <w:bookmarkStart w:id="120" w:name="_Toc12416"/>
      <w:bookmarkStart w:id="121" w:name="OLE_LINK20"/>
      <w:bookmarkStart w:id="122" w:name="OLE_LINK19"/>
      <w:r>
        <w:rPr>
          <w:rFonts w:hint="eastAsia" w:asciiTheme="minorEastAsia" w:hAnsiTheme="minorEastAsia" w:eastAsiaTheme="minorEastAsia" w:cstheme="minorEastAsia"/>
          <w:b/>
          <w:bCs/>
          <w:color w:val="auto"/>
          <w:sz w:val="24"/>
          <w:szCs w:val="24"/>
          <w:highlight w:val="none"/>
          <w:lang w:val="en-US" w:eastAsia="zh-CN"/>
        </w:rPr>
        <w:t>七、中小企业、残疾人福利性单位、监狱企业声明函</w:t>
      </w:r>
      <w:bookmarkEnd w:id="119"/>
      <w:bookmarkEnd w:id="120"/>
    </w:p>
    <w:p w14:paraId="0E748B53">
      <w:pPr>
        <w:keepNext w:val="0"/>
        <w:keepLines w:val="0"/>
        <w:pageBreakBefore w:val="0"/>
        <w:widowControl w:val="0"/>
        <w:shd w:val="clear" w:color="auto" w:fill="auto"/>
        <w:kinsoku w:val="0"/>
        <w:wordWrap w:val="0"/>
        <w:overflowPunct/>
        <w:bidi w:val="0"/>
        <w:spacing w:line="360" w:lineRule="auto"/>
        <w:jc w:val="center"/>
        <w:textAlignment w:val="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1.中小企业声明函</w:t>
      </w:r>
    </w:p>
    <w:p w14:paraId="2D73D2CA">
      <w:pPr>
        <w:keepNext w:val="0"/>
        <w:keepLines w:val="0"/>
        <w:pageBreakBefore w:val="0"/>
        <w:widowControl w:val="0"/>
        <w:shd w:val="clear" w:color="auto" w:fill="auto"/>
        <w:kinsoku w:val="0"/>
        <w:wordWrap w:val="0"/>
        <w:overflowPunct/>
        <w:topLinePunct w:val="0"/>
        <w:autoSpaceDE/>
        <w:autoSpaceDN/>
        <w:bidi w:val="0"/>
        <w:adjustRightInd/>
        <w:snapToGrid/>
        <w:spacing w:line="360" w:lineRule="auto"/>
        <w:ind w:left="420" w:firstLine="480" w:firstLineChars="200"/>
        <w:textAlignment w:val="auto"/>
        <w:rPr>
          <w:rFonts w:hint="eastAsia" w:asciiTheme="minorEastAsia" w:hAnsiTheme="minorEastAsia" w:eastAsiaTheme="minorEastAsia" w:cstheme="minorEastAsia"/>
          <w:color w:val="auto"/>
          <w:sz w:val="24"/>
          <w:szCs w:val="24"/>
          <w:highlight w:val="none"/>
        </w:rPr>
      </w:pPr>
    </w:p>
    <w:p w14:paraId="50C7CCBC">
      <w:pPr>
        <w:keepNext w:val="0"/>
        <w:keepLines w:val="0"/>
        <w:pageBreakBefore w:val="0"/>
        <w:widowControl w:val="0"/>
        <w:shd w:val="clear" w:color="auto" w:fill="auto"/>
        <w:kinsoku w:val="0"/>
        <w:wordWrap w:val="0"/>
        <w:overflowPunct/>
        <w:topLinePunct w:val="0"/>
        <w:autoSpaceDE/>
        <w:autoSpaceDN/>
        <w:bidi w:val="0"/>
        <w:adjustRightInd/>
        <w:snapToGrid/>
        <w:spacing w:line="360" w:lineRule="auto"/>
        <w:ind w:left="42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本公司郑重声明，根据《政府采购促进中小企业发展管理办法》（财库﹝2020﹞46号）的规定，本公司参加</w:t>
      </w:r>
      <w:r>
        <w:rPr>
          <w:rFonts w:hint="eastAsia" w:asciiTheme="minorEastAsia" w:hAnsiTheme="minorEastAsia" w:eastAsiaTheme="minorEastAsia" w:cstheme="minorEastAsia"/>
          <w:color w:val="auto"/>
          <w:sz w:val="24"/>
          <w:szCs w:val="24"/>
          <w:highlight w:val="none"/>
          <w:u w:val="single"/>
        </w:rPr>
        <w:t xml:space="preserve"> （单位名称）</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的</w:t>
      </w:r>
      <w:r>
        <w:rPr>
          <w:rFonts w:hint="eastAsia" w:asciiTheme="minorEastAsia" w:hAnsiTheme="minorEastAsia" w:eastAsiaTheme="minorEastAsia" w:cstheme="minorEastAsia"/>
          <w:color w:val="auto"/>
          <w:sz w:val="24"/>
          <w:szCs w:val="24"/>
          <w:highlight w:val="none"/>
          <w:u w:val="single"/>
          <w:lang w:eastAsia="zh-CN"/>
        </w:rPr>
        <w:t>文笔小学功能室、食堂及信息化设备采购</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lang w:val="en-US" w:eastAsia="zh-CN"/>
        </w:rPr>
        <w:t>招标</w:t>
      </w:r>
      <w:r>
        <w:rPr>
          <w:rFonts w:hint="eastAsia" w:asciiTheme="minorEastAsia" w:hAnsiTheme="minorEastAsia" w:eastAsiaTheme="minorEastAsia" w:cstheme="minorEastAsia"/>
          <w:color w:val="auto"/>
          <w:sz w:val="24"/>
          <w:szCs w:val="24"/>
          <w:highlight w:val="none"/>
        </w:rPr>
        <w:t>活动，</w:t>
      </w:r>
      <w:r>
        <w:rPr>
          <w:rFonts w:hint="eastAsia" w:asciiTheme="minorEastAsia" w:hAnsiTheme="minorEastAsia" w:eastAsiaTheme="minorEastAsia" w:cstheme="minorEastAsia"/>
          <w:color w:val="auto"/>
          <w:sz w:val="24"/>
          <w:szCs w:val="24"/>
          <w:highlight w:val="none"/>
          <w:lang w:val="en-US" w:eastAsia="zh-CN"/>
        </w:rPr>
        <w:t>提供的货物全部由符合政策要求的中小企业制造</w:t>
      </w:r>
      <w:r>
        <w:rPr>
          <w:rFonts w:hint="eastAsia" w:asciiTheme="minorEastAsia" w:hAnsiTheme="minorEastAsia" w:eastAsiaTheme="minorEastAsia" w:cstheme="minorEastAsia"/>
          <w:color w:val="auto"/>
          <w:sz w:val="24"/>
          <w:szCs w:val="24"/>
          <w:highlight w:val="none"/>
        </w:rPr>
        <w:t>。相关企业的具体情况如下：</w:t>
      </w:r>
    </w:p>
    <w:p w14:paraId="6800E5F9">
      <w:pPr>
        <w:keepNext w:val="0"/>
        <w:keepLines w:val="0"/>
        <w:pageBreakBefore w:val="0"/>
        <w:widowControl w:val="0"/>
        <w:shd w:val="clear" w:color="auto" w:fill="auto"/>
        <w:kinsoku w:val="0"/>
        <w:wordWrap w:val="0"/>
        <w:overflowPunct/>
        <w:topLinePunct w:val="0"/>
        <w:autoSpaceDE/>
        <w:autoSpaceDN/>
        <w:bidi w:val="0"/>
        <w:adjustRightInd/>
        <w:snapToGrid/>
        <w:spacing w:line="360" w:lineRule="auto"/>
        <w:ind w:left="42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r>
        <w:rPr>
          <w:rFonts w:hint="eastAsia" w:asciiTheme="minorEastAsia" w:hAnsiTheme="minorEastAsia" w:eastAsiaTheme="minorEastAsia" w:cstheme="minorEastAsia"/>
          <w:color w:val="auto"/>
          <w:sz w:val="24"/>
          <w:szCs w:val="24"/>
          <w:highlight w:val="none"/>
          <w:u w:val="single"/>
        </w:rPr>
        <w:t>（标的名称）</w:t>
      </w:r>
      <w:r>
        <w:rPr>
          <w:rFonts w:hint="eastAsia" w:asciiTheme="minorEastAsia" w:hAnsiTheme="minorEastAsia" w:eastAsiaTheme="minorEastAsia" w:cstheme="minorEastAsia"/>
          <w:color w:val="auto"/>
          <w:sz w:val="24"/>
          <w:szCs w:val="24"/>
          <w:highlight w:val="none"/>
        </w:rPr>
        <w:t>，属于</w:t>
      </w:r>
      <w:r>
        <w:rPr>
          <w:rFonts w:hint="eastAsia" w:asciiTheme="minorEastAsia" w:hAnsiTheme="minorEastAsia" w:eastAsiaTheme="minorEastAsia" w:cstheme="minorEastAsia"/>
          <w:color w:val="auto"/>
          <w:sz w:val="24"/>
          <w:szCs w:val="24"/>
          <w:highlight w:val="none"/>
          <w:u w:val="single"/>
        </w:rPr>
        <w:t>（</w:t>
      </w:r>
      <w:r>
        <w:rPr>
          <w:rFonts w:hint="eastAsia" w:asciiTheme="minorEastAsia" w:hAnsiTheme="minorEastAsia" w:eastAsiaTheme="minorEastAsia" w:cstheme="minorEastAsia"/>
          <w:color w:val="auto"/>
          <w:sz w:val="24"/>
          <w:szCs w:val="24"/>
          <w:highlight w:val="none"/>
          <w:u w:val="single"/>
          <w:lang w:val="en-US" w:eastAsia="zh-CN"/>
        </w:rPr>
        <w:t>采购文件</w:t>
      </w:r>
      <w:r>
        <w:rPr>
          <w:rFonts w:hint="eastAsia" w:asciiTheme="minorEastAsia" w:hAnsiTheme="minorEastAsia" w:eastAsiaTheme="minorEastAsia" w:cstheme="minorEastAsia"/>
          <w:color w:val="auto"/>
          <w:sz w:val="24"/>
          <w:szCs w:val="24"/>
          <w:highlight w:val="none"/>
          <w:u w:val="single"/>
        </w:rPr>
        <w:t>中明确的所属行业）</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制造商</w:t>
      </w:r>
      <w:r>
        <w:rPr>
          <w:rFonts w:hint="eastAsia" w:asciiTheme="minorEastAsia" w:hAnsiTheme="minorEastAsia" w:eastAsiaTheme="minorEastAsia" w:cstheme="minorEastAsia"/>
          <w:color w:val="auto"/>
          <w:sz w:val="24"/>
          <w:szCs w:val="24"/>
          <w:highlight w:val="none"/>
        </w:rPr>
        <w:t>为</w:t>
      </w:r>
      <w:r>
        <w:rPr>
          <w:rFonts w:hint="eastAsia" w:asciiTheme="minorEastAsia" w:hAnsiTheme="minorEastAsia" w:eastAsiaTheme="minorEastAsia" w:cstheme="minorEastAsia"/>
          <w:color w:val="auto"/>
          <w:sz w:val="24"/>
          <w:szCs w:val="24"/>
          <w:highlight w:val="none"/>
          <w:u w:val="single"/>
        </w:rPr>
        <w:t>（企业名称）</w:t>
      </w:r>
      <w:r>
        <w:rPr>
          <w:rFonts w:hint="eastAsia" w:asciiTheme="minorEastAsia" w:hAnsiTheme="minorEastAsia" w:eastAsiaTheme="minorEastAsia" w:cstheme="minorEastAsia"/>
          <w:color w:val="auto"/>
          <w:sz w:val="24"/>
          <w:szCs w:val="24"/>
          <w:highlight w:val="none"/>
        </w:rPr>
        <w:t>，从业人员</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人，营业收入为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万元，资产总额为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万元，属于</w:t>
      </w:r>
      <w:r>
        <w:rPr>
          <w:rFonts w:hint="eastAsia" w:asciiTheme="minorEastAsia" w:hAnsiTheme="minorEastAsia" w:eastAsiaTheme="minorEastAsia" w:cstheme="minorEastAsia"/>
          <w:color w:val="auto"/>
          <w:sz w:val="24"/>
          <w:szCs w:val="24"/>
          <w:highlight w:val="none"/>
          <w:u w:val="single"/>
        </w:rPr>
        <w:t>（中型企业、小型企业、微型企业）</w:t>
      </w:r>
      <w:r>
        <w:rPr>
          <w:rFonts w:hint="eastAsia" w:asciiTheme="minorEastAsia" w:hAnsiTheme="minorEastAsia" w:eastAsiaTheme="minorEastAsia" w:cstheme="minorEastAsia"/>
          <w:color w:val="auto"/>
          <w:sz w:val="24"/>
          <w:szCs w:val="24"/>
          <w:highlight w:val="none"/>
        </w:rPr>
        <w:t>；</w:t>
      </w:r>
    </w:p>
    <w:p w14:paraId="491773D0">
      <w:pPr>
        <w:keepNext w:val="0"/>
        <w:keepLines w:val="0"/>
        <w:pageBreakBefore w:val="0"/>
        <w:widowControl w:val="0"/>
        <w:shd w:val="clear" w:color="auto" w:fill="auto"/>
        <w:kinsoku w:val="0"/>
        <w:wordWrap w:val="0"/>
        <w:overflowPunct/>
        <w:topLinePunct w:val="0"/>
        <w:autoSpaceDE/>
        <w:autoSpaceDN/>
        <w:bidi w:val="0"/>
        <w:adjustRightInd/>
        <w:snapToGrid/>
        <w:spacing w:line="360" w:lineRule="auto"/>
        <w:ind w:left="42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r>
        <w:rPr>
          <w:rFonts w:hint="eastAsia" w:asciiTheme="minorEastAsia" w:hAnsiTheme="minorEastAsia" w:eastAsiaTheme="minorEastAsia" w:cstheme="minorEastAsia"/>
          <w:color w:val="auto"/>
          <w:sz w:val="24"/>
          <w:szCs w:val="24"/>
          <w:highlight w:val="none"/>
          <w:u w:val="single"/>
        </w:rPr>
        <w:t>（标的名称）</w:t>
      </w:r>
      <w:r>
        <w:rPr>
          <w:rFonts w:hint="eastAsia" w:asciiTheme="minorEastAsia" w:hAnsiTheme="minorEastAsia" w:eastAsiaTheme="minorEastAsia" w:cstheme="minorEastAsia"/>
          <w:color w:val="auto"/>
          <w:sz w:val="24"/>
          <w:szCs w:val="24"/>
          <w:highlight w:val="none"/>
        </w:rPr>
        <w:t>，属于</w:t>
      </w:r>
      <w:r>
        <w:rPr>
          <w:rFonts w:hint="eastAsia" w:asciiTheme="minorEastAsia" w:hAnsiTheme="minorEastAsia" w:eastAsiaTheme="minorEastAsia" w:cstheme="minorEastAsia"/>
          <w:color w:val="auto"/>
          <w:sz w:val="24"/>
          <w:szCs w:val="24"/>
          <w:highlight w:val="none"/>
          <w:u w:val="single"/>
        </w:rPr>
        <w:t>（</w:t>
      </w:r>
      <w:r>
        <w:rPr>
          <w:rFonts w:hint="eastAsia" w:asciiTheme="minorEastAsia" w:hAnsiTheme="minorEastAsia" w:eastAsiaTheme="minorEastAsia" w:cstheme="minorEastAsia"/>
          <w:color w:val="auto"/>
          <w:sz w:val="24"/>
          <w:szCs w:val="24"/>
          <w:highlight w:val="none"/>
          <w:u w:val="single"/>
          <w:lang w:val="en-US" w:eastAsia="zh-CN"/>
        </w:rPr>
        <w:t>采购文件</w:t>
      </w:r>
      <w:r>
        <w:rPr>
          <w:rFonts w:hint="eastAsia" w:asciiTheme="minorEastAsia" w:hAnsiTheme="minorEastAsia" w:eastAsiaTheme="minorEastAsia" w:cstheme="minorEastAsia"/>
          <w:color w:val="auto"/>
          <w:sz w:val="24"/>
          <w:szCs w:val="24"/>
          <w:highlight w:val="none"/>
          <w:u w:val="single"/>
        </w:rPr>
        <w:t>中明确的所属行业）</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lang w:val="en-US" w:eastAsia="zh-CN"/>
        </w:rPr>
        <w:t>制造商</w:t>
      </w:r>
      <w:r>
        <w:rPr>
          <w:rFonts w:hint="eastAsia" w:asciiTheme="minorEastAsia" w:hAnsiTheme="minorEastAsia" w:eastAsiaTheme="minorEastAsia" w:cstheme="minorEastAsia"/>
          <w:color w:val="auto"/>
          <w:sz w:val="24"/>
          <w:szCs w:val="24"/>
          <w:highlight w:val="none"/>
        </w:rPr>
        <w:t>为</w:t>
      </w:r>
      <w:r>
        <w:rPr>
          <w:rFonts w:hint="eastAsia" w:asciiTheme="minorEastAsia" w:hAnsiTheme="minorEastAsia" w:eastAsiaTheme="minorEastAsia" w:cstheme="minorEastAsia"/>
          <w:color w:val="auto"/>
          <w:sz w:val="24"/>
          <w:szCs w:val="24"/>
          <w:highlight w:val="none"/>
          <w:u w:val="single"/>
        </w:rPr>
        <w:t>（企业名称）</w:t>
      </w:r>
      <w:r>
        <w:rPr>
          <w:rFonts w:hint="eastAsia" w:asciiTheme="minorEastAsia" w:hAnsiTheme="minorEastAsia" w:eastAsiaTheme="minorEastAsia" w:cstheme="minorEastAsia"/>
          <w:color w:val="auto"/>
          <w:sz w:val="24"/>
          <w:szCs w:val="24"/>
          <w:highlight w:val="none"/>
        </w:rPr>
        <w:t>，从业人员</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人，营业收入为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万元，资产总额为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万元，属于</w:t>
      </w:r>
      <w:r>
        <w:rPr>
          <w:rFonts w:hint="eastAsia" w:asciiTheme="minorEastAsia" w:hAnsiTheme="minorEastAsia" w:eastAsiaTheme="minorEastAsia" w:cstheme="minorEastAsia"/>
          <w:color w:val="auto"/>
          <w:sz w:val="24"/>
          <w:szCs w:val="24"/>
          <w:highlight w:val="none"/>
          <w:u w:val="single"/>
        </w:rPr>
        <w:t>（中型企业、小型企业、微型企业）</w:t>
      </w:r>
      <w:r>
        <w:rPr>
          <w:rFonts w:hint="eastAsia" w:asciiTheme="minorEastAsia" w:hAnsiTheme="minorEastAsia" w:eastAsiaTheme="minorEastAsia" w:cstheme="minorEastAsia"/>
          <w:color w:val="auto"/>
          <w:sz w:val="24"/>
          <w:szCs w:val="24"/>
          <w:highlight w:val="none"/>
        </w:rPr>
        <w:t>；</w:t>
      </w:r>
    </w:p>
    <w:p w14:paraId="5344835A">
      <w:pPr>
        <w:keepNext w:val="0"/>
        <w:keepLines w:val="0"/>
        <w:pageBreakBefore w:val="0"/>
        <w:widowControl w:val="0"/>
        <w:shd w:val="clear" w:color="auto" w:fill="auto"/>
        <w:kinsoku w:val="0"/>
        <w:wordWrap w:val="0"/>
        <w:overflowPunct/>
        <w:topLinePunct w:val="0"/>
        <w:autoSpaceDE/>
        <w:autoSpaceDN/>
        <w:bidi w:val="0"/>
        <w:adjustRightInd/>
        <w:snapToGrid/>
        <w:spacing w:line="360" w:lineRule="auto"/>
        <w:ind w:left="420" w:firstLine="482" w:firstLineChars="200"/>
        <w:textAlignment w:val="auto"/>
        <w:rPr>
          <w:rFonts w:hint="eastAsia" w:asciiTheme="minorEastAsia" w:hAnsiTheme="minorEastAsia" w:eastAsiaTheme="minorEastAsia" w:cstheme="minorEastAsia"/>
          <w:b/>
          <w:bCs/>
          <w:color w:val="auto"/>
          <w:sz w:val="24"/>
          <w:szCs w:val="24"/>
          <w:highlight w:val="none"/>
          <w:lang w:eastAsia="zh-CN"/>
        </w:rPr>
      </w:pPr>
      <w:r>
        <w:rPr>
          <w:rFonts w:hint="eastAsia" w:asciiTheme="minorEastAsia" w:hAnsiTheme="minorEastAsia" w:eastAsiaTheme="minorEastAsia" w:cstheme="minorEastAsia"/>
          <w:b/>
          <w:bCs/>
          <w:color w:val="auto"/>
          <w:sz w:val="24"/>
          <w:szCs w:val="24"/>
          <w:highlight w:val="none"/>
          <w:lang w:eastAsia="zh-CN"/>
        </w:rPr>
        <w:t>……</w:t>
      </w:r>
    </w:p>
    <w:p w14:paraId="2B027503">
      <w:pPr>
        <w:keepNext w:val="0"/>
        <w:keepLines w:val="0"/>
        <w:pageBreakBefore w:val="0"/>
        <w:widowControl w:val="0"/>
        <w:shd w:val="clear" w:color="auto" w:fill="auto"/>
        <w:kinsoku w:val="0"/>
        <w:wordWrap w:val="0"/>
        <w:overflowPunct/>
        <w:topLinePunct w:val="0"/>
        <w:autoSpaceDE/>
        <w:autoSpaceDN/>
        <w:bidi w:val="0"/>
        <w:adjustRightInd/>
        <w:snapToGrid/>
        <w:spacing w:line="360" w:lineRule="auto"/>
        <w:ind w:left="42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以上企业，不属于大企业的分支机构，不存在控股股东为大企业的情形，也不存在与大企业的负责人为同一人的情形。</w:t>
      </w:r>
    </w:p>
    <w:p w14:paraId="2983A816">
      <w:pPr>
        <w:keepNext w:val="0"/>
        <w:keepLines w:val="0"/>
        <w:pageBreakBefore w:val="0"/>
        <w:widowControl w:val="0"/>
        <w:shd w:val="clear" w:color="auto" w:fill="auto"/>
        <w:kinsoku w:val="0"/>
        <w:wordWrap w:val="0"/>
        <w:overflowPunct/>
        <w:bidi w:val="0"/>
        <w:spacing w:line="360" w:lineRule="auto"/>
        <w:ind w:left="420" w:leftChars="200" w:firstLine="482"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本企业对上述声明内容的真实性</w:t>
      </w:r>
      <w:r>
        <w:rPr>
          <w:rFonts w:hint="eastAsia" w:asciiTheme="minorEastAsia" w:hAnsiTheme="minorEastAsia" w:eastAsiaTheme="minorEastAsia" w:cstheme="minorEastAsia"/>
          <w:b/>
          <w:bCs/>
          <w:color w:val="auto"/>
          <w:sz w:val="24"/>
          <w:szCs w:val="24"/>
          <w:highlight w:val="none"/>
          <w:u w:val="single"/>
        </w:rPr>
        <w:t>负责</w:t>
      </w:r>
      <w:r>
        <w:rPr>
          <w:rFonts w:hint="eastAsia" w:asciiTheme="minorEastAsia" w:hAnsiTheme="minorEastAsia" w:eastAsiaTheme="minorEastAsia" w:cstheme="minorEastAsia"/>
          <w:b/>
          <w:bCs/>
          <w:color w:val="auto"/>
          <w:sz w:val="24"/>
          <w:szCs w:val="24"/>
          <w:highlight w:val="none"/>
        </w:rPr>
        <w:t>。如有虚假，将依法承担相应责任。</w:t>
      </w:r>
    </w:p>
    <w:p w14:paraId="1A45276E">
      <w:pPr>
        <w:keepNext w:val="0"/>
        <w:keepLines w:val="0"/>
        <w:pageBreakBefore w:val="0"/>
        <w:widowControl w:val="0"/>
        <w:shd w:val="clear" w:color="auto" w:fill="auto"/>
        <w:kinsoku w:val="0"/>
        <w:wordWrap w:val="0"/>
        <w:overflowPunct/>
        <w:bidi w:val="0"/>
        <w:spacing w:line="360" w:lineRule="auto"/>
        <w:ind w:right="2120"/>
        <w:textAlignment w:val="auto"/>
        <w:rPr>
          <w:rFonts w:hint="eastAsia" w:asciiTheme="minorEastAsia" w:hAnsiTheme="minorEastAsia" w:eastAsiaTheme="minorEastAsia" w:cstheme="minorEastAsia"/>
          <w:color w:val="auto"/>
          <w:sz w:val="24"/>
          <w:szCs w:val="24"/>
          <w:highlight w:val="none"/>
        </w:rPr>
      </w:pPr>
    </w:p>
    <w:p w14:paraId="1C04802D">
      <w:pPr>
        <w:keepNext w:val="0"/>
        <w:keepLines w:val="0"/>
        <w:pageBreakBefore w:val="0"/>
        <w:widowControl w:val="0"/>
        <w:shd w:val="clear" w:color="auto" w:fill="auto"/>
        <w:tabs>
          <w:tab w:val="left" w:pos="0"/>
        </w:tabs>
        <w:kinsoku w:val="0"/>
        <w:wordWrap w:val="0"/>
        <w:overflowPunct/>
        <w:bidi w:val="0"/>
        <w:spacing w:line="360" w:lineRule="auto"/>
        <w:ind w:right="-212"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lang w:eastAsia="zh-CN"/>
        </w:rPr>
        <w:t>（电子签章）</w:t>
      </w:r>
    </w:p>
    <w:p w14:paraId="12B21047">
      <w:pPr>
        <w:keepNext w:val="0"/>
        <w:keepLines w:val="0"/>
        <w:pageBreakBefore w:val="0"/>
        <w:widowControl w:val="0"/>
        <w:shd w:val="clear" w:color="auto" w:fill="auto"/>
        <w:tabs>
          <w:tab w:val="left" w:pos="0"/>
        </w:tabs>
        <w:kinsoku w:val="0"/>
        <w:wordWrap w:val="0"/>
        <w:overflowPunct/>
        <w:bidi w:val="0"/>
        <w:spacing w:line="360" w:lineRule="auto"/>
        <w:ind w:right="-212"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法定代表人或其委托代理人</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lang w:eastAsia="zh-CN"/>
        </w:rPr>
        <w:t>（电子签章）</w:t>
      </w:r>
    </w:p>
    <w:p w14:paraId="2FA3B895">
      <w:pPr>
        <w:keepNext w:val="0"/>
        <w:keepLines w:val="0"/>
        <w:pageBreakBefore w:val="0"/>
        <w:widowControl w:val="0"/>
        <w:shd w:val="clear" w:color="auto" w:fill="auto"/>
        <w:kinsoku w:val="0"/>
        <w:wordWrap w:val="0"/>
        <w:overflowPunct/>
        <w:bidi w:val="0"/>
        <w:spacing w:line="360" w:lineRule="auto"/>
        <w:ind w:firstLine="420" w:firstLineChars="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日</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期：</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p w14:paraId="2CA42986">
      <w:pPr>
        <w:keepNext w:val="0"/>
        <w:keepLines w:val="0"/>
        <w:pageBreakBefore w:val="0"/>
        <w:widowControl w:val="0"/>
        <w:shd w:val="clear" w:color="auto" w:fill="auto"/>
        <w:kinsoku w:val="0"/>
        <w:wordWrap w:val="0"/>
        <w:overflowPunct/>
        <w:bidi w:val="0"/>
        <w:spacing w:line="360" w:lineRule="auto"/>
        <w:textAlignment w:val="auto"/>
        <w:rPr>
          <w:rFonts w:hint="eastAsia" w:asciiTheme="minorEastAsia" w:hAnsiTheme="minorEastAsia" w:eastAsiaTheme="minorEastAsia" w:cstheme="minorEastAsia"/>
          <w:color w:val="auto"/>
          <w:sz w:val="24"/>
          <w:szCs w:val="24"/>
          <w:highlight w:val="none"/>
        </w:rPr>
      </w:pPr>
    </w:p>
    <w:p w14:paraId="4E3D1F37">
      <w:pPr>
        <w:keepNext w:val="0"/>
        <w:keepLines w:val="0"/>
        <w:pageBreakBefore w:val="0"/>
        <w:widowControl w:val="0"/>
        <w:shd w:val="clear" w:color="auto" w:fill="auto"/>
        <w:kinsoku w:val="0"/>
        <w:wordWrap w:val="0"/>
        <w:overflowPunct/>
        <w:bidi w:val="0"/>
        <w:spacing w:line="360" w:lineRule="auto"/>
        <w:textAlignment w:val="auto"/>
        <w:rPr>
          <w:rFonts w:hint="eastAsia" w:asciiTheme="minorEastAsia" w:hAnsiTheme="minorEastAsia" w:eastAsiaTheme="minorEastAsia" w:cstheme="minorEastAsia"/>
          <w:color w:val="auto"/>
          <w:sz w:val="24"/>
          <w:szCs w:val="24"/>
          <w:highlight w:val="none"/>
        </w:rPr>
      </w:pPr>
    </w:p>
    <w:p w14:paraId="67FEC097">
      <w:pPr>
        <w:keepNext w:val="0"/>
        <w:keepLines w:val="0"/>
        <w:pageBreakBefore w:val="0"/>
        <w:widowControl w:val="0"/>
        <w:shd w:val="clear" w:color="auto" w:fill="auto"/>
        <w:kinsoku w:val="0"/>
        <w:wordWrap w:val="0"/>
        <w:overflowPunct/>
        <w:bidi w:val="0"/>
        <w:spacing w:line="360" w:lineRule="auto"/>
        <w:ind w:left="198"/>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说明：1.从业人员、营业收入、资产总额填报上一年度数据，无上一年度数据的新成立企业可不填报。</w:t>
      </w:r>
    </w:p>
    <w:p w14:paraId="2BA20E79">
      <w:pPr>
        <w:keepNext w:val="0"/>
        <w:keepLines w:val="0"/>
        <w:pageBreakBefore w:val="0"/>
        <w:widowControl w:val="0"/>
        <w:shd w:val="clear" w:color="auto" w:fill="auto"/>
        <w:kinsoku w:val="0"/>
        <w:wordWrap w:val="0"/>
        <w:overflowPunct/>
        <w:bidi w:val="0"/>
        <w:spacing w:line="360" w:lineRule="auto"/>
        <w:ind w:left="198"/>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2.供应商不属于中小企业的，本声明函内容可不填写，但落款必须填写单位名称并按规定盖章。</w:t>
      </w:r>
    </w:p>
    <w:p w14:paraId="1081B2A6">
      <w:pPr>
        <w:keepNext w:val="0"/>
        <w:keepLines w:val="0"/>
        <w:pageBreakBefore w:val="0"/>
        <w:widowControl w:val="0"/>
        <w:numPr>
          <w:ilvl w:val="0"/>
          <w:numId w:val="0"/>
        </w:numPr>
        <w:shd w:val="clear" w:color="auto" w:fill="auto"/>
        <w:kinsoku w:val="0"/>
        <w:wordWrap w:val="0"/>
        <w:overflowPunct/>
        <w:topLinePunct/>
        <w:autoSpaceDE/>
        <w:autoSpaceDN/>
        <w:bidi w:val="0"/>
        <w:adjustRightInd w:val="0"/>
        <w:spacing w:line="360" w:lineRule="auto"/>
        <w:ind w:left="0" w:leftChars="0"/>
        <w:jc w:val="both"/>
        <w:textAlignment w:val="auto"/>
        <w:rPr>
          <w:rFonts w:hint="eastAsia" w:asciiTheme="minorEastAsia" w:hAnsiTheme="minorEastAsia" w:eastAsiaTheme="minorEastAsia" w:cstheme="minorEastAsia"/>
          <w:b/>
          <w:bCs/>
          <w:color w:val="auto"/>
          <w:kern w:val="2"/>
          <w:sz w:val="21"/>
          <w:szCs w:val="21"/>
          <w:highlight w:val="none"/>
          <w:lang w:val="en-US" w:eastAsia="zh-CN" w:bidi="ar-SA"/>
        </w:rPr>
      </w:pPr>
    </w:p>
    <w:p w14:paraId="604A3104">
      <w:pPr>
        <w:pStyle w:val="3"/>
        <w:keepNext w:val="0"/>
        <w:keepLines w:val="0"/>
        <w:pageBreakBefore w:val="0"/>
        <w:widowControl w:val="0"/>
        <w:shd w:val="clear" w:color="auto" w:fill="auto"/>
        <w:kinsoku w:val="0"/>
        <w:wordWrap w:val="0"/>
        <w:overflowPunct/>
        <w:topLinePunct/>
        <w:autoSpaceDE/>
        <w:autoSpaceDN/>
        <w:bidi w:val="0"/>
        <w:adjustRightInd w:val="0"/>
        <w:spacing w:line="360" w:lineRule="auto"/>
        <w:ind w:left="0" w:leftChars="0"/>
        <w:jc w:val="center"/>
        <w:textAlignment w:val="auto"/>
        <w:rPr>
          <w:rFonts w:hint="eastAsia" w:asciiTheme="minorEastAsia" w:hAnsiTheme="minorEastAsia" w:eastAsiaTheme="minorEastAsia" w:cstheme="minorEastAsia"/>
          <w:b/>
          <w:bCs/>
          <w:color w:val="auto"/>
          <w:sz w:val="21"/>
          <w:szCs w:val="21"/>
          <w:highlight w:val="none"/>
          <w:lang w:val="en-US" w:eastAsia="zh-CN"/>
        </w:rPr>
        <w:sectPr>
          <w:pgSz w:w="11906" w:h="16838"/>
          <w:pgMar w:top="1361" w:right="1474" w:bottom="1361" w:left="1587" w:header="850" w:footer="992" w:gutter="0"/>
          <w:pgNumType w:fmt="decimal"/>
          <w:cols w:space="0" w:num="1"/>
          <w:rtlGutter w:val="0"/>
          <w:docGrid w:type="lines" w:linePitch="314" w:charSpace="0"/>
        </w:sectPr>
      </w:pPr>
    </w:p>
    <w:p w14:paraId="3BD19A7E">
      <w:pPr>
        <w:keepNext w:val="0"/>
        <w:keepLines w:val="0"/>
        <w:pageBreakBefore w:val="0"/>
        <w:widowControl w:val="0"/>
        <w:shd w:val="clear" w:color="auto" w:fill="auto"/>
        <w:kinsoku w:val="0"/>
        <w:wordWrap w:val="0"/>
        <w:overflowPunct/>
        <w:topLinePunct/>
        <w:autoSpaceDE/>
        <w:autoSpaceDN/>
        <w:bidi w:val="0"/>
        <w:adjustRightInd w:val="0"/>
        <w:snapToGrid/>
        <w:spacing w:line="360" w:lineRule="auto"/>
        <w:jc w:val="center"/>
        <w:textAlignment w:val="auto"/>
        <w:rPr>
          <w:rFonts w:hint="eastAsia" w:asciiTheme="minorEastAsia" w:hAnsiTheme="minorEastAsia" w:eastAsiaTheme="minorEastAsia" w:cstheme="minorEastAsia"/>
          <w:b/>
          <w:bCs/>
          <w:color w:val="auto"/>
          <w:sz w:val="24"/>
          <w:szCs w:val="24"/>
          <w:highlight w:val="none"/>
          <w:lang w:val="en-US" w:eastAsia="zh-CN"/>
        </w:rPr>
      </w:pPr>
      <w:bookmarkStart w:id="123" w:name="_Toc27737"/>
      <w:bookmarkStart w:id="124" w:name="_Toc8607"/>
      <w:r>
        <w:rPr>
          <w:rFonts w:hint="eastAsia" w:asciiTheme="minorEastAsia" w:hAnsiTheme="minorEastAsia" w:eastAsiaTheme="minorEastAsia" w:cstheme="minorEastAsia"/>
          <w:b/>
          <w:bCs/>
          <w:color w:val="auto"/>
          <w:sz w:val="24"/>
          <w:szCs w:val="24"/>
          <w:highlight w:val="none"/>
          <w:lang w:val="en-US" w:eastAsia="zh-CN"/>
        </w:rPr>
        <w:t>2.残疾人福利性单位声明函</w:t>
      </w:r>
      <w:bookmarkEnd w:id="123"/>
      <w:bookmarkEnd w:id="124"/>
    </w:p>
    <w:p w14:paraId="0018E86B">
      <w:pPr>
        <w:keepNext w:val="0"/>
        <w:keepLines w:val="0"/>
        <w:pageBreakBefore w:val="0"/>
        <w:widowControl w:val="0"/>
        <w:shd w:val="clear" w:color="auto" w:fill="auto"/>
        <w:kinsoku w:val="0"/>
        <w:wordWrap w:val="0"/>
        <w:overflowPunct/>
        <w:topLinePunct/>
        <w:autoSpaceDE/>
        <w:autoSpaceDN/>
        <w:bidi w:val="0"/>
        <w:adjustRightInd w:val="0"/>
        <w:snapToGrid/>
        <w:spacing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rPr>
      </w:pPr>
    </w:p>
    <w:p w14:paraId="700A6A09">
      <w:pPr>
        <w:keepNext w:val="0"/>
        <w:keepLines w:val="0"/>
        <w:pageBreakBefore w:val="0"/>
        <w:widowControl w:val="0"/>
        <w:shd w:val="clear" w:color="auto" w:fill="auto"/>
        <w:kinsoku w:val="0"/>
        <w:wordWrap w:val="0"/>
        <w:overflowPunct/>
        <w:topLinePunct/>
        <w:autoSpaceDE/>
        <w:autoSpaceDN/>
        <w:bidi w:val="0"/>
        <w:adjustRightInd w:val="0"/>
        <w:snapToGrid/>
        <w:spacing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本单位郑重声明，根据《财政部 民政部 中国残疾人联合会关于促进残疾人就业政府采购政策的通知》（财库〔2017〕141 号）的规定，本单位为符合条件的残疾人福利性单位，且本单位参</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eastAsia="zh-CN"/>
        </w:rPr>
        <w:t>（</w:t>
      </w:r>
      <w:r>
        <w:rPr>
          <w:rFonts w:hint="eastAsia" w:asciiTheme="minorEastAsia" w:hAnsiTheme="minorEastAsia" w:eastAsiaTheme="minorEastAsia" w:cstheme="minorEastAsia"/>
          <w:color w:val="auto"/>
          <w:sz w:val="24"/>
          <w:szCs w:val="24"/>
          <w:highlight w:val="none"/>
          <w:u w:val="single"/>
          <w:lang w:val="en-US" w:eastAsia="zh-CN"/>
        </w:rPr>
        <w:t>采购人全称</w:t>
      </w:r>
      <w:r>
        <w:rPr>
          <w:rFonts w:hint="eastAsia" w:asciiTheme="minorEastAsia" w:hAnsiTheme="minorEastAsia" w:eastAsiaTheme="minorEastAsia" w:cstheme="minorEastAsia"/>
          <w:color w:val="auto"/>
          <w:sz w:val="24"/>
          <w:szCs w:val="24"/>
          <w:highlight w:val="none"/>
          <w:u w:val="single"/>
          <w:lang w:eastAsia="zh-CN"/>
        </w:rPr>
        <w:t>）</w:t>
      </w:r>
      <w:r>
        <w:rPr>
          <w:rFonts w:hint="eastAsia" w:asciiTheme="minorEastAsia" w:hAnsiTheme="minorEastAsia" w:eastAsiaTheme="minorEastAsia" w:cstheme="minorEastAsia"/>
          <w:color w:val="auto"/>
          <w:sz w:val="24"/>
          <w:szCs w:val="24"/>
          <w:highlight w:val="none"/>
        </w:rPr>
        <w:t>单位的</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eastAsia="zh-CN"/>
        </w:rPr>
        <w:t>文笔小学功能室、食堂及信息化设备采购</w:t>
      </w:r>
      <w:r>
        <w:rPr>
          <w:rFonts w:hint="eastAsia" w:asciiTheme="minorEastAsia" w:hAnsiTheme="minorEastAsia" w:eastAsiaTheme="minorEastAsia" w:cstheme="minorEastAsia"/>
          <w:color w:val="auto"/>
          <w:sz w:val="24"/>
          <w:szCs w:val="24"/>
          <w:highlight w:val="none"/>
          <w:u w:val="single"/>
        </w:rPr>
        <w:tab/>
      </w:r>
      <w:r>
        <w:rPr>
          <w:rFonts w:hint="eastAsia" w:asciiTheme="minorEastAsia" w:hAnsiTheme="minorEastAsia" w:eastAsiaTheme="minorEastAsia" w:cstheme="minorEastAsia"/>
          <w:color w:val="auto"/>
          <w:sz w:val="24"/>
          <w:szCs w:val="24"/>
          <w:highlight w:val="none"/>
        </w:rPr>
        <w:t>采购活动提供本单位制造的货物（由本单位承担工程/提供服务），或者提供其他残疾人福利性单位制造的货物（不包括使用非残疾人福利性单位注册商标的货物）。</w:t>
      </w:r>
    </w:p>
    <w:p w14:paraId="5CB1693E">
      <w:pPr>
        <w:keepNext w:val="0"/>
        <w:keepLines w:val="0"/>
        <w:pageBreakBefore w:val="0"/>
        <w:widowControl w:val="0"/>
        <w:shd w:val="clear" w:color="auto" w:fill="auto"/>
        <w:kinsoku w:val="0"/>
        <w:wordWrap w:val="0"/>
        <w:overflowPunct/>
        <w:topLinePunct/>
        <w:autoSpaceDE/>
        <w:autoSpaceDN/>
        <w:bidi w:val="0"/>
        <w:adjustRightInd w:val="0"/>
        <w:snapToGrid/>
        <w:spacing w:line="360" w:lineRule="auto"/>
        <w:ind w:left="0" w:leftChars="0"/>
        <w:textAlignment w:val="auto"/>
        <w:rPr>
          <w:rFonts w:hint="eastAsia" w:asciiTheme="minorEastAsia" w:hAnsiTheme="minorEastAsia" w:eastAsiaTheme="minorEastAsia" w:cstheme="minorEastAsia"/>
          <w:color w:val="auto"/>
          <w:sz w:val="24"/>
          <w:szCs w:val="24"/>
          <w:highlight w:val="none"/>
        </w:rPr>
      </w:pPr>
    </w:p>
    <w:p w14:paraId="572ADED7">
      <w:pPr>
        <w:keepNext w:val="0"/>
        <w:keepLines w:val="0"/>
        <w:pageBreakBefore w:val="0"/>
        <w:widowControl w:val="0"/>
        <w:shd w:val="clear" w:color="auto" w:fill="auto"/>
        <w:kinsoku w:val="0"/>
        <w:wordWrap w:val="0"/>
        <w:overflowPunct/>
        <w:topLinePunct/>
        <w:autoSpaceDE/>
        <w:autoSpaceDN/>
        <w:bidi w:val="0"/>
        <w:adjustRightInd w:val="0"/>
        <w:snapToGrid/>
        <w:spacing w:line="360" w:lineRule="auto"/>
        <w:ind w:left="0" w:leftChars="0"/>
        <w:textAlignment w:val="auto"/>
        <w:rPr>
          <w:rFonts w:hint="eastAsia" w:asciiTheme="minorEastAsia" w:hAnsiTheme="minorEastAsia" w:eastAsiaTheme="minorEastAsia" w:cstheme="minorEastAsia"/>
          <w:color w:val="auto"/>
          <w:sz w:val="24"/>
          <w:szCs w:val="24"/>
          <w:highlight w:val="none"/>
        </w:rPr>
      </w:pPr>
    </w:p>
    <w:p w14:paraId="50FBE24B">
      <w:pPr>
        <w:keepNext w:val="0"/>
        <w:keepLines w:val="0"/>
        <w:pageBreakBefore w:val="0"/>
        <w:widowControl w:val="0"/>
        <w:shd w:val="clear" w:color="auto" w:fill="auto"/>
        <w:kinsoku w:val="0"/>
        <w:wordWrap w:val="0"/>
        <w:overflowPunct/>
        <w:topLinePunct/>
        <w:autoSpaceDE/>
        <w:autoSpaceDN/>
        <w:bidi w:val="0"/>
        <w:adjustRightInd w:val="0"/>
        <w:snapToGrid/>
        <w:spacing w:line="360" w:lineRule="auto"/>
        <w:ind w:left="0" w:leftChars="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本单位对上述声明的真实性负责。如有虚假，将依法承担相应责任。</w:t>
      </w:r>
    </w:p>
    <w:p w14:paraId="46103B07">
      <w:pPr>
        <w:keepNext w:val="0"/>
        <w:keepLines w:val="0"/>
        <w:pageBreakBefore w:val="0"/>
        <w:widowControl w:val="0"/>
        <w:shd w:val="clear" w:color="auto" w:fill="auto"/>
        <w:kinsoku w:val="0"/>
        <w:wordWrap w:val="0"/>
        <w:overflowPunct/>
        <w:topLinePunct/>
        <w:autoSpaceDE/>
        <w:autoSpaceDN/>
        <w:bidi w:val="0"/>
        <w:adjustRightInd w:val="0"/>
        <w:snapToGrid/>
        <w:spacing w:line="360" w:lineRule="auto"/>
        <w:ind w:left="0" w:leftChars="0"/>
        <w:textAlignment w:val="auto"/>
        <w:rPr>
          <w:rFonts w:hint="eastAsia" w:asciiTheme="minorEastAsia" w:hAnsiTheme="minorEastAsia" w:eastAsiaTheme="minorEastAsia" w:cstheme="minorEastAsia"/>
          <w:color w:val="auto"/>
          <w:sz w:val="24"/>
          <w:szCs w:val="24"/>
          <w:highlight w:val="none"/>
        </w:rPr>
      </w:pPr>
    </w:p>
    <w:p w14:paraId="58CFCA2E">
      <w:pPr>
        <w:keepNext w:val="0"/>
        <w:keepLines w:val="0"/>
        <w:pageBreakBefore w:val="0"/>
        <w:widowControl w:val="0"/>
        <w:shd w:val="clear" w:color="auto" w:fill="auto"/>
        <w:kinsoku w:val="0"/>
        <w:wordWrap w:val="0"/>
        <w:overflowPunct/>
        <w:topLinePunct/>
        <w:autoSpaceDE/>
        <w:autoSpaceDN/>
        <w:bidi w:val="0"/>
        <w:adjustRightInd w:val="0"/>
        <w:snapToGrid/>
        <w:spacing w:line="360" w:lineRule="auto"/>
        <w:ind w:left="0" w:leftChars="0"/>
        <w:textAlignment w:val="auto"/>
        <w:rPr>
          <w:rFonts w:hint="eastAsia" w:asciiTheme="minorEastAsia" w:hAnsiTheme="minorEastAsia" w:eastAsiaTheme="minorEastAsia" w:cstheme="minorEastAsia"/>
          <w:color w:val="auto"/>
          <w:sz w:val="24"/>
          <w:szCs w:val="24"/>
          <w:highlight w:val="none"/>
        </w:rPr>
      </w:pPr>
    </w:p>
    <w:p w14:paraId="16048A71">
      <w:pPr>
        <w:keepNext w:val="0"/>
        <w:keepLines w:val="0"/>
        <w:pageBreakBefore w:val="0"/>
        <w:widowControl w:val="0"/>
        <w:shd w:val="clear" w:color="auto" w:fill="auto"/>
        <w:kinsoku w:val="0"/>
        <w:wordWrap w:val="0"/>
        <w:overflowPunct/>
        <w:topLinePunct/>
        <w:autoSpaceDE/>
        <w:autoSpaceDN/>
        <w:bidi w:val="0"/>
        <w:adjustRightInd w:val="0"/>
        <w:snapToGrid/>
        <w:spacing w:line="360" w:lineRule="auto"/>
        <w:ind w:left="0" w:leftChars="0"/>
        <w:textAlignment w:val="auto"/>
        <w:rPr>
          <w:rFonts w:hint="eastAsia" w:asciiTheme="minorEastAsia" w:hAnsiTheme="minorEastAsia" w:eastAsiaTheme="minorEastAsia" w:cstheme="minorEastAsia"/>
          <w:color w:val="auto"/>
          <w:sz w:val="24"/>
          <w:szCs w:val="24"/>
          <w:highlight w:val="none"/>
        </w:rPr>
      </w:pPr>
    </w:p>
    <w:p w14:paraId="259084E8">
      <w:pPr>
        <w:keepNext w:val="0"/>
        <w:keepLines w:val="0"/>
        <w:pageBreakBefore w:val="0"/>
        <w:widowControl w:val="0"/>
        <w:shd w:val="clear" w:color="auto" w:fill="auto"/>
        <w:kinsoku w:val="0"/>
        <w:wordWrap w:val="0"/>
        <w:overflowPunct/>
        <w:topLinePunct/>
        <w:autoSpaceDE/>
        <w:autoSpaceDN/>
        <w:bidi w:val="0"/>
        <w:adjustRightInd w:val="0"/>
        <w:snapToGrid/>
        <w:spacing w:line="360" w:lineRule="auto"/>
        <w:ind w:left="0" w:leftChars="0"/>
        <w:textAlignment w:val="auto"/>
        <w:rPr>
          <w:rFonts w:hint="eastAsia" w:asciiTheme="minorEastAsia" w:hAnsiTheme="minorEastAsia" w:eastAsiaTheme="minorEastAsia" w:cstheme="minorEastAsia"/>
          <w:color w:val="auto"/>
          <w:sz w:val="24"/>
          <w:szCs w:val="24"/>
          <w:highlight w:val="none"/>
        </w:rPr>
      </w:pPr>
    </w:p>
    <w:p w14:paraId="601C7FB2">
      <w:pPr>
        <w:keepNext w:val="0"/>
        <w:keepLines w:val="0"/>
        <w:pageBreakBefore w:val="0"/>
        <w:widowControl w:val="0"/>
        <w:shd w:val="clear" w:color="auto" w:fill="auto"/>
        <w:tabs>
          <w:tab w:val="left" w:pos="0"/>
        </w:tabs>
        <w:kinsoku w:val="0"/>
        <w:wordWrap w:val="0"/>
        <w:overflowPunct/>
        <w:topLinePunct/>
        <w:autoSpaceDE/>
        <w:autoSpaceDN/>
        <w:bidi w:val="0"/>
        <w:adjustRightInd w:val="0"/>
        <w:snapToGrid/>
        <w:spacing w:line="360" w:lineRule="auto"/>
        <w:ind w:left="0" w:leftChars="0" w:right="-212"/>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lang w:eastAsia="zh-CN"/>
        </w:rPr>
        <w:t>（电子签章）</w:t>
      </w:r>
    </w:p>
    <w:p w14:paraId="009FFF8B">
      <w:pPr>
        <w:keepNext w:val="0"/>
        <w:keepLines w:val="0"/>
        <w:pageBreakBefore w:val="0"/>
        <w:widowControl w:val="0"/>
        <w:shd w:val="clear" w:color="auto" w:fill="auto"/>
        <w:tabs>
          <w:tab w:val="left" w:pos="0"/>
        </w:tabs>
        <w:kinsoku w:val="0"/>
        <w:wordWrap w:val="0"/>
        <w:overflowPunct/>
        <w:topLinePunct/>
        <w:autoSpaceDE/>
        <w:autoSpaceDN/>
        <w:bidi w:val="0"/>
        <w:adjustRightInd w:val="0"/>
        <w:snapToGrid/>
        <w:spacing w:line="360" w:lineRule="auto"/>
        <w:ind w:left="0" w:leftChars="0" w:right="-212"/>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法定代表人或其委托代理人</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lang w:eastAsia="zh-CN"/>
        </w:rPr>
        <w:t>（电子签章）</w:t>
      </w:r>
    </w:p>
    <w:p w14:paraId="7C5AE537">
      <w:pPr>
        <w:keepNext w:val="0"/>
        <w:keepLines w:val="0"/>
        <w:pageBreakBefore w:val="0"/>
        <w:widowControl w:val="0"/>
        <w:shd w:val="clear" w:color="auto" w:fill="auto"/>
        <w:tabs>
          <w:tab w:val="left" w:pos="6480"/>
        </w:tabs>
        <w:kinsoku w:val="0"/>
        <w:wordWrap w:val="0"/>
        <w:overflowPunct/>
        <w:topLinePunct/>
        <w:autoSpaceDE/>
        <w:autoSpaceDN/>
        <w:bidi w:val="0"/>
        <w:adjustRightInd w:val="0"/>
        <w:snapToGrid/>
        <w:spacing w:line="360" w:lineRule="auto"/>
        <w:ind w:left="0" w:leftChars="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日</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期：</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p w14:paraId="4CEFADFC">
      <w:pPr>
        <w:keepNext w:val="0"/>
        <w:keepLines w:val="0"/>
        <w:pageBreakBefore w:val="0"/>
        <w:widowControl w:val="0"/>
        <w:shd w:val="clear" w:color="auto" w:fill="auto"/>
        <w:kinsoku w:val="0"/>
        <w:wordWrap w:val="0"/>
        <w:overflowPunct/>
        <w:topLinePunct/>
        <w:autoSpaceDE/>
        <w:autoSpaceDN/>
        <w:bidi w:val="0"/>
        <w:adjustRightInd w:val="0"/>
        <w:snapToGrid/>
        <w:spacing w:line="360" w:lineRule="auto"/>
        <w:ind w:left="0" w:leftChars="0"/>
        <w:textAlignment w:val="auto"/>
        <w:rPr>
          <w:rFonts w:hint="eastAsia" w:asciiTheme="minorEastAsia" w:hAnsiTheme="minorEastAsia" w:eastAsiaTheme="minorEastAsia" w:cstheme="minorEastAsia"/>
          <w:color w:val="auto"/>
          <w:sz w:val="24"/>
          <w:szCs w:val="24"/>
          <w:highlight w:val="none"/>
        </w:rPr>
      </w:pPr>
    </w:p>
    <w:p w14:paraId="45085DFE">
      <w:pPr>
        <w:keepNext w:val="0"/>
        <w:keepLines w:val="0"/>
        <w:pageBreakBefore w:val="0"/>
        <w:widowControl w:val="0"/>
        <w:shd w:val="clear" w:color="auto" w:fill="auto"/>
        <w:kinsoku w:val="0"/>
        <w:wordWrap w:val="0"/>
        <w:overflowPunct/>
        <w:topLinePunct/>
        <w:autoSpaceDE/>
        <w:autoSpaceDN/>
        <w:bidi w:val="0"/>
        <w:adjustRightInd w:val="0"/>
        <w:snapToGrid/>
        <w:spacing w:line="360" w:lineRule="auto"/>
        <w:ind w:left="0" w:leftChars="0"/>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注：1.供应商如为残疾人福利性单位并提供本《残疾人福利性单位声明函》的，必须对声明的真实性负责。</w:t>
      </w:r>
    </w:p>
    <w:p w14:paraId="7AC038C4">
      <w:pPr>
        <w:keepNext w:val="0"/>
        <w:keepLines w:val="0"/>
        <w:pageBreakBefore w:val="0"/>
        <w:widowControl w:val="0"/>
        <w:shd w:val="clear" w:color="auto" w:fill="auto"/>
        <w:kinsoku w:val="0"/>
        <w:wordWrap w:val="0"/>
        <w:overflowPunct/>
        <w:topLinePunct/>
        <w:autoSpaceDE/>
        <w:autoSpaceDN/>
        <w:bidi w:val="0"/>
        <w:adjustRightInd w:val="0"/>
        <w:snapToGrid/>
        <w:spacing w:line="360" w:lineRule="auto"/>
        <w:ind w:left="0" w:leftChars="0"/>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2.供应商如为残疾人福利性单位须提供相关证明材料。</w:t>
      </w:r>
    </w:p>
    <w:p w14:paraId="35275B83">
      <w:pPr>
        <w:keepNext w:val="0"/>
        <w:keepLines w:val="0"/>
        <w:pageBreakBefore w:val="0"/>
        <w:widowControl w:val="0"/>
        <w:shd w:val="clear" w:color="auto" w:fill="auto"/>
        <w:kinsoku w:val="0"/>
        <w:wordWrap w:val="0"/>
        <w:overflowPunct/>
        <w:topLinePunct/>
        <w:autoSpaceDE/>
        <w:autoSpaceDN/>
        <w:bidi w:val="0"/>
        <w:adjustRightInd w:val="0"/>
        <w:snapToGrid/>
        <w:spacing w:line="360" w:lineRule="auto"/>
        <w:ind w:left="0" w:leftChars="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3.供应商不属于残疾人福利性单位的，本声明函内容可不填写，但落款必须填写单位名称并按规定盖章。</w:t>
      </w:r>
    </w:p>
    <w:p w14:paraId="0B89D21B">
      <w:pPr>
        <w:keepNext w:val="0"/>
        <w:keepLines w:val="0"/>
        <w:pageBreakBefore w:val="0"/>
        <w:widowControl w:val="0"/>
        <w:shd w:val="clear" w:color="auto" w:fill="auto"/>
        <w:kinsoku w:val="0"/>
        <w:wordWrap w:val="0"/>
        <w:overflowPunct/>
        <w:topLinePunct/>
        <w:autoSpaceDE/>
        <w:autoSpaceDN/>
        <w:bidi w:val="0"/>
        <w:adjustRightInd w:val="0"/>
        <w:snapToGrid/>
        <w:spacing w:line="360" w:lineRule="auto"/>
        <w:ind w:left="0" w:leftChars="0"/>
        <w:textAlignment w:val="auto"/>
        <w:rPr>
          <w:rFonts w:hint="eastAsia" w:asciiTheme="minorEastAsia" w:hAnsiTheme="minorEastAsia" w:eastAsiaTheme="minorEastAsia" w:cstheme="minorEastAsia"/>
          <w:color w:val="auto"/>
          <w:sz w:val="21"/>
          <w:szCs w:val="21"/>
          <w:highlight w:val="none"/>
        </w:rPr>
      </w:pPr>
    </w:p>
    <w:p w14:paraId="516FCB1C">
      <w:pPr>
        <w:keepNext w:val="0"/>
        <w:keepLines w:val="0"/>
        <w:pageBreakBefore w:val="0"/>
        <w:widowControl w:val="0"/>
        <w:shd w:val="clear" w:color="auto" w:fill="auto"/>
        <w:kinsoku w:val="0"/>
        <w:wordWrap w:val="0"/>
        <w:overflowPunct/>
        <w:topLinePunct/>
        <w:autoSpaceDE/>
        <w:autoSpaceDN/>
        <w:bidi w:val="0"/>
        <w:adjustRightInd w:val="0"/>
        <w:snapToGrid/>
        <w:spacing w:line="360" w:lineRule="auto"/>
        <w:ind w:left="0" w:leftChars="0"/>
        <w:textAlignment w:val="auto"/>
        <w:rPr>
          <w:rFonts w:hint="eastAsia" w:asciiTheme="minorEastAsia" w:hAnsiTheme="minorEastAsia" w:eastAsiaTheme="minorEastAsia" w:cstheme="minorEastAsia"/>
          <w:color w:val="auto"/>
          <w:sz w:val="21"/>
          <w:szCs w:val="21"/>
          <w:highlight w:val="none"/>
        </w:rPr>
      </w:pPr>
    </w:p>
    <w:p w14:paraId="12947D4D">
      <w:pPr>
        <w:keepNext w:val="0"/>
        <w:keepLines w:val="0"/>
        <w:pageBreakBefore w:val="0"/>
        <w:widowControl w:val="0"/>
        <w:shd w:val="clear" w:color="auto" w:fill="auto"/>
        <w:kinsoku w:val="0"/>
        <w:wordWrap w:val="0"/>
        <w:bidi w:val="0"/>
        <w:textAlignment w:val="auto"/>
        <w:rPr>
          <w:rFonts w:hint="eastAsia" w:asciiTheme="minorEastAsia" w:hAnsiTheme="minorEastAsia" w:eastAsiaTheme="minorEastAsia" w:cstheme="minorEastAsia"/>
          <w:b/>
          <w:bCs/>
          <w:color w:val="auto"/>
          <w:sz w:val="21"/>
          <w:szCs w:val="21"/>
          <w:highlight w:val="none"/>
          <w:lang w:val="en-US" w:eastAsia="zh-CN"/>
        </w:rPr>
      </w:pPr>
      <w:bookmarkStart w:id="125" w:name="_Toc6515"/>
      <w:bookmarkStart w:id="126" w:name="_Toc24503"/>
      <w:r>
        <w:rPr>
          <w:rFonts w:hint="eastAsia" w:asciiTheme="minorEastAsia" w:hAnsiTheme="minorEastAsia" w:eastAsiaTheme="minorEastAsia" w:cstheme="minorEastAsia"/>
          <w:b/>
          <w:bCs/>
          <w:color w:val="auto"/>
          <w:sz w:val="21"/>
          <w:szCs w:val="21"/>
          <w:highlight w:val="none"/>
          <w:lang w:val="en-US" w:eastAsia="zh-CN"/>
        </w:rPr>
        <w:br w:type="page"/>
      </w:r>
    </w:p>
    <w:p w14:paraId="4AF59101">
      <w:pPr>
        <w:keepNext w:val="0"/>
        <w:keepLines w:val="0"/>
        <w:pageBreakBefore w:val="0"/>
        <w:widowControl w:val="0"/>
        <w:shd w:val="clear" w:color="auto" w:fill="auto"/>
        <w:kinsoku w:val="0"/>
        <w:wordWrap w:val="0"/>
        <w:overflowPunct/>
        <w:topLinePunct/>
        <w:autoSpaceDE/>
        <w:autoSpaceDN/>
        <w:bidi w:val="0"/>
        <w:adjustRightInd w:val="0"/>
        <w:snapToGrid/>
        <w:spacing w:line="360" w:lineRule="auto"/>
        <w:jc w:val="center"/>
        <w:textAlignment w:val="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3.监狱企业声明函</w:t>
      </w:r>
      <w:bookmarkEnd w:id="125"/>
      <w:bookmarkEnd w:id="126"/>
    </w:p>
    <w:p w14:paraId="0102E83C">
      <w:pPr>
        <w:keepNext w:val="0"/>
        <w:keepLines w:val="0"/>
        <w:pageBreakBefore w:val="0"/>
        <w:widowControl w:val="0"/>
        <w:shd w:val="clear" w:color="auto" w:fill="auto"/>
        <w:kinsoku w:val="0"/>
        <w:wordWrap w:val="0"/>
        <w:overflowPunct/>
        <w:topLinePunct/>
        <w:autoSpaceDE/>
        <w:autoSpaceDN/>
        <w:bidi w:val="0"/>
        <w:adjustRightInd w:val="0"/>
        <w:snapToGrid/>
        <w:spacing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rPr>
      </w:pPr>
    </w:p>
    <w:p w14:paraId="782CE803">
      <w:pPr>
        <w:keepNext w:val="0"/>
        <w:keepLines w:val="0"/>
        <w:pageBreakBefore w:val="0"/>
        <w:widowControl w:val="0"/>
        <w:shd w:val="clear" w:color="auto" w:fill="auto"/>
        <w:kinsoku w:val="0"/>
        <w:wordWrap w:val="0"/>
        <w:overflowPunct/>
        <w:topLinePunct/>
        <w:autoSpaceDE/>
        <w:autoSpaceDN/>
        <w:bidi w:val="0"/>
        <w:adjustRightInd w:val="0"/>
        <w:snapToGrid/>
        <w:spacing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本单位郑重声明，根据《关于政府采购支持监狱企业发展有关问题的通知》(财库[2014]68 号)的规定，本单位为符合条件的监狱企业，且本单位参加</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lang w:eastAsia="zh-CN"/>
        </w:rPr>
        <w:t>（</w:t>
      </w:r>
      <w:r>
        <w:rPr>
          <w:rFonts w:hint="eastAsia" w:asciiTheme="minorEastAsia" w:hAnsiTheme="minorEastAsia" w:eastAsiaTheme="minorEastAsia" w:cstheme="minorEastAsia"/>
          <w:color w:val="auto"/>
          <w:sz w:val="24"/>
          <w:szCs w:val="24"/>
          <w:highlight w:val="none"/>
          <w:u w:val="single"/>
          <w:lang w:val="en-US" w:eastAsia="zh-CN"/>
        </w:rPr>
        <w:t>采购人全称</w:t>
      </w:r>
      <w:r>
        <w:rPr>
          <w:rFonts w:hint="eastAsia" w:asciiTheme="minorEastAsia" w:hAnsiTheme="minorEastAsia" w:eastAsiaTheme="minorEastAsia" w:cstheme="minorEastAsia"/>
          <w:color w:val="auto"/>
          <w:sz w:val="24"/>
          <w:szCs w:val="24"/>
          <w:highlight w:val="none"/>
          <w:u w:val="single"/>
          <w:lang w:eastAsia="zh-CN"/>
        </w:rPr>
        <w:t>）</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单位的</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eastAsia="zh-CN"/>
        </w:rPr>
        <w:t>文笔小学功能室、食堂及信息化设备采购</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采购活动提供本单位制造的货物（由本单位承担工程/提供服务），或者提供其他监狱企业制造的货物（不包括使用非监狱企业注册商标的货物）。</w:t>
      </w:r>
    </w:p>
    <w:p w14:paraId="5C432373">
      <w:pPr>
        <w:keepNext w:val="0"/>
        <w:keepLines w:val="0"/>
        <w:pageBreakBefore w:val="0"/>
        <w:widowControl w:val="0"/>
        <w:shd w:val="clear" w:color="auto" w:fill="auto"/>
        <w:kinsoku w:val="0"/>
        <w:wordWrap w:val="0"/>
        <w:overflowPunct/>
        <w:topLinePunct/>
        <w:autoSpaceDE/>
        <w:autoSpaceDN/>
        <w:bidi w:val="0"/>
        <w:adjustRightInd w:val="0"/>
        <w:snapToGrid/>
        <w:spacing w:line="360" w:lineRule="auto"/>
        <w:ind w:left="0" w:leftChars="0"/>
        <w:textAlignment w:val="auto"/>
        <w:rPr>
          <w:rFonts w:hint="eastAsia" w:asciiTheme="minorEastAsia" w:hAnsiTheme="minorEastAsia" w:eastAsiaTheme="minorEastAsia" w:cstheme="minorEastAsia"/>
          <w:color w:val="auto"/>
          <w:sz w:val="24"/>
          <w:szCs w:val="24"/>
          <w:highlight w:val="none"/>
        </w:rPr>
      </w:pPr>
    </w:p>
    <w:p w14:paraId="7BE01976">
      <w:pPr>
        <w:keepNext w:val="0"/>
        <w:keepLines w:val="0"/>
        <w:pageBreakBefore w:val="0"/>
        <w:widowControl w:val="0"/>
        <w:shd w:val="clear" w:color="auto" w:fill="auto"/>
        <w:kinsoku w:val="0"/>
        <w:wordWrap w:val="0"/>
        <w:overflowPunct/>
        <w:topLinePunct/>
        <w:autoSpaceDE/>
        <w:autoSpaceDN/>
        <w:bidi w:val="0"/>
        <w:adjustRightInd w:val="0"/>
        <w:snapToGrid/>
        <w:spacing w:line="360" w:lineRule="auto"/>
        <w:ind w:left="0" w:leftChars="0"/>
        <w:textAlignment w:val="auto"/>
        <w:rPr>
          <w:rFonts w:hint="eastAsia" w:asciiTheme="minorEastAsia" w:hAnsiTheme="minorEastAsia" w:eastAsiaTheme="minorEastAsia" w:cstheme="minorEastAsia"/>
          <w:color w:val="auto"/>
          <w:sz w:val="24"/>
          <w:szCs w:val="24"/>
          <w:highlight w:val="none"/>
        </w:rPr>
      </w:pPr>
    </w:p>
    <w:p w14:paraId="692533EF">
      <w:pPr>
        <w:keepNext w:val="0"/>
        <w:keepLines w:val="0"/>
        <w:pageBreakBefore w:val="0"/>
        <w:widowControl w:val="0"/>
        <w:shd w:val="clear" w:color="auto" w:fill="auto"/>
        <w:kinsoku w:val="0"/>
        <w:wordWrap w:val="0"/>
        <w:overflowPunct/>
        <w:topLinePunct/>
        <w:autoSpaceDE/>
        <w:autoSpaceDN/>
        <w:bidi w:val="0"/>
        <w:adjustRightInd w:val="0"/>
        <w:snapToGrid/>
        <w:spacing w:line="360" w:lineRule="auto"/>
        <w:ind w:left="0" w:leftChars="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本单位对上述声明的真实性负责。如有虚假，将依法承担相应责任。</w:t>
      </w:r>
    </w:p>
    <w:p w14:paraId="073CB294">
      <w:pPr>
        <w:keepNext w:val="0"/>
        <w:keepLines w:val="0"/>
        <w:pageBreakBefore w:val="0"/>
        <w:widowControl w:val="0"/>
        <w:shd w:val="clear" w:color="auto" w:fill="auto"/>
        <w:kinsoku w:val="0"/>
        <w:wordWrap w:val="0"/>
        <w:overflowPunct/>
        <w:topLinePunct/>
        <w:autoSpaceDE/>
        <w:autoSpaceDN/>
        <w:bidi w:val="0"/>
        <w:adjustRightInd w:val="0"/>
        <w:snapToGrid/>
        <w:spacing w:line="360" w:lineRule="auto"/>
        <w:ind w:left="0" w:leftChars="0"/>
        <w:textAlignment w:val="auto"/>
        <w:rPr>
          <w:rFonts w:hint="eastAsia" w:asciiTheme="minorEastAsia" w:hAnsiTheme="minorEastAsia" w:eastAsiaTheme="minorEastAsia" w:cstheme="minorEastAsia"/>
          <w:color w:val="auto"/>
          <w:sz w:val="24"/>
          <w:szCs w:val="24"/>
          <w:highlight w:val="none"/>
        </w:rPr>
      </w:pPr>
    </w:p>
    <w:p w14:paraId="694B605F">
      <w:pPr>
        <w:keepNext w:val="0"/>
        <w:keepLines w:val="0"/>
        <w:pageBreakBefore w:val="0"/>
        <w:widowControl w:val="0"/>
        <w:shd w:val="clear" w:color="auto" w:fill="auto"/>
        <w:kinsoku w:val="0"/>
        <w:wordWrap w:val="0"/>
        <w:overflowPunct/>
        <w:topLinePunct/>
        <w:autoSpaceDE/>
        <w:autoSpaceDN/>
        <w:bidi w:val="0"/>
        <w:adjustRightInd w:val="0"/>
        <w:snapToGrid/>
        <w:spacing w:line="360" w:lineRule="auto"/>
        <w:ind w:left="0" w:leftChars="0"/>
        <w:textAlignment w:val="auto"/>
        <w:rPr>
          <w:rFonts w:hint="eastAsia" w:asciiTheme="minorEastAsia" w:hAnsiTheme="minorEastAsia" w:eastAsiaTheme="minorEastAsia" w:cstheme="minorEastAsia"/>
          <w:color w:val="auto"/>
          <w:sz w:val="24"/>
          <w:szCs w:val="24"/>
          <w:highlight w:val="none"/>
        </w:rPr>
      </w:pPr>
    </w:p>
    <w:p w14:paraId="0B35C80F">
      <w:pPr>
        <w:keepNext w:val="0"/>
        <w:keepLines w:val="0"/>
        <w:pageBreakBefore w:val="0"/>
        <w:widowControl w:val="0"/>
        <w:shd w:val="clear" w:color="auto" w:fill="auto"/>
        <w:kinsoku w:val="0"/>
        <w:wordWrap w:val="0"/>
        <w:overflowPunct/>
        <w:topLinePunct/>
        <w:autoSpaceDE/>
        <w:autoSpaceDN/>
        <w:bidi w:val="0"/>
        <w:adjustRightInd w:val="0"/>
        <w:snapToGrid/>
        <w:spacing w:line="360" w:lineRule="auto"/>
        <w:ind w:left="0" w:leftChars="0"/>
        <w:textAlignment w:val="auto"/>
        <w:rPr>
          <w:rFonts w:hint="eastAsia" w:asciiTheme="minorEastAsia" w:hAnsiTheme="minorEastAsia" w:eastAsiaTheme="minorEastAsia" w:cstheme="minorEastAsia"/>
          <w:color w:val="auto"/>
          <w:sz w:val="24"/>
          <w:szCs w:val="24"/>
          <w:highlight w:val="none"/>
        </w:rPr>
      </w:pPr>
    </w:p>
    <w:p w14:paraId="20E9EA68">
      <w:pPr>
        <w:keepNext w:val="0"/>
        <w:keepLines w:val="0"/>
        <w:pageBreakBefore w:val="0"/>
        <w:widowControl w:val="0"/>
        <w:shd w:val="clear" w:color="auto" w:fill="auto"/>
        <w:kinsoku w:val="0"/>
        <w:wordWrap w:val="0"/>
        <w:overflowPunct/>
        <w:topLinePunct/>
        <w:autoSpaceDE/>
        <w:autoSpaceDN/>
        <w:bidi w:val="0"/>
        <w:adjustRightInd w:val="0"/>
        <w:snapToGrid/>
        <w:spacing w:line="360" w:lineRule="auto"/>
        <w:ind w:left="0" w:leftChars="0"/>
        <w:textAlignment w:val="auto"/>
        <w:rPr>
          <w:rFonts w:hint="eastAsia" w:asciiTheme="minorEastAsia" w:hAnsiTheme="minorEastAsia" w:eastAsiaTheme="minorEastAsia" w:cstheme="minorEastAsia"/>
          <w:color w:val="auto"/>
          <w:sz w:val="24"/>
          <w:szCs w:val="24"/>
          <w:highlight w:val="none"/>
        </w:rPr>
      </w:pPr>
    </w:p>
    <w:p w14:paraId="1A55DF7A">
      <w:pPr>
        <w:keepNext w:val="0"/>
        <w:keepLines w:val="0"/>
        <w:pageBreakBefore w:val="0"/>
        <w:widowControl w:val="0"/>
        <w:shd w:val="clear" w:color="auto" w:fill="auto"/>
        <w:tabs>
          <w:tab w:val="left" w:pos="0"/>
        </w:tabs>
        <w:kinsoku w:val="0"/>
        <w:wordWrap w:val="0"/>
        <w:overflowPunct/>
        <w:topLinePunct/>
        <w:autoSpaceDE/>
        <w:autoSpaceDN/>
        <w:bidi w:val="0"/>
        <w:adjustRightInd w:val="0"/>
        <w:snapToGrid/>
        <w:spacing w:line="360" w:lineRule="auto"/>
        <w:ind w:left="0" w:leftChars="0" w:right="-212"/>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lang w:eastAsia="zh-CN"/>
        </w:rPr>
        <w:t>（电子签章）</w:t>
      </w:r>
    </w:p>
    <w:p w14:paraId="4BF844CE">
      <w:pPr>
        <w:keepNext w:val="0"/>
        <w:keepLines w:val="0"/>
        <w:pageBreakBefore w:val="0"/>
        <w:widowControl w:val="0"/>
        <w:shd w:val="clear" w:color="auto" w:fill="auto"/>
        <w:tabs>
          <w:tab w:val="left" w:pos="0"/>
        </w:tabs>
        <w:kinsoku w:val="0"/>
        <w:wordWrap w:val="0"/>
        <w:overflowPunct/>
        <w:topLinePunct/>
        <w:autoSpaceDE/>
        <w:autoSpaceDN/>
        <w:bidi w:val="0"/>
        <w:adjustRightInd w:val="0"/>
        <w:snapToGrid/>
        <w:spacing w:line="360" w:lineRule="auto"/>
        <w:ind w:left="0" w:leftChars="0" w:right="-212"/>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法定代表人或其委托代理人</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lang w:eastAsia="zh-CN"/>
        </w:rPr>
        <w:t>（电子签章）</w:t>
      </w:r>
    </w:p>
    <w:p w14:paraId="5DF037B3">
      <w:pPr>
        <w:keepNext w:val="0"/>
        <w:keepLines w:val="0"/>
        <w:pageBreakBefore w:val="0"/>
        <w:widowControl w:val="0"/>
        <w:shd w:val="clear" w:color="auto" w:fill="auto"/>
        <w:tabs>
          <w:tab w:val="left" w:pos="6480"/>
        </w:tabs>
        <w:kinsoku w:val="0"/>
        <w:wordWrap w:val="0"/>
        <w:overflowPunct/>
        <w:topLinePunct/>
        <w:autoSpaceDE/>
        <w:autoSpaceDN/>
        <w:bidi w:val="0"/>
        <w:adjustRightInd w:val="0"/>
        <w:snapToGrid/>
        <w:spacing w:line="360" w:lineRule="auto"/>
        <w:ind w:left="0" w:leftChars="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日</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期：</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p w14:paraId="0E28997D">
      <w:pPr>
        <w:keepNext w:val="0"/>
        <w:keepLines w:val="0"/>
        <w:pageBreakBefore w:val="0"/>
        <w:widowControl w:val="0"/>
        <w:shd w:val="clear" w:color="auto" w:fill="auto"/>
        <w:kinsoku w:val="0"/>
        <w:wordWrap w:val="0"/>
        <w:overflowPunct/>
        <w:topLinePunct/>
        <w:autoSpaceDE/>
        <w:autoSpaceDN/>
        <w:bidi w:val="0"/>
        <w:adjustRightInd w:val="0"/>
        <w:snapToGrid/>
        <w:spacing w:line="360" w:lineRule="auto"/>
        <w:ind w:left="0" w:leftChars="0"/>
        <w:textAlignment w:val="auto"/>
        <w:rPr>
          <w:rFonts w:hint="eastAsia" w:asciiTheme="minorEastAsia" w:hAnsiTheme="minorEastAsia" w:eastAsiaTheme="minorEastAsia" w:cstheme="minorEastAsia"/>
          <w:color w:val="auto"/>
          <w:sz w:val="21"/>
          <w:szCs w:val="21"/>
          <w:highlight w:val="none"/>
        </w:rPr>
      </w:pPr>
    </w:p>
    <w:p w14:paraId="68A33AE7">
      <w:pPr>
        <w:keepNext w:val="0"/>
        <w:keepLines w:val="0"/>
        <w:pageBreakBefore w:val="0"/>
        <w:widowControl w:val="0"/>
        <w:shd w:val="clear" w:color="auto" w:fill="auto"/>
        <w:kinsoku w:val="0"/>
        <w:wordWrap w:val="0"/>
        <w:overflowPunct/>
        <w:topLinePunct/>
        <w:autoSpaceDE/>
        <w:autoSpaceDN/>
        <w:bidi w:val="0"/>
        <w:adjustRightInd w:val="0"/>
        <w:snapToGrid/>
        <w:spacing w:line="360" w:lineRule="auto"/>
        <w:ind w:left="0" w:leftChars="0"/>
        <w:textAlignment w:val="auto"/>
        <w:rPr>
          <w:rFonts w:hint="eastAsia" w:asciiTheme="minorEastAsia" w:hAnsiTheme="minorEastAsia" w:eastAsiaTheme="minorEastAsia" w:cstheme="minorEastAsia"/>
          <w:color w:val="auto"/>
          <w:sz w:val="21"/>
          <w:szCs w:val="21"/>
          <w:highlight w:val="none"/>
        </w:rPr>
      </w:pPr>
    </w:p>
    <w:p w14:paraId="6D77E8D2">
      <w:pPr>
        <w:keepNext w:val="0"/>
        <w:keepLines w:val="0"/>
        <w:pageBreakBefore w:val="0"/>
        <w:widowControl w:val="0"/>
        <w:shd w:val="clear" w:color="auto" w:fill="auto"/>
        <w:kinsoku w:val="0"/>
        <w:wordWrap w:val="0"/>
        <w:overflowPunct/>
        <w:topLinePunct/>
        <w:autoSpaceDE/>
        <w:autoSpaceDN/>
        <w:bidi w:val="0"/>
        <w:adjustRightInd w:val="0"/>
        <w:snapToGrid/>
        <w:spacing w:line="360" w:lineRule="auto"/>
        <w:ind w:left="0" w:leftChars="0"/>
        <w:jc w:val="left"/>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注：1.供应商如为监狱企业并提供本《监狱企业声明函》的，必须对声明的真实性负责。</w:t>
      </w:r>
    </w:p>
    <w:p w14:paraId="3B778412">
      <w:pPr>
        <w:keepNext w:val="0"/>
        <w:keepLines w:val="0"/>
        <w:pageBreakBefore w:val="0"/>
        <w:widowControl w:val="0"/>
        <w:shd w:val="clear" w:color="auto" w:fill="auto"/>
        <w:kinsoku w:val="0"/>
        <w:wordWrap w:val="0"/>
        <w:overflowPunct/>
        <w:topLinePunct/>
        <w:autoSpaceDE/>
        <w:autoSpaceDN/>
        <w:bidi w:val="0"/>
        <w:adjustRightInd w:val="0"/>
        <w:snapToGrid/>
        <w:spacing w:line="360" w:lineRule="auto"/>
        <w:ind w:left="0" w:leftChars="0"/>
        <w:jc w:val="left"/>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2.监狱企业以省级以上监狱管理局、戒毒管理局(含新疆生产建设兵团)出具的属于监狱企业的证明文件为准。</w:t>
      </w:r>
    </w:p>
    <w:p w14:paraId="4579B7C4">
      <w:pPr>
        <w:keepNext w:val="0"/>
        <w:keepLines w:val="0"/>
        <w:pageBreakBefore w:val="0"/>
        <w:widowControl w:val="0"/>
        <w:shd w:val="clear" w:color="auto" w:fill="auto"/>
        <w:kinsoku w:val="0"/>
        <w:wordWrap w:val="0"/>
        <w:overflowPunct/>
        <w:topLinePunct/>
        <w:autoSpaceDE/>
        <w:autoSpaceDN/>
        <w:bidi w:val="0"/>
        <w:adjustRightInd w:val="0"/>
        <w:snapToGrid/>
        <w:spacing w:line="360" w:lineRule="auto"/>
        <w:ind w:left="0" w:leftChars="0"/>
        <w:jc w:val="left"/>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3.供应商不属于监狱企业的，本声明函内容可不填写，但落款必须填写单位名称并按规定进行盖章。</w:t>
      </w:r>
    </w:p>
    <w:p w14:paraId="27512BE1">
      <w:pPr>
        <w:keepNext w:val="0"/>
        <w:keepLines w:val="0"/>
        <w:pageBreakBefore w:val="0"/>
        <w:widowControl w:val="0"/>
        <w:shd w:val="clear" w:color="auto" w:fill="auto"/>
        <w:kinsoku w:val="0"/>
        <w:wordWrap w:val="0"/>
        <w:overflowPunct/>
        <w:topLinePunct/>
        <w:autoSpaceDE/>
        <w:autoSpaceDN/>
        <w:bidi w:val="0"/>
        <w:adjustRightInd w:val="0"/>
        <w:snapToGrid/>
        <w:spacing w:line="360" w:lineRule="auto"/>
        <w:ind w:left="0" w:leftChars="0"/>
        <w:jc w:val="left"/>
        <w:textAlignment w:val="auto"/>
        <w:rPr>
          <w:rFonts w:hint="eastAsia" w:asciiTheme="minorEastAsia" w:hAnsiTheme="minorEastAsia" w:eastAsiaTheme="minorEastAsia" w:cstheme="minorEastAsia"/>
          <w:b/>
          <w:bCs/>
          <w:color w:val="auto"/>
          <w:sz w:val="24"/>
          <w:szCs w:val="24"/>
          <w:highlight w:val="none"/>
        </w:rPr>
      </w:pPr>
    </w:p>
    <w:p w14:paraId="2DF7B3BC">
      <w:pPr>
        <w:keepNext w:val="0"/>
        <w:keepLines w:val="0"/>
        <w:pageBreakBefore w:val="0"/>
        <w:widowControl w:val="0"/>
        <w:shd w:val="clear" w:color="auto" w:fill="auto"/>
        <w:kinsoku w:val="0"/>
        <w:wordWrap w:val="0"/>
        <w:overflowPunct/>
        <w:topLinePunct/>
        <w:autoSpaceDE/>
        <w:autoSpaceDN/>
        <w:bidi w:val="0"/>
        <w:adjustRightInd w:val="0"/>
        <w:snapToGrid/>
        <w:spacing w:line="360" w:lineRule="auto"/>
        <w:ind w:left="0" w:leftChars="0"/>
        <w:jc w:val="center"/>
        <w:textAlignment w:val="auto"/>
        <w:rPr>
          <w:rFonts w:hint="eastAsia" w:asciiTheme="minorEastAsia" w:hAnsiTheme="minorEastAsia" w:eastAsiaTheme="minorEastAsia" w:cstheme="minorEastAsia"/>
          <w:b/>
          <w:bCs/>
          <w:color w:val="auto"/>
          <w:sz w:val="21"/>
          <w:szCs w:val="21"/>
          <w:highlight w:val="none"/>
        </w:rPr>
      </w:pPr>
    </w:p>
    <w:p w14:paraId="782D2493">
      <w:pPr>
        <w:keepNext w:val="0"/>
        <w:keepLines w:val="0"/>
        <w:pageBreakBefore w:val="0"/>
        <w:widowControl w:val="0"/>
        <w:shd w:val="clear" w:color="auto" w:fill="auto"/>
        <w:kinsoku w:val="0"/>
        <w:wordWrap w:val="0"/>
        <w:overflowPunct/>
        <w:topLinePunct/>
        <w:autoSpaceDE/>
        <w:autoSpaceDN/>
        <w:bidi w:val="0"/>
        <w:adjustRightInd w:val="0"/>
        <w:snapToGrid/>
        <w:spacing w:line="360" w:lineRule="auto"/>
        <w:ind w:left="0" w:leftChars="0"/>
        <w:jc w:val="center"/>
        <w:textAlignment w:val="auto"/>
        <w:rPr>
          <w:rFonts w:hint="eastAsia" w:asciiTheme="minorEastAsia" w:hAnsiTheme="minorEastAsia" w:eastAsiaTheme="minorEastAsia" w:cstheme="minorEastAsia"/>
          <w:b/>
          <w:bCs/>
          <w:color w:val="auto"/>
          <w:sz w:val="21"/>
          <w:szCs w:val="21"/>
          <w:highlight w:val="none"/>
        </w:rPr>
      </w:pPr>
    </w:p>
    <w:p w14:paraId="2F3C9711">
      <w:pPr>
        <w:pStyle w:val="9"/>
        <w:keepNext w:val="0"/>
        <w:keepLines w:val="0"/>
        <w:pageBreakBefore w:val="0"/>
        <w:widowControl w:val="0"/>
        <w:shd w:val="clear" w:color="auto" w:fill="auto"/>
        <w:kinsoku w:val="0"/>
        <w:wordWrap w:val="0"/>
        <w:bidi w:val="0"/>
        <w:textAlignment w:val="auto"/>
        <w:rPr>
          <w:rFonts w:hint="eastAsia" w:asciiTheme="minorEastAsia" w:hAnsiTheme="minorEastAsia" w:eastAsiaTheme="minorEastAsia" w:cstheme="minorEastAsia"/>
          <w:color w:val="auto"/>
          <w:szCs w:val="21"/>
          <w:highlight w:val="none"/>
        </w:rPr>
      </w:pPr>
    </w:p>
    <w:bookmarkEnd w:id="121"/>
    <w:bookmarkEnd w:id="122"/>
    <w:p w14:paraId="4C0C9331">
      <w:pPr>
        <w:keepNext w:val="0"/>
        <w:keepLines w:val="0"/>
        <w:pageBreakBefore w:val="0"/>
        <w:widowControl w:val="0"/>
        <w:shd w:val="clear" w:color="auto" w:fill="auto"/>
        <w:kinsoku w:val="0"/>
        <w:wordWrap w:val="0"/>
        <w:bidi w:val="0"/>
        <w:spacing w:line="360" w:lineRule="auto"/>
        <w:ind w:firstLine="420" w:firstLineChars="200"/>
        <w:jc w:val="center"/>
        <w:textAlignment w:val="auto"/>
        <w:outlineLvl w:val="1"/>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color w:val="auto"/>
          <w:szCs w:val="21"/>
          <w:highlight w:val="none"/>
        </w:rPr>
        <w:br w:type="page"/>
      </w:r>
      <w:bookmarkStart w:id="127" w:name="_Toc16282"/>
      <w:bookmarkStart w:id="128" w:name="_Toc6154"/>
      <w:r>
        <w:rPr>
          <w:rFonts w:hint="eastAsia" w:asciiTheme="minorEastAsia" w:hAnsiTheme="minorEastAsia" w:eastAsiaTheme="minorEastAsia" w:cstheme="minorEastAsia"/>
          <w:b/>
          <w:color w:val="auto"/>
          <w:sz w:val="24"/>
          <w:szCs w:val="24"/>
          <w:highlight w:val="none"/>
          <w:lang w:val="en-US" w:eastAsia="zh-CN"/>
        </w:rPr>
        <w:t>八、商务条款偏离表</w:t>
      </w:r>
      <w:bookmarkEnd w:id="127"/>
      <w:bookmarkEnd w:id="128"/>
    </w:p>
    <w:p w14:paraId="6249CBD6">
      <w:pPr>
        <w:pStyle w:val="11"/>
        <w:keepNext w:val="0"/>
        <w:keepLines w:val="0"/>
        <w:pageBreakBefore w:val="0"/>
        <w:widowControl w:val="0"/>
        <w:shd w:val="clear" w:color="auto" w:fill="auto"/>
        <w:kinsoku w:val="0"/>
        <w:wordWrap w:val="0"/>
        <w:bidi w:val="0"/>
        <w:textAlignment w:val="auto"/>
        <w:rPr>
          <w:rFonts w:hint="eastAsia" w:asciiTheme="minorEastAsia" w:hAnsiTheme="minorEastAsia" w:eastAsiaTheme="minorEastAsia" w:cstheme="minorEastAsia"/>
          <w:color w:val="auto"/>
          <w:szCs w:val="21"/>
          <w:highlight w:val="none"/>
        </w:rPr>
      </w:pPr>
    </w:p>
    <w:p w14:paraId="65EA3000">
      <w:pPr>
        <w:pStyle w:val="11"/>
        <w:keepNext w:val="0"/>
        <w:keepLines w:val="0"/>
        <w:pageBreakBefore w:val="0"/>
        <w:widowControl w:val="0"/>
        <w:shd w:val="clear" w:color="auto" w:fill="auto"/>
        <w:kinsoku w:val="0"/>
        <w:wordWrap w:val="0"/>
        <w:bidi w:val="0"/>
        <w:textAlignment w:val="auto"/>
        <w:rPr>
          <w:rFonts w:hint="eastAsia"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sz w:val="24"/>
          <w:szCs w:val="24"/>
          <w:highlight w:val="none"/>
        </w:rPr>
        <w:t>项目名称：</w:t>
      </w:r>
      <w:r>
        <w:rPr>
          <w:rFonts w:hint="eastAsia" w:asciiTheme="minorEastAsia" w:hAnsiTheme="minorEastAsia" w:eastAsiaTheme="minorEastAsia" w:cstheme="minorEastAsia"/>
          <w:color w:val="auto"/>
          <w:sz w:val="24"/>
          <w:szCs w:val="24"/>
          <w:highlight w:val="none"/>
          <w:u w:val="single"/>
          <w:lang w:eastAsia="zh-CN"/>
        </w:rPr>
        <w:t>文笔小学功能室、食堂及信息化设备采购</w:t>
      </w:r>
    </w:p>
    <w:tbl>
      <w:tblPr>
        <w:tblStyle w:val="21"/>
        <w:tblW w:w="85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3"/>
        <w:gridCol w:w="2041"/>
        <w:gridCol w:w="1723"/>
        <w:gridCol w:w="2496"/>
        <w:gridCol w:w="1532"/>
      </w:tblGrid>
      <w:tr w14:paraId="3ED4FA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3" w:hRule="atLeast"/>
          <w:jc w:val="center"/>
        </w:trPr>
        <w:tc>
          <w:tcPr>
            <w:tcW w:w="763" w:type="dxa"/>
            <w:noWrap w:val="0"/>
            <w:vAlign w:val="center"/>
          </w:tcPr>
          <w:p w14:paraId="24AA58D8">
            <w:pPr>
              <w:keepNext w:val="0"/>
              <w:keepLines w:val="0"/>
              <w:pageBreakBefore w:val="0"/>
              <w:widowControl w:val="0"/>
              <w:shd w:val="clear" w:color="auto" w:fill="auto"/>
              <w:kinsoku w:val="0"/>
              <w:wordWrap w:val="0"/>
              <w:bidi w:val="0"/>
              <w:spacing w:line="560" w:lineRule="exact"/>
              <w:jc w:val="center"/>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序号</w:t>
            </w:r>
          </w:p>
        </w:tc>
        <w:tc>
          <w:tcPr>
            <w:tcW w:w="2041" w:type="dxa"/>
            <w:noWrap w:val="0"/>
            <w:vAlign w:val="center"/>
          </w:tcPr>
          <w:p w14:paraId="5845839F">
            <w:pPr>
              <w:keepNext w:val="0"/>
              <w:keepLines w:val="0"/>
              <w:pageBreakBefore w:val="0"/>
              <w:widowControl w:val="0"/>
              <w:shd w:val="clear" w:color="auto" w:fill="auto"/>
              <w:kinsoku w:val="0"/>
              <w:wordWrap w:val="0"/>
              <w:bidi w:val="0"/>
              <w:spacing w:line="560" w:lineRule="exact"/>
              <w:jc w:val="center"/>
              <w:textAlignment w:val="auto"/>
              <w:rPr>
                <w:rFonts w:hint="default" w:asciiTheme="minorEastAsia" w:hAnsiTheme="minorEastAsia" w:eastAsiaTheme="minorEastAsia" w:cstheme="minorEastAsia"/>
                <w:color w:val="auto"/>
                <w:kern w:val="0"/>
                <w:sz w:val="24"/>
                <w:szCs w:val="24"/>
                <w:highlight w:val="none"/>
                <w:lang w:val="en-US" w:eastAsia="zh-CN"/>
              </w:rPr>
            </w:pPr>
            <w:r>
              <w:rPr>
                <w:rFonts w:hint="default" w:asciiTheme="minorEastAsia" w:hAnsiTheme="minorEastAsia" w:eastAsiaTheme="minorEastAsia" w:cstheme="minorEastAsia"/>
                <w:color w:val="auto"/>
                <w:kern w:val="0"/>
                <w:sz w:val="24"/>
                <w:szCs w:val="24"/>
                <w:highlight w:val="none"/>
                <w:lang w:val="en-US" w:eastAsia="zh-CN"/>
              </w:rPr>
              <w:t>采购货物名称</w:t>
            </w:r>
          </w:p>
        </w:tc>
        <w:tc>
          <w:tcPr>
            <w:tcW w:w="1723" w:type="dxa"/>
            <w:noWrap w:val="0"/>
            <w:vAlign w:val="center"/>
          </w:tcPr>
          <w:p w14:paraId="21814B07">
            <w:pPr>
              <w:keepNext w:val="0"/>
              <w:keepLines w:val="0"/>
              <w:pageBreakBefore w:val="0"/>
              <w:widowControl w:val="0"/>
              <w:shd w:val="clear" w:color="auto" w:fill="auto"/>
              <w:kinsoku w:val="0"/>
              <w:wordWrap w:val="0"/>
              <w:bidi w:val="0"/>
              <w:spacing w:line="560" w:lineRule="exact"/>
              <w:jc w:val="center"/>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lang w:eastAsia="zh-CN"/>
              </w:rPr>
              <w:t>采购文件</w:t>
            </w:r>
            <w:r>
              <w:rPr>
                <w:rFonts w:hint="eastAsia" w:asciiTheme="minorEastAsia" w:hAnsiTheme="minorEastAsia" w:eastAsiaTheme="minorEastAsia" w:cstheme="minorEastAsia"/>
                <w:color w:val="auto"/>
                <w:kern w:val="0"/>
                <w:sz w:val="24"/>
                <w:szCs w:val="24"/>
                <w:highlight w:val="none"/>
              </w:rPr>
              <w:t>要求</w:t>
            </w:r>
          </w:p>
        </w:tc>
        <w:tc>
          <w:tcPr>
            <w:tcW w:w="2496" w:type="dxa"/>
            <w:noWrap w:val="0"/>
            <w:vAlign w:val="center"/>
          </w:tcPr>
          <w:p w14:paraId="691B25F9">
            <w:pPr>
              <w:keepNext w:val="0"/>
              <w:keepLines w:val="0"/>
              <w:pageBreakBefore w:val="0"/>
              <w:widowControl w:val="0"/>
              <w:shd w:val="clear" w:color="auto" w:fill="auto"/>
              <w:kinsoku w:val="0"/>
              <w:wordWrap w:val="0"/>
              <w:bidi w:val="0"/>
              <w:spacing w:line="560" w:lineRule="exact"/>
              <w:jc w:val="center"/>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投标文件对应条款</w:t>
            </w:r>
          </w:p>
        </w:tc>
        <w:tc>
          <w:tcPr>
            <w:tcW w:w="1532" w:type="dxa"/>
            <w:noWrap w:val="0"/>
            <w:vAlign w:val="center"/>
          </w:tcPr>
          <w:p w14:paraId="29689D89">
            <w:pPr>
              <w:keepNext w:val="0"/>
              <w:keepLines w:val="0"/>
              <w:pageBreakBefore w:val="0"/>
              <w:widowControl w:val="0"/>
              <w:shd w:val="clear" w:color="auto" w:fill="auto"/>
              <w:kinsoku w:val="0"/>
              <w:wordWrap w:val="0"/>
              <w:bidi w:val="0"/>
              <w:spacing w:line="560" w:lineRule="exact"/>
              <w:jc w:val="center"/>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偏离性质</w:t>
            </w:r>
          </w:p>
        </w:tc>
      </w:tr>
      <w:tr w14:paraId="27744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763" w:type="dxa"/>
            <w:noWrap w:val="0"/>
            <w:vAlign w:val="center"/>
          </w:tcPr>
          <w:p w14:paraId="5914B487">
            <w:pPr>
              <w:keepNext w:val="0"/>
              <w:keepLines w:val="0"/>
              <w:pageBreakBefore w:val="0"/>
              <w:widowControl w:val="0"/>
              <w:shd w:val="clear" w:color="auto" w:fill="auto"/>
              <w:kinsoku w:val="0"/>
              <w:wordWrap w:val="0"/>
              <w:bidi w:val="0"/>
              <w:spacing w:line="560" w:lineRule="exact"/>
              <w:jc w:val="center"/>
              <w:textAlignment w:val="auto"/>
              <w:rPr>
                <w:rFonts w:hint="eastAsia" w:asciiTheme="minorEastAsia" w:hAnsiTheme="minorEastAsia" w:eastAsiaTheme="minorEastAsia" w:cstheme="minorEastAsia"/>
                <w:color w:val="auto"/>
                <w:kern w:val="0"/>
                <w:sz w:val="24"/>
                <w:szCs w:val="24"/>
                <w:highlight w:val="none"/>
              </w:rPr>
            </w:pPr>
          </w:p>
        </w:tc>
        <w:tc>
          <w:tcPr>
            <w:tcW w:w="2041" w:type="dxa"/>
            <w:noWrap w:val="0"/>
            <w:vAlign w:val="center"/>
          </w:tcPr>
          <w:p w14:paraId="1BE7DA26">
            <w:pPr>
              <w:keepNext w:val="0"/>
              <w:keepLines w:val="0"/>
              <w:pageBreakBefore w:val="0"/>
              <w:widowControl w:val="0"/>
              <w:shd w:val="clear" w:color="auto" w:fill="auto"/>
              <w:kinsoku w:val="0"/>
              <w:wordWrap w:val="0"/>
              <w:bidi w:val="0"/>
              <w:spacing w:line="560" w:lineRule="exact"/>
              <w:jc w:val="center"/>
              <w:textAlignment w:val="auto"/>
              <w:rPr>
                <w:rFonts w:hint="eastAsia" w:asciiTheme="minorEastAsia" w:hAnsiTheme="minorEastAsia" w:eastAsiaTheme="minorEastAsia" w:cstheme="minorEastAsia"/>
                <w:color w:val="auto"/>
                <w:kern w:val="0"/>
                <w:sz w:val="24"/>
                <w:szCs w:val="24"/>
                <w:highlight w:val="none"/>
              </w:rPr>
            </w:pPr>
          </w:p>
        </w:tc>
        <w:tc>
          <w:tcPr>
            <w:tcW w:w="1723" w:type="dxa"/>
            <w:noWrap w:val="0"/>
            <w:vAlign w:val="center"/>
          </w:tcPr>
          <w:p w14:paraId="701A9DB1">
            <w:pPr>
              <w:keepNext w:val="0"/>
              <w:keepLines w:val="0"/>
              <w:pageBreakBefore w:val="0"/>
              <w:widowControl w:val="0"/>
              <w:shd w:val="clear" w:color="auto" w:fill="auto"/>
              <w:kinsoku w:val="0"/>
              <w:wordWrap w:val="0"/>
              <w:bidi w:val="0"/>
              <w:spacing w:line="560" w:lineRule="exact"/>
              <w:jc w:val="left"/>
              <w:textAlignment w:val="auto"/>
              <w:rPr>
                <w:rFonts w:hint="eastAsia" w:asciiTheme="minorEastAsia" w:hAnsiTheme="minorEastAsia" w:eastAsiaTheme="minorEastAsia" w:cstheme="minorEastAsia"/>
                <w:color w:val="auto"/>
                <w:kern w:val="0"/>
                <w:sz w:val="24"/>
                <w:szCs w:val="24"/>
                <w:highlight w:val="none"/>
              </w:rPr>
            </w:pPr>
          </w:p>
        </w:tc>
        <w:tc>
          <w:tcPr>
            <w:tcW w:w="2496" w:type="dxa"/>
            <w:noWrap w:val="0"/>
            <w:vAlign w:val="center"/>
          </w:tcPr>
          <w:p w14:paraId="2E5C696E">
            <w:pPr>
              <w:keepNext w:val="0"/>
              <w:keepLines w:val="0"/>
              <w:pageBreakBefore w:val="0"/>
              <w:widowControl w:val="0"/>
              <w:shd w:val="clear" w:color="auto" w:fill="auto"/>
              <w:kinsoku w:val="0"/>
              <w:wordWrap w:val="0"/>
              <w:bidi w:val="0"/>
              <w:spacing w:line="560" w:lineRule="exact"/>
              <w:jc w:val="left"/>
              <w:textAlignment w:val="auto"/>
              <w:rPr>
                <w:rFonts w:hint="eastAsia" w:asciiTheme="minorEastAsia" w:hAnsiTheme="minorEastAsia" w:eastAsiaTheme="minorEastAsia" w:cstheme="minorEastAsia"/>
                <w:color w:val="auto"/>
                <w:kern w:val="0"/>
                <w:sz w:val="24"/>
                <w:szCs w:val="24"/>
                <w:highlight w:val="none"/>
              </w:rPr>
            </w:pPr>
          </w:p>
        </w:tc>
        <w:tc>
          <w:tcPr>
            <w:tcW w:w="1532" w:type="dxa"/>
            <w:noWrap w:val="0"/>
            <w:vAlign w:val="center"/>
          </w:tcPr>
          <w:p w14:paraId="4167E95D">
            <w:pPr>
              <w:keepNext w:val="0"/>
              <w:keepLines w:val="0"/>
              <w:pageBreakBefore w:val="0"/>
              <w:widowControl w:val="0"/>
              <w:shd w:val="clear" w:color="auto" w:fill="auto"/>
              <w:kinsoku w:val="0"/>
              <w:wordWrap w:val="0"/>
              <w:bidi w:val="0"/>
              <w:spacing w:line="560" w:lineRule="exact"/>
              <w:jc w:val="left"/>
              <w:textAlignment w:val="auto"/>
              <w:rPr>
                <w:rFonts w:hint="eastAsia" w:asciiTheme="minorEastAsia" w:hAnsiTheme="minorEastAsia" w:eastAsiaTheme="minorEastAsia" w:cstheme="minorEastAsia"/>
                <w:color w:val="auto"/>
                <w:kern w:val="0"/>
                <w:sz w:val="24"/>
                <w:szCs w:val="24"/>
                <w:highlight w:val="none"/>
              </w:rPr>
            </w:pPr>
          </w:p>
        </w:tc>
      </w:tr>
      <w:tr w14:paraId="579D46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763" w:type="dxa"/>
            <w:noWrap w:val="0"/>
            <w:vAlign w:val="center"/>
          </w:tcPr>
          <w:p w14:paraId="08CF5E3C">
            <w:pPr>
              <w:keepNext w:val="0"/>
              <w:keepLines w:val="0"/>
              <w:pageBreakBefore w:val="0"/>
              <w:widowControl w:val="0"/>
              <w:shd w:val="clear" w:color="auto" w:fill="auto"/>
              <w:kinsoku w:val="0"/>
              <w:wordWrap w:val="0"/>
              <w:bidi w:val="0"/>
              <w:spacing w:line="560" w:lineRule="exact"/>
              <w:jc w:val="left"/>
              <w:textAlignment w:val="auto"/>
              <w:rPr>
                <w:rFonts w:hint="eastAsia" w:asciiTheme="minorEastAsia" w:hAnsiTheme="minorEastAsia" w:eastAsiaTheme="minorEastAsia" w:cstheme="minorEastAsia"/>
                <w:color w:val="auto"/>
                <w:kern w:val="0"/>
                <w:sz w:val="24"/>
                <w:szCs w:val="24"/>
                <w:highlight w:val="none"/>
              </w:rPr>
            </w:pPr>
          </w:p>
        </w:tc>
        <w:tc>
          <w:tcPr>
            <w:tcW w:w="2041" w:type="dxa"/>
            <w:noWrap w:val="0"/>
            <w:vAlign w:val="center"/>
          </w:tcPr>
          <w:p w14:paraId="2B7A7FDE">
            <w:pPr>
              <w:keepNext w:val="0"/>
              <w:keepLines w:val="0"/>
              <w:pageBreakBefore w:val="0"/>
              <w:widowControl w:val="0"/>
              <w:shd w:val="clear" w:color="auto" w:fill="auto"/>
              <w:kinsoku w:val="0"/>
              <w:wordWrap w:val="0"/>
              <w:bidi w:val="0"/>
              <w:spacing w:line="560" w:lineRule="exact"/>
              <w:jc w:val="left"/>
              <w:textAlignment w:val="auto"/>
              <w:rPr>
                <w:rFonts w:hint="eastAsia" w:asciiTheme="minorEastAsia" w:hAnsiTheme="minorEastAsia" w:eastAsiaTheme="minorEastAsia" w:cstheme="minorEastAsia"/>
                <w:color w:val="auto"/>
                <w:kern w:val="0"/>
                <w:sz w:val="24"/>
                <w:szCs w:val="24"/>
                <w:highlight w:val="none"/>
              </w:rPr>
            </w:pPr>
          </w:p>
        </w:tc>
        <w:tc>
          <w:tcPr>
            <w:tcW w:w="1723" w:type="dxa"/>
            <w:noWrap w:val="0"/>
            <w:vAlign w:val="center"/>
          </w:tcPr>
          <w:p w14:paraId="3C8E39C2">
            <w:pPr>
              <w:keepNext w:val="0"/>
              <w:keepLines w:val="0"/>
              <w:pageBreakBefore w:val="0"/>
              <w:widowControl w:val="0"/>
              <w:shd w:val="clear" w:color="auto" w:fill="auto"/>
              <w:kinsoku w:val="0"/>
              <w:wordWrap w:val="0"/>
              <w:bidi w:val="0"/>
              <w:spacing w:line="560" w:lineRule="exact"/>
              <w:jc w:val="left"/>
              <w:textAlignment w:val="auto"/>
              <w:rPr>
                <w:rFonts w:hint="eastAsia" w:asciiTheme="minorEastAsia" w:hAnsiTheme="minorEastAsia" w:eastAsiaTheme="minorEastAsia" w:cstheme="minorEastAsia"/>
                <w:color w:val="auto"/>
                <w:kern w:val="0"/>
                <w:sz w:val="24"/>
                <w:szCs w:val="24"/>
                <w:highlight w:val="none"/>
              </w:rPr>
            </w:pPr>
          </w:p>
        </w:tc>
        <w:tc>
          <w:tcPr>
            <w:tcW w:w="2496" w:type="dxa"/>
            <w:noWrap w:val="0"/>
            <w:vAlign w:val="center"/>
          </w:tcPr>
          <w:p w14:paraId="5054374A">
            <w:pPr>
              <w:keepNext w:val="0"/>
              <w:keepLines w:val="0"/>
              <w:pageBreakBefore w:val="0"/>
              <w:widowControl w:val="0"/>
              <w:shd w:val="clear" w:color="auto" w:fill="auto"/>
              <w:kinsoku w:val="0"/>
              <w:wordWrap w:val="0"/>
              <w:bidi w:val="0"/>
              <w:spacing w:line="560" w:lineRule="exact"/>
              <w:jc w:val="left"/>
              <w:textAlignment w:val="auto"/>
              <w:rPr>
                <w:rFonts w:hint="eastAsia" w:asciiTheme="minorEastAsia" w:hAnsiTheme="minorEastAsia" w:eastAsiaTheme="minorEastAsia" w:cstheme="minorEastAsia"/>
                <w:color w:val="auto"/>
                <w:kern w:val="0"/>
                <w:sz w:val="24"/>
                <w:szCs w:val="24"/>
                <w:highlight w:val="none"/>
              </w:rPr>
            </w:pPr>
          </w:p>
        </w:tc>
        <w:tc>
          <w:tcPr>
            <w:tcW w:w="1532" w:type="dxa"/>
            <w:noWrap w:val="0"/>
            <w:vAlign w:val="center"/>
          </w:tcPr>
          <w:p w14:paraId="0BF20746">
            <w:pPr>
              <w:keepNext w:val="0"/>
              <w:keepLines w:val="0"/>
              <w:pageBreakBefore w:val="0"/>
              <w:widowControl w:val="0"/>
              <w:shd w:val="clear" w:color="auto" w:fill="auto"/>
              <w:kinsoku w:val="0"/>
              <w:wordWrap w:val="0"/>
              <w:bidi w:val="0"/>
              <w:spacing w:line="560" w:lineRule="exact"/>
              <w:jc w:val="left"/>
              <w:textAlignment w:val="auto"/>
              <w:rPr>
                <w:rFonts w:hint="eastAsia" w:asciiTheme="minorEastAsia" w:hAnsiTheme="minorEastAsia" w:eastAsiaTheme="minorEastAsia" w:cstheme="minorEastAsia"/>
                <w:color w:val="auto"/>
                <w:kern w:val="0"/>
                <w:sz w:val="24"/>
                <w:szCs w:val="24"/>
                <w:highlight w:val="none"/>
              </w:rPr>
            </w:pPr>
          </w:p>
        </w:tc>
      </w:tr>
      <w:tr w14:paraId="5ABE4D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763" w:type="dxa"/>
            <w:noWrap w:val="0"/>
            <w:vAlign w:val="center"/>
          </w:tcPr>
          <w:p w14:paraId="59625BF5">
            <w:pPr>
              <w:keepNext w:val="0"/>
              <w:keepLines w:val="0"/>
              <w:pageBreakBefore w:val="0"/>
              <w:widowControl w:val="0"/>
              <w:shd w:val="clear" w:color="auto" w:fill="auto"/>
              <w:kinsoku w:val="0"/>
              <w:wordWrap w:val="0"/>
              <w:bidi w:val="0"/>
              <w:spacing w:line="560" w:lineRule="exact"/>
              <w:jc w:val="left"/>
              <w:textAlignment w:val="auto"/>
              <w:rPr>
                <w:rFonts w:hint="eastAsia" w:asciiTheme="minorEastAsia" w:hAnsiTheme="minorEastAsia" w:eastAsiaTheme="minorEastAsia" w:cstheme="minorEastAsia"/>
                <w:color w:val="auto"/>
                <w:kern w:val="0"/>
                <w:sz w:val="24"/>
                <w:szCs w:val="24"/>
                <w:highlight w:val="none"/>
              </w:rPr>
            </w:pPr>
          </w:p>
        </w:tc>
        <w:tc>
          <w:tcPr>
            <w:tcW w:w="2041" w:type="dxa"/>
            <w:noWrap w:val="0"/>
            <w:vAlign w:val="center"/>
          </w:tcPr>
          <w:p w14:paraId="42AF6FBF">
            <w:pPr>
              <w:keepNext w:val="0"/>
              <w:keepLines w:val="0"/>
              <w:pageBreakBefore w:val="0"/>
              <w:widowControl w:val="0"/>
              <w:shd w:val="clear" w:color="auto" w:fill="auto"/>
              <w:kinsoku w:val="0"/>
              <w:wordWrap w:val="0"/>
              <w:bidi w:val="0"/>
              <w:spacing w:line="560" w:lineRule="exact"/>
              <w:jc w:val="left"/>
              <w:textAlignment w:val="auto"/>
              <w:rPr>
                <w:rFonts w:hint="eastAsia" w:asciiTheme="minorEastAsia" w:hAnsiTheme="minorEastAsia" w:eastAsiaTheme="minorEastAsia" w:cstheme="minorEastAsia"/>
                <w:color w:val="auto"/>
                <w:kern w:val="0"/>
                <w:sz w:val="24"/>
                <w:szCs w:val="24"/>
                <w:highlight w:val="none"/>
              </w:rPr>
            </w:pPr>
          </w:p>
        </w:tc>
        <w:tc>
          <w:tcPr>
            <w:tcW w:w="1723" w:type="dxa"/>
            <w:noWrap w:val="0"/>
            <w:vAlign w:val="center"/>
          </w:tcPr>
          <w:p w14:paraId="0A65703C">
            <w:pPr>
              <w:keepNext w:val="0"/>
              <w:keepLines w:val="0"/>
              <w:pageBreakBefore w:val="0"/>
              <w:widowControl w:val="0"/>
              <w:shd w:val="clear" w:color="auto" w:fill="auto"/>
              <w:kinsoku w:val="0"/>
              <w:wordWrap w:val="0"/>
              <w:bidi w:val="0"/>
              <w:spacing w:line="560" w:lineRule="exact"/>
              <w:jc w:val="left"/>
              <w:textAlignment w:val="auto"/>
              <w:rPr>
                <w:rFonts w:hint="eastAsia" w:asciiTheme="minorEastAsia" w:hAnsiTheme="minorEastAsia" w:eastAsiaTheme="minorEastAsia" w:cstheme="minorEastAsia"/>
                <w:color w:val="auto"/>
                <w:kern w:val="0"/>
                <w:sz w:val="24"/>
                <w:szCs w:val="24"/>
                <w:highlight w:val="none"/>
              </w:rPr>
            </w:pPr>
          </w:p>
        </w:tc>
        <w:tc>
          <w:tcPr>
            <w:tcW w:w="2496" w:type="dxa"/>
            <w:noWrap w:val="0"/>
            <w:vAlign w:val="center"/>
          </w:tcPr>
          <w:p w14:paraId="2BC33AC6">
            <w:pPr>
              <w:keepNext w:val="0"/>
              <w:keepLines w:val="0"/>
              <w:pageBreakBefore w:val="0"/>
              <w:widowControl w:val="0"/>
              <w:shd w:val="clear" w:color="auto" w:fill="auto"/>
              <w:kinsoku w:val="0"/>
              <w:wordWrap w:val="0"/>
              <w:bidi w:val="0"/>
              <w:spacing w:line="560" w:lineRule="exact"/>
              <w:jc w:val="left"/>
              <w:textAlignment w:val="auto"/>
              <w:rPr>
                <w:rFonts w:hint="eastAsia" w:asciiTheme="minorEastAsia" w:hAnsiTheme="minorEastAsia" w:eastAsiaTheme="minorEastAsia" w:cstheme="minorEastAsia"/>
                <w:color w:val="auto"/>
                <w:kern w:val="0"/>
                <w:sz w:val="24"/>
                <w:szCs w:val="24"/>
                <w:highlight w:val="none"/>
              </w:rPr>
            </w:pPr>
          </w:p>
        </w:tc>
        <w:tc>
          <w:tcPr>
            <w:tcW w:w="1532" w:type="dxa"/>
            <w:noWrap w:val="0"/>
            <w:vAlign w:val="center"/>
          </w:tcPr>
          <w:p w14:paraId="5037726B">
            <w:pPr>
              <w:keepNext w:val="0"/>
              <w:keepLines w:val="0"/>
              <w:pageBreakBefore w:val="0"/>
              <w:widowControl w:val="0"/>
              <w:shd w:val="clear" w:color="auto" w:fill="auto"/>
              <w:kinsoku w:val="0"/>
              <w:wordWrap w:val="0"/>
              <w:bidi w:val="0"/>
              <w:spacing w:line="560" w:lineRule="exact"/>
              <w:jc w:val="left"/>
              <w:textAlignment w:val="auto"/>
              <w:rPr>
                <w:rFonts w:hint="eastAsia" w:asciiTheme="minorEastAsia" w:hAnsiTheme="minorEastAsia" w:eastAsiaTheme="minorEastAsia" w:cstheme="minorEastAsia"/>
                <w:color w:val="auto"/>
                <w:kern w:val="0"/>
                <w:sz w:val="24"/>
                <w:szCs w:val="24"/>
                <w:highlight w:val="none"/>
              </w:rPr>
            </w:pPr>
          </w:p>
        </w:tc>
      </w:tr>
      <w:tr w14:paraId="5AB5F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763" w:type="dxa"/>
            <w:noWrap w:val="0"/>
            <w:vAlign w:val="center"/>
          </w:tcPr>
          <w:p w14:paraId="54B52835">
            <w:pPr>
              <w:keepNext w:val="0"/>
              <w:keepLines w:val="0"/>
              <w:pageBreakBefore w:val="0"/>
              <w:widowControl w:val="0"/>
              <w:shd w:val="clear" w:color="auto" w:fill="auto"/>
              <w:kinsoku w:val="0"/>
              <w:wordWrap w:val="0"/>
              <w:bidi w:val="0"/>
              <w:spacing w:line="560" w:lineRule="exact"/>
              <w:jc w:val="left"/>
              <w:textAlignment w:val="auto"/>
              <w:rPr>
                <w:rFonts w:hint="eastAsia" w:asciiTheme="minorEastAsia" w:hAnsiTheme="minorEastAsia" w:eastAsiaTheme="minorEastAsia" w:cstheme="minorEastAsia"/>
                <w:color w:val="auto"/>
                <w:kern w:val="0"/>
                <w:sz w:val="24"/>
                <w:szCs w:val="24"/>
                <w:highlight w:val="none"/>
              </w:rPr>
            </w:pPr>
          </w:p>
        </w:tc>
        <w:tc>
          <w:tcPr>
            <w:tcW w:w="2041" w:type="dxa"/>
            <w:noWrap w:val="0"/>
            <w:vAlign w:val="center"/>
          </w:tcPr>
          <w:p w14:paraId="33C06A7D">
            <w:pPr>
              <w:keepNext w:val="0"/>
              <w:keepLines w:val="0"/>
              <w:pageBreakBefore w:val="0"/>
              <w:widowControl w:val="0"/>
              <w:shd w:val="clear" w:color="auto" w:fill="auto"/>
              <w:kinsoku w:val="0"/>
              <w:wordWrap w:val="0"/>
              <w:bidi w:val="0"/>
              <w:spacing w:line="560" w:lineRule="exact"/>
              <w:jc w:val="left"/>
              <w:textAlignment w:val="auto"/>
              <w:rPr>
                <w:rFonts w:hint="eastAsia" w:asciiTheme="minorEastAsia" w:hAnsiTheme="minorEastAsia" w:eastAsiaTheme="minorEastAsia" w:cstheme="minorEastAsia"/>
                <w:color w:val="auto"/>
                <w:kern w:val="0"/>
                <w:sz w:val="24"/>
                <w:szCs w:val="24"/>
                <w:highlight w:val="none"/>
              </w:rPr>
            </w:pPr>
          </w:p>
        </w:tc>
        <w:tc>
          <w:tcPr>
            <w:tcW w:w="1723" w:type="dxa"/>
            <w:noWrap w:val="0"/>
            <w:vAlign w:val="center"/>
          </w:tcPr>
          <w:p w14:paraId="53EBF43D">
            <w:pPr>
              <w:keepNext w:val="0"/>
              <w:keepLines w:val="0"/>
              <w:pageBreakBefore w:val="0"/>
              <w:widowControl w:val="0"/>
              <w:shd w:val="clear" w:color="auto" w:fill="auto"/>
              <w:kinsoku w:val="0"/>
              <w:wordWrap w:val="0"/>
              <w:bidi w:val="0"/>
              <w:spacing w:line="560" w:lineRule="exact"/>
              <w:jc w:val="left"/>
              <w:textAlignment w:val="auto"/>
              <w:rPr>
                <w:rFonts w:hint="eastAsia" w:asciiTheme="minorEastAsia" w:hAnsiTheme="minorEastAsia" w:eastAsiaTheme="minorEastAsia" w:cstheme="minorEastAsia"/>
                <w:color w:val="auto"/>
                <w:kern w:val="0"/>
                <w:sz w:val="24"/>
                <w:szCs w:val="24"/>
                <w:highlight w:val="none"/>
              </w:rPr>
            </w:pPr>
          </w:p>
        </w:tc>
        <w:tc>
          <w:tcPr>
            <w:tcW w:w="2496" w:type="dxa"/>
            <w:noWrap w:val="0"/>
            <w:vAlign w:val="center"/>
          </w:tcPr>
          <w:p w14:paraId="17AED80C">
            <w:pPr>
              <w:keepNext w:val="0"/>
              <w:keepLines w:val="0"/>
              <w:pageBreakBefore w:val="0"/>
              <w:widowControl w:val="0"/>
              <w:shd w:val="clear" w:color="auto" w:fill="auto"/>
              <w:kinsoku w:val="0"/>
              <w:wordWrap w:val="0"/>
              <w:bidi w:val="0"/>
              <w:spacing w:line="560" w:lineRule="exact"/>
              <w:jc w:val="left"/>
              <w:textAlignment w:val="auto"/>
              <w:rPr>
                <w:rFonts w:hint="eastAsia" w:asciiTheme="minorEastAsia" w:hAnsiTheme="minorEastAsia" w:eastAsiaTheme="minorEastAsia" w:cstheme="minorEastAsia"/>
                <w:color w:val="auto"/>
                <w:kern w:val="0"/>
                <w:sz w:val="24"/>
                <w:szCs w:val="24"/>
                <w:highlight w:val="none"/>
              </w:rPr>
            </w:pPr>
          </w:p>
        </w:tc>
        <w:tc>
          <w:tcPr>
            <w:tcW w:w="1532" w:type="dxa"/>
            <w:noWrap w:val="0"/>
            <w:vAlign w:val="center"/>
          </w:tcPr>
          <w:p w14:paraId="5A754B9E">
            <w:pPr>
              <w:keepNext w:val="0"/>
              <w:keepLines w:val="0"/>
              <w:pageBreakBefore w:val="0"/>
              <w:widowControl w:val="0"/>
              <w:shd w:val="clear" w:color="auto" w:fill="auto"/>
              <w:kinsoku w:val="0"/>
              <w:wordWrap w:val="0"/>
              <w:bidi w:val="0"/>
              <w:spacing w:line="560" w:lineRule="exact"/>
              <w:jc w:val="left"/>
              <w:textAlignment w:val="auto"/>
              <w:rPr>
                <w:rFonts w:hint="eastAsia" w:asciiTheme="minorEastAsia" w:hAnsiTheme="minorEastAsia" w:eastAsiaTheme="minorEastAsia" w:cstheme="minorEastAsia"/>
                <w:color w:val="auto"/>
                <w:kern w:val="0"/>
                <w:sz w:val="24"/>
                <w:szCs w:val="24"/>
                <w:highlight w:val="none"/>
              </w:rPr>
            </w:pPr>
          </w:p>
        </w:tc>
      </w:tr>
      <w:tr w14:paraId="5AFB7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763" w:type="dxa"/>
            <w:noWrap w:val="0"/>
            <w:vAlign w:val="center"/>
          </w:tcPr>
          <w:p w14:paraId="2B4B0BA5">
            <w:pPr>
              <w:keepNext w:val="0"/>
              <w:keepLines w:val="0"/>
              <w:pageBreakBefore w:val="0"/>
              <w:widowControl w:val="0"/>
              <w:shd w:val="clear" w:color="auto" w:fill="auto"/>
              <w:kinsoku w:val="0"/>
              <w:wordWrap w:val="0"/>
              <w:bidi w:val="0"/>
              <w:spacing w:line="560" w:lineRule="exact"/>
              <w:jc w:val="left"/>
              <w:textAlignment w:val="auto"/>
              <w:rPr>
                <w:rFonts w:hint="eastAsia" w:asciiTheme="minorEastAsia" w:hAnsiTheme="minorEastAsia" w:eastAsiaTheme="minorEastAsia" w:cstheme="minorEastAsia"/>
                <w:color w:val="auto"/>
                <w:kern w:val="0"/>
                <w:sz w:val="24"/>
                <w:szCs w:val="24"/>
                <w:highlight w:val="none"/>
              </w:rPr>
            </w:pPr>
          </w:p>
        </w:tc>
        <w:tc>
          <w:tcPr>
            <w:tcW w:w="2041" w:type="dxa"/>
            <w:noWrap w:val="0"/>
            <w:vAlign w:val="center"/>
          </w:tcPr>
          <w:p w14:paraId="03BB7C52">
            <w:pPr>
              <w:keepNext w:val="0"/>
              <w:keepLines w:val="0"/>
              <w:pageBreakBefore w:val="0"/>
              <w:widowControl w:val="0"/>
              <w:shd w:val="clear" w:color="auto" w:fill="auto"/>
              <w:kinsoku w:val="0"/>
              <w:wordWrap w:val="0"/>
              <w:bidi w:val="0"/>
              <w:spacing w:line="560" w:lineRule="exact"/>
              <w:jc w:val="left"/>
              <w:textAlignment w:val="auto"/>
              <w:rPr>
                <w:rFonts w:hint="eastAsia" w:asciiTheme="minorEastAsia" w:hAnsiTheme="minorEastAsia" w:eastAsiaTheme="minorEastAsia" w:cstheme="minorEastAsia"/>
                <w:color w:val="auto"/>
                <w:kern w:val="0"/>
                <w:sz w:val="24"/>
                <w:szCs w:val="24"/>
                <w:highlight w:val="none"/>
              </w:rPr>
            </w:pPr>
          </w:p>
        </w:tc>
        <w:tc>
          <w:tcPr>
            <w:tcW w:w="1723" w:type="dxa"/>
            <w:noWrap w:val="0"/>
            <w:vAlign w:val="center"/>
          </w:tcPr>
          <w:p w14:paraId="223638E7">
            <w:pPr>
              <w:keepNext w:val="0"/>
              <w:keepLines w:val="0"/>
              <w:pageBreakBefore w:val="0"/>
              <w:widowControl w:val="0"/>
              <w:shd w:val="clear" w:color="auto" w:fill="auto"/>
              <w:kinsoku w:val="0"/>
              <w:wordWrap w:val="0"/>
              <w:bidi w:val="0"/>
              <w:spacing w:line="560" w:lineRule="exact"/>
              <w:jc w:val="left"/>
              <w:textAlignment w:val="auto"/>
              <w:rPr>
                <w:rFonts w:hint="eastAsia" w:asciiTheme="minorEastAsia" w:hAnsiTheme="minorEastAsia" w:eastAsiaTheme="minorEastAsia" w:cstheme="minorEastAsia"/>
                <w:color w:val="auto"/>
                <w:kern w:val="0"/>
                <w:sz w:val="24"/>
                <w:szCs w:val="24"/>
                <w:highlight w:val="none"/>
              </w:rPr>
            </w:pPr>
          </w:p>
        </w:tc>
        <w:tc>
          <w:tcPr>
            <w:tcW w:w="2496" w:type="dxa"/>
            <w:noWrap w:val="0"/>
            <w:vAlign w:val="center"/>
          </w:tcPr>
          <w:p w14:paraId="4C25FE93">
            <w:pPr>
              <w:keepNext w:val="0"/>
              <w:keepLines w:val="0"/>
              <w:pageBreakBefore w:val="0"/>
              <w:widowControl w:val="0"/>
              <w:shd w:val="clear" w:color="auto" w:fill="auto"/>
              <w:kinsoku w:val="0"/>
              <w:wordWrap w:val="0"/>
              <w:bidi w:val="0"/>
              <w:spacing w:line="560" w:lineRule="exact"/>
              <w:jc w:val="left"/>
              <w:textAlignment w:val="auto"/>
              <w:rPr>
                <w:rFonts w:hint="eastAsia" w:asciiTheme="minorEastAsia" w:hAnsiTheme="minorEastAsia" w:eastAsiaTheme="minorEastAsia" w:cstheme="minorEastAsia"/>
                <w:color w:val="auto"/>
                <w:kern w:val="0"/>
                <w:sz w:val="24"/>
                <w:szCs w:val="24"/>
                <w:highlight w:val="none"/>
              </w:rPr>
            </w:pPr>
          </w:p>
        </w:tc>
        <w:tc>
          <w:tcPr>
            <w:tcW w:w="1532" w:type="dxa"/>
            <w:noWrap w:val="0"/>
            <w:vAlign w:val="center"/>
          </w:tcPr>
          <w:p w14:paraId="64A4669E">
            <w:pPr>
              <w:keepNext w:val="0"/>
              <w:keepLines w:val="0"/>
              <w:pageBreakBefore w:val="0"/>
              <w:widowControl w:val="0"/>
              <w:shd w:val="clear" w:color="auto" w:fill="auto"/>
              <w:kinsoku w:val="0"/>
              <w:wordWrap w:val="0"/>
              <w:bidi w:val="0"/>
              <w:spacing w:line="560" w:lineRule="exact"/>
              <w:jc w:val="left"/>
              <w:textAlignment w:val="auto"/>
              <w:rPr>
                <w:rFonts w:hint="eastAsia" w:asciiTheme="minorEastAsia" w:hAnsiTheme="minorEastAsia" w:eastAsiaTheme="minorEastAsia" w:cstheme="minorEastAsia"/>
                <w:color w:val="auto"/>
                <w:kern w:val="0"/>
                <w:sz w:val="24"/>
                <w:szCs w:val="24"/>
                <w:highlight w:val="none"/>
              </w:rPr>
            </w:pPr>
          </w:p>
        </w:tc>
      </w:tr>
    </w:tbl>
    <w:p w14:paraId="6552B110">
      <w:pPr>
        <w:pStyle w:val="7"/>
        <w:keepNext w:val="0"/>
        <w:keepLines w:val="0"/>
        <w:pageBreakBefore w:val="0"/>
        <w:widowControl w:val="0"/>
        <w:shd w:val="clear" w:color="auto" w:fill="auto"/>
        <w:kinsoku w:val="0"/>
        <w:wordWrap w:val="0"/>
        <w:bidi w:val="0"/>
        <w:spacing w:line="480" w:lineRule="exact"/>
        <w:ind w:firstLine="422"/>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注：1.投标文件</w:t>
      </w:r>
      <w:r>
        <w:rPr>
          <w:rFonts w:hint="eastAsia" w:asciiTheme="minorEastAsia" w:hAnsiTheme="minorEastAsia" w:eastAsiaTheme="minorEastAsia" w:cstheme="minorEastAsia"/>
          <w:b/>
          <w:color w:val="auto"/>
          <w:sz w:val="24"/>
          <w:szCs w:val="24"/>
          <w:highlight w:val="none"/>
          <w:lang w:val="en-US" w:eastAsia="zh-CN"/>
        </w:rPr>
        <w:t>商务</w:t>
      </w:r>
      <w:r>
        <w:rPr>
          <w:rFonts w:hint="eastAsia" w:asciiTheme="minorEastAsia" w:hAnsiTheme="minorEastAsia" w:eastAsiaTheme="minorEastAsia" w:cstheme="minorEastAsia"/>
          <w:b/>
          <w:color w:val="auto"/>
          <w:sz w:val="24"/>
          <w:szCs w:val="24"/>
          <w:highlight w:val="none"/>
        </w:rPr>
        <w:t>条款如与采购文件的要求有偏离，请认真填写该表。如无偏离，则只注需注明“无偏离”即可，无需另行填表。</w:t>
      </w:r>
    </w:p>
    <w:p w14:paraId="4AC67F2F">
      <w:pPr>
        <w:pStyle w:val="7"/>
        <w:keepNext w:val="0"/>
        <w:keepLines w:val="0"/>
        <w:pageBreakBefore w:val="0"/>
        <w:widowControl w:val="0"/>
        <w:shd w:val="clear" w:color="auto" w:fill="auto"/>
        <w:kinsoku w:val="0"/>
        <w:wordWrap w:val="0"/>
        <w:bidi w:val="0"/>
        <w:spacing w:line="480" w:lineRule="exact"/>
        <w:ind w:firstLine="422"/>
        <w:textAlignment w:val="auto"/>
        <w:rPr>
          <w:rFonts w:hint="eastAsia" w:asciiTheme="minorEastAsia" w:hAnsiTheme="minorEastAsia" w:eastAsiaTheme="minorEastAsia" w:cstheme="minorEastAsia"/>
          <w:b/>
          <w:color w:val="auto"/>
          <w:sz w:val="24"/>
          <w:szCs w:val="24"/>
          <w:highlight w:val="none"/>
        </w:rPr>
      </w:pPr>
    </w:p>
    <w:p w14:paraId="610E888F">
      <w:pPr>
        <w:keepNext w:val="0"/>
        <w:keepLines w:val="0"/>
        <w:pageBreakBefore w:val="0"/>
        <w:widowControl w:val="0"/>
        <w:shd w:val="clear" w:color="auto" w:fill="auto"/>
        <w:kinsoku w:val="0"/>
        <w:wordWrap w:val="0"/>
        <w:bidi w:val="0"/>
        <w:spacing w:line="360" w:lineRule="auto"/>
        <w:textAlignment w:val="auto"/>
        <w:rPr>
          <w:rFonts w:hint="eastAsia" w:asciiTheme="minorEastAsia" w:hAnsiTheme="minorEastAsia" w:eastAsiaTheme="minorEastAsia" w:cstheme="minorEastAsia"/>
          <w:color w:val="auto"/>
          <w:szCs w:val="21"/>
          <w:highlight w:val="none"/>
        </w:rPr>
      </w:pPr>
    </w:p>
    <w:p w14:paraId="73FD7931">
      <w:pPr>
        <w:keepNext w:val="0"/>
        <w:keepLines w:val="0"/>
        <w:pageBreakBefore w:val="0"/>
        <w:widowControl w:val="0"/>
        <w:shd w:val="clear" w:color="auto" w:fill="auto"/>
        <w:kinsoku w:val="0"/>
        <w:wordWrap w:val="0"/>
        <w:bidi w:val="0"/>
        <w:spacing w:line="360" w:lineRule="auto"/>
        <w:ind w:firstLine="2730" w:firstLineChars="1300"/>
        <w:textAlignment w:val="auto"/>
        <w:rPr>
          <w:rFonts w:hint="eastAsia" w:asciiTheme="minorEastAsia" w:hAnsiTheme="minorEastAsia" w:eastAsiaTheme="minorEastAsia" w:cstheme="minorEastAsia"/>
          <w:color w:val="auto"/>
          <w:szCs w:val="21"/>
          <w:highlight w:val="none"/>
        </w:rPr>
      </w:pPr>
    </w:p>
    <w:p w14:paraId="6350F5ED">
      <w:pPr>
        <w:keepNext w:val="0"/>
        <w:keepLines w:val="0"/>
        <w:pageBreakBefore w:val="0"/>
        <w:widowControl w:val="0"/>
        <w:shd w:val="clear" w:color="auto" w:fill="auto"/>
        <w:kinsoku w:val="0"/>
        <w:wordWrap w:val="0"/>
        <w:bidi w:val="0"/>
        <w:spacing w:line="360" w:lineRule="auto"/>
        <w:ind w:firstLine="2730" w:firstLineChars="1300"/>
        <w:textAlignment w:val="auto"/>
        <w:rPr>
          <w:rFonts w:hint="eastAsia" w:asciiTheme="minorEastAsia" w:hAnsiTheme="minorEastAsia" w:eastAsiaTheme="minorEastAsia" w:cstheme="minorEastAsia"/>
          <w:color w:val="auto"/>
          <w:szCs w:val="21"/>
          <w:highlight w:val="none"/>
        </w:rPr>
      </w:pPr>
    </w:p>
    <w:p w14:paraId="6BA55BF6">
      <w:pPr>
        <w:keepNext w:val="0"/>
        <w:keepLines w:val="0"/>
        <w:pageBreakBefore w:val="0"/>
        <w:widowControl w:val="0"/>
        <w:shd w:val="clear" w:color="auto" w:fill="auto"/>
        <w:kinsoku w:val="0"/>
        <w:wordWrap w:val="0"/>
        <w:bidi w:val="0"/>
        <w:spacing w:line="360" w:lineRule="auto"/>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供应商</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（电子签章）</w:t>
      </w:r>
    </w:p>
    <w:p w14:paraId="4F78D75E">
      <w:pPr>
        <w:keepNext w:val="0"/>
        <w:keepLines w:val="0"/>
        <w:pageBreakBefore w:val="0"/>
        <w:widowControl w:val="0"/>
        <w:shd w:val="clear" w:color="auto" w:fill="auto"/>
        <w:kinsoku w:val="0"/>
        <w:wordWrap w:val="0"/>
        <w:bidi w:val="0"/>
        <w:spacing w:line="360" w:lineRule="auto"/>
        <w:ind w:firstLine="3240" w:firstLineChars="1350"/>
        <w:jc w:val="left"/>
        <w:textAlignment w:val="auto"/>
        <w:rPr>
          <w:rFonts w:hint="eastAsia" w:asciiTheme="minorEastAsia" w:hAnsiTheme="minorEastAsia" w:eastAsiaTheme="minorEastAsia" w:cstheme="minorEastAsia"/>
          <w:color w:val="auto"/>
          <w:sz w:val="24"/>
          <w:szCs w:val="24"/>
          <w:highlight w:val="none"/>
        </w:rPr>
      </w:pPr>
    </w:p>
    <w:p w14:paraId="71AF733A">
      <w:pPr>
        <w:keepNext w:val="0"/>
        <w:keepLines w:val="0"/>
        <w:pageBreakBefore w:val="0"/>
        <w:widowControl w:val="0"/>
        <w:shd w:val="clear" w:color="auto" w:fill="auto"/>
        <w:kinsoku w:val="0"/>
        <w:wordWrap w:val="0"/>
        <w:bidi w:val="0"/>
        <w:spacing w:line="360" w:lineRule="auto"/>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法定代表人或其委托代理人</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lang w:eastAsia="zh-CN"/>
        </w:rPr>
        <w:t>（电子签章）</w:t>
      </w:r>
    </w:p>
    <w:p w14:paraId="245DE561">
      <w:pPr>
        <w:keepNext w:val="0"/>
        <w:keepLines w:val="0"/>
        <w:pageBreakBefore w:val="0"/>
        <w:widowControl w:val="0"/>
        <w:shd w:val="clear" w:color="auto" w:fill="auto"/>
        <w:kinsoku w:val="0"/>
        <w:wordWrap w:val="0"/>
        <w:bidi w:val="0"/>
        <w:spacing w:line="360" w:lineRule="auto"/>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14:paraId="52DB41ED">
      <w:pPr>
        <w:keepNext w:val="0"/>
        <w:keepLines w:val="0"/>
        <w:pageBreakBefore w:val="0"/>
        <w:widowControl w:val="0"/>
        <w:shd w:val="clear" w:color="auto" w:fill="auto"/>
        <w:kinsoku w:val="0"/>
        <w:wordWrap w:val="0"/>
        <w:bidi w:val="0"/>
        <w:spacing w:line="360" w:lineRule="auto"/>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日  期：</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年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p w14:paraId="52883A68">
      <w:pPr>
        <w:keepNext w:val="0"/>
        <w:keepLines w:val="0"/>
        <w:pageBreakBefore w:val="0"/>
        <w:widowControl w:val="0"/>
        <w:shd w:val="clear" w:color="auto" w:fill="auto"/>
        <w:kinsoku w:val="0"/>
        <w:wordWrap w:val="0"/>
        <w:bidi w:val="0"/>
        <w:spacing w:line="360" w:lineRule="auto"/>
        <w:ind w:firstLine="2940" w:firstLineChars="1400"/>
        <w:jc w:val="right"/>
        <w:textAlignment w:val="auto"/>
        <w:rPr>
          <w:rFonts w:hint="eastAsia" w:asciiTheme="minorEastAsia" w:hAnsiTheme="minorEastAsia" w:eastAsiaTheme="minorEastAsia" w:cstheme="minorEastAsia"/>
          <w:color w:val="auto"/>
          <w:szCs w:val="21"/>
          <w:highlight w:val="none"/>
        </w:rPr>
      </w:pPr>
    </w:p>
    <w:p w14:paraId="1E243F61">
      <w:pPr>
        <w:keepNext w:val="0"/>
        <w:keepLines w:val="0"/>
        <w:pageBreakBefore w:val="0"/>
        <w:widowControl w:val="0"/>
        <w:shd w:val="clear" w:color="auto" w:fill="auto"/>
        <w:kinsoku w:val="0"/>
        <w:wordWrap w:val="0"/>
        <w:bidi w:val="0"/>
        <w:jc w:val="center"/>
        <w:textAlignment w:val="auto"/>
        <w:outlineLvl w:val="1"/>
        <w:rPr>
          <w:rFonts w:hint="eastAsia" w:asciiTheme="minorEastAsia" w:hAnsiTheme="minorEastAsia" w:eastAsiaTheme="minorEastAsia" w:cstheme="minorEastAsia"/>
          <w:b/>
          <w:color w:val="auto"/>
          <w:sz w:val="24"/>
          <w:szCs w:val="24"/>
          <w:highlight w:val="none"/>
          <w:lang w:val="en-US" w:eastAsia="zh-CN"/>
        </w:rPr>
        <w:sectPr>
          <w:headerReference r:id="rId15" w:type="default"/>
          <w:footerReference r:id="rId16" w:type="default"/>
          <w:pgSz w:w="11906" w:h="16838"/>
          <w:pgMar w:top="1361" w:right="1474" w:bottom="1361" w:left="1587" w:header="850" w:footer="992" w:gutter="0"/>
          <w:pgNumType w:fmt="decimal"/>
          <w:cols w:space="0" w:num="1"/>
          <w:rtlGutter w:val="0"/>
          <w:docGrid w:type="lines" w:linePitch="314" w:charSpace="0"/>
        </w:sectPr>
      </w:pPr>
    </w:p>
    <w:p w14:paraId="34E0D04C">
      <w:pPr>
        <w:keepNext w:val="0"/>
        <w:keepLines w:val="0"/>
        <w:pageBreakBefore w:val="0"/>
        <w:widowControl w:val="0"/>
        <w:shd w:val="clear" w:color="auto" w:fill="auto"/>
        <w:kinsoku w:val="0"/>
        <w:wordWrap w:val="0"/>
        <w:bidi w:val="0"/>
        <w:jc w:val="center"/>
        <w:textAlignment w:val="auto"/>
        <w:outlineLvl w:val="1"/>
        <w:rPr>
          <w:rFonts w:hint="eastAsia" w:asciiTheme="minorEastAsia" w:hAnsiTheme="minorEastAsia" w:eastAsiaTheme="minorEastAsia" w:cstheme="minorEastAsia"/>
          <w:b/>
          <w:color w:val="auto"/>
          <w:sz w:val="24"/>
          <w:szCs w:val="24"/>
          <w:highlight w:val="none"/>
        </w:rPr>
      </w:pPr>
      <w:bookmarkStart w:id="129" w:name="_Toc13639"/>
      <w:bookmarkStart w:id="130" w:name="_Toc6647"/>
      <w:r>
        <w:rPr>
          <w:rFonts w:hint="eastAsia" w:asciiTheme="minorEastAsia" w:hAnsiTheme="minorEastAsia" w:eastAsiaTheme="minorEastAsia" w:cstheme="minorEastAsia"/>
          <w:b/>
          <w:color w:val="auto"/>
          <w:sz w:val="24"/>
          <w:szCs w:val="24"/>
          <w:highlight w:val="none"/>
          <w:lang w:val="en-US" w:eastAsia="zh-CN"/>
        </w:rPr>
        <w:t>九、技术条款</w:t>
      </w:r>
      <w:r>
        <w:rPr>
          <w:rFonts w:hint="eastAsia" w:asciiTheme="minorEastAsia" w:hAnsiTheme="minorEastAsia" w:eastAsiaTheme="minorEastAsia" w:cstheme="minorEastAsia"/>
          <w:b/>
          <w:color w:val="auto"/>
          <w:sz w:val="24"/>
          <w:szCs w:val="24"/>
          <w:highlight w:val="none"/>
        </w:rPr>
        <w:t>偏离表</w:t>
      </w:r>
      <w:bookmarkEnd w:id="129"/>
      <w:bookmarkEnd w:id="130"/>
    </w:p>
    <w:p w14:paraId="26E191EF">
      <w:pPr>
        <w:pStyle w:val="11"/>
        <w:keepNext w:val="0"/>
        <w:keepLines w:val="0"/>
        <w:pageBreakBefore w:val="0"/>
        <w:widowControl w:val="0"/>
        <w:shd w:val="clear" w:color="auto" w:fill="auto"/>
        <w:kinsoku w:val="0"/>
        <w:wordWrap w:val="0"/>
        <w:bidi w:val="0"/>
        <w:textAlignment w:val="auto"/>
        <w:rPr>
          <w:rFonts w:hint="eastAsia" w:asciiTheme="minorEastAsia" w:hAnsiTheme="minorEastAsia" w:eastAsiaTheme="minorEastAsia" w:cstheme="minorEastAsia"/>
          <w:color w:val="auto"/>
          <w:szCs w:val="21"/>
          <w:highlight w:val="none"/>
        </w:rPr>
      </w:pPr>
    </w:p>
    <w:p w14:paraId="5CB466D0">
      <w:pPr>
        <w:pStyle w:val="11"/>
        <w:keepNext w:val="0"/>
        <w:keepLines w:val="0"/>
        <w:pageBreakBefore w:val="0"/>
        <w:widowControl w:val="0"/>
        <w:shd w:val="clear" w:color="auto" w:fill="auto"/>
        <w:kinsoku w:val="0"/>
        <w:wordWrap w:val="0"/>
        <w:bidi w:val="0"/>
        <w:textAlignment w:val="auto"/>
        <w:rPr>
          <w:rFonts w:hint="eastAsia"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sz w:val="24"/>
          <w:szCs w:val="24"/>
          <w:highlight w:val="none"/>
        </w:rPr>
        <w:t>项目名称：</w:t>
      </w:r>
      <w:r>
        <w:rPr>
          <w:rFonts w:hint="eastAsia" w:asciiTheme="minorEastAsia" w:hAnsiTheme="minorEastAsia" w:eastAsiaTheme="minorEastAsia" w:cstheme="minorEastAsia"/>
          <w:color w:val="auto"/>
          <w:sz w:val="24"/>
          <w:szCs w:val="24"/>
          <w:highlight w:val="none"/>
          <w:u w:val="single"/>
          <w:lang w:eastAsia="zh-CN"/>
        </w:rPr>
        <w:t>文笔小学功能室、食堂及信息化设备采购</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7"/>
        <w:gridCol w:w="1701"/>
        <w:gridCol w:w="1828"/>
        <w:gridCol w:w="2268"/>
        <w:gridCol w:w="1643"/>
      </w:tblGrid>
      <w:tr w14:paraId="36D78E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3" w:hRule="atLeast"/>
          <w:jc w:val="center"/>
        </w:trPr>
        <w:tc>
          <w:tcPr>
            <w:tcW w:w="737" w:type="dxa"/>
            <w:noWrap w:val="0"/>
            <w:vAlign w:val="center"/>
          </w:tcPr>
          <w:p w14:paraId="7A159D04">
            <w:pPr>
              <w:keepNext w:val="0"/>
              <w:keepLines w:val="0"/>
              <w:pageBreakBefore w:val="0"/>
              <w:widowControl w:val="0"/>
              <w:shd w:val="clear" w:color="auto" w:fill="auto"/>
              <w:kinsoku w:val="0"/>
              <w:wordWrap w:val="0"/>
              <w:bidi w:val="0"/>
              <w:spacing w:line="560" w:lineRule="exact"/>
              <w:jc w:val="center"/>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序号</w:t>
            </w:r>
          </w:p>
        </w:tc>
        <w:tc>
          <w:tcPr>
            <w:tcW w:w="1701" w:type="dxa"/>
            <w:noWrap w:val="0"/>
            <w:vAlign w:val="center"/>
          </w:tcPr>
          <w:p w14:paraId="1B9B3CF1">
            <w:pPr>
              <w:keepNext w:val="0"/>
              <w:keepLines w:val="0"/>
              <w:pageBreakBefore w:val="0"/>
              <w:widowControl w:val="0"/>
              <w:shd w:val="clear" w:color="auto" w:fill="auto"/>
              <w:kinsoku w:val="0"/>
              <w:wordWrap w:val="0"/>
              <w:bidi w:val="0"/>
              <w:spacing w:line="560" w:lineRule="exact"/>
              <w:jc w:val="center"/>
              <w:textAlignment w:val="auto"/>
              <w:rPr>
                <w:rFonts w:hint="default"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采购货物名称</w:t>
            </w:r>
          </w:p>
        </w:tc>
        <w:tc>
          <w:tcPr>
            <w:tcW w:w="1828" w:type="dxa"/>
            <w:noWrap w:val="0"/>
            <w:vAlign w:val="center"/>
          </w:tcPr>
          <w:p w14:paraId="16F8A16C">
            <w:pPr>
              <w:keepNext w:val="0"/>
              <w:keepLines w:val="0"/>
              <w:pageBreakBefore w:val="0"/>
              <w:widowControl w:val="0"/>
              <w:shd w:val="clear" w:color="auto" w:fill="auto"/>
              <w:kinsoku w:val="0"/>
              <w:wordWrap w:val="0"/>
              <w:bidi w:val="0"/>
              <w:spacing w:line="560" w:lineRule="exact"/>
              <w:jc w:val="center"/>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lang w:eastAsia="zh-CN"/>
              </w:rPr>
              <w:t>采购文件</w:t>
            </w:r>
            <w:r>
              <w:rPr>
                <w:rFonts w:hint="eastAsia" w:asciiTheme="minorEastAsia" w:hAnsiTheme="minorEastAsia" w:eastAsiaTheme="minorEastAsia" w:cstheme="minorEastAsia"/>
                <w:color w:val="auto"/>
                <w:kern w:val="0"/>
                <w:sz w:val="24"/>
                <w:szCs w:val="24"/>
                <w:highlight w:val="none"/>
              </w:rPr>
              <w:t>要求</w:t>
            </w:r>
          </w:p>
        </w:tc>
        <w:tc>
          <w:tcPr>
            <w:tcW w:w="2268" w:type="dxa"/>
            <w:noWrap w:val="0"/>
            <w:vAlign w:val="center"/>
          </w:tcPr>
          <w:p w14:paraId="2981F89A">
            <w:pPr>
              <w:keepNext w:val="0"/>
              <w:keepLines w:val="0"/>
              <w:pageBreakBefore w:val="0"/>
              <w:widowControl w:val="0"/>
              <w:shd w:val="clear" w:color="auto" w:fill="auto"/>
              <w:kinsoku w:val="0"/>
              <w:wordWrap w:val="0"/>
              <w:bidi w:val="0"/>
              <w:spacing w:line="560" w:lineRule="exact"/>
              <w:jc w:val="center"/>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投标文件对应条款</w:t>
            </w:r>
          </w:p>
        </w:tc>
        <w:tc>
          <w:tcPr>
            <w:tcW w:w="1643" w:type="dxa"/>
            <w:noWrap w:val="0"/>
            <w:vAlign w:val="center"/>
          </w:tcPr>
          <w:p w14:paraId="441FB11F">
            <w:pPr>
              <w:keepNext w:val="0"/>
              <w:keepLines w:val="0"/>
              <w:pageBreakBefore w:val="0"/>
              <w:widowControl w:val="0"/>
              <w:shd w:val="clear" w:color="auto" w:fill="auto"/>
              <w:kinsoku w:val="0"/>
              <w:wordWrap w:val="0"/>
              <w:bidi w:val="0"/>
              <w:spacing w:line="560" w:lineRule="exact"/>
              <w:jc w:val="center"/>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偏离性质</w:t>
            </w:r>
          </w:p>
        </w:tc>
      </w:tr>
      <w:tr w14:paraId="1DCD6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737" w:type="dxa"/>
            <w:noWrap w:val="0"/>
            <w:vAlign w:val="center"/>
          </w:tcPr>
          <w:p w14:paraId="6CB691BB">
            <w:pPr>
              <w:keepNext w:val="0"/>
              <w:keepLines w:val="0"/>
              <w:pageBreakBefore w:val="0"/>
              <w:widowControl w:val="0"/>
              <w:shd w:val="clear" w:color="auto" w:fill="auto"/>
              <w:kinsoku w:val="0"/>
              <w:wordWrap w:val="0"/>
              <w:bidi w:val="0"/>
              <w:spacing w:line="560" w:lineRule="exact"/>
              <w:jc w:val="center"/>
              <w:textAlignment w:val="auto"/>
              <w:rPr>
                <w:rFonts w:hint="eastAsia" w:asciiTheme="minorEastAsia" w:hAnsiTheme="minorEastAsia" w:eastAsiaTheme="minorEastAsia" w:cstheme="minorEastAsia"/>
                <w:color w:val="auto"/>
                <w:kern w:val="0"/>
                <w:sz w:val="24"/>
                <w:szCs w:val="24"/>
                <w:highlight w:val="none"/>
              </w:rPr>
            </w:pPr>
          </w:p>
        </w:tc>
        <w:tc>
          <w:tcPr>
            <w:tcW w:w="1701" w:type="dxa"/>
            <w:noWrap w:val="0"/>
            <w:vAlign w:val="center"/>
          </w:tcPr>
          <w:p w14:paraId="715AF00D">
            <w:pPr>
              <w:keepNext w:val="0"/>
              <w:keepLines w:val="0"/>
              <w:pageBreakBefore w:val="0"/>
              <w:widowControl w:val="0"/>
              <w:shd w:val="clear" w:color="auto" w:fill="auto"/>
              <w:kinsoku w:val="0"/>
              <w:wordWrap w:val="0"/>
              <w:bidi w:val="0"/>
              <w:spacing w:line="560" w:lineRule="exact"/>
              <w:jc w:val="center"/>
              <w:textAlignment w:val="auto"/>
              <w:rPr>
                <w:rFonts w:hint="eastAsia" w:asciiTheme="minorEastAsia" w:hAnsiTheme="minorEastAsia" w:eastAsiaTheme="minorEastAsia" w:cstheme="minorEastAsia"/>
                <w:color w:val="auto"/>
                <w:kern w:val="0"/>
                <w:sz w:val="24"/>
                <w:szCs w:val="24"/>
                <w:highlight w:val="none"/>
              </w:rPr>
            </w:pPr>
          </w:p>
        </w:tc>
        <w:tc>
          <w:tcPr>
            <w:tcW w:w="1828" w:type="dxa"/>
            <w:noWrap w:val="0"/>
            <w:vAlign w:val="center"/>
          </w:tcPr>
          <w:p w14:paraId="7AF6DA01">
            <w:pPr>
              <w:keepNext w:val="0"/>
              <w:keepLines w:val="0"/>
              <w:pageBreakBefore w:val="0"/>
              <w:widowControl w:val="0"/>
              <w:shd w:val="clear" w:color="auto" w:fill="auto"/>
              <w:kinsoku w:val="0"/>
              <w:wordWrap w:val="0"/>
              <w:bidi w:val="0"/>
              <w:spacing w:line="560" w:lineRule="exact"/>
              <w:jc w:val="left"/>
              <w:textAlignment w:val="auto"/>
              <w:rPr>
                <w:rFonts w:hint="eastAsia" w:asciiTheme="minorEastAsia" w:hAnsiTheme="minorEastAsia" w:eastAsiaTheme="minorEastAsia" w:cstheme="minorEastAsia"/>
                <w:color w:val="auto"/>
                <w:kern w:val="0"/>
                <w:sz w:val="24"/>
                <w:szCs w:val="24"/>
                <w:highlight w:val="none"/>
              </w:rPr>
            </w:pPr>
          </w:p>
        </w:tc>
        <w:tc>
          <w:tcPr>
            <w:tcW w:w="2268" w:type="dxa"/>
            <w:noWrap w:val="0"/>
            <w:vAlign w:val="center"/>
          </w:tcPr>
          <w:p w14:paraId="16BB603D">
            <w:pPr>
              <w:keepNext w:val="0"/>
              <w:keepLines w:val="0"/>
              <w:pageBreakBefore w:val="0"/>
              <w:widowControl w:val="0"/>
              <w:shd w:val="clear" w:color="auto" w:fill="auto"/>
              <w:kinsoku w:val="0"/>
              <w:wordWrap w:val="0"/>
              <w:bidi w:val="0"/>
              <w:spacing w:line="560" w:lineRule="exact"/>
              <w:jc w:val="left"/>
              <w:textAlignment w:val="auto"/>
              <w:rPr>
                <w:rFonts w:hint="eastAsia" w:asciiTheme="minorEastAsia" w:hAnsiTheme="minorEastAsia" w:eastAsiaTheme="minorEastAsia" w:cstheme="minorEastAsia"/>
                <w:color w:val="auto"/>
                <w:kern w:val="0"/>
                <w:sz w:val="24"/>
                <w:szCs w:val="24"/>
                <w:highlight w:val="none"/>
              </w:rPr>
            </w:pPr>
          </w:p>
        </w:tc>
        <w:tc>
          <w:tcPr>
            <w:tcW w:w="1643" w:type="dxa"/>
            <w:noWrap w:val="0"/>
            <w:vAlign w:val="center"/>
          </w:tcPr>
          <w:p w14:paraId="13C1E17E">
            <w:pPr>
              <w:keepNext w:val="0"/>
              <w:keepLines w:val="0"/>
              <w:pageBreakBefore w:val="0"/>
              <w:widowControl w:val="0"/>
              <w:shd w:val="clear" w:color="auto" w:fill="auto"/>
              <w:kinsoku w:val="0"/>
              <w:wordWrap w:val="0"/>
              <w:bidi w:val="0"/>
              <w:spacing w:line="560" w:lineRule="exact"/>
              <w:jc w:val="left"/>
              <w:textAlignment w:val="auto"/>
              <w:rPr>
                <w:rFonts w:hint="eastAsia" w:asciiTheme="minorEastAsia" w:hAnsiTheme="minorEastAsia" w:eastAsiaTheme="minorEastAsia" w:cstheme="minorEastAsia"/>
                <w:color w:val="auto"/>
                <w:kern w:val="0"/>
                <w:sz w:val="24"/>
                <w:szCs w:val="24"/>
                <w:highlight w:val="none"/>
              </w:rPr>
            </w:pPr>
          </w:p>
        </w:tc>
      </w:tr>
      <w:tr w14:paraId="4A7D2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737" w:type="dxa"/>
            <w:noWrap w:val="0"/>
            <w:vAlign w:val="center"/>
          </w:tcPr>
          <w:p w14:paraId="19D0E2B2">
            <w:pPr>
              <w:keepNext w:val="0"/>
              <w:keepLines w:val="0"/>
              <w:pageBreakBefore w:val="0"/>
              <w:widowControl w:val="0"/>
              <w:shd w:val="clear" w:color="auto" w:fill="auto"/>
              <w:kinsoku w:val="0"/>
              <w:wordWrap w:val="0"/>
              <w:bidi w:val="0"/>
              <w:spacing w:line="560" w:lineRule="exact"/>
              <w:jc w:val="left"/>
              <w:textAlignment w:val="auto"/>
              <w:rPr>
                <w:rFonts w:hint="eastAsia" w:asciiTheme="minorEastAsia" w:hAnsiTheme="minorEastAsia" w:eastAsiaTheme="minorEastAsia" w:cstheme="minorEastAsia"/>
                <w:color w:val="auto"/>
                <w:kern w:val="0"/>
                <w:sz w:val="24"/>
                <w:szCs w:val="24"/>
                <w:highlight w:val="none"/>
              </w:rPr>
            </w:pPr>
          </w:p>
        </w:tc>
        <w:tc>
          <w:tcPr>
            <w:tcW w:w="1701" w:type="dxa"/>
            <w:noWrap w:val="0"/>
            <w:vAlign w:val="center"/>
          </w:tcPr>
          <w:p w14:paraId="4E3849BB">
            <w:pPr>
              <w:keepNext w:val="0"/>
              <w:keepLines w:val="0"/>
              <w:pageBreakBefore w:val="0"/>
              <w:widowControl w:val="0"/>
              <w:shd w:val="clear" w:color="auto" w:fill="auto"/>
              <w:kinsoku w:val="0"/>
              <w:wordWrap w:val="0"/>
              <w:bidi w:val="0"/>
              <w:spacing w:line="560" w:lineRule="exact"/>
              <w:jc w:val="left"/>
              <w:textAlignment w:val="auto"/>
              <w:rPr>
                <w:rFonts w:hint="eastAsia" w:asciiTheme="minorEastAsia" w:hAnsiTheme="minorEastAsia" w:eastAsiaTheme="minorEastAsia" w:cstheme="minorEastAsia"/>
                <w:color w:val="auto"/>
                <w:kern w:val="0"/>
                <w:sz w:val="24"/>
                <w:szCs w:val="24"/>
                <w:highlight w:val="none"/>
              </w:rPr>
            </w:pPr>
          </w:p>
        </w:tc>
        <w:tc>
          <w:tcPr>
            <w:tcW w:w="1828" w:type="dxa"/>
            <w:noWrap w:val="0"/>
            <w:vAlign w:val="center"/>
          </w:tcPr>
          <w:p w14:paraId="3DA9AAA6">
            <w:pPr>
              <w:keepNext w:val="0"/>
              <w:keepLines w:val="0"/>
              <w:pageBreakBefore w:val="0"/>
              <w:widowControl w:val="0"/>
              <w:shd w:val="clear" w:color="auto" w:fill="auto"/>
              <w:kinsoku w:val="0"/>
              <w:wordWrap w:val="0"/>
              <w:bidi w:val="0"/>
              <w:spacing w:line="560" w:lineRule="exact"/>
              <w:jc w:val="left"/>
              <w:textAlignment w:val="auto"/>
              <w:rPr>
                <w:rFonts w:hint="eastAsia" w:asciiTheme="minorEastAsia" w:hAnsiTheme="minorEastAsia" w:eastAsiaTheme="minorEastAsia" w:cstheme="minorEastAsia"/>
                <w:color w:val="auto"/>
                <w:kern w:val="0"/>
                <w:sz w:val="24"/>
                <w:szCs w:val="24"/>
                <w:highlight w:val="none"/>
              </w:rPr>
            </w:pPr>
          </w:p>
        </w:tc>
        <w:tc>
          <w:tcPr>
            <w:tcW w:w="2268" w:type="dxa"/>
            <w:noWrap w:val="0"/>
            <w:vAlign w:val="center"/>
          </w:tcPr>
          <w:p w14:paraId="15DD016D">
            <w:pPr>
              <w:keepNext w:val="0"/>
              <w:keepLines w:val="0"/>
              <w:pageBreakBefore w:val="0"/>
              <w:widowControl w:val="0"/>
              <w:shd w:val="clear" w:color="auto" w:fill="auto"/>
              <w:kinsoku w:val="0"/>
              <w:wordWrap w:val="0"/>
              <w:bidi w:val="0"/>
              <w:spacing w:line="560" w:lineRule="exact"/>
              <w:jc w:val="left"/>
              <w:textAlignment w:val="auto"/>
              <w:rPr>
                <w:rFonts w:hint="eastAsia" w:asciiTheme="minorEastAsia" w:hAnsiTheme="minorEastAsia" w:eastAsiaTheme="minorEastAsia" w:cstheme="minorEastAsia"/>
                <w:color w:val="auto"/>
                <w:kern w:val="0"/>
                <w:sz w:val="24"/>
                <w:szCs w:val="24"/>
                <w:highlight w:val="none"/>
              </w:rPr>
            </w:pPr>
          </w:p>
        </w:tc>
        <w:tc>
          <w:tcPr>
            <w:tcW w:w="1643" w:type="dxa"/>
            <w:noWrap w:val="0"/>
            <w:vAlign w:val="center"/>
          </w:tcPr>
          <w:p w14:paraId="7C9FDE12">
            <w:pPr>
              <w:keepNext w:val="0"/>
              <w:keepLines w:val="0"/>
              <w:pageBreakBefore w:val="0"/>
              <w:widowControl w:val="0"/>
              <w:shd w:val="clear" w:color="auto" w:fill="auto"/>
              <w:kinsoku w:val="0"/>
              <w:wordWrap w:val="0"/>
              <w:bidi w:val="0"/>
              <w:spacing w:line="560" w:lineRule="exact"/>
              <w:jc w:val="left"/>
              <w:textAlignment w:val="auto"/>
              <w:rPr>
                <w:rFonts w:hint="eastAsia" w:asciiTheme="minorEastAsia" w:hAnsiTheme="minorEastAsia" w:eastAsiaTheme="minorEastAsia" w:cstheme="minorEastAsia"/>
                <w:color w:val="auto"/>
                <w:kern w:val="0"/>
                <w:sz w:val="24"/>
                <w:szCs w:val="24"/>
                <w:highlight w:val="none"/>
              </w:rPr>
            </w:pPr>
          </w:p>
        </w:tc>
      </w:tr>
      <w:tr w14:paraId="72C43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737" w:type="dxa"/>
            <w:noWrap w:val="0"/>
            <w:vAlign w:val="center"/>
          </w:tcPr>
          <w:p w14:paraId="72E61A1A">
            <w:pPr>
              <w:keepNext w:val="0"/>
              <w:keepLines w:val="0"/>
              <w:pageBreakBefore w:val="0"/>
              <w:widowControl w:val="0"/>
              <w:shd w:val="clear" w:color="auto" w:fill="auto"/>
              <w:kinsoku w:val="0"/>
              <w:wordWrap w:val="0"/>
              <w:bidi w:val="0"/>
              <w:spacing w:line="560" w:lineRule="exact"/>
              <w:jc w:val="left"/>
              <w:textAlignment w:val="auto"/>
              <w:rPr>
                <w:rFonts w:hint="eastAsia" w:asciiTheme="minorEastAsia" w:hAnsiTheme="minorEastAsia" w:eastAsiaTheme="minorEastAsia" w:cstheme="minorEastAsia"/>
                <w:color w:val="auto"/>
                <w:kern w:val="0"/>
                <w:sz w:val="24"/>
                <w:szCs w:val="24"/>
                <w:highlight w:val="none"/>
              </w:rPr>
            </w:pPr>
          </w:p>
        </w:tc>
        <w:tc>
          <w:tcPr>
            <w:tcW w:w="1701" w:type="dxa"/>
            <w:noWrap w:val="0"/>
            <w:vAlign w:val="center"/>
          </w:tcPr>
          <w:p w14:paraId="6409C68C">
            <w:pPr>
              <w:keepNext w:val="0"/>
              <w:keepLines w:val="0"/>
              <w:pageBreakBefore w:val="0"/>
              <w:widowControl w:val="0"/>
              <w:shd w:val="clear" w:color="auto" w:fill="auto"/>
              <w:kinsoku w:val="0"/>
              <w:wordWrap w:val="0"/>
              <w:bidi w:val="0"/>
              <w:spacing w:line="560" w:lineRule="exact"/>
              <w:jc w:val="left"/>
              <w:textAlignment w:val="auto"/>
              <w:rPr>
                <w:rFonts w:hint="eastAsia" w:asciiTheme="minorEastAsia" w:hAnsiTheme="minorEastAsia" w:eastAsiaTheme="minorEastAsia" w:cstheme="minorEastAsia"/>
                <w:color w:val="auto"/>
                <w:kern w:val="0"/>
                <w:sz w:val="24"/>
                <w:szCs w:val="24"/>
                <w:highlight w:val="none"/>
              </w:rPr>
            </w:pPr>
          </w:p>
        </w:tc>
        <w:tc>
          <w:tcPr>
            <w:tcW w:w="1828" w:type="dxa"/>
            <w:noWrap w:val="0"/>
            <w:vAlign w:val="center"/>
          </w:tcPr>
          <w:p w14:paraId="6AC8C79C">
            <w:pPr>
              <w:keepNext w:val="0"/>
              <w:keepLines w:val="0"/>
              <w:pageBreakBefore w:val="0"/>
              <w:widowControl w:val="0"/>
              <w:shd w:val="clear" w:color="auto" w:fill="auto"/>
              <w:kinsoku w:val="0"/>
              <w:wordWrap w:val="0"/>
              <w:bidi w:val="0"/>
              <w:spacing w:line="560" w:lineRule="exact"/>
              <w:jc w:val="left"/>
              <w:textAlignment w:val="auto"/>
              <w:rPr>
                <w:rFonts w:hint="eastAsia" w:asciiTheme="minorEastAsia" w:hAnsiTheme="minorEastAsia" w:eastAsiaTheme="minorEastAsia" w:cstheme="minorEastAsia"/>
                <w:color w:val="auto"/>
                <w:kern w:val="0"/>
                <w:sz w:val="24"/>
                <w:szCs w:val="24"/>
                <w:highlight w:val="none"/>
              </w:rPr>
            </w:pPr>
          </w:p>
        </w:tc>
        <w:tc>
          <w:tcPr>
            <w:tcW w:w="2268" w:type="dxa"/>
            <w:noWrap w:val="0"/>
            <w:vAlign w:val="center"/>
          </w:tcPr>
          <w:p w14:paraId="33837F61">
            <w:pPr>
              <w:keepNext w:val="0"/>
              <w:keepLines w:val="0"/>
              <w:pageBreakBefore w:val="0"/>
              <w:widowControl w:val="0"/>
              <w:shd w:val="clear" w:color="auto" w:fill="auto"/>
              <w:kinsoku w:val="0"/>
              <w:wordWrap w:val="0"/>
              <w:bidi w:val="0"/>
              <w:spacing w:line="560" w:lineRule="exact"/>
              <w:jc w:val="left"/>
              <w:textAlignment w:val="auto"/>
              <w:rPr>
                <w:rFonts w:hint="eastAsia" w:asciiTheme="minorEastAsia" w:hAnsiTheme="minorEastAsia" w:eastAsiaTheme="minorEastAsia" w:cstheme="minorEastAsia"/>
                <w:color w:val="auto"/>
                <w:kern w:val="0"/>
                <w:sz w:val="24"/>
                <w:szCs w:val="24"/>
                <w:highlight w:val="none"/>
              </w:rPr>
            </w:pPr>
          </w:p>
        </w:tc>
        <w:tc>
          <w:tcPr>
            <w:tcW w:w="1643" w:type="dxa"/>
            <w:noWrap w:val="0"/>
            <w:vAlign w:val="center"/>
          </w:tcPr>
          <w:p w14:paraId="4B6752AE">
            <w:pPr>
              <w:keepNext w:val="0"/>
              <w:keepLines w:val="0"/>
              <w:pageBreakBefore w:val="0"/>
              <w:widowControl w:val="0"/>
              <w:shd w:val="clear" w:color="auto" w:fill="auto"/>
              <w:kinsoku w:val="0"/>
              <w:wordWrap w:val="0"/>
              <w:bidi w:val="0"/>
              <w:spacing w:line="560" w:lineRule="exact"/>
              <w:jc w:val="left"/>
              <w:textAlignment w:val="auto"/>
              <w:rPr>
                <w:rFonts w:hint="eastAsia" w:asciiTheme="minorEastAsia" w:hAnsiTheme="minorEastAsia" w:eastAsiaTheme="minorEastAsia" w:cstheme="minorEastAsia"/>
                <w:color w:val="auto"/>
                <w:kern w:val="0"/>
                <w:sz w:val="24"/>
                <w:szCs w:val="24"/>
                <w:highlight w:val="none"/>
              </w:rPr>
            </w:pPr>
          </w:p>
        </w:tc>
      </w:tr>
      <w:tr w14:paraId="704BC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737" w:type="dxa"/>
            <w:noWrap w:val="0"/>
            <w:vAlign w:val="center"/>
          </w:tcPr>
          <w:p w14:paraId="168C70FC">
            <w:pPr>
              <w:keepNext w:val="0"/>
              <w:keepLines w:val="0"/>
              <w:pageBreakBefore w:val="0"/>
              <w:widowControl w:val="0"/>
              <w:shd w:val="clear" w:color="auto" w:fill="auto"/>
              <w:kinsoku w:val="0"/>
              <w:wordWrap w:val="0"/>
              <w:bidi w:val="0"/>
              <w:spacing w:line="560" w:lineRule="exact"/>
              <w:jc w:val="left"/>
              <w:textAlignment w:val="auto"/>
              <w:rPr>
                <w:rFonts w:hint="eastAsia" w:asciiTheme="minorEastAsia" w:hAnsiTheme="minorEastAsia" w:eastAsiaTheme="minorEastAsia" w:cstheme="minorEastAsia"/>
                <w:color w:val="auto"/>
                <w:kern w:val="0"/>
                <w:sz w:val="24"/>
                <w:szCs w:val="24"/>
                <w:highlight w:val="none"/>
              </w:rPr>
            </w:pPr>
          </w:p>
        </w:tc>
        <w:tc>
          <w:tcPr>
            <w:tcW w:w="1701" w:type="dxa"/>
            <w:noWrap w:val="0"/>
            <w:vAlign w:val="center"/>
          </w:tcPr>
          <w:p w14:paraId="258AA418">
            <w:pPr>
              <w:keepNext w:val="0"/>
              <w:keepLines w:val="0"/>
              <w:pageBreakBefore w:val="0"/>
              <w:widowControl w:val="0"/>
              <w:shd w:val="clear" w:color="auto" w:fill="auto"/>
              <w:kinsoku w:val="0"/>
              <w:wordWrap w:val="0"/>
              <w:bidi w:val="0"/>
              <w:spacing w:line="560" w:lineRule="exact"/>
              <w:jc w:val="left"/>
              <w:textAlignment w:val="auto"/>
              <w:rPr>
                <w:rFonts w:hint="eastAsia" w:asciiTheme="minorEastAsia" w:hAnsiTheme="minorEastAsia" w:eastAsiaTheme="minorEastAsia" w:cstheme="minorEastAsia"/>
                <w:color w:val="auto"/>
                <w:kern w:val="0"/>
                <w:sz w:val="24"/>
                <w:szCs w:val="24"/>
                <w:highlight w:val="none"/>
              </w:rPr>
            </w:pPr>
          </w:p>
        </w:tc>
        <w:tc>
          <w:tcPr>
            <w:tcW w:w="1828" w:type="dxa"/>
            <w:noWrap w:val="0"/>
            <w:vAlign w:val="center"/>
          </w:tcPr>
          <w:p w14:paraId="0819BB17">
            <w:pPr>
              <w:keepNext w:val="0"/>
              <w:keepLines w:val="0"/>
              <w:pageBreakBefore w:val="0"/>
              <w:widowControl w:val="0"/>
              <w:shd w:val="clear" w:color="auto" w:fill="auto"/>
              <w:kinsoku w:val="0"/>
              <w:wordWrap w:val="0"/>
              <w:bidi w:val="0"/>
              <w:spacing w:line="560" w:lineRule="exact"/>
              <w:jc w:val="left"/>
              <w:textAlignment w:val="auto"/>
              <w:rPr>
                <w:rFonts w:hint="eastAsia" w:asciiTheme="minorEastAsia" w:hAnsiTheme="minorEastAsia" w:eastAsiaTheme="minorEastAsia" w:cstheme="minorEastAsia"/>
                <w:color w:val="auto"/>
                <w:kern w:val="0"/>
                <w:sz w:val="24"/>
                <w:szCs w:val="24"/>
                <w:highlight w:val="none"/>
              </w:rPr>
            </w:pPr>
          </w:p>
        </w:tc>
        <w:tc>
          <w:tcPr>
            <w:tcW w:w="2268" w:type="dxa"/>
            <w:noWrap w:val="0"/>
            <w:vAlign w:val="center"/>
          </w:tcPr>
          <w:p w14:paraId="495641B7">
            <w:pPr>
              <w:keepNext w:val="0"/>
              <w:keepLines w:val="0"/>
              <w:pageBreakBefore w:val="0"/>
              <w:widowControl w:val="0"/>
              <w:shd w:val="clear" w:color="auto" w:fill="auto"/>
              <w:kinsoku w:val="0"/>
              <w:wordWrap w:val="0"/>
              <w:bidi w:val="0"/>
              <w:spacing w:line="560" w:lineRule="exact"/>
              <w:jc w:val="left"/>
              <w:textAlignment w:val="auto"/>
              <w:rPr>
                <w:rFonts w:hint="eastAsia" w:asciiTheme="minorEastAsia" w:hAnsiTheme="minorEastAsia" w:eastAsiaTheme="minorEastAsia" w:cstheme="minorEastAsia"/>
                <w:color w:val="auto"/>
                <w:kern w:val="0"/>
                <w:sz w:val="24"/>
                <w:szCs w:val="24"/>
                <w:highlight w:val="none"/>
              </w:rPr>
            </w:pPr>
          </w:p>
        </w:tc>
        <w:tc>
          <w:tcPr>
            <w:tcW w:w="1643" w:type="dxa"/>
            <w:noWrap w:val="0"/>
            <w:vAlign w:val="center"/>
          </w:tcPr>
          <w:p w14:paraId="5CB3D5F5">
            <w:pPr>
              <w:keepNext w:val="0"/>
              <w:keepLines w:val="0"/>
              <w:pageBreakBefore w:val="0"/>
              <w:widowControl w:val="0"/>
              <w:shd w:val="clear" w:color="auto" w:fill="auto"/>
              <w:kinsoku w:val="0"/>
              <w:wordWrap w:val="0"/>
              <w:bidi w:val="0"/>
              <w:spacing w:line="560" w:lineRule="exact"/>
              <w:jc w:val="left"/>
              <w:textAlignment w:val="auto"/>
              <w:rPr>
                <w:rFonts w:hint="eastAsia" w:asciiTheme="minorEastAsia" w:hAnsiTheme="minorEastAsia" w:eastAsiaTheme="minorEastAsia" w:cstheme="minorEastAsia"/>
                <w:color w:val="auto"/>
                <w:kern w:val="0"/>
                <w:sz w:val="24"/>
                <w:szCs w:val="24"/>
                <w:highlight w:val="none"/>
              </w:rPr>
            </w:pPr>
          </w:p>
        </w:tc>
      </w:tr>
      <w:tr w14:paraId="345AA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737" w:type="dxa"/>
            <w:noWrap w:val="0"/>
            <w:vAlign w:val="center"/>
          </w:tcPr>
          <w:p w14:paraId="329DA72D">
            <w:pPr>
              <w:keepNext w:val="0"/>
              <w:keepLines w:val="0"/>
              <w:pageBreakBefore w:val="0"/>
              <w:widowControl w:val="0"/>
              <w:shd w:val="clear" w:color="auto" w:fill="auto"/>
              <w:kinsoku w:val="0"/>
              <w:wordWrap w:val="0"/>
              <w:bidi w:val="0"/>
              <w:spacing w:line="560" w:lineRule="exact"/>
              <w:jc w:val="left"/>
              <w:textAlignment w:val="auto"/>
              <w:rPr>
                <w:rFonts w:hint="eastAsia" w:asciiTheme="minorEastAsia" w:hAnsiTheme="minorEastAsia" w:eastAsiaTheme="minorEastAsia" w:cstheme="minorEastAsia"/>
                <w:color w:val="auto"/>
                <w:kern w:val="0"/>
                <w:sz w:val="24"/>
                <w:szCs w:val="24"/>
                <w:highlight w:val="none"/>
              </w:rPr>
            </w:pPr>
          </w:p>
        </w:tc>
        <w:tc>
          <w:tcPr>
            <w:tcW w:w="1701" w:type="dxa"/>
            <w:noWrap w:val="0"/>
            <w:vAlign w:val="center"/>
          </w:tcPr>
          <w:p w14:paraId="20646E63">
            <w:pPr>
              <w:keepNext w:val="0"/>
              <w:keepLines w:val="0"/>
              <w:pageBreakBefore w:val="0"/>
              <w:widowControl w:val="0"/>
              <w:shd w:val="clear" w:color="auto" w:fill="auto"/>
              <w:kinsoku w:val="0"/>
              <w:wordWrap w:val="0"/>
              <w:bidi w:val="0"/>
              <w:spacing w:line="560" w:lineRule="exact"/>
              <w:jc w:val="left"/>
              <w:textAlignment w:val="auto"/>
              <w:rPr>
                <w:rFonts w:hint="eastAsia" w:asciiTheme="minorEastAsia" w:hAnsiTheme="minorEastAsia" w:eastAsiaTheme="minorEastAsia" w:cstheme="minorEastAsia"/>
                <w:color w:val="auto"/>
                <w:kern w:val="0"/>
                <w:sz w:val="24"/>
                <w:szCs w:val="24"/>
                <w:highlight w:val="none"/>
              </w:rPr>
            </w:pPr>
          </w:p>
        </w:tc>
        <w:tc>
          <w:tcPr>
            <w:tcW w:w="1828" w:type="dxa"/>
            <w:noWrap w:val="0"/>
            <w:vAlign w:val="center"/>
          </w:tcPr>
          <w:p w14:paraId="52BA0998">
            <w:pPr>
              <w:keepNext w:val="0"/>
              <w:keepLines w:val="0"/>
              <w:pageBreakBefore w:val="0"/>
              <w:widowControl w:val="0"/>
              <w:shd w:val="clear" w:color="auto" w:fill="auto"/>
              <w:kinsoku w:val="0"/>
              <w:wordWrap w:val="0"/>
              <w:bidi w:val="0"/>
              <w:spacing w:line="560" w:lineRule="exact"/>
              <w:jc w:val="left"/>
              <w:textAlignment w:val="auto"/>
              <w:rPr>
                <w:rFonts w:hint="eastAsia" w:asciiTheme="minorEastAsia" w:hAnsiTheme="minorEastAsia" w:eastAsiaTheme="minorEastAsia" w:cstheme="minorEastAsia"/>
                <w:color w:val="auto"/>
                <w:kern w:val="0"/>
                <w:sz w:val="24"/>
                <w:szCs w:val="24"/>
                <w:highlight w:val="none"/>
              </w:rPr>
            </w:pPr>
          </w:p>
        </w:tc>
        <w:tc>
          <w:tcPr>
            <w:tcW w:w="2268" w:type="dxa"/>
            <w:noWrap w:val="0"/>
            <w:vAlign w:val="center"/>
          </w:tcPr>
          <w:p w14:paraId="6F4A6985">
            <w:pPr>
              <w:keepNext w:val="0"/>
              <w:keepLines w:val="0"/>
              <w:pageBreakBefore w:val="0"/>
              <w:widowControl w:val="0"/>
              <w:shd w:val="clear" w:color="auto" w:fill="auto"/>
              <w:kinsoku w:val="0"/>
              <w:wordWrap w:val="0"/>
              <w:bidi w:val="0"/>
              <w:spacing w:line="560" w:lineRule="exact"/>
              <w:jc w:val="left"/>
              <w:textAlignment w:val="auto"/>
              <w:rPr>
                <w:rFonts w:hint="eastAsia" w:asciiTheme="minorEastAsia" w:hAnsiTheme="minorEastAsia" w:eastAsiaTheme="minorEastAsia" w:cstheme="minorEastAsia"/>
                <w:color w:val="auto"/>
                <w:kern w:val="0"/>
                <w:sz w:val="24"/>
                <w:szCs w:val="24"/>
                <w:highlight w:val="none"/>
              </w:rPr>
            </w:pPr>
          </w:p>
        </w:tc>
        <w:tc>
          <w:tcPr>
            <w:tcW w:w="1643" w:type="dxa"/>
            <w:noWrap w:val="0"/>
            <w:vAlign w:val="center"/>
          </w:tcPr>
          <w:p w14:paraId="5637CD38">
            <w:pPr>
              <w:keepNext w:val="0"/>
              <w:keepLines w:val="0"/>
              <w:pageBreakBefore w:val="0"/>
              <w:widowControl w:val="0"/>
              <w:shd w:val="clear" w:color="auto" w:fill="auto"/>
              <w:kinsoku w:val="0"/>
              <w:wordWrap w:val="0"/>
              <w:bidi w:val="0"/>
              <w:spacing w:line="560" w:lineRule="exact"/>
              <w:jc w:val="left"/>
              <w:textAlignment w:val="auto"/>
              <w:rPr>
                <w:rFonts w:hint="eastAsia" w:asciiTheme="minorEastAsia" w:hAnsiTheme="minorEastAsia" w:eastAsiaTheme="minorEastAsia" w:cstheme="minorEastAsia"/>
                <w:color w:val="auto"/>
                <w:kern w:val="0"/>
                <w:sz w:val="24"/>
                <w:szCs w:val="24"/>
                <w:highlight w:val="none"/>
              </w:rPr>
            </w:pPr>
          </w:p>
        </w:tc>
      </w:tr>
    </w:tbl>
    <w:p w14:paraId="2F024CE7">
      <w:pPr>
        <w:pStyle w:val="7"/>
        <w:keepNext w:val="0"/>
        <w:keepLines w:val="0"/>
        <w:pageBreakBefore w:val="0"/>
        <w:widowControl w:val="0"/>
        <w:shd w:val="clear" w:color="auto" w:fill="auto"/>
        <w:kinsoku w:val="0"/>
        <w:wordWrap w:val="0"/>
        <w:bidi w:val="0"/>
        <w:spacing w:line="480" w:lineRule="exact"/>
        <w:ind w:firstLine="422"/>
        <w:textAlignment w:val="auto"/>
        <w:rPr>
          <w:rFonts w:hint="eastAsia" w:asciiTheme="minorEastAsia" w:hAnsiTheme="minorEastAsia" w:eastAsiaTheme="minorEastAsia" w:cstheme="minorEastAsia"/>
          <w:b/>
          <w:color w:val="auto"/>
          <w:sz w:val="22"/>
          <w:szCs w:val="22"/>
          <w:highlight w:val="none"/>
        </w:rPr>
      </w:pPr>
      <w:r>
        <w:rPr>
          <w:rFonts w:hint="eastAsia" w:asciiTheme="minorEastAsia" w:hAnsiTheme="minorEastAsia" w:eastAsiaTheme="minorEastAsia" w:cstheme="minorEastAsia"/>
          <w:b/>
          <w:color w:val="auto"/>
          <w:sz w:val="22"/>
          <w:szCs w:val="22"/>
          <w:highlight w:val="none"/>
        </w:rPr>
        <w:t>注：</w:t>
      </w:r>
      <w:r>
        <w:rPr>
          <w:rFonts w:hint="eastAsia" w:asciiTheme="minorEastAsia" w:hAnsiTheme="minorEastAsia" w:eastAsiaTheme="minorEastAsia" w:cstheme="minorEastAsia"/>
          <w:b/>
          <w:color w:val="auto"/>
          <w:sz w:val="22"/>
          <w:szCs w:val="22"/>
          <w:highlight w:val="none"/>
          <w:lang w:val="en-US" w:eastAsia="zh-CN"/>
        </w:rPr>
        <w:t>1.</w:t>
      </w:r>
      <w:r>
        <w:rPr>
          <w:rFonts w:hint="eastAsia" w:asciiTheme="minorEastAsia" w:hAnsiTheme="minorEastAsia" w:eastAsiaTheme="minorEastAsia" w:cstheme="minorEastAsia"/>
          <w:b/>
          <w:color w:val="auto"/>
          <w:sz w:val="22"/>
          <w:szCs w:val="22"/>
          <w:highlight w:val="none"/>
        </w:rPr>
        <w:t>投标文件</w:t>
      </w:r>
      <w:r>
        <w:rPr>
          <w:rFonts w:hint="eastAsia" w:asciiTheme="minorEastAsia" w:hAnsiTheme="minorEastAsia" w:eastAsiaTheme="minorEastAsia" w:cstheme="minorEastAsia"/>
          <w:b/>
          <w:color w:val="auto"/>
          <w:sz w:val="22"/>
          <w:szCs w:val="22"/>
          <w:highlight w:val="none"/>
          <w:lang w:val="en-US" w:eastAsia="zh-CN"/>
        </w:rPr>
        <w:t>技术</w:t>
      </w:r>
      <w:r>
        <w:rPr>
          <w:rFonts w:hint="eastAsia" w:asciiTheme="minorEastAsia" w:hAnsiTheme="minorEastAsia" w:eastAsiaTheme="minorEastAsia" w:cstheme="minorEastAsia"/>
          <w:b/>
          <w:color w:val="auto"/>
          <w:sz w:val="22"/>
          <w:szCs w:val="22"/>
          <w:highlight w:val="none"/>
        </w:rPr>
        <w:t>条款如与</w:t>
      </w:r>
      <w:r>
        <w:rPr>
          <w:rFonts w:hint="eastAsia" w:asciiTheme="minorEastAsia" w:hAnsiTheme="minorEastAsia" w:eastAsiaTheme="minorEastAsia" w:cstheme="minorEastAsia"/>
          <w:b/>
          <w:color w:val="auto"/>
          <w:sz w:val="22"/>
          <w:szCs w:val="22"/>
          <w:highlight w:val="none"/>
          <w:lang w:val="en-US" w:eastAsia="zh-CN"/>
        </w:rPr>
        <w:t>采购</w:t>
      </w:r>
      <w:r>
        <w:rPr>
          <w:rFonts w:hint="eastAsia" w:asciiTheme="minorEastAsia" w:hAnsiTheme="minorEastAsia" w:eastAsiaTheme="minorEastAsia" w:cstheme="minorEastAsia"/>
          <w:b/>
          <w:color w:val="auto"/>
          <w:sz w:val="22"/>
          <w:szCs w:val="22"/>
          <w:highlight w:val="none"/>
        </w:rPr>
        <w:t>文件的要求有偏离，请认真填写该表。如无偏离，则只注需注明“无偏离”即可，无需另行填表。</w:t>
      </w:r>
    </w:p>
    <w:p w14:paraId="1D3C0051">
      <w:pPr>
        <w:pStyle w:val="7"/>
        <w:keepNext w:val="0"/>
        <w:keepLines w:val="0"/>
        <w:pageBreakBefore w:val="0"/>
        <w:widowControl w:val="0"/>
        <w:shd w:val="clear" w:color="auto" w:fill="auto"/>
        <w:kinsoku w:val="0"/>
        <w:wordWrap w:val="0"/>
        <w:bidi w:val="0"/>
        <w:spacing w:line="480" w:lineRule="exact"/>
        <w:ind w:firstLine="422"/>
        <w:textAlignment w:val="auto"/>
        <w:rPr>
          <w:rFonts w:hint="eastAsia" w:asciiTheme="minorEastAsia" w:hAnsiTheme="minorEastAsia" w:eastAsiaTheme="minorEastAsia" w:cstheme="minorEastAsia"/>
          <w:b/>
          <w:color w:val="auto"/>
          <w:sz w:val="22"/>
          <w:szCs w:val="22"/>
          <w:highlight w:val="none"/>
          <w:lang w:val="en-US" w:eastAsia="zh-CN"/>
        </w:rPr>
      </w:pPr>
      <w:r>
        <w:rPr>
          <w:rFonts w:hint="eastAsia" w:asciiTheme="minorEastAsia" w:hAnsiTheme="minorEastAsia" w:eastAsiaTheme="minorEastAsia" w:cstheme="minorEastAsia"/>
          <w:b/>
          <w:color w:val="auto"/>
          <w:sz w:val="22"/>
          <w:szCs w:val="22"/>
          <w:highlight w:val="none"/>
          <w:lang w:val="en-US" w:eastAsia="zh-CN"/>
        </w:rPr>
        <w:t>2.上述技术偏离作为各供应商的投标承诺，项目验收时出具相关技术参数证明材料，如供应商所投标的设备技术参数出现瞒报或虚报的,一经证实，视为虚假应标，取消其投标资格，并报相关部门依法对其进行处理。</w:t>
      </w:r>
    </w:p>
    <w:p w14:paraId="308C53FF">
      <w:pPr>
        <w:pStyle w:val="7"/>
        <w:keepNext w:val="0"/>
        <w:keepLines w:val="0"/>
        <w:pageBreakBefore w:val="0"/>
        <w:widowControl w:val="0"/>
        <w:shd w:val="clear" w:color="auto" w:fill="auto"/>
        <w:kinsoku w:val="0"/>
        <w:wordWrap w:val="0"/>
        <w:bidi w:val="0"/>
        <w:spacing w:line="480" w:lineRule="exact"/>
        <w:ind w:firstLine="422"/>
        <w:textAlignment w:val="auto"/>
        <w:rPr>
          <w:rFonts w:hint="default" w:asciiTheme="minorEastAsia" w:hAnsiTheme="minorEastAsia" w:eastAsiaTheme="minorEastAsia" w:cstheme="minorEastAsia"/>
          <w:b/>
          <w:color w:val="auto"/>
          <w:sz w:val="24"/>
          <w:szCs w:val="24"/>
          <w:highlight w:val="none"/>
          <w:lang w:val="en-US"/>
        </w:rPr>
      </w:pPr>
      <w:r>
        <w:rPr>
          <w:rFonts w:hint="eastAsia" w:asciiTheme="minorEastAsia" w:hAnsiTheme="minorEastAsia" w:eastAsiaTheme="minorEastAsia" w:cstheme="minorEastAsia"/>
          <w:b/>
          <w:color w:val="auto"/>
          <w:sz w:val="22"/>
          <w:szCs w:val="22"/>
          <w:highlight w:val="none"/>
          <w:lang w:val="en-US" w:eastAsia="zh-CN"/>
        </w:rPr>
        <w:t>3.后附“备品备件表”、“</w:t>
      </w:r>
      <w:r>
        <w:rPr>
          <w:rFonts w:hint="eastAsia" w:asciiTheme="minorEastAsia" w:hAnsiTheme="minorEastAsia" w:eastAsiaTheme="minorEastAsia" w:cstheme="minorEastAsia"/>
          <w:b/>
          <w:bCs/>
          <w:color w:val="auto"/>
          <w:sz w:val="24"/>
          <w:szCs w:val="24"/>
          <w:highlight w:val="none"/>
          <w:lang w:val="en-US" w:eastAsia="zh-CN"/>
        </w:rPr>
        <w:t>报价明细表</w:t>
      </w:r>
      <w:r>
        <w:rPr>
          <w:rFonts w:hint="eastAsia" w:asciiTheme="minorEastAsia" w:hAnsiTheme="minorEastAsia" w:eastAsiaTheme="minorEastAsia" w:cstheme="minorEastAsia"/>
          <w:b/>
          <w:color w:val="auto"/>
          <w:sz w:val="22"/>
          <w:szCs w:val="22"/>
          <w:highlight w:val="none"/>
          <w:lang w:val="en-US" w:eastAsia="zh-CN"/>
        </w:rPr>
        <w:t>”。</w:t>
      </w:r>
    </w:p>
    <w:p w14:paraId="53298091">
      <w:pPr>
        <w:pStyle w:val="7"/>
        <w:keepNext w:val="0"/>
        <w:keepLines w:val="0"/>
        <w:pageBreakBefore w:val="0"/>
        <w:widowControl w:val="0"/>
        <w:shd w:val="clear" w:color="auto" w:fill="auto"/>
        <w:kinsoku w:val="0"/>
        <w:wordWrap w:val="0"/>
        <w:bidi w:val="0"/>
        <w:spacing w:line="480" w:lineRule="exact"/>
        <w:ind w:firstLine="422"/>
        <w:textAlignment w:val="auto"/>
        <w:rPr>
          <w:rFonts w:hint="eastAsia" w:asciiTheme="minorEastAsia" w:hAnsiTheme="minorEastAsia" w:eastAsiaTheme="minorEastAsia" w:cstheme="minorEastAsia"/>
          <w:b/>
          <w:color w:val="auto"/>
          <w:sz w:val="24"/>
          <w:szCs w:val="24"/>
          <w:highlight w:val="none"/>
        </w:rPr>
      </w:pPr>
    </w:p>
    <w:p w14:paraId="2C736ADD">
      <w:pPr>
        <w:keepNext w:val="0"/>
        <w:keepLines w:val="0"/>
        <w:pageBreakBefore w:val="0"/>
        <w:widowControl w:val="0"/>
        <w:shd w:val="clear" w:color="auto" w:fill="auto"/>
        <w:kinsoku w:val="0"/>
        <w:wordWrap w:val="0"/>
        <w:bidi w:val="0"/>
        <w:spacing w:line="360" w:lineRule="auto"/>
        <w:textAlignment w:val="auto"/>
        <w:rPr>
          <w:rFonts w:hint="eastAsia" w:asciiTheme="minorEastAsia" w:hAnsiTheme="minorEastAsia" w:eastAsiaTheme="minorEastAsia" w:cstheme="minorEastAsia"/>
          <w:color w:val="auto"/>
          <w:szCs w:val="21"/>
          <w:highlight w:val="none"/>
        </w:rPr>
      </w:pPr>
    </w:p>
    <w:p w14:paraId="4FC51596">
      <w:pPr>
        <w:keepNext w:val="0"/>
        <w:keepLines w:val="0"/>
        <w:pageBreakBefore w:val="0"/>
        <w:widowControl w:val="0"/>
        <w:shd w:val="clear" w:color="auto" w:fill="auto"/>
        <w:kinsoku w:val="0"/>
        <w:wordWrap w:val="0"/>
        <w:bidi w:val="0"/>
        <w:spacing w:line="360" w:lineRule="auto"/>
        <w:ind w:firstLine="2730" w:firstLineChars="1300"/>
        <w:textAlignment w:val="auto"/>
        <w:rPr>
          <w:rFonts w:hint="eastAsia" w:asciiTheme="minorEastAsia" w:hAnsiTheme="minorEastAsia" w:eastAsiaTheme="minorEastAsia" w:cstheme="minorEastAsia"/>
          <w:color w:val="auto"/>
          <w:szCs w:val="21"/>
          <w:highlight w:val="none"/>
        </w:rPr>
      </w:pPr>
    </w:p>
    <w:p w14:paraId="35E45A39">
      <w:pPr>
        <w:keepNext w:val="0"/>
        <w:keepLines w:val="0"/>
        <w:pageBreakBefore w:val="0"/>
        <w:widowControl w:val="0"/>
        <w:shd w:val="clear" w:color="auto" w:fill="auto"/>
        <w:kinsoku w:val="0"/>
        <w:wordWrap w:val="0"/>
        <w:bidi w:val="0"/>
        <w:spacing w:line="360" w:lineRule="auto"/>
        <w:ind w:firstLine="2730" w:firstLineChars="1300"/>
        <w:textAlignment w:val="auto"/>
        <w:rPr>
          <w:rFonts w:hint="eastAsia" w:asciiTheme="minorEastAsia" w:hAnsiTheme="minorEastAsia" w:eastAsiaTheme="minorEastAsia" w:cstheme="minorEastAsia"/>
          <w:color w:val="auto"/>
          <w:szCs w:val="21"/>
          <w:highlight w:val="none"/>
        </w:rPr>
      </w:pPr>
    </w:p>
    <w:p w14:paraId="25636BF6">
      <w:pPr>
        <w:keepNext w:val="0"/>
        <w:keepLines w:val="0"/>
        <w:pageBreakBefore w:val="0"/>
        <w:widowControl w:val="0"/>
        <w:shd w:val="clear" w:color="auto" w:fill="auto"/>
        <w:kinsoku w:val="0"/>
        <w:wordWrap w:val="0"/>
        <w:bidi w:val="0"/>
        <w:spacing w:line="360" w:lineRule="auto"/>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供应商</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（电子签章）</w:t>
      </w:r>
    </w:p>
    <w:p w14:paraId="07183785">
      <w:pPr>
        <w:keepNext w:val="0"/>
        <w:keepLines w:val="0"/>
        <w:pageBreakBefore w:val="0"/>
        <w:widowControl w:val="0"/>
        <w:shd w:val="clear" w:color="auto" w:fill="auto"/>
        <w:kinsoku w:val="0"/>
        <w:wordWrap w:val="0"/>
        <w:bidi w:val="0"/>
        <w:spacing w:line="360" w:lineRule="auto"/>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法定代表人或其委托代理人</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lang w:eastAsia="zh-CN"/>
        </w:rPr>
        <w:t>（电子签章）</w:t>
      </w:r>
    </w:p>
    <w:p w14:paraId="596660BB">
      <w:pPr>
        <w:keepNext w:val="0"/>
        <w:keepLines w:val="0"/>
        <w:pageBreakBefore w:val="0"/>
        <w:widowControl w:val="0"/>
        <w:shd w:val="clear" w:color="auto" w:fill="auto"/>
        <w:kinsoku w:val="0"/>
        <w:wordWrap w:val="0"/>
        <w:bidi w:val="0"/>
        <w:spacing w:line="360" w:lineRule="auto"/>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日  期：</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年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p w14:paraId="489AA3D1">
      <w:pPr>
        <w:keepNext w:val="0"/>
        <w:keepLines w:val="0"/>
        <w:pageBreakBefore w:val="0"/>
        <w:widowControl w:val="0"/>
        <w:shd w:val="clear" w:color="auto" w:fill="auto"/>
        <w:kinsoku w:val="0"/>
        <w:wordWrap w:val="0"/>
        <w:bidi w:val="0"/>
        <w:jc w:val="center"/>
        <w:textAlignment w:val="auto"/>
        <w:rPr>
          <w:rFonts w:hint="eastAsia" w:asciiTheme="minorEastAsia" w:hAnsiTheme="minorEastAsia" w:eastAsiaTheme="minorEastAsia" w:cstheme="minorEastAsia"/>
          <w:b/>
          <w:color w:val="auto"/>
          <w:szCs w:val="21"/>
          <w:highlight w:val="none"/>
          <w:lang w:val="en-US" w:eastAsia="zh-CN"/>
        </w:rPr>
      </w:pPr>
    </w:p>
    <w:p w14:paraId="06DD28F3">
      <w:pPr>
        <w:keepNext w:val="0"/>
        <w:keepLines w:val="0"/>
        <w:pageBreakBefore w:val="0"/>
        <w:widowControl w:val="0"/>
        <w:shd w:val="clear" w:color="auto" w:fill="auto"/>
        <w:kinsoku w:val="0"/>
        <w:wordWrap w:val="0"/>
        <w:bidi w:val="0"/>
        <w:jc w:val="center"/>
        <w:textAlignment w:val="auto"/>
        <w:rPr>
          <w:rFonts w:hint="eastAsia" w:asciiTheme="minorEastAsia" w:hAnsiTheme="minorEastAsia" w:eastAsiaTheme="minorEastAsia" w:cstheme="minorEastAsia"/>
          <w:b/>
          <w:color w:val="auto"/>
          <w:szCs w:val="21"/>
          <w:highlight w:val="none"/>
          <w:lang w:val="en-US" w:eastAsia="zh-CN"/>
        </w:rPr>
      </w:pPr>
    </w:p>
    <w:p w14:paraId="5EE2CF22">
      <w:pPr>
        <w:keepNext w:val="0"/>
        <w:keepLines w:val="0"/>
        <w:pageBreakBefore w:val="0"/>
        <w:widowControl w:val="0"/>
        <w:shd w:val="clear" w:color="auto" w:fill="auto"/>
        <w:kinsoku w:val="0"/>
        <w:wordWrap w:val="0"/>
        <w:bidi w:val="0"/>
        <w:jc w:val="center"/>
        <w:textAlignment w:val="auto"/>
        <w:rPr>
          <w:rFonts w:hint="eastAsia" w:asciiTheme="minorEastAsia" w:hAnsiTheme="minorEastAsia" w:eastAsiaTheme="minorEastAsia" w:cstheme="minorEastAsia"/>
          <w:b/>
          <w:color w:val="auto"/>
          <w:szCs w:val="21"/>
          <w:highlight w:val="none"/>
          <w:lang w:val="en-US" w:eastAsia="zh-CN"/>
        </w:rPr>
      </w:pPr>
    </w:p>
    <w:p w14:paraId="4D9766F4">
      <w:pPr>
        <w:keepNext w:val="0"/>
        <w:keepLines w:val="0"/>
        <w:pageBreakBefore w:val="0"/>
        <w:widowControl w:val="0"/>
        <w:shd w:val="clear" w:color="auto" w:fill="auto"/>
        <w:kinsoku w:val="0"/>
        <w:wordWrap w:val="0"/>
        <w:bidi w:val="0"/>
        <w:jc w:val="center"/>
        <w:textAlignment w:val="auto"/>
        <w:rPr>
          <w:rFonts w:hint="eastAsia" w:asciiTheme="minorEastAsia" w:hAnsiTheme="minorEastAsia" w:eastAsiaTheme="minorEastAsia" w:cstheme="minorEastAsia"/>
          <w:b/>
          <w:color w:val="auto"/>
          <w:szCs w:val="21"/>
          <w:highlight w:val="none"/>
          <w:lang w:val="en-US" w:eastAsia="zh-CN"/>
        </w:rPr>
      </w:pPr>
    </w:p>
    <w:p w14:paraId="27C464B5">
      <w:pPr>
        <w:keepNext w:val="0"/>
        <w:keepLines w:val="0"/>
        <w:pageBreakBefore w:val="0"/>
        <w:widowControl w:val="0"/>
        <w:shd w:val="clear" w:color="auto" w:fill="auto"/>
        <w:kinsoku w:val="0"/>
        <w:wordWrap w:val="0"/>
        <w:bidi w:val="0"/>
        <w:jc w:val="center"/>
        <w:textAlignment w:val="auto"/>
        <w:rPr>
          <w:rFonts w:hint="eastAsia" w:asciiTheme="minorEastAsia" w:hAnsiTheme="minorEastAsia" w:eastAsiaTheme="minorEastAsia" w:cstheme="minorEastAsia"/>
          <w:b/>
          <w:color w:val="auto"/>
          <w:szCs w:val="21"/>
          <w:highlight w:val="none"/>
          <w:lang w:val="en-US" w:eastAsia="zh-CN"/>
        </w:rPr>
      </w:pPr>
    </w:p>
    <w:p w14:paraId="17E89808">
      <w:pPr>
        <w:keepNext w:val="0"/>
        <w:keepLines w:val="0"/>
        <w:pageBreakBefore w:val="0"/>
        <w:widowControl w:val="0"/>
        <w:shd w:val="clear" w:color="auto" w:fill="auto"/>
        <w:kinsoku w:val="0"/>
        <w:wordWrap w:val="0"/>
        <w:bidi w:val="0"/>
        <w:jc w:val="center"/>
        <w:textAlignment w:val="auto"/>
        <w:rPr>
          <w:rFonts w:hint="eastAsia" w:asciiTheme="minorEastAsia" w:hAnsiTheme="minorEastAsia" w:eastAsiaTheme="minorEastAsia" w:cstheme="minorEastAsia"/>
          <w:b/>
          <w:color w:val="auto"/>
          <w:szCs w:val="21"/>
          <w:highlight w:val="none"/>
          <w:lang w:val="en-US" w:eastAsia="zh-CN"/>
        </w:rPr>
      </w:pPr>
    </w:p>
    <w:p w14:paraId="01C549A6">
      <w:pPr>
        <w:pStyle w:val="30"/>
        <w:keepNext w:val="0"/>
        <w:keepLines w:val="0"/>
        <w:pageBreakBefore w:val="0"/>
        <w:widowControl w:val="0"/>
        <w:shd w:val="clear" w:color="auto" w:fill="auto"/>
        <w:kinsoku w:val="0"/>
        <w:wordWrap w:val="0"/>
        <w:bidi w:val="0"/>
        <w:textAlignment w:val="auto"/>
        <w:rPr>
          <w:rFonts w:hint="eastAsia" w:asciiTheme="minorEastAsia" w:hAnsiTheme="minorEastAsia" w:eastAsiaTheme="minorEastAsia" w:cstheme="minorEastAsia"/>
          <w:b/>
          <w:color w:val="auto"/>
          <w:szCs w:val="21"/>
          <w:highlight w:val="none"/>
          <w:lang w:val="en-US" w:eastAsia="zh-CN"/>
        </w:rPr>
      </w:pPr>
    </w:p>
    <w:p w14:paraId="1825F58D">
      <w:pPr>
        <w:pStyle w:val="9"/>
        <w:keepNext w:val="0"/>
        <w:keepLines w:val="0"/>
        <w:pageBreakBefore w:val="0"/>
        <w:widowControl w:val="0"/>
        <w:shd w:val="clear" w:color="auto" w:fill="auto"/>
        <w:kinsoku w:val="0"/>
        <w:wordWrap w:val="0"/>
        <w:bidi w:val="0"/>
        <w:textAlignment w:val="auto"/>
        <w:rPr>
          <w:rFonts w:hint="eastAsia"/>
          <w:color w:val="auto"/>
          <w:highlight w:val="none"/>
          <w:lang w:val="en-US" w:eastAsia="zh-CN"/>
        </w:rPr>
      </w:pPr>
    </w:p>
    <w:p w14:paraId="45CE1668">
      <w:pPr>
        <w:keepNext w:val="0"/>
        <w:keepLines w:val="0"/>
        <w:pageBreakBefore w:val="0"/>
        <w:widowControl w:val="0"/>
        <w:shd w:val="clear" w:color="auto" w:fill="auto"/>
        <w:kinsoku w:val="0"/>
        <w:wordWrap w:val="0"/>
        <w:bidi w:val="0"/>
        <w:jc w:val="center"/>
        <w:textAlignment w:val="auto"/>
        <w:rPr>
          <w:rFonts w:hint="eastAsia" w:asciiTheme="minorEastAsia" w:hAnsiTheme="minorEastAsia" w:eastAsiaTheme="minorEastAsia" w:cstheme="minorEastAsia"/>
          <w:b/>
          <w:color w:val="auto"/>
          <w:szCs w:val="21"/>
          <w:highlight w:val="none"/>
          <w:lang w:val="en-US" w:eastAsia="zh-CN"/>
        </w:rPr>
      </w:pPr>
    </w:p>
    <w:p w14:paraId="49BB9C5C">
      <w:pPr>
        <w:keepNext w:val="0"/>
        <w:keepLines w:val="0"/>
        <w:pageBreakBefore w:val="0"/>
        <w:widowControl w:val="0"/>
        <w:shd w:val="clear" w:color="auto" w:fill="auto"/>
        <w:kinsoku w:val="0"/>
        <w:wordWrap w:val="0"/>
        <w:bidi w:val="0"/>
        <w:jc w:val="center"/>
        <w:textAlignment w:val="auto"/>
        <w:rPr>
          <w:rFonts w:hint="eastAsia" w:asciiTheme="minorEastAsia" w:hAnsiTheme="minorEastAsia" w:eastAsiaTheme="minorEastAsia" w:cstheme="minorEastAsia"/>
          <w:b/>
          <w:color w:val="auto"/>
          <w:szCs w:val="21"/>
          <w:highlight w:val="none"/>
          <w:lang w:val="en-US" w:eastAsia="zh-CN"/>
        </w:rPr>
      </w:pPr>
    </w:p>
    <w:p w14:paraId="745F8F07">
      <w:pPr>
        <w:keepNext w:val="0"/>
        <w:keepLines w:val="0"/>
        <w:pageBreakBefore w:val="0"/>
        <w:widowControl w:val="0"/>
        <w:shd w:val="clear" w:color="auto" w:fill="auto"/>
        <w:kinsoku w:val="0"/>
        <w:wordWrap w:val="0"/>
        <w:overflowPunct/>
        <w:topLinePunct w:val="0"/>
        <w:autoSpaceDE/>
        <w:autoSpaceDN/>
        <w:bidi w:val="0"/>
        <w:adjustRightInd/>
        <w:snapToGrid/>
        <w:spacing w:beforeAutospacing="0" w:afterAutospacing="0" w:line="360" w:lineRule="exact"/>
        <w:ind w:left="0"/>
        <w:jc w:val="center"/>
        <w:textAlignment w:val="auto"/>
        <w:rPr>
          <w:rFonts w:hint="default"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1.备品备件表</w:t>
      </w:r>
    </w:p>
    <w:p w14:paraId="061A2084">
      <w:pPr>
        <w:pStyle w:val="11"/>
        <w:keepNext w:val="0"/>
        <w:keepLines w:val="0"/>
        <w:pageBreakBefore w:val="0"/>
        <w:widowControl w:val="0"/>
        <w:numPr>
          <w:ilvl w:val="0"/>
          <w:numId w:val="0"/>
        </w:numPr>
        <w:shd w:val="clear" w:color="auto" w:fill="auto"/>
        <w:kinsoku w:val="0"/>
        <w:wordWrap w:val="0"/>
        <w:bidi w:val="0"/>
        <w:spacing w:line="480" w:lineRule="exact"/>
        <w:jc w:val="center"/>
        <w:textAlignment w:val="auto"/>
        <w:rPr>
          <w:rFonts w:hint="default"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w:t>
      </w:r>
      <w:r>
        <w:rPr>
          <w:rFonts w:hint="eastAsia" w:asciiTheme="minorEastAsia" w:hAnsiTheme="minorEastAsia" w:eastAsiaTheme="minorEastAsia" w:cstheme="minorEastAsia"/>
          <w:color w:val="auto"/>
          <w:sz w:val="24"/>
          <w:szCs w:val="24"/>
          <w:highlight w:val="none"/>
          <w:lang w:val="en-US" w:eastAsia="zh-CN"/>
        </w:rPr>
        <w:t>具体格式内容由供应商自行确定）</w:t>
      </w:r>
    </w:p>
    <w:p w14:paraId="5A2E952D">
      <w:pPr>
        <w:pStyle w:val="11"/>
        <w:keepNext w:val="0"/>
        <w:keepLines w:val="0"/>
        <w:pageBreakBefore w:val="0"/>
        <w:widowControl w:val="0"/>
        <w:numPr>
          <w:ilvl w:val="0"/>
          <w:numId w:val="0"/>
        </w:numPr>
        <w:shd w:val="clear" w:color="auto" w:fill="auto"/>
        <w:kinsoku w:val="0"/>
        <w:wordWrap w:val="0"/>
        <w:bidi w:val="0"/>
        <w:spacing w:line="480" w:lineRule="exact"/>
        <w:jc w:val="center"/>
        <w:textAlignment w:val="auto"/>
        <w:rPr>
          <w:rFonts w:hint="eastAsia" w:asciiTheme="minorEastAsia" w:hAnsiTheme="minorEastAsia" w:eastAsiaTheme="minorEastAsia" w:cstheme="minorEastAsia"/>
          <w:b/>
          <w:color w:val="auto"/>
          <w:sz w:val="24"/>
          <w:szCs w:val="24"/>
          <w:highlight w:val="none"/>
          <w:lang w:val="en-US" w:eastAsia="zh-CN"/>
        </w:rPr>
        <w:sectPr>
          <w:pgSz w:w="11906" w:h="16838"/>
          <w:pgMar w:top="1361" w:right="1474" w:bottom="1361" w:left="1587" w:header="850" w:footer="992" w:gutter="0"/>
          <w:pgNumType w:fmt="decimal"/>
          <w:cols w:space="0" w:num="1"/>
          <w:rtlGutter w:val="0"/>
          <w:docGrid w:type="lines" w:linePitch="314" w:charSpace="0"/>
        </w:sectPr>
      </w:pPr>
    </w:p>
    <w:p w14:paraId="5C3D33A4">
      <w:pPr>
        <w:keepNext w:val="0"/>
        <w:keepLines w:val="0"/>
        <w:pageBreakBefore w:val="0"/>
        <w:widowControl w:val="0"/>
        <w:shd w:val="clear" w:color="auto" w:fill="auto"/>
        <w:kinsoku w:val="0"/>
        <w:wordWrap w:val="0"/>
        <w:overflowPunct/>
        <w:topLinePunct w:val="0"/>
        <w:autoSpaceDE/>
        <w:autoSpaceDN/>
        <w:bidi w:val="0"/>
        <w:adjustRightInd/>
        <w:snapToGrid/>
        <w:spacing w:beforeAutospacing="0" w:afterAutospacing="0" w:line="360" w:lineRule="exact"/>
        <w:ind w:left="0"/>
        <w:jc w:val="center"/>
        <w:textAlignment w:val="auto"/>
        <w:rPr>
          <w:rFonts w:hint="default"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2.报价明细表</w:t>
      </w:r>
    </w:p>
    <w:tbl>
      <w:tblPr>
        <w:tblStyle w:val="21"/>
        <w:tblW w:w="92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2"/>
        <w:gridCol w:w="1830"/>
        <w:gridCol w:w="1224"/>
        <w:gridCol w:w="708"/>
        <w:gridCol w:w="780"/>
        <w:gridCol w:w="924"/>
        <w:gridCol w:w="853"/>
        <w:gridCol w:w="914"/>
        <w:gridCol w:w="1195"/>
      </w:tblGrid>
      <w:tr w14:paraId="3390D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1" w:hRule="exact"/>
          <w:jc w:val="center"/>
        </w:trPr>
        <w:tc>
          <w:tcPr>
            <w:tcW w:w="842" w:type="dxa"/>
            <w:tcBorders>
              <w:top w:val="single" w:color="auto" w:sz="4" w:space="0"/>
              <w:left w:val="single" w:color="auto" w:sz="4" w:space="0"/>
              <w:bottom w:val="single" w:color="auto" w:sz="4" w:space="0"/>
              <w:right w:val="single" w:color="auto" w:sz="4" w:space="0"/>
            </w:tcBorders>
            <w:noWrap w:val="0"/>
            <w:vAlign w:val="center"/>
          </w:tcPr>
          <w:p w14:paraId="5AD19D18">
            <w:pPr>
              <w:pStyle w:val="11"/>
              <w:keepNext w:val="0"/>
              <w:keepLines w:val="0"/>
              <w:pageBreakBefore w:val="0"/>
              <w:widowControl w:val="0"/>
              <w:shd w:val="clear" w:color="auto" w:fill="auto"/>
              <w:kinsoku w:val="0"/>
              <w:wordWrap w:val="0"/>
              <w:bidi w:val="0"/>
              <w:spacing w:line="320" w:lineRule="exact"/>
              <w:jc w:val="center"/>
              <w:textAlignment w:val="auto"/>
              <w:rPr>
                <w:rFonts w:hint="eastAsia" w:asciiTheme="minorEastAsia" w:hAnsiTheme="minorEastAsia" w:eastAsiaTheme="minorEastAsia" w:cstheme="minorEastAsia"/>
                <w:color w:val="auto"/>
                <w:spacing w:val="-20"/>
                <w:sz w:val="24"/>
                <w:szCs w:val="24"/>
                <w:highlight w:val="none"/>
              </w:rPr>
            </w:pPr>
            <w:r>
              <w:rPr>
                <w:rFonts w:hint="eastAsia" w:asciiTheme="minorEastAsia" w:hAnsiTheme="minorEastAsia" w:eastAsiaTheme="minorEastAsia" w:cstheme="minorEastAsia"/>
                <w:color w:val="auto"/>
                <w:kern w:val="0"/>
                <w:sz w:val="24"/>
                <w:szCs w:val="24"/>
                <w:highlight w:val="none"/>
              </w:rPr>
              <w:t>序号</w:t>
            </w:r>
          </w:p>
        </w:tc>
        <w:tc>
          <w:tcPr>
            <w:tcW w:w="1830" w:type="dxa"/>
            <w:tcBorders>
              <w:top w:val="single" w:color="auto" w:sz="4" w:space="0"/>
              <w:left w:val="single" w:color="auto" w:sz="4" w:space="0"/>
              <w:bottom w:val="single" w:color="auto" w:sz="4" w:space="0"/>
              <w:right w:val="single" w:color="auto" w:sz="4" w:space="0"/>
            </w:tcBorders>
            <w:noWrap w:val="0"/>
            <w:vAlign w:val="center"/>
          </w:tcPr>
          <w:p w14:paraId="1EE9320C">
            <w:pPr>
              <w:keepNext w:val="0"/>
              <w:keepLines w:val="0"/>
              <w:pageBreakBefore w:val="0"/>
              <w:widowControl w:val="0"/>
              <w:shd w:val="clear" w:color="auto" w:fill="auto"/>
              <w:kinsoku w:val="0"/>
              <w:wordWrap w:val="0"/>
              <w:bidi w:val="0"/>
              <w:spacing w:line="320" w:lineRule="exact"/>
              <w:jc w:val="center"/>
              <w:textAlignment w:val="auto"/>
              <w:rPr>
                <w:rFonts w:hint="eastAsia" w:asciiTheme="minorEastAsia" w:hAnsiTheme="minorEastAsia" w:eastAsiaTheme="minorEastAsia" w:cstheme="minorEastAsia"/>
                <w:color w:val="auto"/>
                <w:kern w:val="0"/>
                <w:sz w:val="24"/>
                <w:szCs w:val="24"/>
                <w:highlight w:val="none"/>
                <w:lang w:eastAsia="zh-CN"/>
              </w:rPr>
            </w:pPr>
            <w:r>
              <w:rPr>
                <w:rFonts w:hint="eastAsia" w:asciiTheme="minorEastAsia" w:hAnsiTheme="minorEastAsia" w:eastAsiaTheme="minorEastAsia" w:cstheme="minorEastAsia"/>
                <w:color w:val="auto"/>
                <w:kern w:val="0"/>
                <w:sz w:val="24"/>
                <w:szCs w:val="24"/>
                <w:highlight w:val="none"/>
                <w:lang w:eastAsia="zh-CN"/>
              </w:rPr>
              <w:t>采购货物名称</w:t>
            </w:r>
          </w:p>
        </w:tc>
        <w:tc>
          <w:tcPr>
            <w:tcW w:w="1224" w:type="dxa"/>
            <w:tcBorders>
              <w:top w:val="single" w:color="auto" w:sz="4" w:space="0"/>
              <w:left w:val="single" w:color="auto" w:sz="4" w:space="0"/>
              <w:bottom w:val="single" w:color="auto" w:sz="4" w:space="0"/>
              <w:right w:val="single" w:color="auto" w:sz="4" w:space="0"/>
            </w:tcBorders>
            <w:noWrap w:val="0"/>
            <w:vAlign w:val="center"/>
          </w:tcPr>
          <w:p w14:paraId="23A268EB">
            <w:pPr>
              <w:keepNext w:val="0"/>
              <w:keepLines w:val="0"/>
              <w:pageBreakBefore w:val="0"/>
              <w:widowControl w:val="0"/>
              <w:shd w:val="clear" w:color="auto" w:fill="auto"/>
              <w:kinsoku w:val="0"/>
              <w:wordWrap w:val="0"/>
              <w:bidi w:val="0"/>
              <w:spacing w:line="320" w:lineRule="exact"/>
              <w:jc w:val="center"/>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技术参数及功能</w:t>
            </w:r>
          </w:p>
        </w:tc>
        <w:tc>
          <w:tcPr>
            <w:tcW w:w="708" w:type="dxa"/>
            <w:tcBorders>
              <w:top w:val="single" w:color="auto" w:sz="4" w:space="0"/>
              <w:left w:val="single" w:color="auto" w:sz="4" w:space="0"/>
              <w:bottom w:val="single" w:color="auto" w:sz="4" w:space="0"/>
              <w:right w:val="single" w:color="auto" w:sz="4" w:space="0"/>
            </w:tcBorders>
            <w:noWrap w:val="0"/>
            <w:vAlign w:val="center"/>
          </w:tcPr>
          <w:p w14:paraId="7145EB57">
            <w:pPr>
              <w:keepNext w:val="0"/>
              <w:keepLines w:val="0"/>
              <w:pageBreakBefore w:val="0"/>
              <w:widowControl w:val="0"/>
              <w:shd w:val="clear" w:color="auto" w:fill="auto"/>
              <w:kinsoku w:val="0"/>
              <w:wordWrap w:val="0"/>
              <w:bidi w:val="0"/>
              <w:spacing w:line="320" w:lineRule="exact"/>
              <w:jc w:val="center"/>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数量</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59CC0F21">
            <w:pPr>
              <w:keepNext w:val="0"/>
              <w:keepLines w:val="0"/>
              <w:pageBreakBefore w:val="0"/>
              <w:widowControl w:val="0"/>
              <w:shd w:val="clear" w:color="auto" w:fill="auto"/>
              <w:kinsoku w:val="0"/>
              <w:wordWrap w:val="0"/>
              <w:bidi w:val="0"/>
              <w:spacing w:line="320" w:lineRule="exact"/>
              <w:jc w:val="center"/>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计量</w:t>
            </w:r>
          </w:p>
          <w:p w14:paraId="09ACC4D4">
            <w:pPr>
              <w:keepNext w:val="0"/>
              <w:keepLines w:val="0"/>
              <w:pageBreakBefore w:val="0"/>
              <w:widowControl w:val="0"/>
              <w:shd w:val="clear" w:color="auto" w:fill="auto"/>
              <w:kinsoku w:val="0"/>
              <w:wordWrap w:val="0"/>
              <w:bidi w:val="0"/>
              <w:spacing w:line="320" w:lineRule="exact"/>
              <w:jc w:val="center"/>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单位</w:t>
            </w:r>
          </w:p>
        </w:tc>
        <w:tc>
          <w:tcPr>
            <w:tcW w:w="924" w:type="dxa"/>
            <w:tcBorders>
              <w:top w:val="single" w:color="auto" w:sz="4" w:space="0"/>
              <w:left w:val="single" w:color="auto" w:sz="4" w:space="0"/>
              <w:bottom w:val="single" w:color="auto" w:sz="4" w:space="0"/>
              <w:right w:val="single" w:color="auto" w:sz="4" w:space="0"/>
            </w:tcBorders>
            <w:noWrap w:val="0"/>
            <w:vAlign w:val="center"/>
          </w:tcPr>
          <w:p w14:paraId="54F229DE">
            <w:pPr>
              <w:pStyle w:val="11"/>
              <w:keepNext w:val="0"/>
              <w:keepLines w:val="0"/>
              <w:pageBreakBefore w:val="0"/>
              <w:widowControl w:val="0"/>
              <w:shd w:val="clear" w:color="auto" w:fill="auto"/>
              <w:kinsoku w:val="0"/>
              <w:wordWrap w:val="0"/>
              <w:bidi w:val="0"/>
              <w:spacing w:line="320" w:lineRule="exact"/>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单价（元）</w:t>
            </w:r>
          </w:p>
        </w:tc>
        <w:tc>
          <w:tcPr>
            <w:tcW w:w="853" w:type="dxa"/>
            <w:tcBorders>
              <w:top w:val="single" w:color="auto" w:sz="4" w:space="0"/>
              <w:left w:val="single" w:color="auto" w:sz="4" w:space="0"/>
              <w:bottom w:val="single" w:color="auto" w:sz="4" w:space="0"/>
              <w:right w:val="single" w:color="auto" w:sz="4" w:space="0"/>
            </w:tcBorders>
            <w:noWrap w:val="0"/>
            <w:vAlign w:val="center"/>
          </w:tcPr>
          <w:p w14:paraId="1235EA48">
            <w:pPr>
              <w:pStyle w:val="11"/>
              <w:keepNext w:val="0"/>
              <w:keepLines w:val="0"/>
              <w:pageBreakBefore w:val="0"/>
              <w:widowControl w:val="0"/>
              <w:shd w:val="clear" w:color="auto" w:fill="auto"/>
              <w:kinsoku w:val="0"/>
              <w:wordWrap w:val="0"/>
              <w:bidi w:val="0"/>
              <w:spacing w:line="320" w:lineRule="exact"/>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合价（元）</w:t>
            </w:r>
          </w:p>
        </w:tc>
        <w:tc>
          <w:tcPr>
            <w:tcW w:w="914" w:type="dxa"/>
            <w:tcBorders>
              <w:top w:val="single" w:color="auto" w:sz="4" w:space="0"/>
              <w:left w:val="single" w:color="auto" w:sz="4" w:space="0"/>
              <w:bottom w:val="single" w:color="auto" w:sz="4" w:space="0"/>
              <w:right w:val="single" w:color="auto" w:sz="4" w:space="0"/>
            </w:tcBorders>
            <w:noWrap w:val="0"/>
            <w:vAlign w:val="center"/>
          </w:tcPr>
          <w:p w14:paraId="3831E8D4">
            <w:pPr>
              <w:pStyle w:val="11"/>
              <w:keepNext w:val="0"/>
              <w:keepLines w:val="0"/>
              <w:pageBreakBefore w:val="0"/>
              <w:widowControl w:val="0"/>
              <w:shd w:val="clear" w:color="auto" w:fill="auto"/>
              <w:kinsoku w:val="0"/>
              <w:wordWrap w:val="0"/>
              <w:bidi w:val="0"/>
              <w:spacing w:line="320" w:lineRule="exact"/>
              <w:jc w:val="center"/>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品牌</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型号</w:t>
            </w:r>
          </w:p>
        </w:tc>
        <w:tc>
          <w:tcPr>
            <w:tcW w:w="1195" w:type="dxa"/>
            <w:tcBorders>
              <w:top w:val="single" w:color="auto" w:sz="4" w:space="0"/>
              <w:left w:val="single" w:color="auto" w:sz="4" w:space="0"/>
              <w:bottom w:val="single" w:color="auto" w:sz="4" w:space="0"/>
              <w:right w:val="single" w:color="auto" w:sz="4" w:space="0"/>
            </w:tcBorders>
            <w:noWrap w:val="0"/>
            <w:vAlign w:val="center"/>
          </w:tcPr>
          <w:p w14:paraId="248D7C82">
            <w:pPr>
              <w:pStyle w:val="11"/>
              <w:keepNext w:val="0"/>
              <w:keepLines w:val="0"/>
              <w:pageBreakBefore w:val="0"/>
              <w:widowControl w:val="0"/>
              <w:shd w:val="clear" w:color="auto" w:fill="auto"/>
              <w:kinsoku w:val="0"/>
              <w:wordWrap w:val="0"/>
              <w:bidi w:val="0"/>
              <w:spacing w:line="320" w:lineRule="exact"/>
              <w:jc w:val="center"/>
              <w:textAlignment w:val="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备注</w:t>
            </w:r>
          </w:p>
        </w:tc>
      </w:tr>
      <w:tr w14:paraId="6F664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3" w:hRule="exact"/>
          <w:jc w:val="center"/>
        </w:trPr>
        <w:tc>
          <w:tcPr>
            <w:tcW w:w="9270" w:type="dxa"/>
            <w:gridSpan w:val="9"/>
            <w:tcBorders>
              <w:top w:val="single" w:color="auto" w:sz="4" w:space="0"/>
              <w:left w:val="single" w:color="auto" w:sz="4" w:space="0"/>
              <w:bottom w:val="single" w:color="auto" w:sz="4" w:space="0"/>
              <w:right w:val="single" w:color="auto" w:sz="4" w:space="0"/>
            </w:tcBorders>
            <w:noWrap w:val="0"/>
            <w:vAlign w:val="center"/>
          </w:tcPr>
          <w:p w14:paraId="76EAE3C7">
            <w:pPr>
              <w:pStyle w:val="11"/>
              <w:keepNext w:val="0"/>
              <w:keepLines w:val="0"/>
              <w:pageBreakBefore w:val="0"/>
              <w:widowControl w:val="0"/>
              <w:shd w:val="clear" w:color="auto" w:fill="auto"/>
              <w:kinsoku w:val="0"/>
              <w:wordWrap w:val="0"/>
              <w:bidi w:val="0"/>
              <w:spacing w:line="320" w:lineRule="exact"/>
              <w:jc w:val="center"/>
              <w:textAlignment w:val="auto"/>
              <w:rPr>
                <w:rFonts w:hint="default" w:asciiTheme="minorEastAsia" w:hAnsiTheme="minorEastAsia" w:eastAsiaTheme="minorEastAsia" w:cstheme="minorEastAsia"/>
                <w:color w:val="auto"/>
                <w:spacing w:val="-6"/>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w:t>
            </w:r>
          </w:p>
        </w:tc>
      </w:tr>
      <w:tr w14:paraId="6EBDC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2" w:hRule="exact"/>
          <w:jc w:val="center"/>
        </w:trPr>
        <w:tc>
          <w:tcPr>
            <w:tcW w:w="842" w:type="dxa"/>
            <w:tcBorders>
              <w:top w:val="single" w:color="auto" w:sz="4" w:space="0"/>
              <w:left w:val="single" w:color="auto" w:sz="4" w:space="0"/>
              <w:bottom w:val="single" w:color="auto" w:sz="4" w:space="0"/>
              <w:right w:val="single" w:color="auto" w:sz="4" w:space="0"/>
            </w:tcBorders>
            <w:noWrap w:val="0"/>
            <w:vAlign w:val="center"/>
          </w:tcPr>
          <w:p w14:paraId="40ED26B7">
            <w:pPr>
              <w:pStyle w:val="11"/>
              <w:keepNext w:val="0"/>
              <w:keepLines w:val="0"/>
              <w:pageBreakBefore w:val="0"/>
              <w:widowControl w:val="0"/>
              <w:shd w:val="clear" w:color="auto" w:fill="auto"/>
              <w:kinsoku w:val="0"/>
              <w:wordWrap w:val="0"/>
              <w:bidi w:val="0"/>
              <w:spacing w:line="320" w:lineRule="exact"/>
              <w:jc w:val="center"/>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1</w:t>
            </w:r>
          </w:p>
        </w:tc>
        <w:tc>
          <w:tcPr>
            <w:tcW w:w="1830" w:type="dxa"/>
            <w:tcBorders>
              <w:top w:val="single" w:color="auto" w:sz="4" w:space="0"/>
              <w:left w:val="single" w:color="auto" w:sz="4" w:space="0"/>
              <w:bottom w:val="single" w:color="auto" w:sz="4" w:space="0"/>
              <w:right w:val="single" w:color="auto" w:sz="4" w:space="0"/>
            </w:tcBorders>
            <w:noWrap w:val="0"/>
            <w:vAlign w:val="center"/>
          </w:tcPr>
          <w:p w14:paraId="121B4DF6">
            <w:pPr>
              <w:keepNext w:val="0"/>
              <w:keepLines w:val="0"/>
              <w:widowControl/>
              <w:suppressLineNumbers w:val="0"/>
              <w:jc w:val="left"/>
              <w:textAlignment w:val="center"/>
              <w:rPr>
                <w:rFonts w:hint="eastAsia" w:asciiTheme="minorEastAsia" w:hAnsiTheme="minorEastAsia" w:eastAsiaTheme="minorEastAsia" w:cstheme="minorEastAsia"/>
                <w:color w:val="auto"/>
                <w:sz w:val="24"/>
                <w:szCs w:val="24"/>
                <w:highlight w:val="none"/>
              </w:rPr>
            </w:pPr>
          </w:p>
        </w:tc>
        <w:tc>
          <w:tcPr>
            <w:tcW w:w="1224" w:type="dxa"/>
            <w:tcBorders>
              <w:top w:val="single" w:color="auto" w:sz="4" w:space="0"/>
              <w:left w:val="single" w:color="auto" w:sz="4" w:space="0"/>
              <w:bottom w:val="single" w:color="auto" w:sz="4" w:space="0"/>
              <w:right w:val="single" w:color="auto" w:sz="4" w:space="0"/>
            </w:tcBorders>
            <w:noWrap w:val="0"/>
            <w:vAlign w:val="center"/>
          </w:tcPr>
          <w:p w14:paraId="29E3A295">
            <w:pPr>
              <w:pStyle w:val="11"/>
              <w:keepNext w:val="0"/>
              <w:keepLines w:val="0"/>
              <w:pageBreakBefore w:val="0"/>
              <w:widowControl w:val="0"/>
              <w:shd w:val="clear" w:color="auto" w:fill="auto"/>
              <w:kinsoku w:val="0"/>
              <w:wordWrap w:val="0"/>
              <w:bidi w:val="0"/>
              <w:spacing w:line="320" w:lineRule="exact"/>
              <w:jc w:val="center"/>
              <w:textAlignment w:val="auto"/>
              <w:rPr>
                <w:rFonts w:hint="eastAsia" w:asciiTheme="minorEastAsia" w:hAnsiTheme="minorEastAsia" w:eastAsiaTheme="minorEastAsia" w:cstheme="minorEastAsia"/>
                <w:color w:val="auto"/>
                <w:sz w:val="24"/>
                <w:szCs w:val="24"/>
                <w:highlight w:val="none"/>
              </w:rPr>
            </w:pPr>
          </w:p>
        </w:tc>
        <w:tc>
          <w:tcPr>
            <w:tcW w:w="708" w:type="dxa"/>
            <w:tcBorders>
              <w:top w:val="single" w:color="auto" w:sz="4" w:space="0"/>
              <w:left w:val="single" w:color="auto" w:sz="4" w:space="0"/>
              <w:bottom w:val="single" w:color="auto" w:sz="4" w:space="0"/>
              <w:right w:val="single" w:color="auto" w:sz="4" w:space="0"/>
            </w:tcBorders>
            <w:noWrap w:val="0"/>
            <w:vAlign w:val="center"/>
          </w:tcPr>
          <w:p w14:paraId="67BB6E47">
            <w:pPr>
              <w:pStyle w:val="11"/>
              <w:keepNext w:val="0"/>
              <w:keepLines w:val="0"/>
              <w:pageBreakBefore w:val="0"/>
              <w:widowControl w:val="0"/>
              <w:shd w:val="clear" w:color="auto" w:fill="auto"/>
              <w:kinsoku w:val="0"/>
              <w:wordWrap w:val="0"/>
              <w:bidi w:val="0"/>
              <w:spacing w:line="320" w:lineRule="exact"/>
              <w:jc w:val="center"/>
              <w:textAlignment w:val="auto"/>
              <w:rPr>
                <w:rFonts w:hint="eastAsia" w:asciiTheme="minorEastAsia" w:hAnsiTheme="minorEastAsia" w:eastAsiaTheme="minorEastAsia" w:cstheme="minorEastAsia"/>
                <w:color w:val="auto"/>
                <w:sz w:val="24"/>
                <w:szCs w:val="24"/>
                <w:highlight w:val="none"/>
              </w:rPr>
            </w:pPr>
          </w:p>
        </w:tc>
        <w:tc>
          <w:tcPr>
            <w:tcW w:w="780" w:type="dxa"/>
            <w:tcBorders>
              <w:top w:val="single" w:color="auto" w:sz="4" w:space="0"/>
              <w:left w:val="single" w:color="auto" w:sz="4" w:space="0"/>
              <w:bottom w:val="single" w:color="auto" w:sz="4" w:space="0"/>
              <w:right w:val="single" w:color="auto" w:sz="4" w:space="0"/>
            </w:tcBorders>
            <w:noWrap w:val="0"/>
            <w:vAlign w:val="center"/>
          </w:tcPr>
          <w:p w14:paraId="741442EA">
            <w:pPr>
              <w:pStyle w:val="11"/>
              <w:keepNext w:val="0"/>
              <w:keepLines w:val="0"/>
              <w:pageBreakBefore w:val="0"/>
              <w:widowControl w:val="0"/>
              <w:shd w:val="clear" w:color="auto" w:fill="auto"/>
              <w:kinsoku w:val="0"/>
              <w:wordWrap w:val="0"/>
              <w:bidi w:val="0"/>
              <w:spacing w:line="320" w:lineRule="exact"/>
              <w:jc w:val="center"/>
              <w:textAlignment w:val="auto"/>
              <w:rPr>
                <w:rFonts w:hint="eastAsia" w:asciiTheme="minorEastAsia" w:hAnsiTheme="minorEastAsia" w:eastAsiaTheme="minorEastAsia" w:cstheme="minorEastAsia"/>
                <w:color w:val="auto"/>
                <w:sz w:val="24"/>
                <w:szCs w:val="24"/>
                <w:highlight w:val="none"/>
              </w:rPr>
            </w:pPr>
          </w:p>
        </w:tc>
        <w:tc>
          <w:tcPr>
            <w:tcW w:w="924" w:type="dxa"/>
            <w:tcBorders>
              <w:top w:val="single" w:color="auto" w:sz="4" w:space="0"/>
              <w:left w:val="single" w:color="auto" w:sz="4" w:space="0"/>
              <w:bottom w:val="single" w:color="auto" w:sz="4" w:space="0"/>
              <w:right w:val="single" w:color="auto" w:sz="4" w:space="0"/>
            </w:tcBorders>
            <w:noWrap w:val="0"/>
            <w:vAlign w:val="center"/>
          </w:tcPr>
          <w:p w14:paraId="63802A7A">
            <w:pPr>
              <w:pStyle w:val="11"/>
              <w:keepNext w:val="0"/>
              <w:keepLines w:val="0"/>
              <w:pageBreakBefore w:val="0"/>
              <w:widowControl w:val="0"/>
              <w:shd w:val="clear" w:color="auto" w:fill="auto"/>
              <w:kinsoku w:val="0"/>
              <w:wordWrap w:val="0"/>
              <w:bidi w:val="0"/>
              <w:spacing w:line="320" w:lineRule="exact"/>
              <w:jc w:val="center"/>
              <w:textAlignment w:val="auto"/>
              <w:rPr>
                <w:rFonts w:hint="eastAsia" w:asciiTheme="minorEastAsia" w:hAnsiTheme="minorEastAsia" w:eastAsiaTheme="minorEastAsia" w:cstheme="minorEastAsia"/>
                <w:color w:val="auto"/>
                <w:spacing w:val="-6"/>
                <w:sz w:val="24"/>
                <w:szCs w:val="24"/>
                <w:highlight w:val="none"/>
              </w:rPr>
            </w:pPr>
          </w:p>
        </w:tc>
        <w:tc>
          <w:tcPr>
            <w:tcW w:w="853" w:type="dxa"/>
            <w:tcBorders>
              <w:top w:val="single" w:color="auto" w:sz="4" w:space="0"/>
              <w:left w:val="single" w:color="auto" w:sz="4" w:space="0"/>
              <w:bottom w:val="single" w:color="auto" w:sz="4" w:space="0"/>
              <w:right w:val="single" w:color="auto" w:sz="4" w:space="0"/>
            </w:tcBorders>
            <w:noWrap w:val="0"/>
            <w:vAlign w:val="center"/>
          </w:tcPr>
          <w:p w14:paraId="20D5F62A">
            <w:pPr>
              <w:pStyle w:val="11"/>
              <w:keepNext w:val="0"/>
              <w:keepLines w:val="0"/>
              <w:pageBreakBefore w:val="0"/>
              <w:widowControl w:val="0"/>
              <w:shd w:val="clear" w:color="auto" w:fill="auto"/>
              <w:kinsoku w:val="0"/>
              <w:wordWrap w:val="0"/>
              <w:bidi w:val="0"/>
              <w:spacing w:line="320" w:lineRule="exact"/>
              <w:jc w:val="center"/>
              <w:textAlignment w:val="auto"/>
              <w:rPr>
                <w:rFonts w:hint="eastAsia" w:asciiTheme="minorEastAsia" w:hAnsiTheme="minorEastAsia" w:eastAsiaTheme="minorEastAsia" w:cstheme="minorEastAsia"/>
                <w:color w:val="auto"/>
                <w:spacing w:val="-6"/>
                <w:sz w:val="24"/>
                <w:szCs w:val="24"/>
                <w:highlight w:val="none"/>
              </w:rPr>
            </w:pPr>
          </w:p>
        </w:tc>
        <w:tc>
          <w:tcPr>
            <w:tcW w:w="914" w:type="dxa"/>
            <w:tcBorders>
              <w:top w:val="single" w:color="auto" w:sz="4" w:space="0"/>
              <w:left w:val="single" w:color="auto" w:sz="4" w:space="0"/>
              <w:bottom w:val="single" w:color="auto" w:sz="4" w:space="0"/>
              <w:right w:val="single" w:color="auto" w:sz="4" w:space="0"/>
            </w:tcBorders>
            <w:noWrap w:val="0"/>
            <w:vAlign w:val="center"/>
          </w:tcPr>
          <w:p w14:paraId="55DA453E">
            <w:pPr>
              <w:pStyle w:val="11"/>
              <w:keepNext w:val="0"/>
              <w:keepLines w:val="0"/>
              <w:pageBreakBefore w:val="0"/>
              <w:widowControl w:val="0"/>
              <w:shd w:val="clear" w:color="auto" w:fill="auto"/>
              <w:kinsoku w:val="0"/>
              <w:wordWrap w:val="0"/>
              <w:bidi w:val="0"/>
              <w:spacing w:line="320" w:lineRule="exact"/>
              <w:jc w:val="center"/>
              <w:textAlignment w:val="auto"/>
              <w:rPr>
                <w:rFonts w:hint="eastAsia" w:asciiTheme="minorEastAsia" w:hAnsiTheme="minorEastAsia" w:eastAsiaTheme="minorEastAsia" w:cstheme="minorEastAsia"/>
                <w:color w:val="auto"/>
                <w:spacing w:val="-6"/>
                <w:sz w:val="24"/>
                <w:szCs w:val="24"/>
                <w:highlight w:val="none"/>
              </w:rPr>
            </w:pPr>
          </w:p>
        </w:tc>
        <w:tc>
          <w:tcPr>
            <w:tcW w:w="1195" w:type="dxa"/>
            <w:tcBorders>
              <w:top w:val="single" w:color="auto" w:sz="4" w:space="0"/>
              <w:left w:val="single" w:color="auto" w:sz="4" w:space="0"/>
              <w:bottom w:val="single" w:color="auto" w:sz="4" w:space="0"/>
              <w:right w:val="single" w:color="auto" w:sz="4" w:space="0"/>
            </w:tcBorders>
            <w:noWrap w:val="0"/>
            <w:vAlign w:val="center"/>
          </w:tcPr>
          <w:p w14:paraId="649AD2DF">
            <w:pPr>
              <w:pStyle w:val="11"/>
              <w:keepNext w:val="0"/>
              <w:keepLines w:val="0"/>
              <w:pageBreakBefore w:val="0"/>
              <w:widowControl w:val="0"/>
              <w:shd w:val="clear" w:color="auto" w:fill="auto"/>
              <w:kinsoku w:val="0"/>
              <w:wordWrap w:val="0"/>
              <w:bidi w:val="0"/>
              <w:spacing w:line="320" w:lineRule="exact"/>
              <w:jc w:val="center"/>
              <w:textAlignment w:val="auto"/>
              <w:rPr>
                <w:rFonts w:hint="eastAsia" w:asciiTheme="minorEastAsia" w:hAnsiTheme="minorEastAsia" w:eastAsiaTheme="minorEastAsia" w:cstheme="minorEastAsia"/>
                <w:color w:val="auto"/>
                <w:spacing w:val="-6"/>
                <w:sz w:val="24"/>
                <w:szCs w:val="24"/>
                <w:highlight w:val="none"/>
              </w:rPr>
            </w:pPr>
          </w:p>
        </w:tc>
      </w:tr>
      <w:tr w14:paraId="30289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exact"/>
          <w:jc w:val="center"/>
        </w:trPr>
        <w:tc>
          <w:tcPr>
            <w:tcW w:w="842" w:type="dxa"/>
            <w:tcBorders>
              <w:top w:val="single" w:color="auto" w:sz="4" w:space="0"/>
              <w:left w:val="single" w:color="auto" w:sz="4" w:space="0"/>
              <w:bottom w:val="single" w:color="auto" w:sz="4" w:space="0"/>
              <w:right w:val="single" w:color="auto" w:sz="4" w:space="0"/>
            </w:tcBorders>
            <w:noWrap w:val="0"/>
            <w:vAlign w:val="center"/>
          </w:tcPr>
          <w:p w14:paraId="3963C944">
            <w:pPr>
              <w:pStyle w:val="11"/>
              <w:keepNext w:val="0"/>
              <w:keepLines w:val="0"/>
              <w:pageBreakBefore w:val="0"/>
              <w:widowControl w:val="0"/>
              <w:shd w:val="clear" w:color="auto" w:fill="auto"/>
              <w:kinsoku w:val="0"/>
              <w:wordWrap w:val="0"/>
              <w:bidi w:val="0"/>
              <w:spacing w:line="320" w:lineRule="exact"/>
              <w:jc w:val="center"/>
              <w:textAlignment w:val="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w:t>
            </w:r>
          </w:p>
        </w:tc>
        <w:tc>
          <w:tcPr>
            <w:tcW w:w="1830" w:type="dxa"/>
            <w:tcBorders>
              <w:top w:val="single" w:color="auto" w:sz="4" w:space="0"/>
              <w:left w:val="single" w:color="auto" w:sz="4" w:space="0"/>
              <w:bottom w:val="single" w:color="auto" w:sz="4" w:space="0"/>
              <w:right w:val="single" w:color="auto" w:sz="4" w:space="0"/>
            </w:tcBorders>
            <w:noWrap w:val="0"/>
            <w:vAlign w:val="center"/>
          </w:tcPr>
          <w:p w14:paraId="76D7A9BC">
            <w:pPr>
              <w:keepNext w:val="0"/>
              <w:keepLines w:val="0"/>
              <w:widowControl/>
              <w:suppressLineNumbers w:val="0"/>
              <w:jc w:val="left"/>
              <w:textAlignment w:val="center"/>
              <w:rPr>
                <w:rFonts w:hint="eastAsia" w:asciiTheme="minorEastAsia" w:hAnsiTheme="minorEastAsia" w:eastAsiaTheme="minorEastAsia" w:cstheme="minorEastAsia"/>
                <w:color w:val="auto"/>
                <w:sz w:val="24"/>
                <w:szCs w:val="24"/>
                <w:highlight w:val="none"/>
              </w:rPr>
            </w:pPr>
          </w:p>
        </w:tc>
        <w:tc>
          <w:tcPr>
            <w:tcW w:w="1224" w:type="dxa"/>
            <w:tcBorders>
              <w:top w:val="single" w:color="auto" w:sz="4" w:space="0"/>
              <w:left w:val="single" w:color="auto" w:sz="4" w:space="0"/>
              <w:bottom w:val="single" w:color="auto" w:sz="4" w:space="0"/>
              <w:right w:val="single" w:color="auto" w:sz="4" w:space="0"/>
            </w:tcBorders>
            <w:noWrap w:val="0"/>
            <w:vAlign w:val="center"/>
          </w:tcPr>
          <w:p w14:paraId="64F83959">
            <w:pPr>
              <w:pStyle w:val="11"/>
              <w:keepNext w:val="0"/>
              <w:keepLines w:val="0"/>
              <w:pageBreakBefore w:val="0"/>
              <w:widowControl w:val="0"/>
              <w:shd w:val="clear" w:color="auto" w:fill="auto"/>
              <w:kinsoku w:val="0"/>
              <w:wordWrap w:val="0"/>
              <w:bidi w:val="0"/>
              <w:spacing w:line="320" w:lineRule="exact"/>
              <w:jc w:val="center"/>
              <w:textAlignment w:val="auto"/>
              <w:rPr>
                <w:rFonts w:hint="eastAsia" w:asciiTheme="minorEastAsia" w:hAnsiTheme="minorEastAsia" w:eastAsiaTheme="minorEastAsia" w:cstheme="minorEastAsia"/>
                <w:color w:val="auto"/>
                <w:sz w:val="24"/>
                <w:szCs w:val="24"/>
                <w:highlight w:val="none"/>
              </w:rPr>
            </w:pPr>
          </w:p>
        </w:tc>
        <w:tc>
          <w:tcPr>
            <w:tcW w:w="708" w:type="dxa"/>
            <w:tcBorders>
              <w:top w:val="single" w:color="auto" w:sz="4" w:space="0"/>
              <w:left w:val="single" w:color="auto" w:sz="4" w:space="0"/>
              <w:bottom w:val="single" w:color="auto" w:sz="4" w:space="0"/>
              <w:right w:val="single" w:color="auto" w:sz="4" w:space="0"/>
            </w:tcBorders>
            <w:noWrap w:val="0"/>
            <w:vAlign w:val="center"/>
          </w:tcPr>
          <w:p w14:paraId="6DD3A1F5">
            <w:pPr>
              <w:pStyle w:val="11"/>
              <w:keepNext w:val="0"/>
              <w:keepLines w:val="0"/>
              <w:pageBreakBefore w:val="0"/>
              <w:widowControl w:val="0"/>
              <w:shd w:val="clear" w:color="auto" w:fill="auto"/>
              <w:kinsoku w:val="0"/>
              <w:wordWrap w:val="0"/>
              <w:bidi w:val="0"/>
              <w:spacing w:line="320" w:lineRule="exact"/>
              <w:jc w:val="center"/>
              <w:textAlignment w:val="auto"/>
              <w:rPr>
                <w:rFonts w:hint="eastAsia" w:asciiTheme="minorEastAsia" w:hAnsiTheme="minorEastAsia" w:eastAsiaTheme="minorEastAsia" w:cstheme="minorEastAsia"/>
                <w:color w:val="auto"/>
                <w:sz w:val="24"/>
                <w:szCs w:val="24"/>
                <w:highlight w:val="none"/>
              </w:rPr>
            </w:pPr>
          </w:p>
        </w:tc>
        <w:tc>
          <w:tcPr>
            <w:tcW w:w="780" w:type="dxa"/>
            <w:tcBorders>
              <w:top w:val="single" w:color="auto" w:sz="4" w:space="0"/>
              <w:left w:val="single" w:color="auto" w:sz="4" w:space="0"/>
              <w:bottom w:val="single" w:color="auto" w:sz="4" w:space="0"/>
              <w:right w:val="single" w:color="auto" w:sz="4" w:space="0"/>
            </w:tcBorders>
            <w:noWrap w:val="0"/>
            <w:vAlign w:val="center"/>
          </w:tcPr>
          <w:p w14:paraId="5A2DC25C">
            <w:pPr>
              <w:pStyle w:val="11"/>
              <w:keepNext w:val="0"/>
              <w:keepLines w:val="0"/>
              <w:pageBreakBefore w:val="0"/>
              <w:widowControl w:val="0"/>
              <w:shd w:val="clear" w:color="auto" w:fill="auto"/>
              <w:kinsoku w:val="0"/>
              <w:wordWrap w:val="0"/>
              <w:bidi w:val="0"/>
              <w:spacing w:line="320" w:lineRule="exact"/>
              <w:jc w:val="center"/>
              <w:textAlignment w:val="auto"/>
              <w:rPr>
                <w:rFonts w:hint="eastAsia" w:asciiTheme="minorEastAsia" w:hAnsiTheme="minorEastAsia" w:eastAsiaTheme="minorEastAsia" w:cstheme="minorEastAsia"/>
                <w:color w:val="auto"/>
                <w:sz w:val="24"/>
                <w:szCs w:val="24"/>
                <w:highlight w:val="none"/>
              </w:rPr>
            </w:pPr>
          </w:p>
        </w:tc>
        <w:tc>
          <w:tcPr>
            <w:tcW w:w="924" w:type="dxa"/>
            <w:tcBorders>
              <w:top w:val="single" w:color="auto" w:sz="4" w:space="0"/>
              <w:left w:val="single" w:color="auto" w:sz="4" w:space="0"/>
              <w:bottom w:val="single" w:color="auto" w:sz="4" w:space="0"/>
              <w:right w:val="single" w:color="auto" w:sz="4" w:space="0"/>
            </w:tcBorders>
            <w:noWrap w:val="0"/>
            <w:vAlign w:val="center"/>
          </w:tcPr>
          <w:p w14:paraId="23001A28">
            <w:pPr>
              <w:pStyle w:val="11"/>
              <w:keepNext w:val="0"/>
              <w:keepLines w:val="0"/>
              <w:pageBreakBefore w:val="0"/>
              <w:widowControl w:val="0"/>
              <w:shd w:val="clear" w:color="auto" w:fill="auto"/>
              <w:kinsoku w:val="0"/>
              <w:wordWrap w:val="0"/>
              <w:bidi w:val="0"/>
              <w:spacing w:line="320" w:lineRule="exact"/>
              <w:jc w:val="center"/>
              <w:textAlignment w:val="auto"/>
              <w:rPr>
                <w:rFonts w:hint="eastAsia" w:asciiTheme="minorEastAsia" w:hAnsiTheme="minorEastAsia" w:eastAsiaTheme="minorEastAsia" w:cstheme="minorEastAsia"/>
                <w:color w:val="auto"/>
                <w:spacing w:val="-6"/>
                <w:sz w:val="24"/>
                <w:szCs w:val="24"/>
                <w:highlight w:val="none"/>
              </w:rPr>
            </w:pPr>
          </w:p>
        </w:tc>
        <w:tc>
          <w:tcPr>
            <w:tcW w:w="853" w:type="dxa"/>
            <w:tcBorders>
              <w:top w:val="single" w:color="auto" w:sz="4" w:space="0"/>
              <w:left w:val="single" w:color="auto" w:sz="4" w:space="0"/>
              <w:bottom w:val="single" w:color="auto" w:sz="4" w:space="0"/>
              <w:right w:val="single" w:color="auto" w:sz="4" w:space="0"/>
            </w:tcBorders>
            <w:noWrap w:val="0"/>
            <w:vAlign w:val="center"/>
          </w:tcPr>
          <w:p w14:paraId="1A73F6E7">
            <w:pPr>
              <w:pStyle w:val="11"/>
              <w:keepNext w:val="0"/>
              <w:keepLines w:val="0"/>
              <w:pageBreakBefore w:val="0"/>
              <w:widowControl w:val="0"/>
              <w:shd w:val="clear" w:color="auto" w:fill="auto"/>
              <w:kinsoku w:val="0"/>
              <w:wordWrap w:val="0"/>
              <w:bidi w:val="0"/>
              <w:spacing w:line="320" w:lineRule="exact"/>
              <w:jc w:val="center"/>
              <w:textAlignment w:val="auto"/>
              <w:rPr>
                <w:rFonts w:hint="eastAsia" w:asciiTheme="minorEastAsia" w:hAnsiTheme="minorEastAsia" w:eastAsiaTheme="minorEastAsia" w:cstheme="minorEastAsia"/>
                <w:color w:val="auto"/>
                <w:spacing w:val="-6"/>
                <w:sz w:val="24"/>
                <w:szCs w:val="24"/>
                <w:highlight w:val="none"/>
              </w:rPr>
            </w:pPr>
          </w:p>
        </w:tc>
        <w:tc>
          <w:tcPr>
            <w:tcW w:w="914" w:type="dxa"/>
            <w:tcBorders>
              <w:top w:val="single" w:color="auto" w:sz="4" w:space="0"/>
              <w:left w:val="single" w:color="auto" w:sz="4" w:space="0"/>
              <w:bottom w:val="single" w:color="auto" w:sz="4" w:space="0"/>
              <w:right w:val="single" w:color="auto" w:sz="4" w:space="0"/>
            </w:tcBorders>
            <w:noWrap w:val="0"/>
            <w:vAlign w:val="center"/>
          </w:tcPr>
          <w:p w14:paraId="03DA5AF9">
            <w:pPr>
              <w:pStyle w:val="11"/>
              <w:keepNext w:val="0"/>
              <w:keepLines w:val="0"/>
              <w:pageBreakBefore w:val="0"/>
              <w:widowControl w:val="0"/>
              <w:shd w:val="clear" w:color="auto" w:fill="auto"/>
              <w:kinsoku w:val="0"/>
              <w:wordWrap w:val="0"/>
              <w:bidi w:val="0"/>
              <w:spacing w:line="320" w:lineRule="exact"/>
              <w:jc w:val="center"/>
              <w:textAlignment w:val="auto"/>
              <w:rPr>
                <w:rFonts w:hint="eastAsia" w:asciiTheme="minorEastAsia" w:hAnsiTheme="minorEastAsia" w:eastAsiaTheme="minorEastAsia" w:cstheme="minorEastAsia"/>
                <w:color w:val="auto"/>
                <w:spacing w:val="-6"/>
                <w:sz w:val="24"/>
                <w:szCs w:val="24"/>
                <w:highlight w:val="none"/>
              </w:rPr>
            </w:pPr>
          </w:p>
        </w:tc>
        <w:tc>
          <w:tcPr>
            <w:tcW w:w="1195" w:type="dxa"/>
            <w:tcBorders>
              <w:top w:val="single" w:color="auto" w:sz="4" w:space="0"/>
              <w:left w:val="single" w:color="auto" w:sz="4" w:space="0"/>
              <w:bottom w:val="single" w:color="auto" w:sz="4" w:space="0"/>
              <w:right w:val="single" w:color="auto" w:sz="4" w:space="0"/>
            </w:tcBorders>
            <w:noWrap w:val="0"/>
            <w:vAlign w:val="center"/>
          </w:tcPr>
          <w:p w14:paraId="74B45636">
            <w:pPr>
              <w:pStyle w:val="11"/>
              <w:keepNext w:val="0"/>
              <w:keepLines w:val="0"/>
              <w:pageBreakBefore w:val="0"/>
              <w:widowControl w:val="0"/>
              <w:shd w:val="clear" w:color="auto" w:fill="auto"/>
              <w:kinsoku w:val="0"/>
              <w:wordWrap w:val="0"/>
              <w:bidi w:val="0"/>
              <w:spacing w:line="320" w:lineRule="exact"/>
              <w:jc w:val="center"/>
              <w:textAlignment w:val="auto"/>
              <w:rPr>
                <w:rFonts w:hint="eastAsia" w:asciiTheme="minorEastAsia" w:hAnsiTheme="minorEastAsia" w:eastAsiaTheme="minorEastAsia" w:cstheme="minorEastAsia"/>
                <w:color w:val="auto"/>
                <w:spacing w:val="-6"/>
                <w:sz w:val="24"/>
                <w:szCs w:val="24"/>
                <w:highlight w:val="none"/>
              </w:rPr>
            </w:pPr>
          </w:p>
        </w:tc>
      </w:tr>
      <w:tr w14:paraId="54F36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exact"/>
          <w:jc w:val="center"/>
        </w:trPr>
        <w:tc>
          <w:tcPr>
            <w:tcW w:w="842" w:type="dxa"/>
            <w:tcBorders>
              <w:top w:val="single" w:color="auto" w:sz="4" w:space="0"/>
              <w:left w:val="single" w:color="auto" w:sz="4" w:space="0"/>
              <w:bottom w:val="single" w:color="auto" w:sz="4" w:space="0"/>
              <w:right w:val="single" w:color="auto" w:sz="4" w:space="0"/>
            </w:tcBorders>
            <w:noWrap w:val="0"/>
            <w:vAlign w:val="center"/>
          </w:tcPr>
          <w:p w14:paraId="65D4CE1C">
            <w:pPr>
              <w:pStyle w:val="11"/>
              <w:keepNext w:val="0"/>
              <w:keepLines w:val="0"/>
              <w:pageBreakBefore w:val="0"/>
              <w:widowControl w:val="0"/>
              <w:shd w:val="clear" w:color="auto" w:fill="auto"/>
              <w:kinsoku w:val="0"/>
              <w:wordWrap w:val="0"/>
              <w:bidi w:val="0"/>
              <w:spacing w:line="320" w:lineRule="exact"/>
              <w:jc w:val="center"/>
              <w:textAlignment w:val="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w:t>
            </w:r>
          </w:p>
        </w:tc>
        <w:tc>
          <w:tcPr>
            <w:tcW w:w="1830" w:type="dxa"/>
            <w:tcBorders>
              <w:top w:val="single" w:color="auto" w:sz="4" w:space="0"/>
              <w:left w:val="single" w:color="auto" w:sz="4" w:space="0"/>
              <w:bottom w:val="single" w:color="auto" w:sz="4" w:space="0"/>
              <w:right w:val="single" w:color="auto" w:sz="4" w:space="0"/>
            </w:tcBorders>
            <w:noWrap w:val="0"/>
            <w:vAlign w:val="center"/>
          </w:tcPr>
          <w:p w14:paraId="5F4B5890">
            <w:pPr>
              <w:keepNext w:val="0"/>
              <w:keepLines w:val="0"/>
              <w:widowControl/>
              <w:suppressLineNumbers w:val="0"/>
              <w:jc w:val="left"/>
              <w:textAlignment w:val="center"/>
              <w:rPr>
                <w:rFonts w:hint="eastAsia" w:asciiTheme="minorEastAsia" w:hAnsiTheme="minorEastAsia" w:eastAsiaTheme="minorEastAsia" w:cstheme="minorEastAsia"/>
                <w:color w:val="auto"/>
                <w:sz w:val="24"/>
                <w:szCs w:val="24"/>
                <w:highlight w:val="none"/>
              </w:rPr>
            </w:pPr>
          </w:p>
        </w:tc>
        <w:tc>
          <w:tcPr>
            <w:tcW w:w="1224" w:type="dxa"/>
            <w:tcBorders>
              <w:top w:val="single" w:color="auto" w:sz="4" w:space="0"/>
              <w:left w:val="single" w:color="auto" w:sz="4" w:space="0"/>
              <w:bottom w:val="single" w:color="auto" w:sz="4" w:space="0"/>
              <w:right w:val="single" w:color="auto" w:sz="4" w:space="0"/>
            </w:tcBorders>
            <w:noWrap w:val="0"/>
            <w:vAlign w:val="center"/>
          </w:tcPr>
          <w:p w14:paraId="52A9962B">
            <w:pPr>
              <w:pStyle w:val="11"/>
              <w:keepNext w:val="0"/>
              <w:keepLines w:val="0"/>
              <w:pageBreakBefore w:val="0"/>
              <w:widowControl w:val="0"/>
              <w:shd w:val="clear" w:color="auto" w:fill="auto"/>
              <w:kinsoku w:val="0"/>
              <w:wordWrap w:val="0"/>
              <w:bidi w:val="0"/>
              <w:spacing w:line="320" w:lineRule="exact"/>
              <w:jc w:val="center"/>
              <w:textAlignment w:val="auto"/>
              <w:rPr>
                <w:rFonts w:hint="eastAsia" w:asciiTheme="minorEastAsia" w:hAnsiTheme="minorEastAsia" w:eastAsiaTheme="minorEastAsia" w:cstheme="minorEastAsia"/>
                <w:color w:val="auto"/>
                <w:sz w:val="24"/>
                <w:szCs w:val="24"/>
                <w:highlight w:val="none"/>
              </w:rPr>
            </w:pPr>
          </w:p>
        </w:tc>
        <w:tc>
          <w:tcPr>
            <w:tcW w:w="708" w:type="dxa"/>
            <w:tcBorders>
              <w:top w:val="single" w:color="auto" w:sz="4" w:space="0"/>
              <w:left w:val="single" w:color="auto" w:sz="4" w:space="0"/>
              <w:bottom w:val="single" w:color="auto" w:sz="4" w:space="0"/>
              <w:right w:val="single" w:color="auto" w:sz="4" w:space="0"/>
            </w:tcBorders>
            <w:noWrap w:val="0"/>
            <w:vAlign w:val="center"/>
          </w:tcPr>
          <w:p w14:paraId="18DD3543">
            <w:pPr>
              <w:pStyle w:val="11"/>
              <w:keepNext w:val="0"/>
              <w:keepLines w:val="0"/>
              <w:pageBreakBefore w:val="0"/>
              <w:widowControl w:val="0"/>
              <w:shd w:val="clear" w:color="auto" w:fill="auto"/>
              <w:kinsoku w:val="0"/>
              <w:wordWrap w:val="0"/>
              <w:bidi w:val="0"/>
              <w:spacing w:line="320" w:lineRule="exact"/>
              <w:jc w:val="center"/>
              <w:textAlignment w:val="auto"/>
              <w:rPr>
                <w:rFonts w:hint="eastAsia" w:asciiTheme="minorEastAsia" w:hAnsiTheme="minorEastAsia" w:eastAsiaTheme="minorEastAsia" w:cstheme="minorEastAsia"/>
                <w:color w:val="auto"/>
                <w:sz w:val="24"/>
                <w:szCs w:val="24"/>
                <w:highlight w:val="none"/>
              </w:rPr>
            </w:pPr>
          </w:p>
        </w:tc>
        <w:tc>
          <w:tcPr>
            <w:tcW w:w="780" w:type="dxa"/>
            <w:tcBorders>
              <w:top w:val="single" w:color="auto" w:sz="4" w:space="0"/>
              <w:left w:val="single" w:color="auto" w:sz="4" w:space="0"/>
              <w:bottom w:val="single" w:color="auto" w:sz="4" w:space="0"/>
              <w:right w:val="single" w:color="auto" w:sz="4" w:space="0"/>
            </w:tcBorders>
            <w:noWrap w:val="0"/>
            <w:vAlign w:val="center"/>
          </w:tcPr>
          <w:p w14:paraId="61D8495F">
            <w:pPr>
              <w:pStyle w:val="11"/>
              <w:keepNext w:val="0"/>
              <w:keepLines w:val="0"/>
              <w:pageBreakBefore w:val="0"/>
              <w:widowControl w:val="0"/>
              <w:shd w:val="clear" w:color="auto" w:fill="auto"/>
              <w:kinsoku w:val="0"/>
              <w:wordWrap w:val="0"/>
              <w:bidi w:val="0"/>
              <w:spacing w:line="320" w:lineRule="exact"/>
              <w:jc w:val="center"/>
              <w:textAlignment w:val="auto"/>
              <w:rPr>
                <w:rFonts w:hint="eastAsia" w:asciiTheme="minorEastAsia" w:hAnsiTheme="minorEastAsia" w:eastAsiaTheme="minorEastAsia" w:cstheme="minorEastAsia"/>
                <w:color w:val="auto"/>
                <w:sz w:val="24"/>
                <w:szCs w:val="24"/>
                <w:highlight w:val="none"/>
              </w:rPr>
            </w:pPr>
          </w:p>
        </w:tc>
        <w:tc>
          <w:tcPr>
            <w:tcW w:w="924" w:type="dxa"/>
            <w:tcBorders>
              <w:top w:val="single" w:color="auto" w:sz="4" w:space="0"/>
              <w:left w:val="single" w:color="auto" w:sz="4" w:space="0"/>
              <w:bottom w:val="single" w:color="auto" w:sz="4" w:space="0"/>
              <w:right w:val="single" w:color="auto" w:sz="4" w:space="0"/>
            </w:tcBorders>
            <w:noWrap w:val="0"/>
            <w:vAlign w:val="center"/>
          </w:tcPr>
          <w:p w14:paraId="1BBFBDDC">
            <w:pPr>
              <w:pStyle w:val="11"/>
              <w:keepNext w:val="0"/>
              <w:keepLines w:val="0"/>
              <w:pageBreakBefore w:val="0"/>
              <w:widowControl w:val="0"/>
              <w:shd w:val="clear" w:color="auto" w:fill="auto"/>
              <w:kinsoku w:val="0"/>
              <w:wordWrap w:val="0"/>
              <w:bidi w:val="0"/>
              <w:spacing w:line="320" w:lineRule="exact"/>
              <w:jc w:val="center"/>
              <w:textAlignment w:val="auto"/>
              <w:rPr>
                <w:rFonts w:hint="eastAsia" w:asciiTheme="minorEastAsia" w:hAnsiTheme="minorEastAsia" w:eastAsiaTheme="minorEastAsia" w:cstheme="minorEastAsia"/>
                <w:color w:val="auto"/>
                <w:spacing w:val="-6"/>
                <w:sz w:val="24"/>
                <w:szCs w:val="24"/>
                <w:highlight w:val="none"/>
              </w:rPr>
            </w:pPr>
          </w:p>
        </w:tc>
        <w:tc>
          <w:tcPr>
            <w:tcW w:w="853" w:type="dxa"/>
            <w:tcBorders>
              <w:top w:val="single" w:color="auto" w:sz="4" w:space="0"/>
              <w:left w:val="single" w:color="auto" w:sz="4" w:space="0"/>
              <w:bottom w:val="single" w:color="auto" w:sz="4" w:space="0"/>
              <w:right w:val="single" w:color="auto" w:sz="4" w:space="0"/>
            </w:tcBorders>
            <w:noWrap w:val="0"/>
            <w:vAlign w:val="center"/>
          </w:tcPr>
          <w:p w14:paraId="4416F78F">
            <w:pPr>
              <w:pStyle w:val="11"/>
              <w:keepNext w:val="0"/>
              <w:keepLines w:val="0"/>
              <w:pageBreakBefore w:val="0"/>
              <w:widowControl w:val="0"/>
              <w:shd w:val="clear" w:color="auto" w:fill="auto"/>
              <w:kinsoku w:val="0"/>
              <w:wordWrap w:val="0"/>
              <w:bidi w:val="0"/>
              <w:spacing w:line="320" w:lineRule="exact"/>
              <w:jc w:val="center"/>
              <w:textAlignment w:val="auto"/>
              <w:rPr>
                <w:rFonts w:hint="eastAsia" w:asciiTheme="minorEastAsia" w:hAnsiTheme="minorEastAsia" w:eastAsiaTheme="minorEastAsia" w:cstheme="minorEastAsia"/>
                <w:color w:val="auto"/>
                <w:spacing w:val="-6"/>
                <w:sz w:val="24"/>
                <w:szCs w:val="24"/>
                <w:highlight w:val="none"/>
              </w:rPr>
            </w:pPr>
          </w:p>
        </w:tc>
        <w:tc>
          <w:tcPr>
            <w:tcW w:w="914" w:type="dxa"/>
            <w:tcBorders>
              <w:top w:val="single" w:color="auto" w:sz="4" w:space="0"/>
              <w:left w:val="single" w:color="auto" w:sz="4" w:space="0"/>
              <w:bottom w:val="single" w:color="auto" w:sz="4" w:space="0"/>
              <w:right w:val="single" w:color="auto" w:sz="4" w:space="0"/>
            </w:tcBorders>
            <w:noWrap w:val="0"/>
            <w:vAlign w:val="center"/>
          </w:tcPr>
          <w:p w14:paraId="0CFF2BF2">
            <w:pPr>
              <w:pStyle w:val="11"/>
              <w:keepNext w:val="0"/>
              <w:keepLines w:val="0"/>
              <w:pageBreakBefore w:val="0"/>
              <w:widowControl w:val="0"/>
              <w:shd w:val="clear" w:color="auto" w:fill="auto"/>
              <w:kinsoku w:val="0"/>
              <w:wordWrap w:val="0"/>
              <w:bidi w:val="0"/>
              <w:spacing w:line="320" w:lineRule="exact"/>
              <w:jc w:val="center"/>
              <w:textAlignment w:val="auto"/>
              <w:rPr>
                <w:rFonts w:hint="eastAsia" w:asciiTheme="minorEastAsia" w:hAnsiTheme="minorEastAsia" w:eastAsiaTheme="minorEastAsia" w:cstheme="minorEastAsia"/>
                <w:color w:val="auto"/>
                <w:spacing w:val="-6"/>
                <w:sz w:val="24"/>
                <w:szCs w:val="24"/>
                <w:highlight w:val="none"/>
              </w:rPr>
            </w:pPr>
          </w:p>
        </w:tc>
        <w:tc>
          <w:tcPr>
            <w:tcW w:w="1195" w:type="dxa"/>
            <w:tcBorders>
              <w:top w:val="single" w:color="auto" w:sz="4" w:space="0"/>
              <w:left w:val="single" w:color="auto" w:sz="4" w:space="0"/>
              <w:bottom w:val="single" w:color="auto" w:sz="4" w:space="0"/>
              <w:right w:val="single" w:color="auto" w:sz="4" w:space="0"/>
            </w:tcBorders>
            <w:noWrap w:val="0"/>
            <w:vAlign w:val="center"/>
          </w:tcPr>
          <w:p w14:paraId="549B74D2">
            <w:pPr>
              <w:pStyle w:val="11"/>
              <w:keepNext w:val="0"/>
              <w:keepLines w:val="0"/>
              <w:pageBreakBefore w:val="0"/>
              <w:widowControl w:val="0"/>
              <w:shd w:val="clear" w:color="auto" w:fill="auto"/>
              <w:kinsoku w:val="0"/>
              <w:wordWrap w:val="0"/>
              <w:bidi w:val="0"/>
              <w:spacing w:line="320" w:lineRule="exact"/>
              <w:jc w:val="center"/>
              <w:textAlignment w:val="auto"/>
              <w:rPr>
                <w:rFonts w:hint="eastAsia" w:asciiTheme="minorEastAsia" w:hAnsiTheme="minorEastAsia" w:eastAsiaTheme="minorEastAsia" w:cstheme="minorEastAsia"/>
                <w:color w:val="auto"/>
                <w:spacing w:val="-6"/>
                <w:sz w:val="24"/>
                <w:szCs w:val="24"/>
                <w:highlight w:val="none"/>
              </w:rPr>
            </w:pPr>
          </w:p>
        </w:tc>
      </w:tr>
      <w:tr w14:paraId="5981A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exact"/>
          <w:jc w:val="center"/>
        </w:trPr>
        <w:tc>
          <w:tcPr>
            <w:tcW w:w="842" w:type="dxa"/>
            <w:tcBorders>
              <w:top w:val="single" w:color="auto" w:sz="4" w:space="0"/>
              <w:left w:val="single" w:color="auto" w:sz="4" w:space="0"/>
              <w:bottom w:val="single" w:color="auto" w:sz="4" w:space="0"/>
              <w:right w:val="single" w:color="auto" w:sz="4" w:space="0"/>
            </w:tcBorders>
            <w:noWrap w:val="0"/>
            <w:vAlign w:val="center"/>
          </w:tcPr>
          <w:p w14:paraId="522D1445">
            <w:pPr>
              <w:pStyle w:val="11"/>
              <w:keepNext w:val="0"/>
              <w:keepLines w:val="0"/>
              <w:pageBreakBefore w:val="0"/>
              <w:widowControl w:val="0"/>
              <w:shd w:val="clear" w:color="auto" w:fill="auto"/>
              <w:kinsoku w:val="0"/>
              <w:wordWrap w:val="0"/>
              <w:bidi w:val="0"/>
              <w:spacing w:line="320" w:lineRule="exact"/>
              <w:jc w:val="center"/>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w:t>
            </w:r>
          </w:p>
        </w:tc>
        <w:tc>
          <w:tcPr>
            <w:tcW w:w="1830" w:type="dxa"/>
            <w:tcBorders>
              <w:top w:val="single" w:color="auto" w:sz="4" w:space="0"/>
              <w:left w:val="single" w:color="auto" w:sz="4" w:space="0"/>
              <w:bottom w:val="single" w:color="auto" w:sz="4" w:space="0"/>
              <w:right w:val="single" w:color="auto" w:sz="4" w:space="0"/>
            </w:tcBorders>
            <w:noWrap w:val="0"/>
            <w:vAlign w:val="center"/>
          </w:tcPr>
          <w:p w14:paraId="566BC4FE">
            <w:pPr>
              <w:keepNext w:val="0"/>
              <w:keepLines w:val="0"/>
              <w:widowControl/>
              <w:suppressLineNumbers w:val="0"/>
              <w:jc w:val="left"/>
              <w:textAlignment w:val="center"/>
              <w:rPr>
                <w:rFonts w:hint="eastAsia" w:asciiTheme="minorEastAsia" w:hAnsiTheme="minorEastAsia" w:eastAsiaTheme="minorEastAsia" w:cstheme="minorEastAsia"/>
                <w:color w:val="auto"/>
                <w:sz w:val="24"/>
                <w:szCs w:val="24"/>
                <w:highlight w:val="none"/>
              </w:rPr>
            </w:pPr>
          </w:p>
        </w:tc>
        <w:tc>
          <w:tcPr>
            <w:tcW w:w="1224" w:type="dxa"/>
            <w:tcBorders>
              <w:top w:val="single" w:color="auto" w:sz="4" w:space="0"/>
              <w:left w:val="single" w:color="auto" w:sz="4" w:space="0"/>
              <w:bottom w:val="single" w:color="auto" w:sz="4" w:space="0"/>
              <w:right w:val="single" w:color="auto" w:sz="4" w:space="0"/>
            </w:tcBorders>
            <w:noWrap w:val="0"/>
            <w:vAlign w:val="center"/>
          </w:tcPr>
          <w:p w14:paraId="685D7D13">
            <w:pPr>
              <w:pStyle w:val="11"/>
              <w:keepNext w:val="0"/>
              <w:keepLines w:val="0"/>
              <w:pageBreakBefore w:val="0"/>
              <w:widowControl w:val="0"/>
              <w:shd w:val="clear" w:color="auto" w:fill="auto"/>
              <w:kinsoku w:val="0"/>
              <w:wordWrap w:val="0"/>
              <w:bidi w:val="0"/>
              <w:spacing w:line="320" w:lineRule="exact"/>
              <w:jc w:val="center"/>
              <w:textAlignment w:val="auto"/>
              <w:rPr>
                <w:rFonts w:hint="eastAsia" w:asciiTheme="minorEastAsia" w:hAnsiTheme="minorEastAsia" w:eastAsiaTheme="minorEastAsia" w:cstheme="minorEastAsia"/>
                <w:color w:val="auto"/>
                <w:sz w:val="24"/>
                <w:szCs w:val="24"/>
                <w:highlight w:val="none"/>
              </w:rPr>
            </w:pPr>
          </w:p>
        </w:tc>
        <w:tc>
          <w:tcPr>
            <w:tcW w:w="708" w:type="dxa"/>
            <w:tcBorders>
              <w:top w:val="single" w:color="auto" w:sz="4" w:space="0"/>
              <w:left w:val="single" w:color="auto" w:sz="4" w:space="0"/>
              <w:bottom w:val="single" w:color="auto" w:sz="4" w:space="0"/>
              <w:right w:val="single" w:color="auto" w:sz="4" w:space="0"/>
            </w:tcBorders>
            <w:noWrap w:val="0"/>
            <w:vAlign w:val="center"/>
          </w:tcPr>
          <w:p w14:paraId="7F5889E5">
            <w:pPr>
              <w:pStyle w:val="11"/>
              <w:keepNext w:val="0"/>
              <w:keepLines w:val="0"/>
              <w:pageBreakBefore w:val="0"/>
              <w:widowControl w:val="0"/>
              <w:shd w:val="clear" w:color="auto" w:fill="auto"/>
              <w:kinsoku w:val="0"/>
              <w:wordWrap w:val="0"/>
              <w:bidi w:val="0"/>
              <w:spacing w:line="320" w:lineRule="exact"/>
              <w:jc w:val="center"/>
              <w:textAlignment w:val="auto"/>
              <w:rPr>
                <w:rFonts w:hint="eastAsia" w:asciiTheme="minorEastAsia" w:hAnsiTheme="minorEastAsia" w:eastAsiaTheme="minorEastAsia" w:cstheme="minorEastAsia"/>
                <w:color w:val="auto"/>
                <w:sz w:val="24"/>
                <w:szCs w:val="24"/>
                <w:highlight w:val="none"/>
              </w:rPr>
            </w:pPr>
          </w:p>
        </w:tc>
        <w:tc>
          <w:tcPr>
            <w:tcW w:w="780" w:type="dxa"/>
            <w:tcBorders>
              <w:top w:val="single" w:color="auto" w:sz="4" w:space="0"/>
              <w:left w:val="single" w:color="auto" w:sz="4" w:space="0"/>
              <w:bottom w:val="single" w:color="auto" w:sz="4" w:space="0"/>
              <w:right w:val="single" w:color="auto" w:sz="4" w:space="0"/>
            </w:tcBorders>
            <w:noWrap w:val="0"/>
            <w:vAlign w:val="center"/>
          </w:tcPr>
          <w:p w14:paraId="4A6A02E7">
            <w:pPr>
              <w:pStyle w:val="11"/>
              <w:keepNext w:val="0"/>
              <w:keepLines w:val="0"/>
              <w:pageBreakBefore w:val="0"/>
              <w:widowControl w:val="0"/>
              <w:shd w:val="clear" w:color="auto" w:fill="auto"/>
              <w:kinsoku w:val="0"/>
              <w:wordWrap w:val="0"/>
              <w:bidi w:val="0"/>
              <w:spacing w:line="320" w:lineRule="exact"/>
              <w:jc w:val="center"/>
              <w:textAlignment w:val="auto"/>
              <w:rPr>
                <w:rFonts w:hint="eastAsia" w:asciiTheme="minorEastAsia" w:hAnsiTheme="minorEastAsia" w:eastAsiaTheme="minorEastAsia" w:cstheme="minorEastAsia"/>
                <w:color w:val="auto"/>
                <w:sz w:val="24"/>
                <w:szCs w:val="24"/>
                <w:highlight w:val="none"/>
              </w:rPr>
            </w:pPr>
          </w:p>
        </w:tc>
        <w:tc>
          <w:tcPr>
            <w:tcW w:w="924" w:type="dxa"/>
            <w:tcBorders>
              <w:top w:val="single" w:color="auto" w:sz="4" w:space="0"/>
              <w:left w:val="single" w:color="auto" w:sz="4" w:space="0"/>
              <w:bottom w:val="single" w:color="auto" w:sz="4" w:space="0"/>
              <w:right w:val="single" w:color="auto" w:sz="4" w:space="0"/>
            </w:tcBorders>
            <w:noWrap w:val="0"/>
            <w:vAlign w:val="center"/>
          </w:tcPr>
          <w:p w14:paraId="2C3DBA3F">
            <w:pPr>
              <w:pStyle w:val="11"/>
              <w:keepNext w:val="0"/>
              <w:keepLines w:val="0"/>
              <w:pageBreakBefore w:val="0"/>
              <w:widowControl w:val="0"/>
              <w:shd w:val="clear" w:color="auto" w:fill="auto"/>
              <w:kinsoku w:val="0"/>
              <w:wordWrap w:val="0"/>
              <w:bidi w:val="0"/>
              <w:spacing w:line="320" w:lineRule="exact"/>
              <w:jc w:val="center"/>
              <w:textAlignment w:val="auto"/>
              <w:rPr>
                <w:rFonts w:hint="eastAsia" w:asciiTheme="minorEastAsia" w:hAnsiTheme="minorEastAsia" w:eastAsiaTheme="minorEastAsia" w:cstheme="minorEastAsia"/>
                <w:color w:val="auto"/>
                <w:spacing w:val="-6"/>
                <w:sz w:val="24"/>
                <w:szCs w:val="24"/>
                <w:highlight w:val="none"/>
              </w:rPr>
            </w:pPr>
          </w:p>
        </w:tc>
        <w:tc>
          <w:tcPr>
            <w:tcW w:w="853" w:type="dxa"/>
            <w:tcBorders>
              <w:top w:val="single" w:color="auto" w:sz="4" w:space="0"/>
              <w:left w:val="single" w:color="auto" w:sz="4" w:space="0"/>
              <w:bottom w:val="single" w:color="auto" w:sz="4" w:space="0"/>
              <w:right w:val="single" w:color="auto" w:sz="4" w:space="0"/>
            </w:tcBorders>
            <w:noWrap w:val="0"/>
            <w:vAlign w:val="center"/>
          </w:tcPr>
          <w:p w14:paraId="6DB75588">
            <w:pPr>
              <w:pStyle w:val="11"/>
              <w:keepNext w:val="0"/>
              <w:keepLines w:val="0"/>
              <w:pageBreakBefore w:val="0"/>
              <w:widowControl w:val="0"/>
              <w:shd w:val="clear" w:color="auto" w:fill="auto"/>
              <w:kinsoku w:val="0"/>
              <w:wordWrap w:val="0"/>
              <w:bidi w:val="0"/>
              <w:spacing w:line="320" w:lineRule="exact"/>
              <w:jc w:val="center"/>
              <w:textAlignment w:val="auto"/>
              <w:rPr>
                <w:rFonts w:hint="eastAsia" w:asciiTheme="minorEastAsia" w:hAnsiTheme="minorEastAsia" w:eastAsiaTheme="minorEastAsia" w:cstheme="minorEastAsia"/>
                <w:color w:val="auto"/>
                <w:spacing w:val="-6"/>
                <w:sz w:val="24"/>
                <w:szCs w:val="24"/>
                <w:highlight w:val="none"/>
              </w:rPr>
            </w:pPr>
          </w:p>
        </w:tc>
        <w:tc>
          <w:tcPr>
            <w:tcW w:w="914" w:type="dxa"/>
            <w:tcBorders>
              <w:top w:val="single" w:color="auto" w:sz="4" w:space="0"/>
              <w:left w:val="single" w:color="auto" w:sz="4" w:space="0"/>
              <w:bottom w:val="single" w:color="auto" w:sz="4" w:space="0"/>
              <w:right w:val="single" w:color="auto" w:sz="4" w:space="0"/>
            </w:tcBorders>
            <w:noWrap w:val="0"/>
            <w:vAlign w:val="center"/>
          </w:tcPr>
          <w:p w14:paraId="371714DA">
            <w:pPr>
              <w:pStyle w:val="11"/>
              <w:keepNext w:val="0"/>
              <w:keepLines w:val="0"/>
              <w:pageBreakBefore w:val="0"/>
              <w:widowControl w:val="0"/>
              <w:shd w:val="clear" w:color="auto" w:fill="auto"/>
              <w:kinsoku w:val="0"/>
              <w:wordWrap w:val="0"/>
              <w:bidi w:val="0"/>
              <w:spacing w:line="320" w:lineRule="exact"/>
              <w:jc w:val="center"/>
              <w:textAlignment w:val="auto"/>
              <w:rPr>
                <w:rFonts w:hint="eastAsia" w:asciiTheme="minorEastAsia" w:hAnsiTheme="minorEastAsia" w:eastAsiaTheme="minorEastAsia" w:cstheme="minorEastAsia"/>
                <w:color w:val="auto"/>
                <w:spacing w:val="-6"/>
                <w:sz w:val="24"/>
                <w:szCs w:val="24"/>
                <w:highlight w:val="none"/>
              </w:rPr>
            </w:pPr>
          </w:p>
        </w:tc>
        <w:tc>
          <w:tcPr>
            <w:tcW w:w="1195" w:type="dxa"/>
            <w:tcBorders>
              <w:top w:val="single" w:color="auto" w:sz="4" w:space="0"/>
              <w:left w:val="single" w:color="auto" w:sz="4" w:space="0"/>
              <w:bottom w:val="single" w:color="auto" w:sz="4" w:space="0"/>
              <w:right w:val="single" w:color="auto" w:sz="4" w:space="0"/>
            </w:tcBorders>
            <w:noWrap w:val="0"/>
            <w:vAlign w:val="center"/>
          </w:tcPr>
          <w:p w14:paraId="6D54A8F4">
            <w:pPr>
              <w:pStyle w:val="11"/>
              <w:keepNext w:val="0"/>
              <w:keepLines w:val="0"/>
              <w:pageBreakBefore w:val="0"/>
              <w:widowControl w:val="0"/>
              <w:shd w:val="clear" w:color="auto" w:fill="auto"/>
              <w:kinsoku w:val="0"/>
              <w:wordWrap w:val="0"/>
              <w:bidi w:val="0"/>
              <w:spacing w:line="320" w:lineRule="exact"/>
              <w:jc w:val="center"/>
              <w:textAlignment w:val="auto"/>
              <w:rPr>
                <w:rFonts w:hint="eastAsia" w:asciiTheme="minorEastAsia" w:hAnsiTheme="minorEastAsia" w:eastAsiaTheme="minorEastAsia" w:cstheme="minorEastAsia"/>
                <w:color w:val="auto"/>
                <w:spacing w:val="-6"/>
                <w:sz w:val="24"/>
                <w:szCs w:val="24"/>
                <w:highlight w:val="none"/>
              </w:rPr>
            </w:pPr>
          </w:p>
        </w:tc>
      </w:tr>
      <w:tr w14:paraId="1CA47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exact"/>
          <w:jc w:val="center"/>
        </w:trPr>
        <w:tc>
          <w:tcPr>
            <w:tcW w:w="9270" w:type="dxa"/>
            <w:gridSpan w:val="9"/>
            <w:tcBorders>
              <w:top w:val="single" w:color="auto" w:sz="4" w:space="0"/>
              <w:left w:val="single" w:color="auto" w:sz="4" w:space="0"/>
              <w:bottom w:val="single" w:color="auto" w:sz="4" w:space="0"/>
              <w:right w:val="single" w:color="auto" w:sz="4" w:space="0"/>
            </w:tcBorders>
            <w:noWrap w:val="0"/>
            <w:vAlign w:val="center"/>
          </w:tcPr>
          <w:p w14:paraId="67B96D62">
            <w:pPr>
              <w:pStyle w:val="11"/>
              <w:keepNext w:val="0"/>
              <w:keepLines w:val="0"/>
              <w:pageBreakBefore w:val="0"/>
              <w:widowControl w:val="0"/>
              <w:shd w:val="clear" w:color="auto" w:fill="auto"/>
              <w:kinsoku w:val="0"/>
              <w:wordWrap w:val="0"/>
              <w:bidi w:val="0"/>
              <w:spacing w:line="320" w:lineRule="exact"/>
              <w:jc w:val="center"/>
              <w:textAlignment w:val="auto"/>
              <w:rPr>
                <w:rFonts w:hint="eastAsia" w:asciiTheme="minorEastAsia" w:hAnsiTheme="minorEastAsia" w:eastAsiaTheme="minorEastAsia" w:cstheme="minorEastAsia"/>
                <w:color w:val="auto"/>
                <w:spacing w:val="-6"/>
                <w:sz w:val="24"/>
                <w:szCs w:val="24"/>
                <w:highlight w:val="none"/>
              </w:rPr>
            </w:pPr>
            <w:r>
              <w:rPr>
                <w:rFonts w:hint="eastAsia" w:asciiTheme="minorEastAsia" w:hAnsiTheme="minorEastAsia" w:eastAsiaTheme="minorEastAsia" w:cstheme="minorEastAsia"/>
                <w:color w:val="auto"/>
                <w:spacing w:val="-6"/>
                <w:sz w:val="24"/>
                <w:szCs w:val="24"/>
                <w:highlight w:val="none"/>
                <w:lang w:val="en-US" w:eastAsia="zh-CN"/>
              </w:rPr>
              <w:t>小计</w:t>
            </w:r>
            <w:r>
              <w:rPr>
                <w:rFonts w:hint="eastAsia" w:asciiTheme="minorEastAsia" w:hAnsiTheme="minorEastAsia" w:eastAsiaTheme="minorEastAsia" w:cstheme="minorEastAsia"/>
                <w:color w:val="auto"/>
                <w:spacing w:val="-6"/>
                <w:sz w:val="24"/>
                <w:szCs w:val="24"/>
                <w:highlight w:val="none"/>
                <w:lang w:eastAsia="zh-CN"/>
              </w:rPr>
              <w:t>（</w:t>
            </w:r>
            <w:r>
              <w:rPr>
                <w:rFonts w:hint="eastAsia" w:asciiTheme="minorEastAsia" w:hAnsiTheme="minorEastAsia" w:eastAsiaTheme="minorEastAsia" w:cstheme="minorEastAsia"/>
                <w:color w:val="auto"/>
                <w:spacing w:val="-6"/>
                <w:sz w:val="24"/>
                <w:szCs w:val="24"/>
                <w:highlight w:val="none"/>
                <w:lang w:val="en-US" w:eastAsia="zh-CN"/>
              </w:rPr>
              <w:t>元</w:t>
            </w:r>
            <w:r>
              <w:rPr>
                <w:rFonts w:hint="eastAsia" w:asciiTheme="minorEastAsia" w:hAnsiTheme="minorEastAsia" w:eastAsiaTheme="minorEastAsia" w:cstheme="minorEastAsia"/>
                <w:color w:val="auto"/>
                <w:spacing w:val="-6"/>
                <w:sz w:val="24"/>
                <w:szCs w:val="24"/>
                <w:highlight w:val="none"/>
                <w:lang w:eastAsia="zh-CN"/>
              </w:rPr>
              <w:t>）</w:t>
            </w:r>
            <w:r>
              <w:rPr>
                <w:rFonts w:hint="eastAsia" w:asciiTheme="minorEastAsia" w:hAnsiTheme="minorEastAsia" w:eastAsiaTheme="minorEastAsia" w:cstheme="minorEastAsia"/>
                <w:color w:val="auto"/>
                <w:spacing w:val="-6"/>
                <w:sz w:val="24"/>
                <w:szCs w:val="24"/>
                <w:highlight w:val="none"/>
                <w:lang w:val="en-US" w:eastAsia="zh-CN"/>
              </w:rPr>
              <w:t>：</w:t>
            </w:r>
            <w:r>
              <w:rPr>
                <w:rFonts w:hint="eastAsia" w:asciiTheme="minorEastAsia" w:hAnsiTheme="minorEastAsia" w:eastAsiaTheme="minorEastAsia" w:cstheme="minorEastAsia"/>
                <w:color w:val="auto"/>
                <w:sz w:val="24"/>
                <w:szCs w:val="24"/>
                <w:highlight w:val="none"/>
              </w:rPr>
              <w:t>大写：人民币</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(小写：</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w:t>
            </w:r>
          </w:p>
        </w:tc>
      </w:tr>
      <w:tr w14:paraId="13E7FB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3" w:hRule="exact"/>
          <w:jc w:val="center"/>
        </w:trPr>
        <w:tc>
          <w:tcPr>
            <w:tcW w:w="9270" w:type="dxa"/>
            <w:gridSpan w:val="9"/>
            <w:tcBorders>
              <w:top w:val="single" w:color="auto" w:sz="4" w:space="0"/>
              <w:left w:val="single" w:color="auto" w:sz="4" w:space="0"/>
              <w:bottom w:val="single" w:color="auto" w:sz="4" w:space="0"/>
              <w:right w:val="single" w:color="auto" w:sz="4" w:space="0"/>
            </w:tcBorders>
            <w:noWrap w:val="0"/>
            <w:vAlign w:val="center"/>
          </w:tcPr>
          <w:p w14:paraId="7ACF9EA5">
            <w:pPr>
              <w:pStyle w:val="11"/>
              <w:keepNext w:val="0"/>
              <w:keepLines w:val="0"/>
              <w:pageBreakBefore w:val="0"/>
              <w:widowControl w:val="0"/>
              <w:shd w:val="clear" w:color="auto" w:fill="auto"/>
              <w:kinsoku w:val="0"/>
              <w:wordWrap w:val="0"/>
              <w:bidi w:val="0"/>
              <w:spacing w:line="320" w:lineRule="exact"/>
              <w:jc w:val="center"/>
              <w:textAlignment w:val="auto"/>
              <w:rPr>
                <w:rFonts w:hint="default" w:asciiTheme="minorEastAsia" w:hAnsiTheme="minorEastAsia" w:eastAsiaTheme="minorEastAsia" w:cstheme="minorEastAsia"/>
                <w:color w:val="auto"/>
                <w:spacing w:val="-6"/>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w:t>
            </w:r>
          </w:p>
        </w:tc>
      </w:tr>
      <w:tr w14:paraId="32017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3" w:hRule="exact"/>
          <w:jc w:val="center"/>
        </w:trPr>
        <w:tc>
          <w:tcPr>
            <w:tcW w:w="842" w:type="dxa"/>
            <w:tcBorders>
              <w:top w:val="single" w:color="auto" w:sz="4" w:space="0"/>
              <w:left w:val="single" w:color="auto" w:sz="4" w:space="0"/>
              <w:bottom w:val="single" w:color="auto" w:sz="4" w:space="0"/>
              <w:right w:val="single" w:color="auto" w:sz="4" w:space="0"/>
            </w:tcBorders>
            <w:noWrap w:val="0"/>
            <w:vAlign w:val="center"/>
          </w:tcPr>
          <w:p w14:paraId="64E45480">
            <w:pPr>
              <w:keepNext w:val="0"/>
              <w:keepLines w:val="0"/>
              <w:pageBreakBefore w:val="0"/>
              <w:widowControl w:val="0"/>
              <w:kinsoku w:val="0"/>
              <w:wordWrap w:val="0"/>
              <w:bidi w:val="0"/>
              <w:jc w:val="center"/>
              <w:textAlignment w:val="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w:t>
            </w:r>
          </w:p>
        </w:tc>
        <w:tc>
          <w:tcPr>
            <w:tcW w:w="1830" w:type="dxa"/>
            <w:tcBorders>
              <w:top w:val="single" w:color="auto" w:sz="4" w:space="0"/>
              <w:left w:val="single" w:color="auto" w:sz="4" w:space="0"/>
              <w:bottom w:val="single" w:color="auto" w:sz="4" w:space="0"/>
              <w:right w:val="single" w:color="auto" w:sz="4" w:space="0"/>
            </w:tcBorders>
            <w:noWrap w:val="0"/>
            <w:vAlign w:val="center"/>
          </w:tcPr>
          <w:p w14:paraId="3660DB15">
            <w:pPr>
              <w:keepNext w:val="0"/>
              <w:keepLines w:val="0"/>
              <w:widowControl/>
              <w:suppressLineNumbers w:val="0"/>
              <w:jc w:val="left"/>
              <w:textAlignment w:val="center"/>
              <w:rPr>
                <w:rFonts w:hint="eastAsia" w:asciiTheme="minorEastAsia" w:hAnsiTheme="minorEastAsia" w:eastAsiaTheme="minorEastAsia" w:cstheme="minorEastAsia"/>
                <w:color w:val="auto"/>
                <w:sz w:val="24"/>
                <w:szCs w:val="24"/>
                <w:highlight w:val="none"/>
              </w:rPr>
            </w:pPr>
          </w:p>
        </w:tc>
        <w:tc>
          <w:tcPr>
            <w:tcW w:w="1224" w:type="dxa"/>
            <w:tcBorders>
              <w:top w:val="single" w:color="auto" w:sz="4" w:space="0"/>
              <w:left w:val="single" w:color="auto" w:sz="4" w:space="0"/>
              <w:bottom w:val="single" w:color="auto" w:sz="4" w:space="0"/>
              <w:right w:val="single" w:color="auto" w:sz="4" w:space="0"/>
            </w:tcBorders>
            <w:noWrap w:val="0"/>
            <w:vAlign w:val="center"/>
          </w:tcPr>
          <w:p w14:paraId="6B1F4500">
            <w:pPr>
              <w:pStyle w:val="11"/>
              <w:keepNext w:val="0"/>
              <w:keepLines w:val="0"/>
              <w:pageBreakBefore w:val="0"/>
              <w:widowControl w:val="0"/>
              <w:shd w:val="clear" w:color="auto" w:fill="auto"/>
              <w:kinsoku w:val="0"/>
              <w:wordWrap w:val="0"/>
              <w:bidi w:val="0"/>
              <w:spacing w:line="320" w:lineRule="exact"/>
              <w:jc w:val="center"/>
              <w:textAlignment w:val="auto"/>
              <w:rPr>
                <w:rFonts w:hint="eastAsia" w:asciiTheme="minorEastAsia" w:hAnsiTheme="minorEastAsia" w:eastAsiaTheme="minorEastAsia" w:cstheme="minorEastAsia"/>
                <w:color w:val="auto"/>
                <w:sz w:val="24"/>
                <w:szCs w:val="24"/>
                <w:highlight w:val="none"/>
              </w:rPr>
            </w:pPr>
          </w:p>
        </w:tc>
        <w:tc>
          <w:tcPr>
            <w:tcW w:w="708" w:type="dxa"/>
            <w:tcBorders>
              <w:top w:val="single" w:color="auto" w:sz="4" w:space="0"/>
              <w:left w:val="single" w:color="auto" w:sz="4" w:space="0"/>
              <w:bottom w:val="single" w:color="auto" w:sz="4" w:space="0"/>
              <w:right w:val="single" w:color="auto" w:sz="4" w:space="0"/>
            </w:tcBorders>
            <w:noWrap w:val="0"/>
            <w:vAlign w:val="center"/>
          </w:tcPr>
          <w:p w14:paraId="5FB89C35">
            <w:pPr>
              <w:pStyle w:val="11"/>
              <w:keepNext w:val="0"/>
              <w:keepLines w:val="0"/>
              <w:pageBreakBefore w:val="0"/>
              <w:widowControl w:val="0"/>
              <w:shd w:val="clear" w:color="auto" w:fill="auto"/>
              <w:kinsoku w:val="0"/>
              <w:wordWrap w:val="0"/>
              <w:bidi w:val="0"/>
              <w:spacing w:line="320" w:lineRule="exact"/>
              <w:jc w:val="center"/>
              <w:textAlignment w:val="auto"/>
              <w:rPr>
                <w:rFonts w:hint="eastAsia" w:asciiTheme="minorEastAsia" w:hAnsiTheme="minorEastAsia" w:eastAsiaTheme="minorEastAsia" w:cstheme="minorEastAsia"/>
                <w:color w:val="auto"/>
                <w:sz w:val="24"/>
                <w:szCs w:val="24"/>
                <w:highlight w:val="none"/>
              </w:rPr>
            </w:pPr>
          </w:p>
        </w:tc>
        <w:tc>
          <w:tcPr>
            <w:tcW w:w="780" w:type="dxa"/>
            <w:tcBorders>
              <w:top w:val="single" w:color="auto" w:sz="4" w:space="0"/>
              <w:left w:val="single" w:color="auto" w:sz="4" w:space="0"/>
              <w:bottom w:val="single" w:color="auto" w:sz="4" w:space="0"/>
              <w:right w:val="single" w:color="auto" w:sz="4" w:space="0"/>
            </w:tcBorders>
            <w:noWrap w:val="0"/>
            <w:vAlign w:val="center"/>
          </w:tcPr>
          <w:p w14:paraId="23797859">
            <w:pPr>
              <w:pStyle w:val="11"/>
              <w:keepNext w:val="0"/>
              <w:keepLines w:val="0"/>
              <w:pageBreakBefore w:val="0"/>
              <w:widowControl w:val="0"/>
              <w:shd w:val="clear" w:color="auto" w:fill="auto"/>
              <w:kinsoku w:val="0"/>
              <w:wordWrap w:val="0"/>
              <w:bidi w:val="0"/>
              <w:spacing w:line="320" w:lineRule="exact"/>
              <w:jc w:val="center"/>
              <w:textAlignment w:val="auto"/>
              <w:rPr>
                <w:rFonts w:hint="eastAsia" w:asciiTheme="minorEastAsia" w:hAnsiTheme="minorEastAsia" w:eastAsiaTheme="minorEastAsia" w:cstheme="minorEastAsia"/>
                <w:color w:val="auto"/>
                <w:sz w:val="24"/>
                <w:szCs w:val="24"/>
                <w:highlight w:val="none"/>
              </w:rPr>
            </w:pPr>
          </w:p>
        </w:tc>
        <w:tc>
          <w:tcPr>
            <w:tcW w:w="924" w:type="dxa"/>
            <w:tcBorders>
              <w:top w:val="single" w:color="auto" w:sz="4" w:space="0"/>
              <w:left w:val="single" w:color="auto" w:sz="4" w:space="0"/>
              <w:bottom w:val="single" w:color="auto" w:sz="4" w:space="0"/>
              <w:right w:val="single" w:color="auto" w:sz="4" w:space="0"/>
            </w:tcBorders>
            <w:noWrap w:val="0"/>
            <w:vAlign w:val="center"/>
          </w:tcPr>
          <w:p w14:paraId="0E251098">
            <w:pPr>
              <w:pStyle w:val="11"/>
              <w:keepNext w:val="0"/>
              <w:keepLines w:val="0"/>
              <w:pageBreakBefore w:val="0"/>
              <w:widowControl w:val="0"/>
              <w:shd w:val="clear" w:color="auto" w:fill="auto"/>
              <w:kinsoku w:val="0"/>
              <w:wordWrap w:val="0"/>
              <w:bidi w:val="0"/>
              <w:spacing w:line="320" w:lineRule="exact"/>
              <w:jc w:val="center"/>
              <w:textAlignment w:val="auto"/>
              <w:rPr>
                <w:rFonts w:hint="eastAsia" w:asciiTheme="minorEastAsia" w:hAnsiTheme="minorEastAsia" w:eastAsiaTheme="minorEastAsia" w:cstheme="minorEastAsia"/>
                <w:color w:val="auto"/>
                <w:spacing w:val="-6"/>
                <w:sz w:val="24"/>
                <w:szCs w:val="24"/>
                <w:highlight w:val="none"/>
              </w:rPr>
            </w:pPr>
          </w:p>
        </w:tc>
        <w:tc>
          <w:tcPr>
            <w:tcW w:w="853" w:type="dxa"/>
            <w:tcBorders>
              <w:top w:val="single" w:color="auto" w:sz="4" w:space="0"/>
              <w:left w:val="single" w:color="auto" w:sz="4" w:space="0"/>
              <w:bottom w:val="single" w:color="auto" w:sz="4" w:space="0"/>
              <w:right w:val="single" w:color="auto" w:sz="4" w:space="0"/>
            </w:tcBorders>
            <w:noWrap w:val="0"/>
            <w:vAlign w:val="center"/>
          </w:tcPr>
          <w:p w14:paraId="6CC036A3">
            <w:pPr>
              <w:pStyle w:val="11"/>
              <w:keepNext w:val="0"/>
              <w:keepLines w:val="0"/>
              <w:pageBreakBefore w:val="0"/>
              <w:widowControl w:val="0"/>
              <w:shd w:val="clear" w:color="auto" w:fill="auto"/>
              <w:kinsoku w:val="0"/>
              <w:wordWrap w:val="0"/>
              <w:bidi w:val="0"/>
              <w:spacing w:line="320" w:lineRule="exact"/>
              <w:jc w:val="center"/>
              <w:textAlignment w:val="auto"/>
              <w:rPr>
                <w:rFonts w:hint="eastAsia" w:asciiTheme="minorEastAsia" w:hAnsiTheme="minorEastAsia" w:eastAsiaTheme="minorEastAsia" w:cstheme="minorEastAsia"/>
                <w:color w:val="auto"/>
                <w:spacing w:val="-6"/>
                <w:sz w:val="24"/>
                <w:szCs w:val="24"/>
                <w:highlight w:val="none"/>
              </w:rPr>
            </w:pPr>
          </w:p>
        </w:tc>
        <w:tc>
          <w:tcPr>
            <w:tcW w:w="914" w:type="dxa"/>
            <w:tcBorders>
              <w:top w:val="single" w:color="auto" w:sz="4" w:space="0"/>
              <w:left w:val="single" w:color="auto" w:sz="4" w:space="0"/>
              <w:bottom w:val="single" w:color="auto" w:sz="4" w:space="0"/>
              <w:right w:val="single" w:color="auto" w:sz="4" w:space="0"/>
            </w:tcBorders>
            <w:noWrap w:val="0"/>
            <w:vAlign w:val="center"/>
          </w:tcPr>
          <w:p w14:paraId="26A0E6DC">
            <w:pPr>
              <w:pStyle w:val="11"/>
              <w:keepNext w:val="0"/>
              <w:keepLines w:val="0"/>
              <w:pageBreakBefore w:val="0"/>
              <w:widowControl w:val="0"/>
              <w:shd w:val="clear" w:color="auto" w:fill="auto"/>
              <w:kinsoku w:val="0"/>
              <w:wordWrap w:val="0"/>
              <w:bidi w:val="0"/>
              <w:spacing w:line="320" w:lineRule="exact"/>
              <w:jc w:val="center"/>
              <w:textAlignment w:val="auto"/>
              <w:rPr>
                <w:rFonts w:hint="eastAsia" w:asciiTheme="minorEastAsia" w:hAnsiTheme="minorEastAsia" w:eastAsiaTheme="minorEastAsia" w:cstheme="minorEastAsia"/>
                <w:color w:val="auto"/>
                <w:spacing w:val="-6"/>
                <w:sz w:val="24"/>
                <w:szCs w:val="24"/>
                <w:highlight w:val="none"/>
              </w:rPr>
            </w:pPr>
          </w:p>
        </w:tc>
        <w:tc>
          <w:tcPr>
            <w:tcW w:w="1195" w:type="dxa"/>
            <w:tcBorders>
              <w:top w:val="single" w:color="auto" w:sz="4" w:space="0"/>
              <w:left w:val="single" w:color="auto" w:sz="4" w:space="0"/>
              <w:bottom w:val="single" w:color="auto" w:sz="4" w:space="0"/>
              <w:right w:val="single" w:color="auto" w:sz="4" w:space="0"/>
            </w:tcBorders>
            <w:noWrap w:val="0"/>
            <w:vAlign w:val="center"/>
          </w:tcPr>
          <w:p w14:paraId="2E236EDC">
            <w:pPr>
              <w:pStyle w:val="11"/>
              <w:keepNext w:val="0"/>
              <w:keepLines w:val="0"/>
              <w:pageBreakBefore w:val="0"/>
              <w:widowControl w:val="0"/>
              <w:shd w:val="clear" w:color="auto" w:fill="auto"/>
              <w:kinsoku w:val="0"/>
              <w:wordWrap w:val="0"/>
              <w:bidi w:val="0"/>
              <w:spacing w:line="320" w:lineRule="exact"/>
              <w:jc w:val="center"/>
              <w:textAlignment w:val="auto"/>
              <w:rPr>
                <w:rFonts w:hint="eastAsia" w:asciiTheme="minorEastAsia" w:hAnsiTheme="minorEastAsia" w:eastAsiaTheme="minorEastAsia" w:cstheme="minorEastAsia"/>
                <w:color w:val="auto"/>
                <w:spacing w:val="-6"/>
                <w:sz w:val="24"/>
                <w:szCs w:val="24"/>
                <w:highlight w:val="none"/>
              </w:rPr>
            </w:pPr>
          </w:p>
        </w:tc>
      </w:tr>
      <w:tr w14:paraId="0B01E2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3" w:hRule="exact"/>
          <w:jc w:val="center"/>
        </w:trPr>
        <w:tc>
          <w:tcPr>
            <w:tcW w:w="842" w:type="dxa"/>
            <w:tcBorders>
              <w:top w:val="single" w:color="auto" w:sz="4" w:space="0"/>
              <w:left w:val="single" w:color="auto" w:sz="4" w:space="0"/>
              <w:bottom w:val="single" w:color="auto" w:sz="4" w:space="0"/>
              <w:right w:val="single" w:color="auto" w:sz="4" w:space="0"/>
            </w:tcBorders>
            <w:noWrap w:val="0"/>
            <w:vAlign w:val="center"/>
          </w:tcPr>
          <w:p w14:paraId="194E79F1">
            <w:pPr>
              <w:keepNext w:val="0"/>
              <w:keepLines w:val="0"/>
              <w:pageBreakBefore w:val="0"/>
              <w:widowControl w:val="0"/>
              <w:kinsoku w:val="0"/>
              <w:wordWrap w:val="0"/>
              <w:bidi w:val="0"/>
              <w:jc w:val="center"/>
              <w:textAlignment w:val="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w:t>
            </w:r>
          </w:p>
        </w:tc>
        <w:tc>
          <w:tcPr>
            <w:tcW w:w="1830" w:type="dxa"/>
            <w:tcBorders>
              <w:top w:val="single" w:color="auto" w:sz="4" w:space="0"/>
              <w:left w:val="single" w:color="auto" w:sz="4" w:space="0"/>
              <w:bottom w:val="single" w:color="auto" w:sz="4" w:space="0"/>
              <w:right w:val="single" w:color="auto" w:sz="4" w:space="0"/>
            </w:tcBorders>
            <w:noWrap w:val="0"/>
            <w:vAlign w:val="center"/>
          </w:tcPr>
          <w:p w14:paraId="62DA6026">
            <w:pPr>
              <w:keepNext w:val="0"/>
              <w:keepLines w:val="0"/>
              <w:widowControl/>
              <w:suppressLineNumbers w:val="0"/>
              <w:jc w:val="left"/>
              <w:textAlignment w:val="center"/>
              <w:rPr>
                <w:rFonts w:hint="eastAsia" w:asciiTheme="minorEastAsia" w:hAnsiTheme="minorEastAsia" w:eastAsiaTheme="minorEastAsia" w:cstheme="minorEastAsia"/>
                <w:color w:val="auto"/>
                <w:sz w:val="24"/>
                <w:szCs w:val="24"/>
                <w:highlight w:val="none"/>
              </w:rPr>
            </w:pPr>
          </w:p>
        </w:tc>
        <w:tc>
          <w:tcPr>
            <w:tcW w:w="1224" w:type="dxa"/>
            <w:tcBorders>
              <w:top w:val="single" w:color="auto" w:sz="4" w:space="0"/>
              <w:left w:val="single" w:color="auto" w:sz="4" w:space="0"/>
              <w:bottom w:val="single" w:color="auto" w:sz="4" w:space="0"/>
              <w:right w:val="single" w:color="auto" w:sz="4" w:space="0"/>
            </w:tcBorders>
            <w:noWrap w:val="0"/>
            <w:vAlign w:val="center"/>
          </w:tcPr>
          <w:p w14:paraId="3ABFF17B">
            <w:pPr>
              <w:pStyle w:val="11"/>
              <w:keepNext w:val="0"/>
              <w:keepLines w:val="0"/>
              <w:pageBreakBefore w:val="0"/>
              <w:widowControl w:val="0"/>
              <w:shd w:val="clear" w:color="auto" w:fill="auto"/>
              <w:kinsoku w:val="0"/>
              <w:wordWrap w:val="0"/>
              <w:bidi w:val="0"/>
              <w:spacing w:line="320" w:lineRule="exact"/>
              <w:jc w:val="center"/>
              <w:textAlignment w:val="auto"/>
              <w:rPr>
                <w:rFonts w:hint="eastAsia" w:asciiTheme="minorEastAsia" w:hAnsiTheme="minorEastAsia" w:eastAsiaTheme="minorEastAsia" w:cstheme="minorEastAsia"/>
                <w:color w:val="auto"/>
                <w:sz w:val="24"/>
                <w:szCs w:val="24"/>
                <w:highlight w:val="none"/>
              </w:rPr>
            </w:pPr>
          </w:p>
        </w:tc>
        <w:tc>
          <w:tcPr>
            <w:tcW w:w="708" w:type="dxa"/>
            <w:tcBorders>
              <w:top w:val="single" w:color="auto" w:sz="4" w:space="0"/>
              <w:left w:val="single" w:color="auto" w:sz="4" w:space="0"/>
              <w:bottom w:val="single" w:color="auto" w:sz="4" w:space="0"/>
              <w:right w:val="single" w:color="auto" w:sz="4" w:space="0"/>
            </w:tcBorders>
            <w:noWrap w:val="0"/>
            <w:vAlign w:val="center"/>
          </w:tcPr>
          <w:p w14:paraId="49B81C7B">
            <w:pPr>
              <w:pStyle w:val="11"/>
              <w:keepNext w:val="0"/>
              <w:keepLines w:val="0"/>
              <w:pageBreakBefore w:val="0"/>
              <w:widowControl w:val="0"/>
              <w:shd w:val="clear" w:color="auto" w:fill="auto"/>
              <w:kinsoku w:val="0"/>
              <w:wordWrap w:val="0"/>
              <w:bidi w:val="0"/>
              <w:spacing w:line="320" w:lineRule="exact"/>
              <w:jc w:val="center"/>
              <w:textAlignment w:val="auto"/>
              <w:rPr>
                <w:rFonts w:hint="eastAsia" w:asciiTheme="minorEastAsia" w:hAnsiTheme="minorEastAsia" w:eastAsiaTheme="minorEastAsia" w:cstheme="minorEastAsia"/>
                <w:color w:val="auto"/>
                <w:sz w:val="24"/>
                <w:szCs w:val="24"/>
                <w:highlight w:val="none"/>
              </w:rPr>
            </w:pPr>
          </w:p>
        </w:tc>
        <w:tc>
          <w:tcPr>
            <w:tcW w:w="780" w:type="dxa"/>
            <w:tcBorders>
              <w:top w:val="single" w:color="auto" w:sz="4" w:space="0"/>
              <w:left w:val="single" w:color="auto" w:sz="4" w:space="0"/>
              <w:bottom w:val="single" w:color="auto" w:sz="4" w:space="0"/>
              <w:right w:val="single" w:color="auto" w:sz="4" w:space="0"/>
            </w:tcBorders>
            <w:noWrap w:val="0"/>
            <w:vAlign w:val="center"/>
          </w:tcPr>
          <w:p w14:paraId="59A0838E">
            <w:pPr>
              <w:pStyle w:val="11"/>
              <w:keepNext w:val="0"/>
              <w:keepLines w:val="0"/>
              <w:pageBreakBefore w:val="0"/>
              <w:widowControl w:val="0"/>
              <w:shd w:val="clear" w:color="auto" w:fill="auto"/>
              <w:kinsoku w:val="0"/>
              <w:wordWrap w:val="0"/>
              <w:bidi w:val="0"/>
              <w:spacing w:line="320" w:lineRule="exact"/>
              <w:jc w:val="center"/>
              <w:textAlignment w:val="auto"/>
              <w:rPr>
                <w:rFonts w:hint="eastAsia" w:asciiTheme="minorEastAsia" w:hAnsiTheme="minorEastAsia" w:eastAsiaTheme="minorEastAsia" w:cstheme="minorEastAsia"/>
                <w:color w:val="auto"/>
                <w:sz w:val="24"/>
                <w:szCs w:val="24"/>
                <w:highlight w:val="none"/>
              </w:rPr>
            </w:pPr>
          </w:p>
        </w:tc>
        <w:tc>
          <w:tcPr>
            <w:tcW w:w="924" w:type="dxa"/>
            <w:tcBorders>
              <w:top w:val="single" w:color="auto" w:sz="4" w:space="0"/>
              <w:left w:val="single" w:color="auto" w:sz="4" w:space="0"/>
              <w:bottom w:val="single" w:color="auto" w:sz="4" w:space="0"/>
              <w:right w:val="single" w:color="auto" w:sz="4" w:space="0"/>
            </w:tcBorders>
            <w:noWrap w:val="0"/>
            <w:vAlign w:val="center"/>
          </w:tcPr>
          <w:p w14:paraId="5E595973">
            <w:pPr>
              <w:pStyle w:val="11"/>
              <w:keepNext w:val="0"/>
              <w:keepLines w:val="0"/>
              <w:pageBreakBefore w:val="0"/>
              <w:widowControl w:val="0"/>
              <w:shd w:val="clear" w:color="auto" w:fill="auto"/>
              <w:kinsoku w:val="0"/>
              <w:wordWrap w:val="0"/>
              <w:bidi w:val="0"/>
              <w:spacing w:line="320" w:lineRule="exact"/>
              <w:jc w:val="center"/>
              <w:textAlignment w:val="auto"/>
              <w:rPr>
                <w:rFonts w:hint="eastAsia" w:asciiTheme="minorEastAsia" w:hAnsiTheme="minorEastAsia" w:eastAsiaTheme="minorEastAsia" w:cstheme="minorEastAsia"/>
                <w:color w:val="auto"/>
                <w:spacing w:val="-6"/>
                <w:sz w:val="24"/>
                <w:szCs w:val="24"/>
                <w:highlight w:val="none"/>
              </w:rPr>
            </w:pPr>
          </w:p>
        </w:tc>
        <w:tc>
          <w:tcPr>
            <w:tcW w:w="853" w:type="dxa"/>
            <w:tcBorders>
              <w:top w:val="single" w:color="auto" w:sz="4" w:space="0"/>
              <w:left w:val="single" w:color="auto" w:sz="4" w:space="0"/>
              <w:bottom w:val="single" w:color="auto" w:sz="4" w:space="0"/>
              <w:right w:val="single" w:color="auto" w:sz="4" w:space="0"/>
            </w:tcBorders>
            <w:noWrap w:val="0"/>
            <w:vAlign w:val="center"/>
          </w:tcPr>
          <w:p w14:paraId="6061B21B">
            <w:pPr>
              <w:pStyle w:val="11"/>
              <w:keepNext w:val="0"/>
              <w:keepLines w:val="0"/>
              <w:pageBreakBefore w:val="0"/>
              <w:widowControl w:val="0"/>
              <w:shd w:val="clear" w:color="auto" w:fill="auto"/>
              <w:kinsoku w:val="0"/>
              <w:wordWrap w:val="0"/>
              <w:bidi w:val="0"/>
              <w:spacing w:line="320" w:lineRule="exact"/>
              <w:jc w:val="center"/>
              <w:textAlignment w:val="auto"/>
              <w:rPr>
                <w:rFonts w:hint="eastAsia" w:asciiTheme="minorEastAsia" w:hAnsiTheme="minorEastAsia" w:eastAsiaTheme="minorEastAsia" w:cstheme="minorEastAsia"/>
                <w:color w:val="auto"/>
                <w:spacing w:val="-6"/>
                <w:sz w:val="24"/>
                <w:szCs w:val="24"/>
                <w:highlight w:val="none"/>
              </w:rPr>
            </w:pPr>
          </w:p>
        </w:tc>
        <w:tc>
          <w:tcPr>
            <w:tcW w:w="914" w:type="dxa"/>
            <w:tcBorders>
              <w:top w:val="single" w:color="auto" w:sz="4" w:space="0"/>
              <w:left w:val="single" w:color="auto" w:sz="4" w:space="0"/>
              <w:bottom w:val="single" w:color="auto" w:sz="4" w:space="0"/>
              <w:right w:val="single" w:color="auto" w:sz="4" w:space="0"/>
            </w:tcBorders>
            <w:noWrap w:val="0"/>
            <w:vAlign w:val="center"/>
          </w:tcPr>
          <w:p w14:paraId="43040018">
            <w:pPr>
              <w:pStyle w:val="11"/>
              <w:keepNext w:val="0"/>
              <w:keepLines w:val="0"/>
              <w:pageBreakBefore w:val="0"/>
              <w:widowControl w:val="0"/>
              <w:shd w:val="clear" w:color="auto" w:fill="auto"/>
              <w:kinsoku w:val="0"/>
              <w:wordWrap w:val="0"/>
              <w:bidi w:val="0"/>
              <w:spacing w:line="320" w:lineRule="exact"/>
              <w:jc w:val="center"/>
              <w:textAlignment w:val="auto"/>
              <w:rPr>
                <w:rFonts w:hint="eastAsia" w:asciiTheme="minorEastAsia" w:hAnsiTheme="minorEastAsia" w:eastAsiaTheme="minorEastAsia" w:cstheme="minorEastAsia"/>
                <w:color w:val="auto"/>
                <w:spacing w:val="-6"/>
                <w:sz w:val="24"/>
                <w:szCs w:val="24"/>
                <w:highlight w:val="none"/>
              </w:rPr>
            </w:pPr>
          </w:p>
        </w:tc>
        <w:tc>
          <w:tcPr>
            <w:tcW w:w="1195" w:type="dxa"/>
            <w:tcBorders>
              <w:top w:val="single" w:color="auto" w:sz="4" w:space="0"/>
              <w:left w:val="single" w:color="auto" w:sz="4" w:space="0"/>
              <w:bottom w:val="single" w:color="auto" w:sz="4" w:space="0"/>
              <w:right w:val="single" w:color="auto" w:sz="4" w:space="0"/>
            </w:tcBorders>
            <w:noWrap w:val="0"/>
            <w:vAlign w:val="center"/>
          </w:tcPr>
          <w:p w14:paraId="55919F37">
            <w:pPr>
              <w:pStyle w:val="11"/>
              <w:keepNext w:val="0"/>
              <w:keepLines w:val="0"/>
              <w:pageBreakBefore w:val="0"/>
              <w:widowControl w:val="0"/>
              <w:shd w:val="clear" w:color="auto" w:fill="auto"/>
              <w:kinsoku w:val="0"/>
              <w:wordWrap w:val="0"/>
              <w:bidi w:val="0"/>
              <w:spacing w:line="320" w:lineRule="exact"/>
              <w:jc w:val="center"/>
              <w:textAlignment w:val="auto"/>
              <w:rPr>
                <w:rFonts w:hint="eastAsia" w:asciiTheme="minorEastAsia" w:hAnsiTheme="minorEastAsia" w:eastAsiaTheme="minorEastAsia" w:cstheme="minorEastAsia"/>
                <w:color w:val="auto"/>
                <w:spacing w:val="-6"/>
                <w:sz w:val="24"/>
                <w:szCs w:val="24"/>
                <w:highlight w:val="none"/>
              </w:rPr>
            </w:pPr>
          </w:p>
        </w:tc>
      </w:tr>
      <w:tr w14:paraId="17AF90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3" w:hRule="exact"/>
          <w:jc w:val="center"/>
        </w:trPr>
        <w:tc>
          <w:tcPr>
            <w:tcW w:w="842" w:type="dxa"/>
            <w:tcBorders>
              <w:top w:val="single" w:color="auto" w:sz="4" w:space="0"/>
              <w:left w:val="single" w:color="auto" w:sz="4" w:space="0"/>
              <w:bottom w:val="single" w:color="auto" w:sz="4" w:space="0"/>
              <w:right w:val="single" w:color="auto" w:sz="4" w:space="0"/>
            </w:tcBorders>
            <w:noWrap w:val="0"/>
            <w:vAlign w:val="center"/>
          </w:tcPr>
          <w:p w14:paraId="16B9E3D7">
            <w:pPr>
              <w:keepNext w:val="0"/>
              <w:keepLines w:val="0"/>
              <w:pageBreakBefore w:val="0"/>
              <w:widowControl w:val="0"/>
              <w:kinsoku w:val="0"/>
              <w:wordWrap w:val="0"/>
              <w:bidi w:val="0"/>
              <w:jc w:val="center"/>
              <w:textAlignment w:val="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w:t>
            </w:r>
          </w:p>
        </w:tc>
        <w:tc>
          <w:tcPr>
            <w:tcW w:w="1830" w:type="dxa"/>
            <w:tcBorders>
              <w:top w:val="single" w:color="auto" w:sz="4" w:space="0"/>
              <w:left w:val="single" w:color="auto" w:sz="4" w:space="0"/>
              <w:bottom w:val="single" w:color="auto" w:sz="4" w:space="0"/>
              <w:right w:val="single" w:color="auto" w:sz="4" w:space="0"/>
            </w:tcBorders>
            <w:noWrap w:val="0"/>
            <w:vAlign w:val="center"/>
          </w:tcPr>
          <w:p w14:paraId="44D81461">
            <w:pPr>
              <w:keepNext w:val="0"/>
              <w:keepLines w:val="0"/>
              <w:widowControl/>
              <w:suppressLineNumbers w:val="0"/>
              <w:jc w:val="left"/>
              <w:textAlignment w:val="center"/>
              <w:rPr>
                <w:rFonts w:hint="eastAsia" w:asciiTheme="minorEastAsia" w:hAnsiTheme="minorEastAsia" w:eastAsiaTheme="minorEastAsia" w:cstheme="minorEastAsia"/>
                <w:color w:val="auto"/>
                <w:sz w:val="24"/>
                <w:szCs w:val="24"/>
                <w:highlight w:val="none"/>
              </w:rPr>
            </w:pPr>
          </w:p>
        </w:tc>
        <w:tc>
          <w:tcPr>
            <w:tcW w:w="1224" w:type="dxa"/>
            <w:tcBorders>
              <w:top w:val="single" w:color="auto" w:sz="4" w:space="0"/>
              <w:left w:val="single" w:color="auto" w:sz="4" w:space="0"/>
              <w:bottom w:val="single" w:color="auto" w:sz="4" w:space="0"/>
              <w:right w:val="single" w:color="auto" w:sz="4" w:space="0"/>
            </w:tcBorders>
            <w:noWrap w:val="0"/>
            <w:vAlign w:val="center"/>
          </w:tcPr>
          <w:p w14:paraId="37D10221">
            <w:pPr>
              <w:pStyle w:val="11"/>
              <w:keepNext w:val="0"/>
              <w:keepLines w:val="0"/>
              <w:pageBreakBefore w:val="0"/>
              <w:widowControl w:val="0"/>
              <w:shd w:val="clear" w:color="auto" w:fill="auto"/>
              <w:kinsoku w:val="0"/>
              <w:wordWrap w:val="0"/>
              <w:bidi w:val="0"/>
              <w:spacing w:line="320" w:lineRule="exact"/>
              <w:jc w:val="center"/>
              <w:textAlignment w:val="auto"/>
              <w:rPr>
                <w:rFonts w:hint="eastAsia" w:asciiTheme="minorEastAsia" w:hAnsiTheme="minorEastAsia" w:eastAsiaTheme="minorEastAsia" w:cstheme="minorEastAsia"/>
                <w:color w:val="auto"/>
                <w:sz w:val="24"/>
                <w:szCs w:val="24"/>
                <w:highlight w:val="none"/>
              </w:rPr>
            </w:pPr>
          </w:p>
        </w:tc>
        <w:tc>
          <w:tcPr>
            <w:tcW w:w="708" w:type="dxa"/>
            <w:tcBorders>
              <w:top w:val="single" w:color="auto" w:sz="4" w:space="0"/>
              <w:left w:val="single" w:color="auto" w:sz="4" w:space="0"/>
              <w:bottom w:val="single" w:color="auto" w:sz="4" w:space="0"/>
              <w:right w:val="single" w:color="auto" w:sz="4" w:space="0"/>
            </w:tcBorders>
            <w:noWrap w:val="0"/>
            <w:vAlign w:val="center"/>
          </w:tcPr>
          <w:p w14:paraId="5F35323F">
            <w:pPr>
              <w:pStyle w:val="11"/>
              <w:keepNext w:val="0"/>
              <w:keepLines w:val="0"/>
              <w:pageBreakBefore w:val="0"/>
              <w:widowControl w:val="0"/>
              <w:shd w:val="clear" w:color="auto" w:fill="auto"/>
              <w:kinsoku w:val="0"/>
              <w:wordWrap w:val="0"/>
              <w:bidi w:val="0"/>
              <w:spacing w:line="320" w:lineRule="exact"/>
              <w:jc w:val="center"/>
              <w:textAlignment w:val="auto"/>
              <w:rPr>
                <w:rFonts w:hint="eastAsia" w:asciiTheme="minorEastAsia" w:hAnsiTheme="minorEastAsia" w:eastAsiaTheme="minorEastAsia" w:cstheme="minorEastAsia"/>
                <w:color w:val="auto"/>
                <w:sz w:val="24"/>
                <w:szCs w:val="24"/>
                <w:highlight w:val="none"/>
              </w:rPr>
            </w:pPr>
          </w:p>
        </w:tc>
        <w:tc>
          <w:tcPr>
            <w:tcW w:w="780" w:type="dxa"/>
            <w:tcBorders>
              <w:top w:val="single" w:color="auto" w:sz="4" w:space="0"/>
              <w:left w:val="single" w:color="auto" w:sz="4" w:space="0"/>
              <w:bottom w:val="single" w:color="auto" w:sz="4" w:space="0"/>
              <w:right w:val="single" w:color="auto" w:sz="4" w:space="0"/>
            </w:tcBorders>
            <w:noWrap w:val="0"/>
            <w:vAlign w:val="center"/>
          </w:tcPr>
          <w:p w14:paraId="5575DDEC">
            <w:pPr>
              <w:pStyle w:val="11"/>
              <w:keepNext w:val="0"/>
              <w:keepLines w:val="0"/>
              <w:pageBreakBefore w:val="0"/>
              <w:widowControl w:val="0"/>
              <w:shd w:val="clear" w:color="auto" w:fill="auto"/>
              <w:kinsoku w:val="0"/>
              <w:wordWrap w:val="0"/>
              <w:bidi w:val="0"/>
              <w:spacing w:line="320" w:lineRule="exact"/>
              <w:jc w:val="center"/>
              <w:textAlignment w:val="auto"/>
              <w:rPr>
                <w:rFonts w:hint="eastAsia" w:asciiTheme="minorEastAsia" w:hAnsiTheme="minorEastAsia" w:eastAsiaTheme="minorEastAsia" w:cstheme="minorEastAsia"/>
                <w:color w:val="auto"/>
                <w:sz w:val="24"/>
                <w:szCs w:val="24"/>
                <w:highlight w:val="none"/>
              </w:rPr>
            </w:pPr>
          </w:p>
        </w:tc>
        <w:tc>
          <w:tcPr>
            <w:tcW w:w="924" w:type="dxa"/>
            <w:tcBorders>
              <w:top w:val="single" w:color="auto" w:sz="4" w:space="0"/>
              <w:left w:val="single" w:color="auto" w:sz="4" w:space="0"/>
              <w:bottom w:val="single" w:color="auto" w:sz="4" w:space="0"/>
              <w:right w:val="single" w:color="auto" w:sz="4" w:space="0"/>
            </w:tcBorders>
            <w:noWrap w:val="0"/>
            <w:vAlign w:val="center"/>
          </w:tcPr>
          <w:p w14:paraId="18B7F70E">
            <w:pPr>
              <w:pStyle w:val="11"/>
              <w:keepNext w:val="0"/>
              <w:keepLines w:val="0"/>
              <w:pageBreakBefore w:val="0"/>
              <w:widowControl w:val="0"/>
              <w:shd w:val="clear" w:color="auto" w:fill="auto"/>
              <w:kinsoku w:val="0"/>
              <w:wordWrap w:val="0"/>
              <w:bidi w:val="0"/>
              <w:spacing w:line="320" w:lineRule="exact"/>
              <w:jc w:val="center"/>
              <w:textAlignment w:val="auto"/>
              <w:rPr>
                <w:rFonts w:hint="eastAsia" w:asciiTheme="minorEastAsia" w:hAnsiTheme="minorEastAsia" w:eastAsiaTheme="minorEastAsia" w:cstheme="minorEastAsia"/>
                <w:color w:val="auto"/>
                <w:spacing w:val="-6"/>
                <w:sz w:val="24"/>
                <w:szCs w:val="24"/>
                <w:highlight w:val="none"/>
              </w:rPr>
            </w:pPr>
          </w:p>
        </w:tc>
        <w:tc>
          <w:tcPr>
            <w:tcW w:w="853" w:type="dxa"/>
            <w:tcBorders>
              <w:top w:val="single" w:color="auto" w:sz="4" w:space="0"/>
              <w:left w:val="single" w:color="auto" w:sz="4" w:space="0"/>
              <w:bottom w:val="single" w:color="auto" w:sz="4" w:space="0"/>
              <w:right w:val="single" w:color="auto" w:sz="4" w:space="0"/>
            </w:tcBorders>
            <w:noWrap w:val="0"/>
            <w:vAlign w:val="center"/>
          </w:tcPr>
          <w:p w14:paraId="7320A4A3">
            <w:pPr>
              <w:pStyle w:val="11"/>
              <w:keepNext w:val="0"/>
              <w:keepLines w:val="0"/>
              <w:pageBreakBefore w:val="0"/>
              <w:widowControl w:val="0"/>
              <w:shd w:val="clear" w:color="auto" w:fill="auto"/>
              <w:kinsoku w:val="0"/>
              <w:wordWrap w:val="0"/>
              <w:bidi w:val="0"/>
              <w:spacing w:line="320" w:lineRule="exact"/>
              <w:jc w:val="center"/>
              <w:textAlignment w:val="auto"/>
              <w:rPr>
                <w:rFonts w:hint="eastAsia" w:asciiTheme="minorEastAsia" w:hAnsiTheme="minorEastAsia" w:eastAsiaTheme="minorEastAsia" w:cstheme="minorEastAsia"/>
                <w:color w:val="auto"/>
                <w:spacing w:val="-6"/>
                <w:sz w:val="24"/>
                <w:szCs w:val="24"/>
                <w:highlight w:val="none"/>
              </w:rPr>
            </w:pPr>
          </w:p>
        </w:tc>
        <w:tc>
          <w:tcPr>
            <w:tcW w:w="914" w:type="dxa"/>
            <w:tcBorders>
              <w:top w:val="single" w:color="auto" w:sz="4" w:space="0"/>
              <w:left w:val="single" w:color="auto" w:sz="4" w:space="0"/>
              <w:bottom w:val="single" w:color="auto" w:sz="4" w:space="0"/>
              <w:right w:val="single" w:color="auto" w:sz="4" w:space="0"/>
            </w:tcBorders>
            <w:noWrap w:val="0"/>
            <w:vAlign w:val="center"/>
          </w:tcPr>
          <w:p w14:paraId="5D5A20F6">
            <w:pPr>
              <w:pStyle w:val="11"/>
              <w:keepNext w:val="0"/>
              <w:keepLines w:val="0"/>
              <w:pageBreakBefore w:val="0"/>
              <w:widowControl w:val="0"/>
              <w:shd w:val="clear" w:color="auto" w:fill="auto"/>
              <w:kinsoku w:val="0"/>
              <w:wordWrap w:val="0"/>
              <w:bidi w:val="0"/>
              <w:spacing w:line="320" w:lineRule="exact"/>
              <w:jc w:val="center"/>
              <w:textAlignment w:val="auto"/>
              <w:rPr>
                <w:rFonts w:hint="eastAsia" w:asciiTheme="minorEastAsia" w:hAnsiTheme="minorEastAsia" w:eastAsiaTheme="minorEastAsia" w:cstheme="minorEastAsia"/>
                <w:color w:val="auto"/>
                <w:spacing w:val="-6"/>
                <w:sz w:val="24"/>
                <w:szCs w:val="24"/>
                <w:highlight w:val="none"/>
              </w:rPr>
            </w:pPr>
          </w:p>
        </w:tc>
        <w:tc>
          <w:tcPr>
            <w:tcW w:w="1195" w:type="dxa"/>
            <w:tcBorders>
              <w:top w:val="single" w:color="auto" w:sz="4" w:space="0"/>
              <w:left w:val="single" w:color="auto" w:sz="4" w:space="0"/>
              <w:bottom w:val="single" w:color="auto" w:sz="4" w:space="0"/>
              <w:right w:val="single" w:color="auto" w:sz="4" w:space="0"/>
            </w:tcBorders>
            <w:noWrap w:val="0"/>
            <w:vAlign w:val="center"/>
          </w:tcPr>
          <w:p w14:paraId="6175F74E">
            <w:pPr>
              <w:pStyle w:val="11"/>
              <w:keepNext w:val="0"/>
              <w:keepLines w:val="0"/>
              <w:pageBreakBefore w:val="0"/>
              <w:widowControl w:val="0"/>
              <w:shd w:val="clear" w:color="auto" w:fill="auto"/>
              <w:kinsoku w:val="0"/>
              <w:wordWrap w:val="0"/>
              <w:bidi w:val="0"/>
              <w:spacing w:line="320" w:lineRule="exact"/>
              <w:jc w:val="center"/>
              <w:textAlignment w:val="auto"/>
              <w:rPr>
                <w:rFonts w:hint="eastAsia" w:asciiTheme="minorEastAsia" w:hAnsiTheme="minorEastAsia" w:eastAsiaTheme="minorEastAsia" w:cstheme="minorEastAsia"/>
                <w:color w:val="auto"/>
                <w:spacing w:val="-6"/>
                <w:sz w:val="24"/>
                <w:szCs w:val="24"/>
                <w:highlight w:val="none"/>
              </w:rPr>
            </w:pPr>
          </w:p>
        </w:tc>
      </w:tr>
      <w:tr w14:paraId="200AB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3" w:hRule="exact"/>
          <w:jc w:val="center"/>
        </w:trPr>
        <w:tc>
          <w:tcPr>
            <w:tcW w:w="842" w:type="dxa"/>
            <w:tcBorders>
              <w:top w:val="single" w:color="auto" w:sz="4" w:space="0"/>
              <w:left w:val="single" w:color="auto" w:sz="4" w:space="0"/>
              <w:bottom w:val="single" w:color="auto" w:sz="4" w:space="0"/>
              <w:right w:val="single" w:color="auto" w:sz="4" w:space="0"/>
            </w:tcBorders>
            <w:noWrap w:val="0"/>
            <w:vAlign w:val="center"/>
          </w:tcPr>
          <w:p w14:paraId="34D88C12">
            <w:pPr>
              <w:keepNext w:val="0"/>
              <w:keepLines w:val="0"/>
              <w:pageBreakBefore w:val="0"/>
              <w:widowControl w:val="0"/>
              <w:kinsoku w:val="0"/>
              <w:wordWrap w:val="0"/>
              <w:bidi w:val="0"/>
              <w:jc w:val="center"/>
              <w:textAlignment w:val="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w:t>
            </w:r>
          </w:p>
        </w:tc>
        <w:tc>
          <w:tcPr>
            <w:tcW w:w="1830" w:type="dxa"/>
            <w:tcBorders>
              <w:top w:val="single" w:color="auto" w:sz="4" w:space="0"/>
              <w:left w:val="single" w:color="auto" w:sz="4" w:space="0"/>
              <w:bottom w:val="single" w:color="auto" w:sz="4" w:space="0"/>
              <w:right w:val="single" w:color="auto" w:sz="4" w:space="0"/>
            </w:tcBorders>
            <w:noWrap w:val="0"/>
            <w:vAlign w:val="center"/>
          </w:tcPr>
          <w:p w14:paraId="5445CB94">
            <w:pPr>
              <w:keepNext w:val="0"/>
              <w:keepLines w:val="0"/>
              <w:widowControl/>
              <w:suppressLineNumbers w:val="0"/>
              <w:jc w:val="left"/>
              <w:textAlignment w:val="center"/>
              <w:rPr>
                <w:rFonts w:hint="eastAsia" w:asciiTheme="minorEastAsia" w:hAnsiTheme="minorEastAsia" w:eastAsiaTheme="minorEastAsia" w:cstheme="minorEastAsia"/>
                <w:color w:val="auto"/>
                <w:sz w:val="24"/>
                <w:szCs w:val="24"/>
                <w:highlight w:val="none"/>
              </w:rPr>
            </w:pPr>
          </w:p>
        </w:tc>
        <w:tc>
          <w:tcPr>
            <w:tcW w:w="1224" w:type="dxa"/>
            <w:tcBorders>
              <w:top w:val="single" w:color="auto" w:sz="4" w:space="0"/>
              <w:left w:val="single" w:color="auto" w:sz="4" w:space="0"/>
              <w:bottom w:val="single" w:color="auto" w:sz="4" w:space="0"/>
              <w:right w:val="single" w:color="auto" w:sz="4" w:space="0"/>
            </w:tcBorders>
            <w:noWrap w:val="0"/>
            <w:vAlign w:val="center"/>
          </w:tcPr>
          <w:p w14:paraId="554BF9D4">
            <w:pPr>
              <w:pStyle w:val="11"/>
              <w:keepNext w:val="0"/>
              <w:keepLines w:val="0"/>
              <w:pageBreakBefore w:val="0"/>
              <w:widowControl w:val="0"/>
              <w:shd w:val="clear" w:color="auto" w:fill="auto"/>
              <w:kinsoku w:val="0"/>
              <w:wordWrap w:val="0"/>
              <w:bidi w:val="0"/>
              <w:spacing w:line="320" w:lineRule="exact"/>
              <w:jc w:val="center"/>
              <w:textAlignment w:val="auto"/>
              <w:rPr>
                <w:rFonts w:hint="eastAsia" w:asciiTheme="minorEastAsia" w:hAnsiTheme="minorEastAsia" w:eastAsiaTheme="minorEastAsia" w:cstheme="minorEastAsia"/>
                <w:color w:val="auto"/>
                <w:sz w:val="24"/>
                <w:szCs w:val="24"/>
                <w:highlight w:val="none"/>
              </w:rPr>
            </w:pPr>
          </w:p>
        </w:tc>
        <w:tc>
          <w:tcPr>
            <w:tcW w:w="708" w:type="dxa"/>
            <w:tcBorders>
              <w:top w:val="single" w:color="auto" w:sz="4" w:space="0"/>
              <w:left w:val="single" w:color="auto" w:sz="4" w:space="0"/>
              <w:bottom w:val="single" w:color="auto" w:sz="4" w:space="0"/>
              <w:right w:val="single" w:color="auto" w:sz="4" w:space="0"/>
            </w:tcBorders>
            <w:noWrap w:val="0"/>
            <w:vAlign w:val="center"/>
          </w:tcPr>
          <w:p w14:paraId="02098B4F">
            <w:pPr>
              <w:pStyle w:val="11"/>
              <w:keepNext w:val="0"/>
              <w:keepLines w:val="0"/>
              <w:pageBreakBefore w:val="0"/>
              <w:widowControl w:val="0"/>
              <w:shd w:val="clear" w:color="auto" w:fill="auto"/>
              <w:kinsoku w:val="0"/>
              <w:wordWrap w:val="0"/>
              <w:bidi w:val="0"/>
              <w:spacing w:line="320" w:lineRule="exact"/>
              <w:jc w:val="center"/>
              <w:textAlignment w:val="auto"/>
              <w:rPr>
                <w:rFonts w:hint="eastAsia" w:asciiTheme="minorEastAsia" w:hAnsiTheme="minorEastAsia" w:eastAsiaTheme="minorEastAsia" w:cstheme="minorEastAsia"/>
                <w:color w:val="auto"/>
                <w:sz w:val="24"/>
                <w:szCs w:val="24"/>
                <w:highlight w:val="none"/>
              </w:rPr>
            </w:pPr>
          </w:p>
        </w:tc>
        <w:tc>
          <w:tcPr>
            <w:tcW w:w="780" w:type="dxa"/>
            <w:tcBorders>
              <w:top w:val="single" w:color="auto" w:sz="4" w:space="0"/>
              <w:left w:val="single" w:color="auto" w:sz="4" w:space="0"/>
              <w:bottom w:val="single" w:color="auto" w:sz="4" w:space="0"/>
              <w:right w:val="single" w:color="auto" w:sz="4" w:space="0"/>
            </w:tcBorders>
            <w:noWrap w:val="0"/>
            <w:vAlign w:val="center"/>
          </w:tcPr>
          <w:p w14:paraId="51CCD5FE">
            <w:pPr>
              <w:pStyle w:val="11"/>
              <w:keepNext w:val="0"/>
              <w:keepLines w:val="0"/>
              <w:pageBreakBefore w:val="0"/>
              <w:widowControl w:val="0"/>
              <w:shd w:val="clear" w:color="auto" w:fill="auto"/>
              <w:kinsoku w:val="0"/>
              <w:wordWrap w:val="0"/>
              <w:bidi w:val="0"/>
              <w:spacing w:line="320" w:lineRule="exact"/>
              <w:jc w:val="center"/>
              <w:textAlignment w:val="auto"/>
              <w:rPr>
                <w:rFonts w:hint="eastAsia" w:asciiTheme="minorEastAsia" w:hAnsiTheme="minorEastAsia" w:eastAsiaTheme="minorEastAsia" w:cstheme="minorEastAsia"/>
                <w:color w:val="auto"/>
                <w:sz w:val="24"/>
                <w:szCs w:val="24"/>
                <w:highlight w:val="none"/>
              </w:rPr>
            </w:pPr>
          </w:p>
        </w:tc>
        <w:tc>
          <w:tcPr>
            <w:tcW w:w="924" w:type="dxa"/>
            <w:tcBorders>
              <w:top w:val="single" w:color="auto" w:sz="4" w:space="0"/>
              <w:left w:val="single" w:color="auto" w:sz="4" w:space="0"/>
              <w:bottom w:val="single" w:color="auto" w:sz="4" w:space="0"/>
              <w:right w:val="single" w:color="auto" w:sz="4" w:space="0"/>
            </w:tcBorders>
            <w:noWrap w:val="0"/>
            <w:vAlign w:val="center"/>
          </w:tcPr>
          <w:p w14:paraId="789454D5">
            <w:pPr>
              <w:pStyle w:val="11"/>
              <w:keepNext w:val="0"/>
              <w:keepLines w:val="0"/>
              <w:pageBreakBefore w:val="0"/>
              <w:widowControl w:val="0"/>
              <w:shd w:val="clear" w:color="auto" w:fill="auto"/>
              <w:kinsoku w:val="0"/>
              <w:wordWrap w:val="0"/>
              <w:bidi w:val="0"/>
              <w:spacing w:line="320" w:lineRule="exact"/>
              <w:jc w:val="center"/>
              <w:textAlignment w:val="auto"/>
              <w:rPr>
                <w:rFonts w:hint="eastAsia" w:asciiTheme="minorEastAsia" w:hAnsiTheme="minorEastAsia" w:eastAsiaTheme="minorEastAsia" w:cstheme="minorEastAsia"/>
                <w:color w:val="auto"/>
                <w:spacing w:val="-6"/>
                <w:sz w:val="24"/>
                <w:szCs w:val="24"/>
                <w:highlight w:val="none"/>
              </w:rPr>
            </w:pPr>
          </w:p>
        </w:tc>
        <w:tc>
          <w:tcPr>
            <w:tcW w:w="853" w:type="dxa"/>
            <w:tcBorders>
              <w:top w:val="single" w:color="auto" w:sz="4" w:space="0"/>
              <w:left w:val="single" w:color="auto" w:sz="4" w:space="0"/>
              <w:bottom w:val="single" w:color="auto" w:sz="4" w:space="0"/>
              <w:right w:val="single" w:color="auto" w:sz="4" w:space="0"/>
            </w:tcBorders>
            <w:noWrap w:val="0"/>
            <w:vAlign w:val="center"/>
          </w:tcPr>
          <w:p w14:paraId="56A0EA6A">
            <w:pPr>
              <w:pStyle w:val="11"/>
              <w:keepNext w:val="0"/>
              <w:keepLines w:val="0"/>
              <w:pageBreakBefore w:val="0"/>
              <w:widowControl w:val="0"/>
              <w:shd w:val="clear" w:color="auto" w:fill="auto"/>
              <w:kinsoku w:val="0"/>
              <w:wordWrap w:val="0"/>
              <w:bidi w:val="0"/>
              <w:spacing w:line="320" w:lineRule="exact"/>
              <w:jc w:val="center"/>
              <w:textAlignment w:val="auto"/>
              <w:rPr>
                <w:rFonts w:hint="eastAsia" w:asciiTheme="minorEastAsia" w:hAnsiTheme="minorEastAsia" w:eastAsiaTheme="minorEastAsia" w:cstheme="minorEastAsia"/>
                <w:color w:val="auto"/>
                <w:spacing w:val="-6"/>
                <w:sz w:val="24"/>
                <w:szCs w:val="24"/>
                <w:highlight w:val="none"/>
              </w:rPr>
            </w:pPr>
          </w:p>
        </w:tc>
        <w:tc>
          <w:tcPr>
            <w:tcW w:w="914" w:type="dxa"/>
            <w:tcBorders>
              <w:top w:val="single" w:color="auto" w:sz="4" w:space="0"/>
              <w:left w:val="single" w:color="auto" w:sz="4" w:space="0"/>
              <w:bottom w:val="single" w:color="auto" w:sz="4" w:space="0"/>
              <w:right w:val="single" w:color="auto" w:sz="4" w:space="0"/>
            </w:tcBorders>
            <w:noWrap w:val="0"/>
            <w:vAlign w:val="center"/>
          </w:tcPr>
          <w:p w14:paraId="1A0AB5AD">
            <w:pPr>
              <w:pStyle w:val="11"/>
              <w:keepNext w:val="0"/>
              <w:keepLines w:val="0"/>
              <w:pageBreakBefore w:val="0"/>
              <w:widowControl w:val="0"/>
              <w:shd w:val="clear" w:color="auto" w:fill="auto"/>
              <w:kinsoku w:val="0"/>
              <w:wordWrap w:val="0"/>
              <w:bidi w:val="0"/>
              <w:spacing w:line="320" w:lineRule="exact"/>
              <w:jc w:val="center"/>
              <w:textAlignment w:val="auto"/>
              <w:rPr>
                <w:rFonts w:hint="eastAsia" w:asciiTheme="minorEastAsia" w:hAnsiTheme="minorEastAsia" w:eastAsiaTheme="minorEastAsia" w:cstheme="minorEastAsia"/>
                <w:color w:val="auto"/>
                <w:spacing w:val="-6"/>
                <w:sz w:val="24"/>
                <w:szCs w:val="24"/>
                <w:highlight w:val="none"/>
              </w:rPr>
            </w:pPr>
          </w:p>
        </w:tc>
        <w:tc>
          <w:tcPr>
            <w:tcW w:w="1195" w:type="dxa"/>
            <w:tcBorders>
              <w:top w:val="single" w:color="auto" w:sz="4" w:space="0"/>
              <w:left w:val="single" w:color="auto" w:sz="4" w:space="0"/>
              <w:bottom w:val="single" w:color="auto" w:sz="4" w:space="0"/>
              <w:right w:val="single" w:color="auto" w:sz="4" w:space="0"/>
            </w:tcBorders>
            <w:noWrap w:val="0"/>
            <w:vAlign w:val="center"/>
          </w:tcPr>
          <w:p w14:paraId="20A97D4F">
            <w:pPr>
              <w:pStyle w:val="11"/>
              <w:keepNext w:val="0"/>
              <w:keepLines w:val="0"/>
              <w:pageBreakBefore w:val="0"/>
              <w:widowControl w:val="0"/>
              <w:shd w:val="clear" w:color="auto" w:fill="auto"/>
              <w:kinsoku w:val="0"/>
              <w:wordWrap w:val="0"/>
              <w:bidi w:val="0"/>
              <w:spacing w:line="320" w:lineRule="exact"/>
              <w:jc w:val="center"/>
              <w:textAlignment w:val="auto"/>
              <w:rPr>
                <w:rFonts w:hint="eastAsia" w:asciiTheme="minorEastAsia" w:hAnsiTheme="minorEastAsia" w:eastAsiaTheme="minorEastAsia" w:cstheme="minorEastAsia"/>
                <w:color w:val="auto"/>
                <w:spacing w:val="-6"/>
                <w:sz w:val="24"/>
                <w:szCs w:val="24"/>
                <w:highlight w:val="none"/>
              </w:rPr>
            </w:pPr>
          </w:p>
        </w:tc>
      </w:tr>
      <w:tr w14:paraId="562E1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3" w:hRule="exact"/>
          <w:jc w:val="center"/>
        </w:trPr>
        <w:tc>
          <w:tcPr>
            <w:tcW w:w="9270" w:type="dxa"/>
            <w:gridSpan w:val="9"/>
            <w:tcBorders>
              <w:top w:val="single" w:color="auto" w:sz="4" w:space="0"/>
              <w:left w:val="single" w:color="auto" w:sz="4" w:space="0"/>
              <w:bottom w:val="single" w:color="auto" w:sz="4" w:space="0"/>
              <w:right w:val="single" w:color="auto" w:sz="4" w:space="0"/>
            </w:tcBorders>
            <w:noWrap w:val="0"/>
            <w:vAlign w:val="center"/>
          </w:tcPr>
          <w:p w14:paraId="674FC355">
            <w:pPr>
              <w:pStyle w:val="11"/>
              <w:keepNext w:val="0"/>
              <w:keepLines w:val="0"/>
              <w:pageBreakBefore w:val="0"/>
              <w:widowControl w:val="0"/>
              <w:shd w:val="clear" w:color="auto" w:fill="auto"/>
              <w:tabs>
                <w:tab w:val="left" w:pos="1531"/>
              </w:tabs>
              <w:kinsoku w:val="0"/>
              <w:wordWrap w:val="0"/>
              <w:bidi w:val="0"/>
              <w:spacing w:line="320" w:lineRule="exact"/>
              <w:jc w:val="left"/>
              <w:textAlignment w:val="auto"/>
              <w:rPr>
                <w:rFonts w:hint="default" w:asciiTheme="minorEastAsia" w:hAnsiTheme="minorEastAsia" w:eastAsiaTheme="minorEastAsia" w:cstheme="minorEastAsia"/>
                <w:color w:val="auto"/>
                <w:spacing w:val="-6"/>
                <w:sz w:val="24"/>
                <w:szCs w:val="24"/>
                <w:highlight w:val="none"/>
                <w:lang w:val="en-US" w:eastAsia="zh-CN"/>
              </w:rPr>
            </w:pPr>
            <w:r>
              <w:rPr>
                <w:rFonts w:hint="eastAsia" w:asciiTheme="minorEastAsia" w:hAnsiTheme="minorEastAsia" w:eastAsiaTheme="minorEastAsia" w:cstheme="minorEastAsia"/>
                <w:color w:val="auto"/>
                <w:spacing w:val="-6"/>
                <w:sz w:val="24"/>
                <w:szCs w:val="24"/>
                <w:highlight w:val="none"/>
                <w:lang w:eastAsia="zh-CN"/>
              </w:rPr>
              <w:tab/>
            </w:r>
            <w:r>
              <w:rPr>
                <w:rFonts w:hint="eastAsia" w:asciiTheme="minorEastAsia" w:hAnsiTheme="minorEastAsia" w:eastAsiaTheme="minorEastAsia" w:cstheme="minorEastAsia"/>
                <w:color w:val="auto"/>
                <w:spacing w:val="-6"/>
                <w:sz w:val="24"/>
                <w:szCs w:val="24"/>
                <w:highlight w:val="none"/>
                <w:lang w:val="en-US" w:eastAsia="zh-CN"/>
              </w:rPr>
              <w:t>小计</w:t>
            </w:r>
            <w:r>
              <w:rPr>
                <w:rFonts w:hint="eastAsia" w:asciiTheme="minorEastAsia" w:hAnsiTheme="minorEastAsia" w:eastAsiaTheme="minorEastAsia" w:cstheme="minorEastAsia"/>
                <w:color w:val="auto"/>
                <w:spacing w:val="-6"/>
                <w:sz w:val="24"/>
                <w:szCs w:val="24"/>
                <w:highlight w:val="none"/>
                <w:lang w:eastAsia="zh-CN"/>
              </w:rPr>
              <w:t>（</w:t>
            </w:r>
            <w:r>
              <w:rPr>
                <w:rFonts w:hint="eastAsia" w:asciiTheme="minorEastAsia" w:hAnsiTheme="minorEastAsia" w:eastAsiaTheme="minorEastAsia" w:cstheme="minorEastAsia"/>
                <w:color w:val="auto"/>
                <w:spacing w:val="-6"/>
                <w:sz w:val="24"/>
                <w:szCs w:val="24"/>
                <w:highlight w:val="none"/>
                <w:lang w:val="en-US" w:eastAsia="zh-CN"/>
              </w:rPr>
              <w:t>元</w:t>
            </w:r>
            <w:r>
              <w:rPr>
                <w:rFonts w:hint="eastAsia" w:asciiTheme="minorEastAsia" w:hAnsiTheme="minorEastAsia" w:eastAsiaTheme="minorEastAsia" w:cstheme="minorEastAsia"/>
                <w:color w:val="auto"/>
                <w:spacing w:val="-6"/>
                <w:sz w:val="24"/>
                <w:szCs w:val="24"/>
                <w:highlight w:val="none"/>
                <w:lang w:eastAsia="zh-CN"/>
              </w:rPr>
              <w:t>）</w:t>
            </w:r>
            <w:r>
              <w:rPr>
                <w:rFonts w:hint="eastAsia" w:asciiTheme="minorEastAsia" w:hAnsiTheme="minorEastAsia" w:eastAsiaTheme="minorEastAsia" w:cstheme="minorEastAsia"/>
                <w:color w:val="auto"/>
                <w:spacing w:val="-6"/>
                <w:sz w:val="24"/>
                <w:szCs w:val="24"/>
                <w:highlight w:val="none"/>
                <w:lang w:val="en-US" w:eastAsia="zh-CN"/>
              </w:rPr>
              <w:t>：</w:t>
            </w:r>
            <w:r>
              <w:rPr>
                <w:rFonts w:hint="eastAsia" w:asciiTheme="minorEastAsia" w:hAnsiTheme="minorEastAsia" w:eastAsiaTheme="minorEastAsia" w:cstheme="minorEastAsia"/>
                <w:color w:val="auto"/>
                <w:sz w:val="24"/>
                <w:szCs w:val="24"/>
                <w:highlight w:val="none"/>
              </w:rPr>
              <w:t>大写：人民币</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(小写：</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w:t>
            </w:r>
          </w:p>
        </w:tc>
      </w:tr>
      <w:tr w14:paraId="7595D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6" w:hRule="exact"/>
          <w:jc w:val="center"/>
        </w:trPr>
        <w:tc>
          <w:tcPr>
            <w:tcW w:w="9270" w:type="dxa"/>
            <w:gridSpan w:val="9"/>
            <w:tcBorders>
              <w:top w:val="single" w:color="auto" w:sz="4" w:space="0"/>
              <w:left w:val="single" w:color="auto" w:sz="4" w:space="0"/>
              <w:bottom w:val="single" w:color="auto" w:sz="4" w:space="0"/>
              <w:right w:val="single" w:color="auto" w:sz="4" w:space="0"/>
            </w:tcBorders>
            <w:noWrap w:val="0"/>
            <w:vAlign w:val="center"/>
          </w:tcPr>
          <w:p w14:paraId="2E016ED5">
            <w:pPr>
              <w:pStyle w:val="11"/>
              <w:keepNext w:val="0"/>
              <w:keepLines w:val="0"/>
              <w:pageBreakBefore w:val="0"/>
              <w:widowControl w:val="0"/>
              <w:shd w:val="clear" w:color="auto" w:fill="auto"/>
              <w:kinsoku w:val="0"/>
              <w:wordWrap w:val="0"/>
              <w:bidi w:val="0"/>
              <w:spacing w:line="320" w:lineRule="exact"/>
              <w:jc w:val="center"/>
              <w:textAlignment w:val="auto"/>
              <w:rPr>
                <w:rFonts w:hint="eastAsia" w:asciiTheme="minorEastAsia" w:hAnsiTheme="minorEastAsia" w:eastAsiaTheme="minorEastAsia" w:cstheme="minorEastAsia"/>
                <w:color w:val="auto"/>
                <w:spacing w:val="-6"/>
                <w:sz w:val="24"/>
                <w:szCs w:val="24"/>
                <w:highlight w:val="none"/>
              </w:rPr>
            </w:pPr>
            <w:r>
              <w:rPr>
                <w:rFonts w:hint="eastAsia" w:asciiTheme="minorEastAsia" w:hAnsiTheme="minorEastAsia" w:eastAsiaTheme="minorEastAsia" w:cstheme="minorEastAsia"/>
                <w:color w:val="auto"/>
                <w:spacing w:val="-6"/>
                <w:sz w:val="24"/>
                <w:szCs w:val="24"/>
                <w:highlight w:val="none"/>
                <w:lang w:val="en-US" w:eastAsia="zh-CN"/>
              </w:rPr>
              <w:t>合</w:t>
            </w:r>
            <w:r>
              <w:rPr>
                <w:rFonts w:hint="eastAsia" w:asciiTheme="minorEastAsia" w:hAnsiTheme="minorEastAsia" w:eastAsiaTheme="minorEastAsia" w:cstheme="minorEastAsia"/>
                <w:color w:val="auto"/>
                <w:spacing w:val="-6"/>
                <w:sz w:val="24"/>
                <w:szCs w:val="24"/>
                <w:highlight w:val="none"/>
              </w:rPr>
              <w:t>计</w:t>
            </w:r>
            <w:r>
              <w:rPr>
                <w:rFonts w:hint="eastAsia" w:asciiTheme="minorEastAsia" w:hAnsiTheme="minorEastAsia" w:eastAsiaTheme="minorEastAsia" w:cstheme="minorEastAsia"/>
                <w:color w:val="auto"/>
                <w:spacing w:val="-6"/>
                <w:sz w:val="24"/>
                <w:szCs w:val="24"/>
                <w:highlight w:val="none"/>
                <w:lang w:eastAsia="zh-CN"/>
              </w:rPr>
              <w:t>（</w:t>
            </w:r>
            <w:r>
              <w:rPr>
                <w:rFonts w:hint="eastAsia" w:asciiTheme="minorEastAsia" w:hAnsiTheme="minorEastAsia" w:eastAsiaTheme="minorEastAsia" w:cstheme="minorEastAsia"/>
                <w:color w:val="auto"/>
                <w:spacing w:val="-6"/>
                <w:sz w:val="24"/>
                <w:szCs w:val="24"/>
                <w:highlight w:val="none"/>
                <w:lang w:val="en-US" w:eastAsia="zh-CN"/>
              </w:rPr>
              <w:t>元</w:t>
            </w:r>
            <w:r>
              <w:rPr>
                <w:rFonts w:hint="eastAsia" w:asciiTheme="minorEastAsia" w:hAnsiTheme="minorEastAsia" w:eastAsiaTheme="minorEastAsia" w:cstheme="minorEastAsia"/>
                <w:color w:val="auto"/>
                <w:spacing w:val="-6"/>
                <w:sz w:val="24"/>
                <w:szCs w:val="24"/>
                <w:highlight w:val="none"/>
                <w:lang w:eastAsia="zh-CN"/>
              </w:rPr>
              <w:t>）</w:t>
            </w:r>
            <w:r>
              <w:rPr>
                <w:rFonts w:hint="eastAsia" w:asciiTheme="minorEastAsia" w:hAnsiTheme="minorEastAsia" w:eastAsiaTheme="minorEastAsia" w:cstheme="minorEastAsia"/>
                <w:color w:val="auto"/>
                <w:spacing w:val="-6"/>
                <w:sz w:val="24"/>
                <w:szCs w:val="24"/>
                <w:highlight w:val="none"/>
              </w:rPr>
              <w:t>：</w:t>
            </w:r>
            <w:r>
              <w:rPr>
                <w:rFonts w:hint="eastAsia" w:asciiTheme="minorEastAsia" w:hAnsiTheme="minorEastAsia" w:eastAsiaTheme="minorEastAsia" w:cstheme="minorEastAsia"/>
                <w:color w:val="auto"/>
                <w:sz w:val="24"/>
                <w:szCs w:val="24"/>
                <w:highlight w:val="none"/>
              </w:rPr>
              <w:t>大写：人民币</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(小写：</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w:t>
            </w:r>
          </w:p>
        </w:tc>
      </w:tr>
    </w:tbl>
    <w:p w14:paraId="63F62530">
      <w:pPr>
        <w:pStyle w:val="11"/>
        <w:keepNext w:val="0"/>
        <w:keepLines w:val="0"/>
        <w:pageBreakBefore w:val="0"/>
        <w:widowControl w:val="0"/>
        <w:shd w:val="clear" w:color="auto" w:fill="auto"/>
        <w:tabs>
          <w:tab w:val="left" w:pos="5040"/>
        </w:tabs>
        <w:kinsoku w:val="0"/>
        <w:wordWrap w:val="0"/>
        <w:bidi w:val="0"/>
        <w:spacing w:line="360" w:lineRule="auto"/>
        <w:ind w:firstLine="482" w:firstLineChars="20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
          <w:bCs w:val="0"/>
          <w:color w:val="auto"/>
          <w:sz w:val="24"/>
          <w:szCs w:val="24"/>
          <w:highlight w:val="none"/>
          <w:lang w:val="en-US" w:eastAsia="zh-CN"/>
        </w:rPr>
        <w:t>注：满足项目实际使用功能和投入使用的原则进行设备配置</w:t>
      </w:r>
      <w:r>
        <w:rPr>
          <w:rFonts w:hint="eastAsia" w:asciiTheme="minorEastAsia" w:hAnsiTheme="minorEastAsia" w:eastAsiaTheme="minorEastAsia" w:cstheme="minorEastAsia"/>
          <w:b/>
          <w:bCs w:val="0"/>
          <w:color w:val="auto"/>
          <w:sz w:val="24"/>
          <w:szCs w:val="24"/>
          <w:highlight w:val="none"/>
        </w:rPr>
        <w:t>进行设备配置，</w:t>
      </w:r>
      <w:r>
        <w:rPr>
          <w:rFonts w:hint="eastAsia" w:asciiTheme="minorEastAsia" w:hAnsiTheme="minorEastAsia" w:eastAsiaTheme="minorEastAsia" w:cstheme="minorEastAsia"/>
          <w:b/>
          <w:bCs w:val="0"/>
          <w:color w:val="auto"/>
          <w:sz w:val="24"/>
          <w:szCs w:val="24"/>
          <w:highlight w:val="none"/>
          <w:lang w:val="en-US" w:eastAsia="zh-CN"/>
        </w:rPr>
        <w:t>供应商</w:t>
      </w:r>
      <w:r>
        <w:rPr>
          <w:rFonts w:hint="eastAsia" w:asciiTheme="minorEastAsia" w:hAnsiTheme="minorEastAsia" w:eastAsiaTheme="minorEastAsia" w:cstheme="minorEastAsia"/>
          <w:b/>
          <w:bCs w:val="0"/>
          <w:color w:val="auto"/>
          <w:sz w:val="24"/>
          <w:szCs w:val="24"/>
          <w:highlight w:val="none"/>
        </w:rPr>
        <w:t>不得以</w:t>
      </w:r>
      <w:r>
        <w:rPr>
          <w:rFonts w:hint="eastAsia" w:asciiTheme="minorEastAsia" w:hAnsiTheme="minorEastAsia" w:eastAsiaTheme="minorEastAsia" w:cstheme="minorEastAsia"/>
          <w:b/>
          <w:bCs w:val="0"/>
          <w:color w:val="auto"/>
          <w:sz w:val="24"/>
          <w:szCs w:val="24"/>
          <w:highlight w:val="none"/>
          <w:lang w:eastAsia="zh-CN"/>
        </w:rPr>
        <w:t>采购文件</w:t>
      </w:r>
      <w:r>
        <w:rPr>
          <w:rFonts w:hint="eastAsia" w:asciiTheme="minorEastAsia" w:hAnsiTheme="minorEastAsia" w:eastAsiaTheme="minorEastAsia" w:cstheme="minorEastAsia"/>
          <w:b/>
          <w:bCs w:val="0"/>
          <w:color w:val="auto"/>
          <w:sz w:val="24"/>
          <w:szCs w:val="24"/>
          <w:highlight w:val="none"/>
        </w:rPr>
        <w:t>未明确包含为由，故意漏报、少报、瞒报，不得出现任何组成部件、配件、备件的缺失，否则</w:t>
      </w:r>
      <w:r>
        <w:rPr>
          <w:rFonts w:hint="eastAsia" w:asciiTheme="minorEastAsia" w:hAnsiTheme="minorEastAsia" w:eastAsiaTheme="minorEastAsia" w:cstheme="minorEastAsia"/>
          <w:b/>
          <w:bCs w:val="0"/>
          <w:color w:val="auto"/>
          <w:sz w:val="24"/>
          <w:szCs w:val="24"/>
          <w:highlight w:val="none"/>
          <w:lang w:val="en-US" w:eastAsia="zh-CN"/>
        </w:rPr>
        <w:t>采购人</w:t>
      </w:r>
      <w:r>
        <w:rPr>
          <w:rFonts w:hint="eastAsia" w:asciiTheme="minorEastAsia" w:hAnsiTheme="minorEastAsia" w:eastAsiaTheme="minorEastAsia" w:cstheme="minorEastAsia"/>
          <w:b/>
          <w:bCs w:val="0"/>
          <w:color w:val="auto"/>
          <w:sz w:val="24"/>
          <w:szCs w:val="24"/>
          <w:highlight w:val="none"/>
        </w:rPr>
        <w:t>除要求</w:t>
      </w:r>
      <w:r>
        <w:rPr>
          <w:rFonts w:hint="eastAsia" w:asciiTheme="minorEastAsia" w:hAnsiTheme="minorEastAsia" w:eastAsiaTheme="minorEastAsia" w:cstheme="minorEastAsia"/>
          <w:b/>
          <w:bCs w:val="0"/>
          <w:color w:val="auto"/>
          <w:sz w:val="24"/>
          <w:szCs w:val="24"/>
          <w:highlight w:val="none"/>
          <w:lang w:val="en-US" w:eastAsia="zh-CN"/>
        </w:rPr>
        <w:t>供应商</w:t>
      </w:r>
      <w:r>
        <w:rPr>
          <w:rFonts w:hint="eastAsia" w:asciiTheme="minorEastAsia" w:hAnsiTheme="minorEastAsia" w:eastAsiaTheme="minorEastAsia" w:cstheme="minorEastAsia"/>
          <w:b/>
          <w:bCs w:val="0"/>
          <w:color w:val="auto"/>
          <w:sz w:val="24"/>
          <w:szCs w:val="24"/>
          <w:highlight w:val="none"/>
        </w:rPr>
        <w:t>配齐所有缺失的设备外，有权拒付相关合同价款。</w:t>
      </w:r>
    </w:p>
    <w:p w14:paraId="31211047">
      <w:pPr>
        <w:rPr>
          <w:rFonts w:hint="eastAsia"/>
          <w:lang w:val="en-US" w:eastAsia="zh-CN"/>
        </w:rPr>
      </w:pPr>
    </w:p>
    <w:p w14:paraId="202E3CD5">
      <w:pPr>
        <w:pStyle w:val="11"/>
        <w:keepNext w:val="0"/>
        <w:keepLines w:val="0"/>
        <w:pageBreakBefore w:val="0"/>
        <w:widowControl w:val="0"/>
        <w:numPr>
          <w:ilvl w:val="0"/>
          <w:numId w:val="0"/>
        </w:numPr>
        <w:shd w:val="clear" w:color="auto" w:fill="auto"/>
        <w:kinsoku w:val="0"/>
        <w:wordWrap w:val="0"/>
        <w:bidi w:val="0"/>
        <w:spacing w:line="480" w:lineRule="exact"/>
        <w:jc w:val="center"/>
        <w:textAlignment w:val="auto"/>
        <w:rPr>
          <w:rFonts w:hint="eastAsia" w:asciiTheme="minorEastAsia" w:hAnsiTheme="minorEastAsia" w:eastAsiaTheme="minorEastAsia" w:cstheme="minorEastAsia"/>
          <w:b/>
          <w:color w:val="auto"/>
          <w:sz w:val="24"/>
          <w:szCs w:val="24"/>
          <w:highlight w:val="none"/>
          <w:lang w:val="en-US" w:eastAsia="zh-CN"/>
        </w:rPr>
      </w:pPr>
    </w:p>
    <w:p w14:paraId="50281B74">
      <w:pPr>
        <w:pStyle w:val="11"/>
        <w:keepNext w:val="0"/>
        <w:keepLines w:val="0"/>
        <w:pageBreakBefore w:val="0"/>
        <w:widowControl w:val="0"/>
        <w:numPr>
          <w:ilvl w:val="0"/>
          <w:numId w:val="0"/>
        </w:numPr>
        <w:shd w:val="clear" w:color="auto" w:fill="auto"/>
        <w:kinsoku w:val="0"/>
        <w:wordWrap w:val="0"/>
        <w:bidi w:val="0"/>
        <w:spacing w:line="480" w:lineRule="exact"/>
        <w:jc w:val="center"/>
        <w:textAlignment w:val="auto"/>
        <w:rPr>
          <w:rFonts w:hint="eastAsia" w:asciiTheme="minorEastAsia" w:hAnsiTheme="minorEastAsia" w:eastAsiaTheme="minorEastAsia" w:cstheme="minorEastAsia"/>
          <w:b/>
          <w:color w:val="auto"/>
          <w:sz w:val="24"/>
          <w:szCs w:val="24"/>
          <w:highlight w:val="none"/>
          <w:lang w:val="en-US" w:eastAsia="zh-CN"/>
        </w:rPr>
        <w:sectPr>
          <w:pgSz w:w="11906" w:h="16838"/>
          <w:pgMar w:top="1361" w:right="1474" w:bottom="1361" w:left="1587" w:header="850" w:footer="992" w:gutter="0"/>
          <w:pgNumType w:fmt="decimal"/>
          <w:cols w:space="0" w:num="1"/>
          <w:rtlGutter w:val="0"/>
          <w:docGrid w:type="lines" w:linePitch="314" w:charSpace="0"/>
        </w:sectPr>
      </w:pPr>
    </w:p>
    <w:p w14:paraId="7B1B6102">
      <w:pPr>
        <w:pStyle w:val="11"/>
        <w:keepNext w:val="0"/>
        <w:keepLines w:val="0"/>
        <w:pageBreakBefore w:val="0"/>
        <w:widowControl w:val="0"/>
        <w:numPr>
          <w:ilvl w:val="0"/>
          <w:numId w:val="0"/>
        </w:numPr>
        <w:shd w:val="clear" w:color="auto" w:fill="auto"/>
        <w:kinsoku w:val="0"/>
        <w:wordWrap w:val="0"/>
        <w:bidi w:val="0"/>
        <w:spacing w:line="480" w:lineRule="exact"/>
        <w:jc w:val="center"/>
        <w:textAlignment w:val="auto"/>
        <w:outlineLvl w:val="1"/>
        <w:rPr>
          <w:rFonts w:hint="eastAsia" w:asciiTheme="minorEastAsia" w:hAnsiTheme="minorEastAsia" w:eastAsiaTheme="minorEastAsia" w:cstheme="minorEastAsia"/>
          <w:b/>
          <w:color w:val="auto"/>
          <w:sz w:val="24"/>
          <w:szCs w:val="24"/>
          <w:highlight w:val="none"/>
          <w:lang w:val="en-US" w:eastAsia="zh-CN"/>
        </w:rPr>
      </w:pPr>
      <w:bookmarkStart w:id="131" w:name="_Toc13313"/>
      <w:bookmarkStart w:id="132" w:name="_Toc14674"/>
      <w:r>
        <w:rPr>
          <w:rFonts w:hint="eastAsia" w:asciiTheme="minorEastAsia" w:hAnsiTheme="minorEastAsia" w:eastAsiaTheme="minorEastAsia" w:cstheme="minorEastAsia"/>
          <w:b/>
          <w:color w:val="auto"/>
          <w:sz w:val="24"/>
          <w:szCs w:val="24"/>
          <w:highlight w:val="none"/>
          <w:lang w:val="en-US" w:eastAsia="zh-CN"/>
        </w:rPr>
        <w:t>十、</w:t>
      </w:r>
      <w:bookmarkEnd w:id="131"/>
      <w:bookmarkEnd w:id="132"/>
      <w:r>
        <w:rPr>
          <w:rFonts w:hint="eastAsia" w:asciiTheme="minorEastAsia" w:hAnsiTheme="minorEastAsia" w:eastAsiaTheme="minorEastAsia" w:cstheme="minorEastAsia"/>
          <w:b/>
          <w:color w:val="auto"/>
          <w:sz w:val="24"/>
          <w:szCs w:val="24"/>
          <w:highlight w:val="none"/>
          <w:lang w:val="en-US" w:eastAsia="zh-CN"/>
        </w:rPr>
        <w:t>设备安装交付期限及保证措施</w:t>
      </w:r>
    </w:p>
    <w:p w14:paraId="3F034ED9">
      <w:pPr>
        <w:keepNext w:val="0"/>
        <w:keepLines w:val="0"/>
        <w:pageBreakBefore w:val="0"/>
        <w:widowControl w:val="0"/>
        <w:shd w:val="clear" w:color="auto" w:fill="auto"/>
        <w:kinsoku w:val="0"/>
        <w:wordWrap w:val="0"/>
        <w:bidi w:val="0"/>
        <w:spacing w:line="480" w:lineRule="exact"/>
        <w:jc w:val="center"/>
        <w:textAlignment w:val="auto"/>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w:t>
      </w:r>
      <w:r>
        <w:rPr>
          <w:rFonts w:hint="eastAsia" w:asciiTheme="minorEastAsia" w:hAnsiTheme="minorEastAsia" w:eastAsiaTheme="minorEastAsia" w:cstheme="minorEastAsia"/>
          <w:color w:val="auto"/>
          <w:sz w:val="24"/>
          <w:szCs w:val="24"/>
          <w:highlight w:val="none"/>
          <w:lang w:val="en-US" w:eastAsia="zh-CN"/>
        </w:rPr>
        <w:t>具体格式内容由供应商自行确定）</w:t>
      </w:r>
    </w:p>
    <w:p w14:paraId="6322D878">
      <w:pPr>
        <w:pStyle w:val="11"/>
        <w:keepNext w:val="0"/>
        <w:keepLines w:val="0"/>
        <w:pageBreakBefore w:val="0"/>
        <w:widowControl w:val="0"/>
        <w:numPr>
          <w:ilvl w:val="0"/>
          <w:numId w:val="0"/>
        </w:numPr>
        <w:shd w:val="clear" w:color="auto" w:fill="auto"/>
        <w:kinsoku w:val="0"/>
        <w:wordWrap w:val="0"/>
        <w:bidi w:val="0"/>
        <w:spacing w:line="480" w:lineRule="exact"/>
        <w:jc w:val="center"/>
        <w:textAlignment w:val="auto"/>
        <w:rPr>
          <w:rFonts w:hint="eastAsia" w:asciiTheme="minorEastAsia" w:hAnsiTheme="minorEastAsia" w:eastAsiaTheme="minorEastAsia" w:cstheme="minorEastAsia"/>
          <w:b/>
          <w:color w:val="auto"/>
          <w:sz w:val="24"/>
          <w:szCs w:val="24"/>
          <w:highlight w:val="none"/>
          <w:lang w:val="en-US" w:eastAsia="zh-CN"/>
        </w:rPr>
      </w:pPr>
    </w:p>
    <w:p w14:paraId="761CB0A2">
      <w:pPr>
        <w:pStyle w:val="11"/>
        <w:keepNext w:val="0"/>
        <w:keepLines w:val="0"/>
        <w:pageBreakBefore w:val="0"/>
        <w:widowControl w:val="0"/>
        <w:numPr>
          <w:ilvl w:val="0"/>
          <w:numId w:val="0"/>
        </w:numPr>
        <w:shd w:val="clear" w:color="auto" w:fill="auto"/>
        <w:kinsoku w:val="0"/>
        <w:wordWrap w:val="0"/>
        <w:bidi w:val="0"/>
        <w:spacing w:line="480" w:lineRule="exact"/>
        <w:jc w:val="center"/>
        <w:textAlignment w:val="auto"/>
        <w:outlineLvl w:val="1"/>
        <w:rPr>
          <w:rFonts w:hint="eastAsia" w:asciiTheme="minorEastAsia" w:hAnsiTheme="minorEastAsia" w:eastAsiaTheme="minorEastAsia" w:cstheme="minorEastAsia"/>
          <w:b/>
          <w:color w:val="auto"/>
          <w:sz w:val="24"/>
          <w:szCs w:val="24"/>
          <w:highlight w:val="none"/>
          <w:lang w:val="en-US" w:eastAsia="zh-CN"/>
        </w:rPr>
      </w:pPr>
      <w:bookmarkStart w:id="133" w:name="_Toc32386"/>
      <w:bookmarkStart w:id="134" w:name="_Toc23629"/>
      <w:r>
        <w:rPr>
          <w:rFonts w:hint="eastAsia" w:asciiTheme="minorEastAsia" w:hAnsiTheme="minorEastAsia" w:eastAsiaTheme="minorEastAsia" w:cstheme="minorEastAsia"/>
          <w:b/>
          <w:color w:val="auto"/>
          <w:sz w:val="24"/>
          <w:szCs w:val="24"/>
          <w:highlight w:val="none"/>
          <w:lang w:val="en-US" w:eastAsia="zh-CN"/>
        </w:rPr>
        <w:t>十一、</w:t>
      </w:r>
      <w:bookmarkEnd w:id="133"/>
      <w:r>
        <w:rPr>
          <w:rFonts w:hint="eastAsia" w:asciiTheme="minorEastAsia" w:hAnsiTheme="minorEastAsia" w:eastAsiaTheme="minorEastAsia" w:cstheme="minorEastAsia"/>
          <w:b/>
          <w:bCs/>
          <w:color w:val="auto"/>
          <w:sz w:val="24"/>
          <w:szCs w:val="24"/>
          <w:highlight w:val="none"/>
          <w:lang w:val="en-US" w:eastAsia="zh-CN"/>
        </w:rPr>
        <w:t>项目实施方案</w:t>
      </w:r>
    </w:p>
    <w:p w14:paraId="04AAD498">
      <w:pPr>
        <w:pStyle w:val="11"/>
        <w:keepNext w:val="0"/>
        <w:keepLines w:val="0"/>
        <w:pageBreakBefore w:val="0"/>
        <w:widowControl w:val="0"/>
        <w:numPr>
          <w:ilvl w:val="0"/>
          <w:numId w:val="0"/>
        </w:numPr>
        <w:shd w:val="clear" w:color="auto" w:fill="auto"/>
        <w:kinsoku w:val="0"/>
        <w:wordWrap w:val="0"/>
        <w:bidi w:val="0"/>
        <w:spacing w:line="480" w:lineRule="exact"/>
        <w:jc w:val="center"/>
        <w:textAlignment w:val="auto"/>
        <w:outlineLvl w:val="9"/>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（具体格式内容由供应商自行确定）</w:t>
      </w:r>
    </w:p>
    <w:p w14:paraId="5BD7393E">
      <w:pPr>
        <w:keepNext w:val="0"/>
        <w:keepLines w:val="0"/>
        <w:pageBreakBefore w:val="0"/>
        <w:widowControl w:val="0"/>
        <w:kinsoku w:val="0"/>
        <w:wordWrap w:val="0"/>
        <w:bidi w:val="0"/>
        <w:textAlignment w:val="auto"/>
        <w:rPr>
          <w:rFonts w:hint="eastAsia"/>
          <w:lang w:val="en-US" w:eastAsia="zh-CN"/>
        </w:rPr>
      </w:pPr>
    </w:p>
    <w:p w14:paraId="6901C7DC">
      <w:pPr>
        <w:pStyle w:val="11"/>
        <w:keepNext w:val="0"/>
        <w:keepLines w:val="0"/>
        <w:pageBreakBefore w:val="0"/>
        <w:widowControl w:val="0"/>
        <w:numPr>
          <w:ilvl w:val="0"/>
          <w:numId w:val="0"/>
        </w:numPr>
        <w:shd w:val="clear" w:color="auto" w:fill="auto"/>
        <w:kinsoku w:val="0"/>
        <w:wordWrap w:val="0"/>
        <w:bidi w:val="0"/>
        <w:spacing w:line="480" w:lineRule="exact"/>
        <w:jc w:val="center"/>
        <w:textAlignment w:val="auto"/>
        <w:outlineLvl w:val="1"/>
        <w:rPr>
          <w:rFonts w:hint="eastAsia" w:asciiTheme="minorEastAsia" w:hAnsiTheme="minorEastAsia" w:eastAsiaTheme="minorEastAsia" w:cstheme="minorEastAsia"/>
          <w:b/>
          <w:color w:val="auto"/>
          <w:sz w:val="24"/>
          <w:szCs w:val="24"/>
          <w:highlight w:val="none"/>
          <w:lang w:val="en-US" w:eastAsia="zh-CN"/>
        </w:rPr>
      </w:pPr>
      <w:bookmarkStart w:id="135" w:name="_Toc22820"/>
      <w:r>
        <w:rPr>
          <w:rFonts w:hint="eastAsia" w:asciiTheme="minorEastAsia" w:hAnsiTheme="minorEastAsia" w:eastAsiaTheme="minorEastAsia" w:cstheme="minorEastAsia"/>
          <w:b/>
          <w:color w:val="auto"/>
          <w:sz w:val="24"/>
          <w:szCs w:val="24"/>
          <w:highlight w:val="none"/>
          <w:lang w:val="en-US" w:eastAsia="zh-CN"/>
        </w:rPr>
        <w:t>十二、</w:t>
      </w:r>
      <w:bookmarkEnd w:id="134"/>
      <w:bookmarkEnd w:id="135"/>
      <w:r>
        <w:rPr>
          <w:rFonts w:hint="eastAsia" w:asciiTheme="minorEastAsia" w:hAnsiTheme="minorEastAsia" w:eastAsiaTheme="minorEastAsia" w:cstheme="minorEastAsia"/>
          <w:b/>
          <w:color w:val="auto"/>
          <w:sz w:val="24"/>
          <w:szCs w:val="24"/>
          <w:highlight w:val="none"/>
          <w:lang w:val="en-US" w:eastAsia="zh-CN"/>
        </w:rPr>
        <w:t>技术培训方案</w:t>
      </w:r>
    </w:p>
    <w:p w14:paraId="08B6816A">
      <w:pPr>
        <w:keepNext w:val="0"/>
        <w:keepLines w:val="0"/>
        <w:pageBreakBefore w:val="0"/>
        <w:widowControl w:val="0"/>
        <w:shd w:val="clear" w:color="auto" w:fill="auto"/>
        <w:kinsoku w:val="0"/>
        <w:wordWrap w:val="0"/>
        <w:bidi w:val="0"/>
        <w:spacing w:line="480" w:lineRule="exact"/>
        <w:jc w:val="center"/>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（具体格式内容由供应商自行确定）</w:t>
      </w:r>
    </w:p>
    <w:p w14:paraId="15269E96">
      <w:pPr>
        <w:keepNext w:val="0"/>
        <w:keepLines w:val="0"/>
        <w:pageBreakBefore w:val="0"/>
        <w:widowControl w:val="0"/>
        <w:kinsoku w:val="0"/>
        <w:wordWrap w:val="0"/>
        <w:bidi w:val="0"/>
        <w:textAlignment w:val="auto"/>
        <w:rPr>
          <w:rFonts w:hint="eastAsia"/>
          <w:color w:val="auto"/>
          <w:highlight w:val="none"/>
          <w:lang w:val="en-US" w:eastAsia="zh-CN"/>
        </w:rPr>
      </w:pPr>
    </w:p>
    <w:p w14:paraId="6B4F5CEE">
      <w:pPr>
        <w:pStyle w:val="11"/>
        <w:keepNext w:val="0"/>
        <w:keepLines w:val="0"/>
        <w:pageBreakBefore w:val="0"/>
        <w:widowControl w:val="0"/>
        <w:numPr>
          <w:ilvl w:val="0"/>
          <w:numId w:val="0"/>
        </w:numPr>
        <w:shd w:val="clear" w:color="auto" w:fill="auto"/>
        <w:kinsoku w:val="0"/>
        <w:wordWrap w:val="0"/>
        <w:bidi w:val="0"/>
        <w:spacing w:line="480" w:lineRule="exact"/>
        <w:jc w:val="center"/>
        <w:textAlignment w:val="auto"/>
        <w:outlineLvl w:val="1"/>
        <w:rPr>
          <w:rFonts w:hint="eastAsia" w:asciiTheme="minorEastAsia" w:hAnsiTheme="minorEastAsia" w:eastAsiaTheme="minorEastAsia" w:cstheme="minorEastAsia"/>
          <w:b/>
          <w:color w:val="auto"/>
          <w:sz w:val="24"/>
          <w:szCs w:val="24"/>
          <w:highlight w:val="none"/>
          <w:lang w:val="en-US" w:eastAsia="zh-CN"/>
        </w:rPr>
      </w:pPr>
      <w:bookmarkStart w:id="136" w:name="_Toc24297"/>
      <w:bookmarkStart w:id="137" w:name="_Toc12348"/>
      <w:r>
        <w:rPr>
          <w:rFonts w:hint="eastAsia" w:asciiTheme="minorEastAsia" w:hAnsiTheme="minorEastAsia" w:eastAsiaTheme="minorEastAsia" w:cstheme="minorEastAsia"/>
          <w:b/>
          <w:color w:val="auto"/>
          <w:sz w:val="24"/>
          <w:szCs w:val="24"/>
          <w:highlight w:val="none"/>
          <w:lang w:val="en-US" w:eastAsia="zh-CN"/>
        </w:rPr>
        <w:t>十三、</w:t>
      </w:r>
      <w:bookmarkEnd w:id="136"/>
      <w:bookmarkEnd w:id="137"/>
      <w:r>
        <w:rPr>
          <w:rFonts w:hint="eastAsia" w:asciiTheme="minorEastAsia" w:hAnsiTheme="minorEastAsia" w:eastAsiaTheme="minorEastAsia" w:cstheme="minorEastAsia"/>
          <w:b/>
          <w:color w:val="auto"/>
          <w:sz w:val="24"/>
          <w:szCs w:val="24"/>
          <w:highlight w:val="none"/>
          <w:lang w:val="en-US" w:eastAsia="zh-CN"/>
        </w:rPr>
        <w:t>售后服务方案</w:t>
      </w:r>
    </w:p>
    <w:p w14:paraId="64F60CCF">
      <w:pPr>
        <w:keepNext w:val="0"/>
        <w:keepLines w:val="0"/>
        <w:pageBreakBefore w:val="0"/>
        <w:widowControl w:val="0"/>
        <w:kinsoku w:val="0"/>
        <w:wordWrap w:val="0"/>
        <w:bidi w:val="0"/>
        <w:jc w:val="center"/>
        <w:textAlignment w:val="auto"/>
        <w:rPr>
          <w:rFonts w:hint="eastAsia"/>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（具体格式内容由供应商自行确定）</w:t>
      </w:r>
    </w:p>
    <w:p w14:paraId="57701BB8">
      <w:pPr>
        <w:pStyle w:val="11"/>
        <w:keepNext w:val="0"/>
        <w:keepLines w:val="0"/>
        <w:pageBreakBefore w:val="0"/>
        <w:widowControl w:val="0"/>
        <w:numPr>
          <w:ilvl w:val="0"/>
          <w:numId w:val="0"/>
        </w:numPr>
        <w:shd w:val="clear" w:color="auto" w:fill="auto"/>
        <w:kinsoku w:val="0"/>
        <w:wordWrap w:val="0"/>
        <w:bidi w:val="0"/>
        <w:spacing w:line="480" w:lineRule="exact"/>
        <w:jc w:val="center"/>
        <w:textAlignment w:val="auto"/>
        <w:outlineLvl w:val="9"/>
        <w:rPr>
          <w:rFonts w:hint="eastAsia" w:asciiTheme="minorEastAsia" w:hAnsiTheme="minorEastAsia" w:eastAsiaTheme="minorEastAsia" w:cstheme="minorEastAsia"/>
          <w:b/>
          <w:color w:val="auto"/>
          <w:sz w:val="24"/>
          <w:szCs w:val="24"/>
          <w:highlight w:val="none"/>
          <w:lang w:val="en-US" w:eastAsia="zh-CN"/>
        </w:rPr>
      </w:pPr>
      <w:bookmarkStart w:id="138" w:name="_Toc23627"/>
      <w:bookmarkStart w:id="139" w:name="_Toc1555"/>
    </w:p>
    <w:p w14:paraId="32AFD490">
      <w:pPr>
        <w:pStyle w:val="11"/>
        <w:keepNext w:val="0"/>
        <w:keepLines w:val="0"/>
        <w:pageBreakBefore w:val="0"/>
        <w:widowControl w:val="0"/>
        <w:numPr>
          <w:ilvl w:val="0"/>
          <w:numId w:val="0"/>
        </w:numPr>
        <w:shd w:val="clear" w:color="auto" w:fill="auto"/>
        <w:kinsoku w:val="0"/>
        <w:wordWrap w:val="0"/>
        <w:bidi w:val="0"/>
        <w:spacing w:line="480" w:lineRule="exact"/>
        <w:jc w:val="center"/>
        <w:textAlignment w:val="auto"/>
        <w:outlineLvl w:val="1"/>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lang w:val="en-US" w:eastAsia="zh-CN"/>
        </w:rPr>
        <w:t>十四、</w:t>
      </w:r>
      <w:bookmarkEnd w:id="138"/>
      <w:bookmarkStart w:id="140" w:name="_Toc781"/>
      <w:r>
        <w:rPr>
          <w:rFonts w:hint="eastAsia" w:asciiTheme="minorEastAsia" w:hAnsiTheme="minorEastAsia" w:eastAsiaTheme="minorEastAsia" w:cstheme="minorEastAsia"/>
          <w:b/>
          <w:color w:val="auto"/>
          <w:sz w:val="24"/>
          <w:szCs w:val="24"/>
          <w:highlight w:val="none"/>
          <w:lang w:val="en-US" w:eastAsia="zh-CN"/>
        </w:rPr>
        <w:t>采购文件要求或供应商认为应提交的其他资料</w:t>
      </w:r>
      <w:bookmarkEnd w:id="139"/>
      <w:bookmarkEnd w:id="140"/>
    </w:p>
    <w:p w14:paraId="77C08FE7">
      <w:pPr>
        <w:keepNext w:val="0"/>
        <w:keepLines w:val="0"/>
        <w:pageBreakBefore w:val="0"/>
        <w:widowControl w:val="0"/>
        <w:shd w:val="clear" w:color="auto" w:fill="auto"/>
        <w:kinsoku w:val="0"/>
        <w:wordWrap w:val="0"/>
        <w:overflowPunct/>
        <w:topLinePunct w:val="0"/>
        <w:autoSpaceDE/>
        <w:autoSpaceDN/>
        <w:bidi w:val="0"/>
        <w:adjustRightInd/>
        <w:snapToGrid/>
        <w:spacing w:line="480" w:lineRule="exact"/>
        <w:ind w:firstLine="480" w:firstLineChars="200"/>
        <w:jc w:val="center"/>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（具体格式内容由供应商自行确定）</w:t>
      </w:r>
    </w:p>
    <w:sectPr>
      <w:pgSz w:w="11906" w:h="16838"/>
      <w:pgMar w:top="1361" w:right="1474" w:bottom="1361" w:left="1587" w:header="850" w:footer="992" w:gutter="0"/>
      <w:pgNumType w:fmt="decimal"/>
      <w:cols w:space="0" w:num="1"/>
      <w:rtlGutter w:val="0"/>
      <w:docGrid w:type="lines" w:linePitch="314"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libri Light">
    <w:panose1 w:val="020F0302020204030204"/>
    <w:charset w:val="00"/>
    <w:family w:val="auto"/>
    <w:pitch w:val="default"/>
    <w:sig w:usb0="E4002EFF" w:usb1="C200247B" w:usb2="00000009" w:usb3="00000000" w:csb0="200001FF" w:csb1="00000000"/>
  </w:font>
  <w:font w:name="华文楷体">
    <w:panose1 w:val="02010600040101010101"/>
    <w:charset w:val="86"/>
    <w:family w:val="auto"/>
    <w:pitch w:val="default"/>
    <w:sig w:usb0="00000287" w:usb1="080F0000" w:usb2="00000000" w:usb3="00000000" w:csb0="0004009F" w:csb1="DFD7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Cambria">
    <w:panose1 w:val="02040503050406030204"/>
    <w:charset w:val="00"/>
    <w:family w:val="roman"/>
    <w:pitch w:val="default"/>
    <w:sig w:usb0="E00006FF" w:usb1="420024FF" w:usb2="02000000" w:usb3="00000000" w:csb0="2000019F" w:csb1="00000000"/>
  </w:font>
  <w:font w:name="Arial Unicode MS">
    <w:altName w:val="Arial"/>
    <w:panose1 w:val="020B0604020202020204"/>
    <w:charset w:val="80"/>
    <w:family w:val="swiss"/>
    <w:pitch w:val="default"/>
    <w:sig w:usb0="00000000" w:usb1="00000000" w:usb2="0000003F" w:usb3="00000000" w:csb0="603F01FF" w:csb1="FFFF0000"/>
  </w:font>
  <w:font w:name="方正黑体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3000509000000000000"/>
    <w:charset w:val="86"/>
    <w:family w:val="auto"/>
    <w:pitch w:val="default"/>
    <w:sig w:usb0="00000000" w:usb1="0000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Tahoma">
    <w:panose1 w:val="020B0604030504040204"/>
    <w:charset w:val="00"/>
    <w:family w:val="auto"/>
    <w:pitch w:val="default"/>
    <w:sig w:usb0="E1002EFF" w:usb1="C000605B" w:usb2="00000029" w:usb3="00000000" w:csb0="200101FF" w:csb1="2028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2B181B">
    <w:pPr>
      <w:pStyle w:val="12"/>
      <w:ind w:right="360"/>
      <w:jc w:val="both"/>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4E06EF">
    <w:pPr>
      <w:pStyle w:val="12"/>
      <w:framePr w:wrap="around" w:vAnchor="text" w:hAnchor="margin" w:xAlign="center" w:y="1"/>
      <w:rPr>
        <w:rStyle w:val="25"/>
      </w:rPr>
    </w:pPr>
    <w:r>
      <w:fldChar w:fldCharType="begin"/>
    </w:r>
    <w:r>
      <w:rPr>
        <w:rStyle w:val="25"/>
      </w:rPr>
      <w:instrText xml:space="preserve">PAGE  </w:instrText>
    </w:r>
    <w:r>
      <w:fldChar w:fldCharType="separate"/>
    </w:r>
    <w:r>
      <w:rPr>
        <w:rStyle w:val="25"/>
      </w:rPr>
      <w:t>39</w:t>
    </w:r>
    <w:r>
      <w:fldChar w:fldCharType="end"/>
    </w:r>
  </w:p>
  <w:p w14:paraId="5E38A82F">
    <w:pPr>
      <w:pStyle w:val="12"/>
      <w:ind w:right="360"/>
      <w:rPr>
        <w:sz w:val="21"/>
      </w:rPr>
    </w:pPr>
    <w:r>
      <mc:AlternateContent>
        <mc:Choice Requires="wps">
          <w:drawing>
            <wp:anchor distT="0" distB="0" distL="0" distR="0" simplePos="0" relativeHeight="251659264" behindDoc="0" locked="0" layoutInCell="1" allowOverlap="1">
              <wp:simplePos x="0" y="0"/>
              <wp:positionH relativeFrom="margin">
                <wp:posOffset>0</wp:posOffset>
              </wp:positionH>
              <wp:positionV relativeFrom="paragraph">
                <wp:posOffset>0</wp:posOffset>
              </wp:positionV>
              <wp:extent cx="66675" cy="172720"/>
              <wp:effectExtent l="0" t="0" r="0" b="0"/>
              <wp:wrapSquare wrapText="bothSides"/>
              <wp:docPr id="3" name="文本框 3"/>
              <wp:cNvGraphicFramePr/>
              <a:graphic xmlns:a="http://schemas.openxmlformats.org/drawingml/2006/main">
                <a:graphicData uri="http://schemas.microsoft.com/office/word/2010/wordprocessingShape">
                  <wps:wsp>
                    <wps:cNvSpPr txBox="1"/>
                    <wps:spPr>
                      <a:xfrm>
                        <a:off x="0" y="0"/>
                        <a:ext cx="66675" cy="172720"/>
                      </a:xfrm>
                      <a:prstGeom prst="rect">
                        <a:avLst/>
                      </a:prstGeom>
                      <a:noFill/>
                      <a:ln w="9525">
                        <a:noFill/>
                      </a:ln>
                      <a:effectLst/>
                    </wps:spPr>
                    <wps:txbx>
                      <w:txbxContent>
                        <w:p w14:paraId="65007731">
                          <w:pPr>
                            <w:pStyle w:val="12"/>
                            <w:rPr>
                              <w:rStyle w:val="25"/>
                              <w:sz w:val="21"/>
                            </w:rPr>
                          </w:pPr>
                          <w:r>
                            <w:rPr>
                              <w:sz w:val="21"/>
                            </w:rPr>
                            <w:fldChar w:fldCharType="begin"/>
                          </w:r>
                          <w:r>
                            <w:rPr>
                              <w:rStyle w:val="25"/>
                              <w:sz w:val="21"/>
                            </w:rPr>
                            <w:instrText xml:space="preserve">Page</w:instrText>
                          </w:r>
                          <w:r>
                            <w:rPr>
                              <w:sz w:val="21"/>
                            </w:rPr>
                            <w:fldChar w:fldCharType="separate"/>
                          </w:r>
                          <w:r>
                            <w:rPr>
                              <w:rStyle w:val="25"/>
                              <w:sz w:val="21"/>
                            </w:rPr>
                            <w:t>40</w:t>
                          </w:r>
                          <w:r>
                            <w:rPr>
                              <w:sz w:val="21"/>
                            </w:rPr>
                            <w:fldChar w:fldCharType="end"/>
                          </w:r>
                        </w:p>
                      </w:txbxContent>
                    </wps:txbx>
                    <wps:bodyPr lIns="0" tIns="0" rIns="0" bIns="0" upright="1"/>
                  </wps:wsp>
                </a:graphicData>
              </a:graphic>
            </wp:anchor>
          </w:drawing>
        </mc:Choice>
        <mc:Fallback>
          <w:pict>
            <v:shape id="_x0000_s1026" o:spid="_x0000_s1026" o:spt="202" type="#_x0000_t202" style="position:absolute;left:0pt;margin-left:0pt;margin-top:0pt;height:13.6pt;width:5.25pt;mso-position-horizontal-relative:margin;mso-wrap-distance-bottom:0pt;mso-wrap-distance-left:0pt;mso-wrap-distance-right:0pt;mso-wrap-distance-top:0pt;z-index:251659264;mso-width-relative:page;mso-height-relative:page;" filled="f" stroked="f" coordsize="21600,21600" o:gfxdata="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G0n7CvTAAAAAwEAAA8AAAAAAAAAAQAgAAAAIgAAAGRycy9kb3ducmV2&#10;LnhtbFBLAQIUABQAAAAIAIdO4kA+noRJyAEAAIcDAAAOAAAAAAAAAAEAIAAAACIBAABkcnMvZTJv&#10;RG9jLnhtbFBLBQYAAAAABgAGAFkBAABcBQAAAAA=&#10;">
              <v:fill on="f" focussize="0,0"/>
              <v:stroke on="f"/>
              <v:imagedata o:title=""/>
              <o:lock v:ext="edit" aspectratio="f"/>
              <v:textbox inset="0mm,0mm,0mm,0mm">
                <w:txbxContent>
                  <w:p w14:paraId="65007731">
                    <w:pPr>
                      <w:pStyle w:val="12"/>
                      <w:rPr>
                        <w:rStyle w:val="25"/>
                        <w:sz w:val="21"/>
                      </w:rPr>
                    </w:pPr>
                    <w:r>
                      <w:rPr>
                        <w:sz w:val="21"/>
                      </w:rPr>
                      <w:fldChar w:fldCharType="begin"/>
                    </w:r>
                    <w:r>
                      <w:rPr>
                        <w:rStyle w:val="25"/>
                        <w:sz w:val="21"/>
                      </w:rPr>
                      <w:instrText xml:space="preserve">Page</w:instrText>
                    </w:r>
                    <w:r>
                      <w:rPr>
                        <w:sz w:val="21"/>
                      </w:rPr>
                      <w:fldChar w:fldCharType="separate"/>
                    </w:r>
                    <w:r>
                      <w:rPr>
                        <w:rStyle w:val="25"/>
                        <w:sz w:val="21"/>
                      </w:rPr>
                      <w:t>40</w:t>
                    </w:r>
                    <w:r>
                      <w:rPr>
                        <w:sz w:val="21"/>
                      </w:rPr>
                      <w:fldChar w:fldCharType="end"/>
                    </w:r>
                  </w:p>
                </w:txbxContent>
              </v:textbox>
              <w10:wrap type="squar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75D348">
    <w:pPr>
      <w:pStyle w:val="12"/>
      <w:rPr>
        <w:rFonts w:hint="eastAsia"/>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42501E">
    <w:pPr>
      <w:pStyle w:val="12"/>
      <w:rPr>
        <w:rStyle w:val="25"/>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541B187">
                          <w:pPr>
                            <w:pStyle w:val="12"/>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4541B187">
                    <w:pPr>
                      <w:pStyle w:val="12"/>
                    </w:pPr>
                    <w:r>
                      <w:fldChar w:fldCharType="begin"/>
                    </w:r>
                    <w:r>
                      <w:instrText xml:space="preserve"> PAGE  \* MERGEFORMAT </w:instrText>
                    </w:r>
                    <w:r>
                      <w:fldChar w:fldCharType="separate"/>
                    </w:r>
                    <w:r>
                      <w:t>3</w:t>
                    </w:r>
                    <w:r>
                      <w:fldChar w:fldCharType="end"/>
                    </w:r>
                  </w:p>
                </w:txbxContent>
              </v:textbox>
            </v:shape>
          </w:pict>
        </mc:Fallback>
      </mc:AlternateContent>
    </w:r>
  </w:p>
  <w:p w14:paraId="16C6E2D5">
    <w:pPr>
      <w:pStyle w:val="33"/>
      <w:ind w:right="360"/>
      <w:rPr>
        <w:rStyle w:val="34"/>
        <w:rFonts w:hint="eastAsia"/>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89C64F">
    <w:pPr>
      <w:pStyle w:val="12"/>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7D3811D">
                          <w:pPr>
                            <w:pStyle w:val="12"/>
                          </w:pPr>
                          <w:r>
                            <w:fldChar w:fldCharType="begin"/>
                          </w:r>
                          <w:r>
                            <w:instrText xml:space="preserve"> PAGE  \* MERGEFORMAT </w:instrText>
                          </w:r>
                          <w:r>
                            <w:fldChar w:fldCharType="separate"/>
                          </w:r>
                          <w:r>
                            <w:t>34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57D3811D">
                    <w:pPr>
                      <w:pStyle w:val="12"/>
                    </w:pPr>
                    <w:r>
                      <w:fldChar w:fldCharType="begin"/>
                    </w:r>
                    <w:r>
                      <w:instrText xml:space="preserve"> PAGE  \* MERGEFORMAT </w:instrText>
                    </w:r>
                    <w:r>
                      <w:fldChar w:fldCharType="separate"/>
                    </w:r>
                    <w:r>
                      <w:t>34</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AACF4A">
    <w:pPr>
      <w:pStyle w:val="12"/>
      <w:rPr>
        <w:rFonts w:hint="eastAsia"/>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BBDAC3">
                          <w:pPr>
                            <w:pStyle w:val="12"/>
                          </w:pPr>
                          <w:r>
                            <w:fldChar w:fldCharType="begin"/>
                          </w:r>
                          <w:r>
                            <w:instrText xml:space="preserve"> PAGE  \* MERGEFORMAT </w:instrText>
                          </w:r>
                          <w:r>
                            <w:fldChar w:fldCharType="separate"/>
                          </w:r>
                          <w:r>
                            <w:t>36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4BBBDAC3">
                    <w:pPr>
                      <w:pStyle w:val="12"/>
                    </w:pPr>
                    <w:r>
                      <w:fldChar w:fldCharType="begin"/>
                    </w:r>
                    <w:r>
                      <w:instrText xml:space="preserve"> PAGE  \* MERGEFORMAT </w:instrText>
                    </w:r>
                    <w:r>
                      <w:fldChar w:fldCharType="separate"/>
                    </w:r>
                    <w:r>
                      <w:t>36</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181D98">
    <w:pPr>
      <w:pStyle w:val="12"/>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FF9E568">
                          <w:pPr>
                            <w:pStyle w:val="12"/>
                          </w:pPr>
                          <w:r>
                            <w:fldChar w:fldCharType="begin"/>
                          </w:r>
                          <w:r>
                            <w:instrText xml:space="preserve"> PAGE  \* MERGEFORMAT </w:instrText>
                          </w:r>
                          <w:r>
                            <w:fldChar w:fldCharType="separate"/>
                          </w:r>
                          <w:r>
                            <w:t>66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1FF9E568">
                    <w:pPr>
                      <w:pStyle w:val="12"/>
                    </w:pPr>
                    <w:r>
                      <w:fldChar w:fldCharType="begin"/>
                    </w:r>
                    <w:r>
                      <w:instrText xml:space="preserve"> PAGE  \* MERGEFORMAT </w:instrText>
                    </w:r>
                    <w:r>
                      <w:fldChar w:fldCharType="separate"/>
                    </w:r>
                    <w:r>
                      <w:t>66</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8B900D">
    <w:pPr>
      <w:pStyle w:val="13"/>
      <w:pBdr>
        <w:bottom w:val="none" w:color="auto" w:sz="0" w:space="0"/>
      </w:pBd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337023">
    <w:pPr>
      <w:pStyle w:val="1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48AEDC">
    <w:pPr>
      <w:pStyle w:val="13"/>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ED948D">
    <w:pPr>
      <w:pStyle w:val="13"/>
      <w:jc w:val="both"/>
      <w:rPr>
        <w:rFonts w:hint="eastAsia"/>
      </w:rPr>
    </w:pPr>
    <w:r>
      <w:rPr>
        <w:rFonts w:hint="eastAsia" w:ascii="宋体"/>
        <w:lang w:val="en-GB" w:eastAsia="zh-CN"/>
      </w:rPr>
      <w:t>文笔小学功能室、食堂及信息化设备采购</w:t>
    </w:r>
    <w:r>
      <w:rPr>
        <w:rFonts w:hint="eastAsia" w:ascii="宋体"/>
        <w:lang w:val="en-GB"/>
      </w:rPr>
      <w:t xml:space="preserve">                                </w:t>
    </w:r>
    <w:r>
      <w:rPr>
        <w:rFonts w:hint="eastAsia" w:ascii="宋体"/>
      </w:rPr>
      <w:t xml:space="preserve">                                           招标编号： </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54A921">
    <w:pPr>
      <w:pStyle w:val="13"/>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5FC507">
    <w:pPr>
      <w:pStyle w:val="13"/>
      <w:pBdr>
        <w:bottom w:val="none" w:color="auto" w:sz="0" w:space="0"/>
      </w:pBdr>
      <w:jc w:val="both"/>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B4D5A8">
    <w:pPr>
      <w:pStyle w:val="1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HorizontalSpacing w:val="210"/>
  <w:drawingGridVerticalSpacing w:val="157"/>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mU4ZmM4ZmZjYTE1ZGIyMTQ2ZTZjMjhmZGQ2MWVhYmYifQ=="/>
  </w:docVars>
  <w:rsids>
    <w:rsidRoot w:val="00000000"/>
    <w:rsid w:val="00043144"/>
    <w:rsid w:val="0009714D"/>
    <w:rsid w:val="000D0518"/>
    <w:rsid w:val="00101FA6"/>
    <w:rsid w:val="001A64C4"/>
    <w:rsid w:val="001E40CA"/>
    <w:rsid w:val="00207D7F"/>
    <w:rsid w:val="002235CA"/>
    <w:rsid w:val="00247343"/>
    <w:rsid w:val="002B1744"/>
    <w:rsid w:val="00345998"/>
    <w:rsid w:val="00351550"/>
    <w:rsid w:val="00384B9C"/>
    <w:rsid w:val="003A4DB8"/>
    <w:rsid w:val="003C6099"/>
    <w:rsid w:val="003D21B2"/>
    <w:rsid w:val="003D73DB"/>
    <w:rsid w:val="003F42F4"/>
    <w:rsid w:val="00494346"/>
    <w:rsid w:val="004C7274"/>
    <w:rsid w:val="00502AA2"/>
    <w:rsid w:val="005216AE"/>
    <w:rsid w:val="0053718B"/>
    <w:rsid w:val="005D60AC"/>
    <w:rsid w:val="005E0AA6"/>
    <w:rsid w:val="005F65CD"/>
    <w:rsid w:val="006836D3"/>
    <w:rsid w:val="006B7639"/>
    <w:rsid w:val="006D4931"/>
    <w:rsid w:val="00854261"/>
    <w:rsid w:val="00867708"/>
    <w:rsid w:val="00871D40"/>
    <w:rsid w:val="008C6C96"/>
    <w:rsid w:val="009444C8"/>
    <w:rsid w:val="009A37BE"/>
    <w:rsid w:val="009B646F"/>
    <w:rsid w:val="009C15CF"/>
    <w:rsid w:val="009D66E9"/>
    <w:rsid w:val="00A53833"/>
    <w:rsid w:val="00A66EA3"/>
    <w:rsid w:val="00A9146D"/>
    <w:rsid w:val="00AD558A"/>
    <w:rsid w:val="00AE4E5E"/>
    <w:rsid w:val="00B27406"/>
    <w:rsid w:val="00C46C1F"/>
    <w:rsid w:val="00C621A8"/>
    <w:rsid w:val="00CB1E22"/>
    <w:rsid w:val="00D2781B"/>
    <w:rsid w:val="00D97299"/>
    <w:rsid w:val="00E21BAF"/>
    <w:rsid w:val="00E80370"/>
    <w:rsid w:val="00EB1C0E"/>
    <w:rsid w:val="00EB7E60"/>
    <w:rsid w:val="00F46D15"/>
    <w:rsid w:val="00F841D9"/>
    <w:rsid w:val="01001B5E"/>
    <w:rsid w:val="010325AD"/>
    <w:rsid w:val="01070785"/>
    <w:rsid w:val="011B62C9"/>
    <w:rsid w:val="011E5D1D"/>
    <w:rsid w:val="0123417D"/>
    <w:rsid w:val="01242E93"/>
    <w:rsid w:val="012E3662"/>
    <w:rsid w:val="012E506E"/>
    <w:rsid w:val="0132783D"/>
    <w:rsid w:val="01397188"/>
    <w:rsid w:val="013D4B60"/>
    <w:rsid w:val="01415CD2"/>
    <w:rsid w:val="01521C8D"/>
    <w:rsid w:val="0159126E"/>
    <w:rsid w:val="015977B8"/>
    <w:rsid w:val="015B4987"/>
    <w:rsid w:val="0160564A"/>
    <w:rsid w:val="01687703"/>
    <w:rsid w:val="016E5167"/>
    <w:rsid w:val="016F0A91"/>
    <w:rsid w:val="016F5A4D"/>
    <w:rsid w:val="016F6AE2"/>
    <w:rsid w:val="01761E20"/>
    <w:rsid w:val="017B2ECF"/>
    <w:rsid w:val="017E2CDF"/>
    <w:rsid w:val="017E6F26"/>
    <w:rsid w:val="017F0574"/>
    <w:rsid w:val="01822579"/>
    <w:rsid w:val="01877B89"/>
    <w:rsid w:val="018A642C"/>
    <w:rsid w:val="018A7679"/>
    <w:rsid w:val="018E0F64"/>
    <w:rsid w:val="01981D96"/>
    <w:rsid w:val="019C7431"/>
    <w:rsid w:val="01A06E9D"/>
    <w:rsid w:val="01A7278B"/>
    <w:rsid w:val="01AC75F0"/>
    <w:rsid w:val="01B0383C"/>
    <w:rsid w:val="01C41A91"/>
    <w:rsid w:val="01C928D7"/>
    <w:rsid w:val="01D60109"/>
    <w:rsid w:val="01DD59FB"/>
    <w:rsid w:val="01E274B5"/>
    <w:rsid w:val="01E55C7F"/>
    <w:rsid w:val="01F81425"/>
    <w:rsid w:val="01FA0599"/>
    <w:rsid w:val="02045F07"/>
    <w:rsid w:val="020E57A9"/>
    <w:rsid w:val="02205461"/>
    <w:rsid w:val="02225B04"/>
    <w:rsid w:val="02261BE3"/>
    <w:rsid w:val="02345366"/>
    <w:rsid w:val="023B2552"/>
    <w:rsid w:val="02430DFA"/>
    <w:rsid w:val="02493090"/>
    <w:rsid w:val="024E26D4"/>
    <w:rsid w:val="024E4B4B"/>
    <w:rsid w:val="0250441F"/>
    <w:rsid w:val="02587C53"/>
    <w:rsid w:val="025D214D"/>
    <w:rsid w:val="025E1380"/>
    <w:rsid w:val="025F4662"/>
    <w:rsid w:val="02631013"/>
    <w:rsid w:val="026709FD"/>
    <w:rsid w:val="02694D8D"/>
    <w:rsid w:val="026954E1"/>
    <w:rsid w:val="026E18F2"/>
    <w:rsid w:val="0270061D"/>
    <w:rsid w:val="027C4EF2"/>
    <w:rsid w:val="02877081"/>
    <w:rsid w:val="028B36A9"/>
    <w:rsid w:val="028C0922"/>
    <w:rsid w:val="028E4F47"/>
    <w:rsid w:val="029167E5"/>
    <w:rsid w:val="0297204E"/>
    <w:rsid w:val="02972CE9"/>
    <w:rsid w:val="029C7664"/>
    <w:rsid w:val="02A00385"/>
    <w:rsid w:val="02A63DD7"/>
    <w:rsid w:val="02A8331F"/>
    <w:rsid w:val="02B50726"/>
    <w:rsid w:val="02B9675D"/>
    <w:rsid w:val="02BA2A3B"/>
    <w:rsid w:val="02BC2FB5"/>
    <w:rsid w:val="02BC588C"/>
    <w:rsid w:val="02BD75DA"/>
    <w:rsid w:val="02BE671B"/>
    <w:rsid w:val="02BF15A4"/>
    <w:rsid w:val="02C646E1"/>
    <w:rsid w:val="02C66262"/>
    <w:rsid w:val="02D405AB"/>
    <w:rsid w:val="02DC2156"/>
    <w:rsid w:val="02E122B3"/>
    <w:rsid w:val="02EB777A"/>
    <w:rsid w:val="02F235B8"/>
    <w:rsid w:val="02F661CE"/>
    <w:rsid w:val="02FB392D"/>
    <w:rsid w:val="03084CFA"/>
    <w:rsid w:val="030F35FF"/>
    <w:rsid w:val="03123DCA"/>
    <w:rsid w:val="031439CE"/>
    <w:rsid w:val="0324119F"/>
    <w:rsid w:val="03250E34"/>
    <w:rsid w:val="032633D2"/>
    <w:rsid w:val="0326672B"/>
    <w:rsid w:val="032D4760"/>
    <w:rsid w:val="03311CD5"/>
    <w:rsid w:val="033C49A3"/>
    <w:rsid w:val="03450B1A"/>
    <w:rsid w:val="03483348"/>
    <w:rsid w:val="03490E9A"/>
    <w:rsid w:val="034C108A"/>
    <w:rsid w:val="034C72DC"/>
    <w:rsid w:val="034E23E0"/>
    <w:rsid w:val="034F46D6"/>
    <w:rsid w:val="035000EB"/>
    <w:rsid w:val="03563CB7"/>
    <w:rsid w:val="035F6E36"/>
    <w:rsid w:val="0360542C"/>
    <w:rsid w:val="03630182"/>
    <w:rsid w:val="03653EFA"/>
    <w:rsid w:val="0365691B"/>
    <w:rsid w:val="03664A9C"/>
    <w:rsid w:val="036C107F"/>
    <w:rsid w:val="036C34DA"/>
    <w:rsid w:val="036F3782"/>
    <w:rsid w:val="038344F3"/>
    <w:rsid w:val="038832EC"/>
    <w:rsid w:val="038C58AA"/>
    <w:rsid w:val="03962305"/>
    <w:rsid w:val="03A46726"/>
    <w:rsid w:val="03B10EED"/>
    <w:rsid w:val="03B12C38"/>
    <w:rsid w:val="03BE7AAE"/>
    <w:rsid w:val="03C230FA"/>
    <w:rsid w:val="03C26546"/>
    <w:rsid w:val="03C875B9"/>
    <w:rsid w:val="03D1158F"/>
    <w:rsid w:val="03D279FB"/>
    <w:rsid w:val="03D32F30"/>
    <w:rsid w:val="03D62BAA"/>
    <w:rsid w:val="03E70DB3"/>
    <w:rsid w:val="03F118F3"/>
    <w:rsid w:val="03F434D0"/>
    <w:rsid w:val="03F61D12"/>
    <w:rsid w:val="03F65B3D"/>
    <w:rsid w:val="03F67248"/>
    <w:rsid w:val="03FF40BA"/>
    <w:rsid w:val="03FF434E"/>
    <w:rsid w:val="040E2908"/>
    <w:rsid w:val="04123E86"/>
    <w:rsid w:val="04215B8C"/>
    <w:rsid w:val="0427257C"/>
    <w:rsid w:val="042E2CBB"/>
    <w:rsid w:val="0438330A"/>
    <w:rsid w:val="043A3225"/>
    <w:rsid w:val="043B546A"/>
    <w:rsid w:val="04483DB9"/>
    <w:rsid w:val="044B766A"/>
    <w:rsid w:val="045170D8"/>
    <w:rsid w:val="04556D28"/>
    <w:rsid w:val="045B0D13"/>
    <w:rsid w:val="045B1761"/>
    <w:rsid w:val="045E28E6"/>
    <w:rsid w:val="046409CB"/>
    <w:rsid w:val="046B7FE6"/>
    <w:rsid w:val="046D526E"/>
    <w:rsid w:val="047343F5"/>
    <w:rsid w:val="04747232"/>
    <w:rsid w:val="04792DA9"/>
    <w:rsid w:val="047D7C58"/>
    <w:rsid w:val="047F2D99"/>
    <w:rsid w:val="048C1C6F"/>
    <w:rsid w:val="04936FD0"/>
    <w:rsid w:val="049E3BEA"/>
    <w:rsid w:val="04A7716F"/>
    <w:rsid w:val="04BA09AD"/>
    <w:rsid w:val="04BB7EC7"/>
    <w:rsid w:val="04BC08B4"/>
    <w:rsid w:val="04C17856"/>
    <w:rsid w:val="04C6507D"/>
    <w:rsid w:val="04D566C2"/>
    <w:rsid w:val="04D76CB9"/>
    <w:rsid w:val="04D90435"/>
    <w:rsid w:val="04DF01B0"/>
    <w:rsid w:val="04E06B6F"/>
    <w:rsid w:val="04E22F90"/>
    <w:rsid w:val="04EB042F"/>
    <w:rsid w:val="04EB48D3"/>
    <w:rsid w:val="04F52115"/>
    <w:rsid w:val="04F74489"/>
    <w:rsid w:val="04FA68C4"/>
    <w:rsid w:val="05012311"/>
    <w:rsid w:val="05094D59"/>
    <w:rsid w:val="050A505C"/>
    <w:rsid w:val="051060E7"/>
    <w:rsid w:val="05297B69"/>
    <w:rsid w:val="053578FC"/>
    <w:rsid w:val="053973EC"/>
    <w:rsid w:val="05400FE8"/>
    <w:rsid w:val="05432019"/>
    <w:rsid w:val="05455862"/>
    <w:rsid w:val="05471C86"/>
    <w:rsid w:val="054C45FF"/>
    <w:rsid w:val="05504736"/>
    <w:rsid w:val="055802F1"/>
    <w:rsid w:val="05663F59"/>
    <w:rsid w:val="056E08C6"/>
    <w:rsid w:val="05701DE5"/>
    <w:rsid w:val="057551AC"/>
    <w:rsid w:val="057E7A3A"/>
    <w:rsid w:val="058820D2"/>
    <w:rsid w:val="058C4857"/>
    <w:rsid w:val="058C7E64"/>
    <w:rsid w:val="05924D4E"/>
    <w:rsid w:val="05962A91"/>
    <w:rsid w:val="0596483F"/>
    <w:rsid w:val="05964C1A"/>
    <w:rsid w:val="05AB5E10"/>
    <w:rsid w:val="05AF26C8"/>
    <w:rsid w:val="05B316B3"/>
    <w:rsid w:val="05B45FE9"/>
    <w:rsid w:val="05BB3045"/>
    <w:rsid w:val="05BB42A5"/>
    <w:rsid w:val="05BB6053"/>
    <w:rsid w:val="05C0366A"/>
    <w:rsid w:val="05C313AC"/>
    <w:rsid w:val="05CD1002"/>
    <w:rsid w:val="05CD3FD8"/>
    <w:rsid w:val="05D610DF"/>
    <w:rsid w:val="05D67816"/>
    <w:rsid w:val="05D81EC4"/>
    <w:rsid w:val="05D961F6"/>
    <w:rsid w:val="05DB1844"/>
    <w:rsid w:val="05DB66F5"/>
    <w:rsid w:val="05E30DF7"/>
    <w:rsid w:val="05E337FC"/>
    <w:rsid w:val="05E36C9D"/>
    <w:rsid w:val="05E76509"/>
    <w:rsid w:val="05E946BE"/>
    <w:rsid w:val="05FC437C"/>
    <w:rsid w:val="06007F0A"/>
    <w:rsid w:val="060B1FE2"/>
    <w:rsid w:val="061F41D8"/>
    <w:rsid w:val="0621228B"/>
    <w:rsid w:val="06262A04"/>
    <w:rsid w:val="062A31D9"/>
    <w:rsid w:val="062B2A96"/>
    <w:rsid w:val="062D1DDB"/>
    <w:rsid w:val="06317000"/>
    <w:rsid w:val="06361CA0"/>
    <w:rsid w:val="06395592"/>
    <w:rsid w:val="0642797C"/>
    <w:rsid w:val="064416B6"/>
    <w:rsid w:val="065760FB"/>
    <w:rsid w:val="065C361E"/>
    <w:rsid w:val="06640499"/>
    <w:rsid w:val="06675FA4"/>
    <w:rsid w:val="066C1A43"/>
    <w:rsid w:val="067B1F1D"/>
    <w:rsid w:val="067E36D3"/>
    <w:rsid w:val="068B011B"/>
    <w:rsid w:val="06927A7D"/>
    <w:rsid w:val="06986941"/>
    <w:rsid w:val="06A20FC1"/>
    <w:rsid w:val="06B119B0"/>
    <w:rsid w:val="06B807E5"/>
    <w:rsid w:val="06B85547"/>
    <w:rsid w:val="06BF7DC5"/>
    <w:rsid w:val="06C07699"/>
    <w:rsid w:val="06C62F02"/>
    <w:rsid w:val="06C71910"/>
    <w:rsid w:val="06CA6D2B"/>
    <w:rsid w:val="06D82C35"/>
    <w:rsid w:val="06D85CEA"/>
    <w:rsid w:val="06DF3FC3"/>
    <w:rsid w:val="06E23AB3"/>
    <w:rsid w:val="06E31D05"/>
    <w:rsid w:val="06EB0BBA"/>
    <w:rsid w:val="06EC2556"/>
    <w:rsid w:val="06F4329F"/>
    <w:rsid w:val="070140D7"/>
    <w:rsid w:val="070752C8"/>
    <w:rsid w:val="0708351A"/>
    <w:rsid w:val="070A36F1"/>
    <w:rsid w:val="070A47DB"/>
    <w:rsid w:val="070B45AA"/>
    <w:rsid w:val="070F4658"/>
    <w:rsid w:val="070F4F23"/>
    <w:rsid w:val="07191ED1"/>
    <w:rsid w:val="071D4AEC"/>
    <w:rsid w:val="07222102"/>
    <w:rsid w:val="072223E8"/>
    <w:rsid w:val="072916E2"/>
    <w:rsid w:val="072B7208"/>
    <w:rsid w:val="072E0AA7"/>
    <w:rsid w:val="073B55A3"/>
    <w:rsid w:val="073F2CB4"/>
    <w:rsid w:val="074107DA"/>
    <w:rsid w:val="07464042"/>
    <w:rsid w:val="07487DBA"/>
    <w:rsid w:val="074958E1"/>
    <w:rsid w:val="074F69AE"/>
    <w:rsid w:val="07503F44"/>
    <w:rsid w:val="07562564"/>
    <w:rsid w:val="07591FC8"/>
    <w:rsid w:val="07603356"/>
    <w:rsid w:val="07670E6D"/>
    <w:rsid w:val="07685D0C"/>
    <w:rsid w:val="07783EDF"/>
    <w:rsid w:val="077A3CEC"/>
    <w:rsid w:val="077E54A8"/>
    <w:rsid w:val="078823E2"/>
    <w:rsid w:val="07901266"/>
    <w:rsid w:val="07973FC4"/>
    <w:rsid w:val="0797664C"/>
    <w:rsid w:val="07985882"/>
    <w:rsid w:val="079D1F14"/>
    <w:rsid w:val="07A528A7"/>
    <w:rsid w:val="07A859AB"/>
    <w:rsid w:val="07AA20DF"/>
    <w:rsid w:val="07AB0349"/>
    <w:rsid w:val="07AB18D9"/>
    <w:rsid w:val="07AD6D60"/>
    <w:rsid w:val="07B92A66"/>
    <w:rsid w:val="07B92C3C"/>
    <w:rsid w:val="07BB3768"/>
    <w:rsid w:val="07BD69FF"/>
    <w:rsid w:val="07C11C3C"/>
    <w:rsid w:val="07C531B9"/>
    <w:rsid w:val="07CF534D"/>
    <w:rsid w:val="07D02006"/>
    <w:rsid w:val="07D22F80"/>
    <w:rsid w:val="07E37AE3"/>
    <w:rsid w:val="07E73C79"/>
    <w:rsid w:val="07EA47F3"/>
    <w:rsid w:val="07ED23B2"/>
    <w:rsid w:val="07F47710"/>
    <w:rsid w:val="07F61294"/>
    <w:rsid w:val="08006D71"/>
    <w:rsid w:val="0808579C"/>
    <w:rsid w:val="0808754A"/>
    <w:rsid w:val="080F0D90"/>
    <w:rsid w:val="08114650"/>
    <w:rsid w:val="08147C9D"/>
    <w:rsid w:val="08183E10"/>
    <w:rsid w:val="081C5097"/>
    <w:rsid w:val="08266B3E"/>
    <w:rsid w:val="08297BEC"/>
    <w:rsid w:val="082C148A"/>
    <w:rsid w:val="0842185D"/>
    <w:rsid w:val="084F09BE"/>
    <w:rsid w:val="08626C5A"/>
    <w:rsid w:val="087072EB"/>
    <w:rsid w:val="088704C3"/>
    <w:rsid w:val="0895702F"/>
    <w:rsid w:val="089B66EE"/>
    <w:rsid w:val="08A317B5"/>
    <w:rsid w:val="08AF3BBC"/>
    <w:rsid w:val="08B60832"/>
    <w:rsid w:val="08BF358B"/>
    <w:rsid w:val="08D132F7"/>
    <w:rsid w:val="08D56A1B"/>
    <w:rsid w:val="08DC4C5E"/>
    <w:rsid w:val="08E1680C"/>
    <w:rsid w:val="08E7666C"/>
    <w:rsid w:val="08F61060"/>
    <w:rsid w:val="09023F99"/>
    <w:rsid w:val="09074C75"/>
    <w:rsid w:val="09093579"/>
    <w:rsid w:val="09163859"/>
    <w:rsid w:val="091C32AD"/>
    <w:rsid w:val="091F2D9D"/>
    <w:rsid w:val="0925575C"/>
    <w:rsid w:val="09297778"/>
    <w:rsid w:val="093E3B30"/>
    <w:rsid w:val="0949375A"/>
    <w:rsid w:val="094D790A"/>
    <w:rsid w:val="09526A84"/>
    <w:rsid w:val="09664528"/>
    <w:rsid w:val="096B0217"/>
    <w:rsid w:val="096C4EC0"/>
    <w:rsid w:val="09771CFC"/>
    <w:rsid w:val="097924AD"/>
    <w:rsid w:val="097E749C"/>
    <w:rsid w:val="0987349A"/>
    <w:rsid w:val="098826F0"/>
    <w:rsid w:val="098A13E9"/>
    <w:rsid w:val="098D3783"/>
    <w:rsid w:val="098D7D07"/>
    <w:rsid w:val="099512B1"/>
    <w:rsid w:val="09971131"/>
    <w:rsid w:val="09972BED"/>
    <w:rsid w:val="099E1F14"/>
    <w:rsid w:val="09A62A40"/>
    <w:rsid w:val="09AB2883"/>
    <w:rsid w:val="09BC05EC"/>
    <w:rsid w:val="09BE6112"/>
    <w:rsid w:val="09C6146A"/>
    <w:rsid w:val="09D0027E"/>
    <w:rsid w:val="09D43B87"/>
    <w:rsid w:val="09D94940"/>
    <w:rsid w:val="09DC0C8E"/>
    <w:rsid w:val="09DE7F38"/>
    <w:rsid w:val="09E22693"/>
    <w:rsid w:val="09E638BB"/>
    <w:rsid w:val="09E85885"/>
    <w:rsid w:val="09EA33AB"/>
    <w:rsid w:val="09EA59EB"/>
    <w:rsid w:val="09ED69F7"/>
    <w:rsid w:val="09F27FE0"/>
    <w:rsid w:val="09FE29B2"/>
    <w:rsid w:val="0A014251"/>
    <w:rsid w:val="0A0564C8"/>
    <w:rsid w:val="0A104E7E"/>
    <w:rsid w:val="0A153E7D"/>
    <w:rsid w:val="0A217932"/>
    <w:rsid w:val="0A23052D"/>
    <w:rsid w:val="0A24284B"/>
    <w:rsid w:val="0A27015B"/>
    <w:rsid w:val="0A2C755F"/>
    <w:rsid w:val="0A2F7010"/>
    <w:rsid w:val="0A300975"/>
    <w:rsid w:val="0A3D21C6"/>
    <w:rsid w:val="0A3E7253"/>
    <w:rsid w:val="0A415285"/>
    <w:rsid w:val="0A597668"/>
    <w:rsid w:val="0A5C7AF9"/>
    <w:rsid w:val="0A617AEE"/>
    <w:rsid w:val="0A6749FB"/>
    <w:rsid w:val="0A6842D0"/>
    <w:rsid w:val="0A6845A4"/>
    <w:rsid w:val="0A71382C"/>
    <w:rsid w:val="0A7333A0"/>
    <w:rsid w:val="0A74450F"/>
    <w:rsid w:val="0A74648F"/>
    <w:rsid w:val="0A777866"/>
    <w:rsid w:val="0A7B2255"/>
    <w:rsid w:val="0A7D35EF"/>
    <w:rsid w:val="0A7E1D45"/>
    <w:rsid w:val="0A821187"/>
    <w:rsid w:val="0A8455AD"/>
    <w:rsid w:val="0A8B6D96"/>
    <w:rsid w:val="0A917CCA"/>
    <w:rsid w:val="0A934F20"/>
    <w:rsid w:val="0A947BC6"/>
    <w:rsid w:val="0A96708F"/>
    <w:rsid w:val="0A9B28F7"/>
    <w:rsid w:val="0A9D21CB"/>
    <w:rsid w:val="0AA172D2"/>
    <w:rsid w:val="0AA25A34"/>
    <w:rsid w:val="0AA479FE"/>
    <w:rsid w:val="0AA7304A"/>
    <w:rsid w:val="0AB12031"/>
    <w:rsid w:val="0AB13EC9"/>
    <w:rsid w:val="0AB35B63"/>
    <w:rsid w:val="0AB614DF"/>
    <w:rsid w:val="0AB6722B"/>
    <w:rsid w:val="0ABD461B"/>
    <w:rsid w:val="0AC37D72"/>
    <w:rsid w:val="0AC43BFC"/>
    <w:rsid w:val="0AC736EC"/>
    <w:rsid w:val="0AC90BC7"/>
    <w:rsid w:val="0AC95124"/>
    <w:rsid w:val="0ACB4F8A"/>
    <w:rsid w:val="0ACD3A48"/>
    <w:rsid w:val="0AD674DD"/>
    <w:rsid w:val="0ADF27E4"/>
    <w:rsid w:val="0ADF422C"/>
    <w:rsid w:val="0AE55920"/>
    <w:rsid w:val="0AEC4D3F"/>
    <w:rsid w:val="0AEC4F01"/>
    <w:rsid w:val="0AF51214"/>
    <w:rsid w:val="0AFD2C6A"/>
    <w:rsid w:val="0AFF4706"/>
    <w:rsid w:val="0B001553"/>
    <w:rsid w:val="0B0C10FF"/>
    <w:rsid w:val="0B0F145C"/>
    <w:rsid w:val="0B102511"/>
    <w:rsid w:val="0B1256F9"/>
    <w:rsid w:val="0B183F48"/>
    <w:rsid w:val="0B226B74"/>
    <w:rsid w:val="0B25175A"/>
    <w:rsid w:val="0B2529AE"/>
    <w:rsid w:val="0B287211"/>
    <w:rsid w:val="0B3222C4"/>
    <w:rsid w:val="0B3443F6"/>
    <w:rsid w:val="0B3D750A"/>
    <w:rsid w:val="0B424B21"/>
    <w:rsid w:val="0B4A55A2"/>
    <w:rsid w:val="0B4B1C27"/>
    <w:rsid w:val="0B561748"/>
    <w:rsid w:val="0B584344"/>
    <w:rsid w:val="0B5A379F"/>
    <w:rsid w:val="0B5A630E"/>
    <w:rsid w:val="0B5B704A"/>
    <w:rsid w:val="0B5C1203"/>
    <w:rsid w:val="0B6625F7"/>
    <w:rsid w:val="0B667B80"/>
    <w:rsid w:val="0B6D7317"/>
    <w:rsid w:val="0B765A72"/>
    <w:rsid w:val="0B771B39"/>
    <w:rsid w:val="0B786794"/>
    <w:rsid w:val="0B7F7B23"/>
    <w:rsid w:val="0B805722"/>
    <w:rsid w:val="0B867103"/>
    <w:rsid w:val="0B884C29"/>
    <w:rsid w:val="0B886B49"/>
    <w:rsid w:val="0B896BF3"/>
    <w:rsid w:val="0B8A10F7"/>
    <w:rsid w:val="0B8B471A"/>
    <w:rsid w:val="0B8E420A"/>
    <w:rsid w:val="0B921F8C"/>
    <w:rsid w:val="0B972ACE"/>
    <w:rsid w:val="0B9F01C5"/>
    <w:rsid w:val="0B9F54A0"/>
    <w:rsid w:val="0BA23811"/>
    <w:rsid w:val="0BAB4DBC"/>
    <w:rsid w:val="0BAF67AC"/>
    <w:rsid w:val="0BB27EF8"/>
    <w:rsid w:val="0BB347C7"/>
    <w:rsid w:val="0BB61EAD"/>
    <w:rsid w:val="0BBC5C62"/>
    <w:rsid w:val="0BC65752"/>
    <w:rsid w:val="0BD0714E"/>
    <w:rsid w:val="0BD1074A"/>
    <w:rsid w:val="0BD8418C"/>
    <w:rsid w:val="0BE66B6F"/>
    <w:rsid w:val="0BE81B6C"/>
    <w:rsid w:val="0BEC5F1F"/>
    <w:rsid w:val="0BEF4CA9"/>
    <w:rsid w:val="0BF56037"/>
    <w:rsid w:val="0BF91ACF"/>
    <w:rsid w:val="0BFD5D61"/>
    <w:rsid w:val="0C1069CD"/>
    <w:rsid w:val="0C110C8D"/>
    <w:rsid w:val="0C140B52"/>
    <w:rsid w:val="0C187159"/>
    <w:rsid w:val="0C197BB6"/>
    <w:rsid w:val="0C1A522D"/>
    <w:rsid w:val="0C1B4F42"/>
    <w:rsid w:val="0C222A29"/>
    <w:rsid w:val="0C245BFC"/>
    <w:rsid w:val="0C347C0D"/>
    <w:rsid w:val="0C387C9E"/>
    <w:rsid w:val="0C4072B2"/>
    <w:rsid w:val="0C48406D"/>
    <w:rsid w:val="0C4F1BEB"/>
    <w:rsid w:val="0C517711"/>
    <w:rsid w:val="0C541788"/>
    <w:rsid w:val="0C594C5D"/>
    <w:rsid w:val="0C5C1C12"/>
    <w:rsid w:val="0C60667A"/>
    <w:rsid w:val="0C6369FF"/>
    <w:rsid w:val="0C803AD1"/>
    <w:rsid w:val="0C830CA3"/>
    <w:rsid w:val="0C851169"/>
    <w:rsid w:val="0C9007FB"/>
    <w:rsid w:val="0C994C14"/>
    <w:rsid w:val="0CA6785C"/>
    <w:rsid w:val="0CA81BE3"/>
    <w:rsid w:val="0CB17A6B"/>
    <w:rsid w:val="0CBD18CD"/>
    <w:rsid w:val="0CD02D66"/>
    <w:rsid w:val="0CD43E9E"/>
    <w:rsid w:val="0CD67C16"/>
    <w:rsid w:val="0CD87887"/>
    <w:rsid w:val="0CDB347F"/>
    <w:rsid w:val="0CDB522D"/>
    <w:rsid w:val="0CE720A9"/>
    <w:rsid w:val="0CEB63A8"/>
    <w:rsid w:val="0CEC568C"/>
    <w:rsid w:val="0CEF3D60"/>
    <w:rsid w:val="0CF03BD5"/>
    <w:rsid w:val="0CF307C8"/>
    <w:rsid w:val="0CF46AD6"/>
    <w:rsid w:val="0CF5680A"/>
    <w:rsid w:val="0CF62067"/>
    <w:rsid w:val="0CF743EB"/>
    <w:rsid w:val="0CF87B8D"/>
    <w:rsid w:val="0CFA6EF3"/>
    <w:rsid w:val="0CFB142B"/>
    <w:rsid w:val="0D004C93"/>
    <w:rsid w:val="0D043A9F"/>
    <w:rsid w:val="0D091FF5"/>
    <w:rsid w:val="0D1349C7"/>
    <w:rsid w:val="0D1A3FA7"/>
    <w:rsid w:val="0D1D43CB"/>
    <w:rsid w:val="0D20150E"/>
    <w:rsid w:val="0D293B3A"/>
    <w:rsid w:val="0D2A7E55"/>
    <w:rsid w:val="0D2C3CDA"/>
    <w:rsid w:val="0D38267F"/>
    <w:rsid w:val="0D3A6CDB"/>
    <w:rsid w:val="0D3B4742"/>
    <w:rsid w:val="0D3C2A09"/>
    <w:rsid w:val="0D4170C1"/>
    <w:rsid w:val="0D442DD2"/>
    <w:rsid w:val="0D464F9D"/>
    <w:rsid w:val="0D4970FC"/>
    <w:rsid w:val="0D585B80"/>
    <w:rsid w:val="0D6267B2"/>
    <w:rsid w:val="0D650A0F"/>
    <w:rsid w:val="0D8238FA"/>
    <w:rsid w:val="0D887163"/>
    <w:rsid w:val="0D8D15B7"/>
    <w:rsid w:val="0D953C0B"/>
    <w:rsid w:val="0D96694A"/>
    <w:rsid w:val="0DA536DA"/>
    <w:rsid w:val="0DBA174B"/>
    <w:rsid w:val="0DBC5B20"/>
    <w:rsid w:val="0DBE0DD6"/>
    <w:rsid w:val="0DC1557D"/>
    <w:rsid w:val="0DC20725"/>
    <w:rsid w:val="0DC65EDD"/>
    <w:rsid w:val="0DCA2888"/>
    <w:rsid w:val="0DCD668D"/>
    <w:rsid w:val="0DCE6B40"/>
    <w:rsid w:val="0DD56120"/>
    <w:rsid w:val="0DD57ECE"/>
    <w:rsid w:val="0DDB4F21"/>
    <w:rsid w:val="0DDE1BA7"/>
    <w:rsid w:val="0DDE3227"/>
    <w:rsid w:val="0DE011D7"/>
    <w:rsid w:val="0DE369B9"/>
    <w:rsid w:val="0DE4638B"/>
    <w:rsid w:val="0DE46E7A"/>
    <w:rsid w:val="0DE80AB1"/>
    <w:rsid w:val="0DEB033A"/>
    <w:rsid w:val="0DF02F5A"/>
    <w:rsid w:val="0DF21E3B"/>
    <w:rsid w:val="0DF843DB"/>
    <w:rsid w:val="0E0802A4"/>
    <w:rsid w:val="0E15651D"/>
    <w:rsid w:val="0E1924B1"/>
    <w:rsid w:val="0E19425F"/>
    <w:rsid w:val="0E286250"/>
    <w:rsid w:val="0E294B7B"/>
    <w:rsid w:val="0E2E37DD"/>
    <w:rsid w:val="0E387414"/>
    <w:rsid w:val="0E3B2427"/>
    <w:rsid w:val="0E437229"/>
    <w:rsid w:val="0E4C283F"/>
    <w:rsid w:val="0E50509D"/>
    <w:rsid w:val="0E5C414B"/>
    <w:rsid w:val="0E5D23AC"/>
    <w:rsid w:val="0E602098"/>
    <w:rsid w:val="0E6422B8"/>
    <w:rsid w:val="0E64514C"/>
    <w:rsid w:val="0E666D78"/>
    <w:rsid w:val="0E675A50"/>
    <w:rsid w:val="0E716BEF"/>
    <w:rsid w:val="0E7D32A4"/>
    <w:rsid w:val="0E8268DF"/>
    <w:rsid w:val="0E8957CE"/>
    <w:rsid w:val="0E911A7C"/>
    <w:rsid w:val="0E955A95"/>
    <w:rsid w:val="0EA70D13"/>
    <w:rsid w:val="0EA9536C"/>
    <w:rsid w:val="0EA9705D"/>
    <w:rsid w:val="0EAE0E4B"/>
    <w:rsid w:val="0EAE596C"/>
    <w:rsid w:val="0EB565DE"/>
    <w:rsid w:val="0EBC0062"/>
    <w:rsid w:val="0EBE4E06"/>
    <w:rsid w:val="0EC31DC8"/>
    <w:rsid w:val="0ED266EC"/>
    <w:rsid w:val="0EDA7072"/>
    <w:rsid w:val="0EDD4088"/>
    <w:rsid w:val="0EEA6891"/>
    <w:rsid w:val="0EED16E8"/>
    <w:rsid w:val="0EED27D6"/>
    <w:rsid w:val="0EF454A3"/>
    <w:rsid w:val="0EF5121A"/>
    <w:rsid w:val="0EF62849"/>
    <w:rsid w:val="0EF75CA5"/>
    <w:rsid w:val="0EF83E74"/>
    <w:rsid w:val="0EFF16A6"/>
    <w:rsid w:val="0F013807"/>
    <w:rsid w:val="0F024CF3"/>
    <w:rsid w:val="0F052A35"/>
    <w:rsid w:val="0F070785"/>
    <w:rsid w:val="0F0D4F28"/>
    <w:rsid w:val="0F0E3698"/>
    <w:rsid w:val="0F0E4E69"/>
    <w:rsid w:val="0F0E7B3C"/>
    <w:rsid w:val="0F0F3B95"/>
    <w:rsid w:val="0F256C33"/>
    <w:rsid w:val="0F297BE7"/>
    <w:rsid w:val="0F2E2C5F"/>
    <w:rsid w:val="0F3330FE"/>
    <w:rsid w:val="0F346E76"/>
    <w:rsid w:val="0F3A27FF"/>
    <w:rsid w:val="0F44355D"/>
    <w:rsid w:val="0F467718"/>
    <w:rsid w:val="0F495631"/>
    <w:rsid w:val="0F580DB7"/>
    <w:rsid w:val="0F5C08A7"/>
    <w:rsid w:val="0F5F5CA1"/>
    <w:rsid w:val="0F607C6B"/>
    <w:rsid w:val="0F635443"/>
    <w:rsid w:val="0F643300"/>
    <w:rsid w:val="0F657030"/>
    <w:rsid w:val="0F7021B0"/>
    <w:rsid w:val="0F732EF4"/>
    <w:rsid w:val="0F7E015F"/>
    <w:rsid w:val="0F807D73"/>
    <w:rsid w:val="0F895414"/>
    <w:rsid w:val="0F8B4CE8"/>
    <w:rsid w:val="0F8C1048"/>
    <w:rsid w:val="0F8D22CE"/>
    <w:rsid w:val="0F8E6586"/>
    <w:rsid w:val="0F9242C9"/>
    <w:rsid w:val="0F98542E"/>
    <w:rsid w:val="0FA47D57"/>
    <w:rsid w:val="0FA933C0"/>
    <w:rsid w:val="0FB26719"/>
    <w:rsid w:val="0FB56209"/>
    <w:rsid w:val="0FB85B95"/>
    <w:rsid w:val="0FB87AA7"/>
    <w:rsid w:val="0FBD0627"/>
    <w:rsid w:val="0FBD6E6C"/>
    <w:rsid w:val="0FC14BAE"/>
    <w:rsid w:val="0FCA3CAF"/>
    <w:rsid w:val="0FEF171B"/>
    <w:rsid w:val="0FF360CA"/>
    <w:rsid w:val="0FF52C8D"/>
    <w:rsid w:val="0FF7412C"/>
    <w:rsid w:val="0FFF1232"/>
    <w:rsid w:val="10014FAA"/>
    <w:rsid w:val="10061C28"/>
    <w:rsid w:val="100D7DF3"/>
    <w:rsid w:val="100E26F2"/>
    <w:rsid w:val="10100C41"/>
    <w:rsid w:val="10131F62"/>
    <w:rsid w:val="101733B6"/>
    <w:rsid w:val="101E5B5C"/>
    <w:rsid w:val="102921D2"/>
    <w:rsid w:val="102D1DDA"/>
    <w:rsid w:val="10305890"/>
    <w:rsid w:val="10321608"/>
    <w:rsid w:val="103A6EA6"/>
    <w:rsid w:val="103C3F59"/>
    <w:rsid w:val="1044448D"/>
    <w:rsid w:val="1049590D"/>
    <w:rsid w:val="104B03D7"/>
    <w:rsid w:val="1057219D"/>
    <w:rsid w:val="1058689E"/>
    <w:rsid w:val="106339EB"/>
    <w:rsid w:val="10692EA5"/>
    <w:rsid w:val="106D2640"/>
    <w:rsid w:val="10710382"/>
    <w:rsid w:val="10741C20"/>
    <w:rsid w:val="10801761"/>
    <w:rsid w:val="10802FF2"/>
    <w:rsid w:val="108A0770"/>
    <w:rsid w:val="10945DC8"/>
    <w:rsid w:val="10967DE9"/>
    <w:rsid w:val="10A32505"/>
    <w:rsid w:val="10AB4F16"/>
    <w:rsid w:val="10B84EDA"/>
    <w:rsid w:val="10BE2E9B"/>
    <w:rsid w:val="10C86279"/>
    <w:rsid w:val="10CD513B"/>
    <w:rsid w:val="10D03686"/>
    <w:rsid w:val="10D0681E"/>
    <w:rsid w:val="10D91A83"/>
    <w:rsid w:val="10E16B8A"/>
    <w:rsid w:val="10E741A0"/>
    <w:rsid w:val="10F60887"/>
    <w:rsid w:val="10F845FF"/>
    <w:rsid w:val="10FA2FC0"/>
    <w:rsid w:val="11001706"/>
    <w:rsid w:val="11123588"/>
    <w:rsid w:val="11125D8C"/>
    <w:rsid w:val="11147D5E"/>
    <w:rsid w:val="111768B2"/>
    <w:rsid w:val="1118788E"/>
    <w:rsid w:val="111D2270"/>
    <w:rsid w:val="111F3C92"/>
    <w:rsid w:val="112A3006"/>
    <w:rsid w:val="11335637"/>
    <w:rsid w:val="11365128"/>
    <w:rsid w:val="11494E5B"/>
    <w:rsid w:val="114E06C3"/>
    <w:rsid w:val="11500029"/>
    <w:rsid w:val="1154554F"/>
    <w:rsid w:val="115B693C"/>
    <w:rsid w:val="116021A5"/>
    <w:rsid w:val="1160370D"/>
    <w:rsid w:val="11610532"/>
    <w:rsid w:val="11624F4F"/>
    <w:rsid w:val="116A1760"/>
    <w:rsid w:val="11757319"/>
    <w:rsid w:val="117B4142"/>
    <w:rsid w:val="117B6E98"/>
    <w:rsid w:val="117C6279"/>
    <w:rsid w:val="11814469"/>
    <w:rsid w:val="11834761"/>
    <w:rsid w:val="11862BA8"/>
    <w:rsid w:val="118D3E53"/>
    <w:rsid w:val="1197540C"/>
    <w:rsid w:val="11A802A6"/>
    <w:rsid w:val="11A86494"/>
    <w:rsid w:val="11A932A0"/>
    <w:rsid w:val="11AC53EA"/>
    <w:rsid w:val="11BD4E2C"/>
    <w:rsid w:val="11BF336F"/>
    <w:rsid w:val="11C24C0D"/>
    <w:rsid w:val="11C42733"/>
    <w:rsid w:val="11CE35B2"/>
    <w:rsid w:val="11D42D5F"/>
    <w:rsid w:val="11D434DF"/>
    <w:rsid w:val="11D61772"/>
    <w:rsid w:val="11DF1879"/>
    <w:rsid w:val="11E22BBA"/>
    <w:rsid w:val="11E626AA"/>
    <w:rsid w:val="11E72304"/>
    <w:rsid w:val="11ED2CA9"/>
    <w:rsid w:val="11EF16CB"/>
    <w:rsid w:val="11F03528"/>
    <w:rsid w:val="11F254F3"/>
    <w:rsid w:val="11F5472A"/>
    <w:rsid w:val="11F61592"/>
    <w:rsid w:val="11F70371"/>
    <w:rsid w:val="11F72B09"/>
    <w:rsid w:val="12080872"/>
    <w:rsid w:val="12096398"/>
    <w:rsid w:val="120C1635"/>
    <w:rsid w:val="12153111"/>
    <w:rsid w:val="12173068"/>
    <w:rsid w:val="12232B93"/>
    <w:rsid w:val="122370C7"/>
    <w:rsid w:val="122B1980"/>
    <w:rsid w:val="122F22A3"/>
    <w:rsid w:val="1230027E"/>
    <w:rsid w:val="12353ADA"/>
    <w:rsid w:val="123553DF"/>
    <w:rsid w:val="123E12D1"/>
    <w:rsid w:val="124B069E"/>
    <w:rsid w:val="124B075F"/>
    <w:rsid w:val="124D39CA"/>
    <w:rsid w:val="1255486C"/>
    <w:rsid w:val="125C155C"/>
    <w:rsid w:val="12601DC6"/>
    <w:rsid w:val="12617F82"/>
    <w:rsid w:val="12631F4C"/>
    <w:rsid w:val="12635AA8"/>
    <w:rsid w:val="12696E37"/>
    <w:rsid w:val="126B0C62"/>
    <w:rsid w:val="12706417"/>
    <w:rsid w:val="12751FBA"/>
    <w:rsid w:val="12752030"/>
    <w:rsid w:val="127C30F0"/>
    <w:rsid w:val="128633D3"/>
    <w:rsid w:val="12865C3B"/>
    <w:rsid w:val="128A572B"/>
    <w:rsid w:val="128B60CC"/>
    <w:rsid w:val="128C7765"/>
    <w:rsid w:val="128E2357"/>
    <w:rsid w:val="12950A7E"/>
    <w:rsid w:val="129B7938"/>
    <w:rsid w:val="129C00E6"/>
    <w:rsid w:val="129E11D6"/>
    <w:rsid w:val="12A83E03"/>
    <w:rsid w:val="12A85BB1"/>
    <w:rsid w:val="12AD1419"/>
    <w:rsid w:val="12B47372"/>
    <w:rsid w:val="12B630E8"/>
    <w:rsid w:val="12B72298"/>
    <w:rsid w:val="12BE53D5"/>
    <w:rsid w:val="12C43900"/>
    <w:rsid w:val="12C549B5"/>
    <w:rsid w:val="12C72A04"/>
    <w:rsid w:val="12D009A7"/>
    <w:rsid w:val="12E27EED"/>
    <w:rsid w:val="12E400DB"/>
    <w:rsid w:val="12E806A4"/>
    <w:rsid w:val="12E81133"/>
    <w:rsid w:val="12E82452"/>
    <w:rsid w:val="12EA441C"/>
    <w:rsid w:val="12EF7D0F"/>
    <w:rsid w:val="12F17558"/>
    <w:rsid w:val="12F44960"/>
    <w:rsid w:val="12F64B6E"/>
    <w:rsid w:val="12F9273B"/>
    <w:rsid w:val="12F9465F"/>
    <w:rsid w:val="12FA4A1A"/>
    <w:rsid w:val="12FA5784"/>
    <w:rsid w:val="12FF557F"/>
    <w:rsid w:val="13010D7D"/>
    <w:rsid w:val="13051255"/>
    <w:rsid w:val="13087DEF"/>
    <w:rsid w:val="13124E77"/>
    <w:rsid w:val="13152ADC"/>
    <w:rsid w:val="13182014"/>
    <w:rsid w:val="13356BC5"/>
    <w:rsid w:val="13370CE3"/>
    <w:rsid w:val="133B434D"/>
    <w:rsid w:val="13403660"/>
    <w:rsid w:val="134753CA"/>
    <w:rsid w:val="134D6F18"/>
    <w:rsid w:val="13531FC1"/>
    <w:rsid w:val="1356385F"/>
    <w:rsid w:val="135F0966"/>
    <w:rsid w:val="13611AA6"/>
    <w:rsid w:val="13682D04"/>
    <w:rsid w:val="136E1102"/>
    <w:rsid w:val="136E24E0"/>
    <w:rsid w:val="136F2966"/>
    <w:rsid w:val="13712447"/>
    <w:rsid w:val="13723D88"/>
    <w:rsid w:val="13727C87"/>
    <w:rsid w:val="13743CE5"/>
    <w:rsid w:val="13857CA0"/>
    <w:rsid w:val="138B7DB4"/>
    <w:rsid w:val="13904FC3"/>
    <w:rsid w:val="13A520F1"/>
    <w:rsid w:val="13A8239B"/>
    <w:rsid w:val="13AF2F6F"/>
    <w:rsid w:val="13AF5FFD"/>
    <w:rsid w:val="13B02153"/>
    <w:rsid w:val="13B15CBD"/>
    <w:rsid w:val="13B73E39"/>
    <w:rsid w:val="13C832D3"/>
    <w:rsid w:val="13DD6D1E"/>
    <w:rsid w:val="13EB044B"/>
    <w:rsid w:val="13ED16DB"/>
    <w:rsid w:val="13F56BD4"/>
    <w:rsid w:val="13FC61B5"/>
    <w:rsid w:val="140A76A8"/>
    <w:rsid w:val="1415077C"/>
    <w:rsid w:val="141C06B6"/>
    <w:rsid w:val="141F1EA3"/>
    <w:rsid w:val="14202FA1"/>
    <w:rsid w:val="14294AD0"/>
    <w:rsid w:val="142C45C0"/>
    <w:rsid w:val="142E0338"/>
    <w:rsid w:val="143756AB"/>
    <w:rsid w:val="143A6CDD"/>
    <w:rsid w:val="143C0CA7"/>
    <w:rsid w:val="143F0095"/>
    <w:rsid w:val="1444190A"/>
    <w:rsid w:val="144E6358"/>
    <w:rsid w:val="14525350"/>
    <w:rsid w:val="145478AB"/>
    <w:rsid w:val="14553B17"/>
    <w:rsid w:val="146A0866"/>
    <w:rsid w:val="14750D5A"/>
    <w:rsid w:val="1478068F"/>
    <w:rsid w:val="147E1869"/>
    <w:rsid w:val="1481490C"/>
    <w:rsid w:val="148443FC"/>
    <w:rsid w:val="1489218F"/>
    <w:rsid w:val="148F7C8A"/>
    <w:rsid w:val="149731AD"/>
    <w:rsid w:val="149B607A"/>
    <w:rsid w:val="14A34882"/>
    <w:rsid w:val="14BC3B96"/>
    <w:rsid w:val="14C430D3"/>
    <w:rsid w:val="14C91E0F"/>
    <w:rsid w:val="14D514F5"/>
    <w:rsid w:val="14DA401C"/>
    <w:rsid w:val="14DE5E10"/>
    <w:rsid w:val="14EE54EC"/>
    <w:rsid w:val="14F060C1"/>
    <w:rsid w:val="14FC21E4"/>
    <w:rsid w:val="15064D30"/>
    <w:rsid w:val="1511012C"/>
    <w:rsid w:val="15172299"/>
    <w:rsid w:val="1519567E"/>
    <w:rsid w:val="151F31F3"/>
    <w:rsid w:val="1528650F"/>
    <w:rsid w:val="152B0338"/>
    <w:rsid w:val="153206E0"/>
    <w:rsid w:val="153B2D0D"/>
    <w:rsid w:val="153B4ABB"/>
    <w:rsid w:val="153D605B"/>
    <w:rsid w:val="154020D1"/>
    <w:rsid w:val="154232FD"/>
    <w:rsid w:val="15463159"/>
    <w:rsid w:val="15482C5E"/>
    <w:rsid w:val="154E0EDE"/>
    <w:rsid w:val="15513403"/>
    <w:rsid w:val="155C4C26"/>
    <w:rsid w:val="15645A11"/>
    <w:rsid w:val="15645AE1"/>
    <w:rsid w:val="1565422D"/>
    <w:rsid w:val="15741F45"/>
    <w:rsid w:val="15743252"/>
    <w:rsid w:val="15797052"/>
    <w:rsid w:val="15810EA3"/>
    <w:rsid w:val="15883A78"/>
    <w:rsid w:val="15A00DC2"/>
    <w:rsid w:val="15A233FE"/>
    <w:rsid w:val="15A563D8"/>
    <w:rsid w:val="15AA1C40"/>
    <w:rsid w:val="15B825AF"/>
    <w:rsid w:val="15BE53E8"/>
    <w:rsid w:val="15CE3B81"/>
    <w:rsid w:val="15D15DC8"/>
    <w:rsid w:val="15D46CBD"/>
    <w:rsid w:val="15D773B8"/>
    <w:rsid w:val="15EA0595"/>
    <w:rsid w:val="15EC04AB"/>
    <w:rsid w:val="15EE21AD"/>
    <w:rsid w:val="15F7493E"/>
    <w:rsid w:val="15F97149"/>
    <w:rsid w:val="15FA2BC8"/>
    <w:rsid w:val="15FB3CF2"/>
    <w:rsid w:val="15FC63E5"/>
    <w:rsid w:val="15FF1F8C"/>
    <w:rsid w:val="16043E5F"/>
    <w:rsid w:val="160A4F1B"/>
    <w:rsid w:val="161C1ACF"/>
    <w:rsid w:val="161E02A6"/>
    <w:rsid w:val="16290DB7"/>
    <w:rsid w:val="162C099A"/>
    <w:rsid w:val="162C3563"/>
    <w:rsid w:val="162E2871"/>
    <w:rsid w:val="1633426F"/>
    <w:rsid w:val="163360DA"/>
    <w:rsid w:val="1635775C"/>
    <w:rsid w:val="163634D4"/>
    <w:rsid w:val="16377803"/>
    <w:rsid w:val="1638324F"/>
    <w:rsid w:val="1639583E"/>
    <w:rsid w:val="163E26E0"/>
    <w:rsid w:val="163F50B6"/>
    <w:rsid w:val="16492A93"/>
    <w:rsid w:val="16571DC8"/>
    <w:rsid w:val="16585E87"/>
    <w:rsid w:val="165A18B8"/>
    <w:rsid w:val="165C118C"/>
    <w:rsid w:val="16646757"/>
    <w:rsid w:val="16683587"/>
    <w:rsid w:val="166D339A"/>
    <w:rsid w:val="167069E6"/>
    <w:rsid w:val="167C41DB"/>
    <w:rsid w:val="167E55A7"/>
    <w:rsid w:val="167F4B15"/>
    <w:rsid w:val="16824ABA"/>
    <w:rsid w:val="16830CBD"/>
    <w:rsid w:val="1683496B"/>
    <w:rsid w:val="16870D8E"/>
    <w:rsid w:val="168B3820"/>
    <w:rsid w:val="16946B78"/>
    <w:rsid w:val="1699418F"/>
    <w:rsid w:val="169C77DB"/>
    <w:rsid w:val="169D2733"/>
    <w:rsid w:val="16A4694B"/>
    <w:rsid w:val="16AD32E4"/>
    <w:rsid w:val="16AE07B1"/>
    <w:rsid w:val="16B32726"/>
    <w:rsid w:val="16B40C20"/>
    <w:rsid w:val="16BA5EB3"/>
    <w:rsid w:val="16BC1C2B"/>
    <w:rsid w:val="16BE1E47"/>
    <w:rsid w:val="16C466DE"/>
    <w:rsid w:val="16D37E65"/>
    <w:rsid w:val="16D542A9"/>
    <w:rsid w:val="16D8458B"/>
    <w:rsid w:val="16DB76B1"/>
    <w:rsid w:val="16DD23A4"/>
    <w:rsid w:val="16E24AC6"/>
    <w:rsid w:val="16E47ABF"/>
    <w:rsid w:val="16E73D24"/>
    <w:rsid w:val="16F90D5A"/>
    <w:rsid w:val="17033DF0"/>
    <w:rsid w:val="17073119"/>
    <w:rsid w:val="170D692B"/>
    <w:rsid w:val="17125CEF"/>
    <w:rsid w:val="17195DAB"/>
    <w:rsid w:val="171D7580"/>
    <w:rsid w:val="17253C74"/>
    <w:rsid w:val="172E4032"/>
    <w:rsid w:val="172F064F"/>
    <w:rsid w:val="17345C65"/>
    <w:rsid w:val="173A725A"/>
    <w:rsid w:val="173B6FF4"/>
    <w:rsid w:val="17400EC1"/>
    <w:rsid w:val="174173FA"/>
    <w:rsid w:val="174242AE"/>
    <w:rsid w:val="174340FA"/>
    <w:rsid w:val="17470401"/>
    <w:rsid w:val="174936DB"/>
    <w:rsid w:val="1749452C"/>
    <w:rsid w:val="174D24DD"/>
    <w:rsid w:val="174F2A9F"/>
    <w:rsid w:val="17542EC3"/>
    <w:rsid w:val="17544559"/>
    <w:rsid w:val="175B488E"/>
    <w:rsid w:val="175E2CE2"/>
    <w:rsid w:val="1763654B"/>
    <w:rsid w:val="176522C3"/>
    <w:rsid w:val="17680005"/>
    <w:rsid w:val="176B20D9"/>
    <w:rsid w:val="176F4EEF"/>
    <w:rsid w:val="177048A0"/>
    <w:rsid w:val="1776002C"/>
    <w:rsid w:val="178A4CCC"/>
    <w:rsid w:val="179761F4"/>
    <w:rsid w:val="17A50911"/>
    <w:rsid w:val="17A82169"/>
    <w:rsid w:val="17AD77C6"/>
    <w:rsid w:val="17B9616B"/>
    <w:rsid w:val="17BD20FF"/>
    <w:rsid w:val="17BD3EAD"/>
    <w:rsid w:val="17C101CD"/>
    <w:rsid w:val="17C23271"/>
    <w:rsid w:val="17D26ACD"/>
    <w:rsid w:val="17E256C1"/>
    <w:rsid w:val="17E4463B"/>
    <w:rsid w:val="17E94CA2"/>
    <w:rsid w:val="17F16160"/>
    <w:rsid w:val="17F8256E"/>
    <w:rsid w:val="17FB6783"/>
    <w:rsid w:val="17FD1308"/>
    <w:rsid w:val="17FE7DB3"/>
    <w:rsid w:val="18025D64"/>
    <w:rsid w:val="1802759E"/>
    <w:rsid w:val="180C2FB2"/>
    <w:rsid w:val="1816180F"/>
    <w:rsid w:val="181D2B9D"/>
    <w:rsid w:val="1821268E"/>
    <w:rsid w:val="182201B4"/>
    <w:rsid w:val="182E0907"/>
    <w:rsid w:val="18335F1D"/>
    <w:rsid w:val="18383B5B"/>
    <w:rsid w:val="18392AEF"/>
    <w:rsid w:val="183D3240"/>
    <w:rsid w:val="185540E5"/>
    <w:rsid w:val="18586287"/>
    <w:rsid w:val="185B674A"/>
    <w:rsid w:val="185F1661"/>
    <w:rsid w:val="186500A0"/>
    <w:rsid w:val="18731E2A"/>
    <w:rsid w:val="187A4C7D"/>
    <w:rsid w:val="188873F9"/>
    <w:rsid w:val="188974FF"/>
    <w:rsid w:val="188C2500"/>
    <w:rsid w:val="1890336F"/>
    <w:rsid w:val="1894208B"/>
    <w:rsid w:val="189C2603"/>
    <w:rsid w:val="189C3E54"/>
    <w:rsid w:val="189F2A53"/>
    <w:rsid w:val="18AA7CC9"/>
    <w:rsid w:val="18AB63FB"/>
    <w:rsid w:val="18B647EB"/>
    <w:rsid w:val="18B76B4E"/>
    <w:rsid w:val="18B87908"/>
    <w:rsid w:val="18C10AB6"/>
    <w:rsid w:val="18C94AD3"/>
    <w:rsid w:val="18CF42C0"/>
    <w:rsid w:val="18D539DE"/>
    <w:rsid w:val="18DD2922"/>
    <w:rsid w:val="18E13BCB"/>
    <w:rsid w:val="18E5280D"/>
    <w:rsid w:val="18E66902"/>
    <w:rsid w:val="18EB32E8"/>
    <w:rsid w:val="18EF453A"/>
    <w:rsid w:val="18F048F8"/>
    <w:rsid w:val="18FC77C6"/>
    <w:rsid w:val="18FE2EED"/>
    <w:rsid w:val="19037FE5"/>
    <w:rsid w:val="1912647A"/>
    <w:rsid w:val="19163B16"/>
    <w:rsid w:val="191731C4"/>
    <w:rsid w:val="19175B5B"/>
    <w:rsid w:val="19211322"/>
    <w:rsid w:val="19272AC9"/>
    <w:rsid w:val="19282B95"/>
    <w:rsid w:val="192A74E4"/>
    <w:rsid w:val="1939497F"/>
    <w:rsid w:val="193E2B61"/>
    <w:rsid w:val="19404D95"/>
    <w:rsid w:val="1940617A"/>
    <w:rsid w:val="19495369"/>
    <w:rsid w:val="194D58C8"/>
    <w:rsid w:val="19555B47"/>
    <w:rsid w:val="196138D0"/>
    <w:rsid w:val="19650358"/>
    <w:rsid w:val="196E32E1"/>
    <w:rsid w:val="196E7FD0"/>
    <w:rsid w:val="19745D87"/>
    <w:rsid w:val="197832BB"/>
    <w:rsid w:val="197A6AB8"/>
    <w:rsid w:val="197B1B58"/>
    <w:rsid w:val="197B53B8"/>
    <w:rsid w:val="197E141A"/>
    <w:rsid w:val="198D017B"/>
    <w:rsid w:val="198F3627"/>
    <w:rsid w:val="19923117"/>
    <w:rsid w:val="19996254"/>
    <w:rsid w:val="19A3296E"/>
    <w:rsid w:val="19BB08C0"/>
    <w:rsid w:val="19BB266E"/>
    <w:rsid w:val="19BE0EDD"/>
    <w:rsid w:val="19BE34F7"/>
    <w:rsid w:val="19C75DFE"/>
    <w:rsid w:val="19D159ED"/>
    <w:rsid w:val="19D6555A"/>
    <w:rsid w:val="19E03858"/>
    <w:rsid w:val="19E07505"/>
    <w:rsid w:val="19E44366"/>
    <w:rsid w:val="19E87F27"/>
    <w:rsid w:val="19F605BF"/>
    <w:rsid w:val="19FB6838"/>
    <w:rsid w:val="1A187AC0"/>
    <w:rsid w:val="1A1D693D"/>
    <w:rsid w:val="1A1E6D69"/>
    <w:rsid w:val="1A1F2BFD"/>
    <w:rsid w:val="1A246465"/>
    <w:rsid w:val="1A2E1092"/>
    <w:rsid w:val="1A362C80"/>
    <w:rsid w:val="1A4077C6"/>
    <w:rsid w:val="1A444411"/>
    <w:rsid w:val="1A4771FE"/>
    <w:rsid w:val="1A4A3BD0"/>
    <w:rsid w:val="1A4C32C6"/>
    <w:rsid w:val="1A547B77"/>
    <w:rsid w:val="1A57266E"/>
    <w:rsid w:val="1A584361"/>
    <w:rsid w:val="1A5B6C04"/>
    <w:rsid w:val="1A6709DF"/>
    <w:rsid w:val="1A6E23B6"/>
    <w:rsid w:val="1A703458"/>
    <w:rsid w:val="1A705206"/>
    <w:rsid w:val="1A7B1A7D"/>
    <w:rsid w:val="1A92696F"/>
    <w:rsid w:val="1A930EF5"/>
    <w:rsid w:val="1A98686C"/>
    <w:rsid w:val="1A9C4A79"/>
    <w:rsid w:val="1A9F19C8"/>
    <w:rsid w:val="1AA21AC2"/>
    <w:rsid w:val="1AA50C28"/>
    <w:rsid w:val="1AA72BF2"/>
    <w:rsid w:val="1AA816CE"/>
    <w:rsid w:val="1AB40989"/>
    <w:rsid w:val="1AB45C98"/>
    <w:rsid w:val="1ABC07FF"/>
    <w:rsid w:val="1AC21DD8"/>
    <w:rsid w:val="1AC67940"/>
    <w:rsid w:val="1AC90DBB"/>
    <w:rsid w:val="1AE45BF4"/>
    <w:rsid w:val="1AED7F38"/>
    <w:rsid w:val="1AF520D1"/>
    <w:rsid w:val="1AF672AD"/>
    <w:rsid w:val="1B015456"/>
    <w:rsid w:val="1B067919"/>
    <w:rsid w:val="1B0B3181"/>
    <w:rsid w:val="1B0D5496"/>
    <w:rsid w:val="1B111794"/>
    <w:rsid w:val="1B122762"/>
    <w:rsid w:val="1B167D23"/>
    <w:rsid w:val="1B186D78"/>
    <w:rsid w:val="1B1C541C"/>
    <w:rsid w:val="1B1E0F38"/>
    <w:rsid w:val="1B31079C"/>
    <w:rsid w:val="1B410E90"/>
    <w:rsid w:val="1B432FF8"/>
    <w:rsid w:val="1B487F31"/>
    <w:rsid w:val="1B684130"/>
    <w:rsid w:val="1B711136"/>
    <w:rsid w:val="1B8233E1"/>
    <w:rsid w:val="1B823D27"/>
    <w:rsid w:val="1B862808"/>
    <w:rsid w:val="1B9237D6"/>
    <w:rsid w:val="1B994819"/>
    <w:rsid w:val="1B9E15EF"/>
    <w:rsid w:val="1B9F1411"/>
    <w:rsid w:val="1B9F7C16"/>
    <w:rsid w:val="1BA710FC"/>
    <w:rsid w:val="1BA93953"/>
    <w:rsid w:val="1BBB4BA7"/>
    <w:rsid w:val="1BC17CE4"/>
    <w:rsid w:val="1BC81072"/>
    <w:rsid w:val="1BD01938"/>
    <w:rsid w:val="1BD33CD1"/>
    <w:rsid w:val="1BDB6FF7"/>
    <w:rsid w:val="1BEC52B7"/>
    <w:rsid w:val="1BEE2245"/>
    <w:rsid w:val="1BEF34FD"/>
    <w:rsid w:val="1BF202DD"/>
    <w:rsid w:val="1BF91BD9"/>
    <w:rsid w:val="1BFC3B26"/>
    <w:rsid w:val="1C014BF4"/>
    <w:rsid w:val="1C054074"/>
    <w:rsid w:val="1C0A3439"/>
    <w:rsid w:val="1C122FC8"/>
    <w:rsid w:val="1C135BC8"/>
    <w:rsid w:val="1C1445D2"/>
    <w:rsid w:val="1C1877B0"/>
    <w:rsid w:val="1C192405"/>
    <w:rsid w:val="1C1A65E4"/>
    <w:rsid w:val="1C1F36B0"/>
    <w:rsid w:val="1C253B27"/>
    <w:rsid w:val="1C295FB5"/>
    <w:rsid w:val="1C2C3B80"/>
    <w:rsid w:val="1C2F10F1"/>
    <w:rsid w:val="1C3070C2"/>
    <w:rsid w:val="1C33298F"/>
    <w:rsid w:val="1C365A2C"/>
    <w:rsid w:val="1C3B4C3E"/>
    <w:rsid w:val="1C3C2680"/>
    <w:rsid w:val="1C3C27B6"/>
    <w:rsid w:val="1C4077DC"/>
    <w:rsid w:val="1C427A2B"/>
    <w:rsid w:val="1C484FB8"/>
    <w:rsid w:val="1C4A5F2B"/>
    <w:rsid w:val="1C577A1E"/>
    <w:rsid w:val="1C5A0CA0"/>
    <w:rsid w:val="1C6173F7"/>
    <w:rsid w:val="1C657E51"/>
    <w:rsid w:val="1C6C22C0"/>
    <w:rsid w:val="1C6D5116"/>
    <w:rsid w:val="1C746976"/>
    <w:rsid w:val="1C7C3AA1"/>
    <w:rsid w:val="1C89505A"/>
    <w:rsid w:val="1C940F54"/>
    <w:rsid w:val="1C972642"/>
    <w:rsid w:val="1C9D42AD"/>
    <w:rsid w:val="1C9E5823"/>
    <w:rsid w:val="1CA90B4D"/>
    <w:rsid w:val="1CAF1D78"/>
    <w:rsid w:val="1CB03FE0"/>
    <w:rsid w:val="1CB669F1"/>
    <w:rsid w:val="1CBD4603"/>
    <w:rsid w:val="1CC45CDD"/>
    <w:rsid w:val="1CC730D8"/>
    <w:rsid w:val="1CCE14B3"/>
    <w:rsid w:val="1CD22F7D"/>
    <w:rsid w:val="1CDF53F1"/>
    <w:rsid w:val="1CE65C54"/>
    <w:rsid w:val="1CEB5018"/>
    <w:rsid w:val="1CEC5DFD"/>
    <w:rsid w:val="1CF3211F"/>
    <w:rsid w:val="1CF42602"/>
    <w:rsid w:val="1CF643E7"/>
    <w:rsid w:val="1CFA525B"/>
    <w:rsid w:val="1CFD4D4B"/>
    <w:rsid w:val="1CFE1AAE"/>
    <w:rsid w:val="1CFF1291"/>
    <w:rsid w:val="1D000EB9"/>
    <w:rsid w:val="1D047531"/>
    <w:rsid w:val="1D0C4B86"/>
    <w:rsid w:val="1D11694F"/>
    <w:rsid w:val="1D167BBB"/>
    <w:rsid w:val="1D1861C0"/>
    <w:rsid w:val="1D2528A0"/>
    <w:rsid w:val="1D2648F3"/>
    <w:rsid w:val="1D2779F7"/>
    <w:rsid w:val="1D282061"/>
    <w:rsid w:val="1D331268"/>
    <w:rsid w:val="1D367D12"/>
    <w:rsid w:val="1D46666D"/>
    <w:rsid w:val="1D4806BC"/>
    <w:rsid w:val="1D483B5E"/>
    <w:rsid w:val="1D484219"/>
    <w:rsid w:val="1D4D4DFF"/>
    <w:rsid w:val="1D594678"/>
    <w:rsid w:val="1D5A03F0"/>
    <w:rsid w:val="1D5A219E"/>
    <w:rsid w:val="1D5C5F16"/>
    <w:rsid w:val="1D6202D1"/>
    <w:rsid w:val="1D6946C0"/>
    <w:rsid w:val="1D71198C"/>
    <w:rsid w:val="1D726B9D"/>
    <w:rsid w:val="1D743279"/>
    <w:rsid w:val="1D770F9F"/>
    <w:rsid w:val="1D7743FD"/>
    <w:rsid w:val="1D7B733D"/>
    <w:rsid w:val="1D840434"/>
    <w:rsid w:val="1D8B2357"/>
    <w:rsid w:val="1D907783"/>
    <w:rsid w:val="1DBB2220"/>
    <w:rsid w:val="1DBC650F"/>
    <w:rsid w:val="1DC35F95"/>
    <w:rsid w:val="1DCF0496"/>
    <w:rsid w:val="1DD37785"/>
    <w:rsid w:val="1DD54DD1"/>
    <w:rsid w:val="1DD7245C"/>
    <w:rsid w:val="1DD8129D"/>
    <w:rsid w:val="1DD86BC6"/>
    <w:rsid w:val="1DE74CEC"/>
    <w:rsid w:val="1DEE0019"/>
    <w:rsid w:val="1DF42687"/>
    <w:rsid w:val="1DF47EFC"/>
    <w:rsid w:val="1DFF3CCB"/>
    <w:rsid w:val="1E116E56"/>
    <w:rsid w:val="1E1366E4"/>
    <w:rsid w:val="1E1660C5"/>
    <w:rsid w:val="1E1B44E3"/>
    <w:rsid w:val="1E295151"/>
    <w:rsid w:val="1E380731"/>
    <w:rsid w:val="1E392382"/>
    <w:rsid w:val="1E3F5433"/>
    <w:rsid w:val="1E424C60"/>
    <w:rsid w:val="1E550CDA"/>
    <w:rsid w:val="1E57048B"/>
    <w:rsid w:val="1E5B0724"/>
    <w:rsid w:val="1E6071B4"/>
    <w:rsid w:val="1E62130A"/>
    <w:rsid w:val="1E65704C"/>
    <w:rsid w:val="1E672DC4"/>
    <w:rsid w:val="1E6A2707"/>
    <w:rsid w:val="1E7F0E72"/>
    <w:rsid w:val="1E805C34"/>
    <w:rsid w:val="1E816A2F"/>
    <w:rsid w:val="1E8976CC"/>
    <w:rsid w:val="1E9539DF"/>
    <w:rsid w:val="1EAA11AA"/>
    <w:rsid w:val="1EAC7DF3"/>
    <w:rsid w:val="1EB27A1A"/>
    <w:rsid w:val="1EBF1697"/>
    <w:rsid w:val="1EC51899"/>
    <w:rsid w:val="1EC655A7"/>
    <w:rsid w:val="1ECC0E79"/>
    <w:rsid w:val="1ECE074D"/>
    <w:rsid w:val="1ED0096A"/>
    <w:rsid w:val="1ED1023E"/>
    <w:rsid w:val="1ED65854"/>
    <w:rsid w:val="1EDB74D8"/>
    <w:rsid w:val="1EE07B63"/>
    <w:rsid w:val="1EE11ECD"/>
    <w:rsid w:val="1EE47B84"/>
    <w:rsid w:val="1EEC5078"/>
    <w:rsid w:val="1EF665D6"/>
    <w:rsid w:val="1F0D3E1B"/>
    <w:rsid w:val="1F1E704E"/>
    <w:rsid w:val="1F1F369F"/>
    <w:rsid w:val="1F234F3D"/>
    <w:rsid w:val="1F2B2044"/>
    <w:rsid w:val="1F2C4884"/>
    <w:rsid w:val="1F3233D2"/>
    <w:rsid w:val="1F330EF8"/>
    <w:rsid w:val="1F361D86"/>
    <w:rsid w:val="1F3A40D9"/>
    <w:rsid w:val="1F3D6657"/>
    <w:rsid w:val="1F435398"/>
    <w:rsid w:val="1F446843"/>
    <w:rsid w:val="1F446C62"/>
    <w:rsid w:val="1F4A3D1F"/>
    <w:rsid w:val="1F521969"/>
    <w:rsid w:val="1F545625"/>
    <w:rsid w:val="1F572E39"/>
    <w:rsid w:val="1F63358C"/>
    <w:rsid w:val="1F6D4C9B"/>
    <w:rsid w:val="1F813A12"/>
    <w:rsid w:val="1F851DDD"/>
    <w:rsid w:val="1F896620"/>
    <w:rsid w:val="1F8A4FBC"/>
    <w:rsid w:val="1F8D23B7"/>
    <w:rsid w:val="1F8D383C"/>
    <w:rsid w:val="1F8E730E"/>
    <w:rsid w:val="1F911FE7"/>
    <w:rsid w:val="1F925C1F"/>
    <w:rsid w:val="1F936766"/>
    <w:rsid w:val="1F953AC5"/>
    <w:rsid w:val="1F9A2D26"/>
    <w:rsid w:val="1F9C4937"/>
    <w:rsid w:val="1FA12F8C"/>
    <w:rsid w:val="1FA264A3"/>
    <w:rsid w:val="1FA923BC"/>
    <w:rsid w:val="1FAA1CAD"/>
    <w:rsid w:val="1FB37A64"/>
    <w:rsid w:val="1FB42B93"/>
    <w:rsid w:val="1FB45DF0"/>
    <w:rsid w:val="1FC17BC2"/>
    <w:rsid w:val="1FC72E9A"/>
    <w:rsid w:val="1FD7645F"/>
    <w:rsid w:val="1FDD0B17"/>
    <w:rsid w:val="1FE1598A"/>
    <w:rsid w:val="1FE32951"/>
    <w:rsid w:val="1FEB2767"/>
    <w:rsid w:val="1FEF4E1F"/>
    <w:rsid w:val="1FF24910"/>
    <w:rsid w:val="1FF3380D"/>
    <w:rsid w:val="200007DF"/>
    <w:rsid w:val="20011AFD"/>
    <w:rsid w:val="200239BE"/>
    <w:rsid w:val="2009466C"/>
    <w:rsid w:val="200F101E"/>
    <w:rsid w:val="2010009E"/>
    <w:rsid w:val="20154252"/>
    <w:rsid w:val="2017225D"/>
    <w:rsid w:val="201B3E66"/>
    <w:rsid w:val="201E5705"/>
    <w:rsid w:val="20334ED2"/>
    <w:rsid w:val="203A3CB6"/>
    <w:rsid w:val="203B0065"/>
    <w:rsid w:val="203B62B7"/>
    <w:rsid w:val="203C4B23"/>
    <w:rsid w:val="20420E63"/>
    <w:rsid w:val="20523828"/>
    <w:rsid w:val="205254D7"/>
    <w:rsid w:val="205630F0"/>
    <w:rsid w:val="20582A63"/>
    <w:rsid w:val="20585715"/>
    <w:rsid w:val="20592BE1"/>
    <w:rsid w:val="20611637"/>
    <w:rsid w:val="206F5F60"/>
    <w:rsid w:val="2071222D"/>
    <w:rsid w:val="207329B3"/>
    <w:rsid w:val="2073362B"/>
    <w:rsid w:val="208B464B"/>
    <w:rsid w:val="208E12B4"/>
    <w:rsid w:val="20924301"/>
    <w:rsid w:val="20972794"/>
    <w:rsid w:val="209E23A2"/>
    <w:rsid w:val="209E6186"/>
    <w:rsid w:val="209F0117"/>
    <w:rsid w:val="209F27F3"/>
    <w:rsid w:val="20A025BE"/>
    <w:rsid w:val="20A22350"/>
    <w:rsid w:val="20A51982"/>
    <w:rsid w:val="20AC109E"/>
    <w:rsid w:val="20B10327"/>
    <w:rsid w:val="20B221AC"/>
    <w:rsid w:val="20B931EF"/>
    <w:rsid w:val="20BB1436"/>
    <w:rsid w:val="20BF4D39"/>
    <w:rsid w:val="20D109C9"/>
    <w:rsid w:val="20D32238"/>
    <w:rsid w:val="20D85D57"/>
    <w:rsid w:val="20DA32B1"/>
    <w:rsid w:val="20DF0DF0"/>
    <w:rsid w:val="20E72B5B"/>
    <w:rsid w:val="20E77269"/>
    <w:rsid w:val="20EB01B3"/>
    <w:rsid w:val="20EC7F87"/>
    <w:rsid w:val="20EE03F2"/>
    <w:rsid w:val="20EF28CE"/>
    <w:rsid w:val="20F61EF1"/>
    <w:rsid w:val="20FD17BE"/>
    <w:rsid w:val="211014F1"/>
    <w:rsid w:val="21145639"/>
    <w:rsid w:val="211D2B53"/>
    <w:rsid w:val="211D3A51"/>
    <w:rsid w:val="211E0EE3"/>
    <w:rsid w:val="21246D4B"/>
    <w:rsid w:val="21267608"/>
    <w:rsid w:val="21271BF9"/>
    <w:rsid w:val="21294738"/>
    <w:rsid w:val="213547AB"/>
    <w:rsid w:val="213A47C0"/>
    <w:rsid w:val="21423539"/>
    <w:rsid w:val="21425423"/>
    <w:rsid w:val="2144119B"/>
    <w:rsid w:val="21483217"/>
    <w:rsid w:val="214E7994"/>
    <w:rsid w:val="215869F4"/>
    <w:rsid w:val="215A09BE"/>
    <w:rsid w:val="215B3E95"/>
    <w:rsid w:val="216058A9"/>
    <w:rsid w:val="21654660"/>
    <w:rsid w:val="216B6728"/>
    <w:rsid w:val="216F5573"/>
    <w:rsid w:val="217D0A1F"/>
    <w:rsid w:val="217D1886"/>
    <w:rsid w:val="218216ED"/>
    <w:rsid w:val="21884D56"/>
    <w:rsid w:val="21906E45"/>
    <w:rsid w:val="21914F6E"/>
    <w:rsid w:val="21941EA4"/>
    <w:rsid w:val="21A32365"/>
    <w:rsid w:val="21A41C3A"/>
    <w:rsid w:val="21B20311"/>
    <w:rsid w:val="21B41795"/>
    <w:rsid w:val="21B76009"/>
    <w:rsid w:val="21C05D7A"/>
    <w:rsid w:val="21C127EB"/>
    <w:rsid w:val="21C935D6"/>
    <w:rsid w:val="21CC25FB"/>
    <w:rsid w:val="21CE2FEC"/>
    <w:rsid w:val="21D249F9"/>
    <w:rsid w:val="21D40771"/>
    <w:rsid w:val="21D70646"/>
    <w:rsid w:val="21E87D78"/>
    <w:rsid w:val="21EB7868"/>
    <w:rsid w:val="21EF4865"/>
    <w:rsid w:val="21F1691B"/>
    <w:rsid w:val="21F229A5"/>
    <w:rsid w:val="21F735E1"/>
    <w:rsid w:val="21F74F9B"/>
    <w:rsid w:val="21FF3314"/>
    <w:rsid w:val="2203697F"/>
    <w:rsid w:val="2208666C"/>
    <w:rsid w:val="220E5C2D"/>
    <w:rsid w:val="22130DF1"/>
    <w:rsid w:val="22162CD8"/>
    <w:rsid w:val="221B756B"/>
    <w:rsid w:val="221E7C3E"/>
    <w:rsid w:val="221F26D7"/>
    <w:rsid w:val="22201DA0"/>
    <w:rsid w:val="222861B1"/>
    <w:rsid w:val="222D60D3"/>
    <w:rsid w:val="223630DF"/>
    <w:rsid w:val="223B07F0"/>
    <w:rsid w:val="223E3280"/>
    <w:rsid w:val="224921F7"/>
    <w:rsid w:val="2249336E"/>
    <w:rsid w:val="224C4068"/>
    <w:rsid w:val="224F6049"/>
    <w:rsid w:val="225E14CB"/>
    <w:rsid w:val="226B2949"/>
    <w:rsid w:val="226C44AE"/>
    <w:rsid w:val="226F4002"/>
    <w:rsid w:val="2273177B"/>
    <w:rsid w:val="227710FC"/>
    <w:rsid w:val="227E0004"/>
    <w:rsid w:val="228512B8"/>
    <w:rsid w:val="228B5773"/>
    <w:rsid w:val="229161B4"/>
    <w:rsid w:val="2295732F"/>
    <w:rsid w:val="2298179E"/>
    <w:rsid w:val="22A531AF"/>
    <w:rsid w:val="22A6395F"/>
    <w:rsid w:val="22AA14D2"/>
    <w:rsid w:val="22B440FE"/>
    <w:rsid w:val="22BB44F7"/>
    <w:rsid w:val="22BB6551"/>
    <w:rsid w:val="22C0341B"/>
    <w:rsid w:val="22CC769A"/>
    <w:rsid w:val="22CF0F38"/>
    <w:rsid w:val="22D14CB0"/>
    <w:rsid w:val="22D351CD"/>
    <w:rsid w:val="22D95913"/>
    <w:rsid w:val="22DB00E0"/>
    <w:rsid w:val="22DF0D93"/>
    <w:rsid w:val="22E26EBD"/>
    <w:rsid w:val="22E5075C"/>
    <w:rsid w:val="22E85AEC"/>
    <w:rsid w:val="22EE11B0"/>
    <w:rsid w:val="22F377CF"/>
    <w:rsid w:val="22F5344F"/>
    <w:rsid w:val="22F77C76"/>
    <w:rsid w:val="22F90444"/>
    <w:rsid w:val="23007E1A"/>
    <w:rsid w:val="230A3855"/>
    <w:rsid w:val="232060BC"/>
    <w:rsid w:val="23250B58"/>
    <w:rsid w:val="23270D74"/>
    <w:rsid w:val="23290648"/>
    <w:rsid w:val="232B2612"/>
    <w:rsid w:val="233D2B25"/>
    <w:rsid w:val="23404830"/>
    <w:rsid w:val="23405992"/>
    <w:rsid w:val="234146EB"/>
    <w:rsid w:val="2341673D"/>
    <w:rsid w:val="23445482"/>
    <w:rsid w:val="234731C4"/>
    <w:rsid w:val="23476D20"/>
    <w:rsid w:val="2357561B"/>
    <w:rsid w:val="23582CDC"/>
    <w:rsid w:val="236C4452"/>
    <w:rsid w:val="236E3686"/>
    <w:rsid w:val="236E4509"/>
    <w:rsid w:val="23710D16"/>
    <w:rsid w:val="237A4FBB"/>
    <w:rsid w:val="237C4C1C"/>
    <w:rsid w:val="237D3DBF"/>
    <w:rsid w:val="238031A0"/>
    <w:rsid w:val="23831236"/>
    <w:rsid w:val="238E492C"/>
    <w:rsid w:val="23A106E1"/>
    <w:rsid w:val="23B3363E"/>
    <w:rsid w:val="23B7025B"/>
    <w:rsid w:val="23B91E96"/>
    <w:rsid w:val="23DA14B2"/>
    <w:rsid w:val="23DC0185"/>
    <w:rsid w:val="23E46E87"/>
    <w:rsid w:val="23F22AA6"/>
    <w:rsid w:val="23F60DC5"/>
    <w:rsid w:val="23F72E72"/>
    <w:rsid w:val="240D651C"/>
    <w:rsid w:val="24107A5A"/>
    <w:rsid w:val="2412732E"/>
    <w:rsid w:val="241C63FF"/>
    <w:rsid w:val="241F0EFF"/>
    <w:rsid w:val="24287767"/>
    <w:rsid w:val="243B6A2B"/>
    <w:rsid w:val="243C2BA2"/>
    <w:rsid w:val="243F5C4A"/>
    <w:rsid w:val="244514B2"/>
    <w:rsid w:val="244558F0"/>
    <w:rsid w:val="244A2F6C"/>
    <w:rsid w:val="244D0366"/>
    <w:rsid w:val="245401AE"/>
    <w:rsid w:val="2457589F"/>
    <w:rsid w:val="245904E1"/>
    <w:rsid w:val="24675324"/>
    <w:rsid w:val="246A35DA"/>
    <w:rsid w:val="246C6D95"/>
    <w:rsid w:val="24766D97"/>
    <w:rsid w:val="24772744"/>
    <w:rsid w:val="247C6164"/>
    <w:rsid w:val="248D2E59"/>
    <w:rsid w:val="248D7A6F"/>
    <w:rsid w:val="24912949"/>
    <w:rsid w:val="24A700B1"/>
    <w:rsid w:val="24AD4960"/>
    <w:rsid w:val="24AF3C23"/>
    <w:rsid w:val="24B1038E"/>
    <w:rsid w:val="24B71C84"/>
    <w:rsid w:val="24BD6371"/>
    <w:rsid w:val="24BF33A4"/>
    <w:rsid w:val="24BF7404"/>
    <w:rsid w:val="24C543A1"/>
    <w:rsid w:val="24C70119"/>
    <w:rsid w:val="24CF7171"/>
    <w:rsid w:val="24D606C4"/>
    <w:rsid w:val="24DB2630"/>
    <w:rsid w:val="24DD20F9"/>
    <w:rsid w:val="24E707BB"/>
    <w:rsid w:val="24E9041A"/>
    <w:rsid w:val="24F13C4E"/>
    <w:rsid w:val="25021151"/>
    <w:rsid w:val="250C4542"/>
    <w:rsid w:val="250F386E"/>
    <w:rsid w:val="25155759"/>
    <w:rsid w:val="251610A0"/>
    <w:rsid w:val="25166D35"/>
    <w:rsid w:val="251E11B6"/>
    <w:rsid w:val="25205A7B"/>
    <w:rsid w:val="252A3087"/>
    <w:rsid w:val="252B4B4C"/>
    <w:rsid w:val="252B5702"/>
    <w:rsid w:val="252D4FBC"/>
    <w:rsid w:val="25340B7A"/>
    <w:rsid w:val="253908EB"/>
    <w:rsid w:val="25421E95"/>
    <w:rsid w:val="254C45D5"/>
    <w:rsid w:val="2552474A"/>
    <w:rsid w:val="25584143"/>
    <w:rsid w:val="25607E4B"/>
    <w:rsid w:val="2565318A"/>
    <w:rsid w:val="256D74C3"/>
    <w:rsid w:val="256F237E"/>
    <w:rsid w:val="257C1D6A"/>
    <w:rsid w:val="25871828"/>
    <w:rsid w:val="25893620"/>
    <w:rsid w:val="25910727"/>
    <w:rsid w:val="25954889"/>
    <w:rsid w:val="259676C3"/>
    <w:rsid w:val="2598079C"/>
    <w:rsid w:val="259C7089"/>
    <w:rsid w:val="25A27518"/>
    <w:rsid w:val="25A530AD"/>
    <w:rsid w:val="25A95DFD"/>
    <w:rsid w:val="25B12B77"/>
    <w:rsid w:val="25B3069D"/>
    <w:rsid w:val="25B439D5"/>
    <w:rsid w:val="25B63FD2"/>
    <w:rsid w:val="25B97089"/>
    <w:rsid w:val="25BA28AD"/>
    <w:rsid w:val="25BA3610"/>
    <w:rsid w:val="25BF34E6"/>
    <w:rsid w:val="25C72F98"/>
    <w:rsid w:val="25CD5C03"/>
    <w:rsid w:val="25CE54D7"/>
    <w:rsid w:val="25D36F91"/>
    <w:rsid w:val="25D424CD"/>
    <w:rsid w:val="25D7087A"/>
    <w:rsid w:val="25D725DE"/>
    <w:rsid w:val="25DA0320"/>
    <w:rsid w:val="25DC7BF4"/>
    <w:rsid w:val="25E20BC6"/>
    <w:rsid w:val="25EE4C55"/>
    <w:rsid w:val="25F27417"/>
    <w:rsid w:val="25FA62CC"/>
    <w:rsid w:val="25FD5DBC"/>
    <w:rsid w:val="25FE2A30"/>
    <w:rsid w:val="25FF1B34"/>
    <w:rsid w:val="26031625"/>
    <w:rsid w:val="260962C3"/>
    <w:rsid w:val="26105AEF"/>
    <w:rsid w:val="26221B3A"/>
    <w:rsid w:val="26230F52"/>
    <w:rsid w:val="26313096"/>
    <w:rsid w:val="26543C2E"/>
    <w:rsid w:val="26577CD2"/>
    <w:rsid w:val="26591839"/>
    <w:rsid w:val="265C6F87"/>
    <w:rsid w:val="265E5112"/>
    <w:rsid w:val="26625EB7"/>
    <w:rsid w:val="266C3044"/>
    <w:rsid w:val="267800C9"/>
    <w:rsid w:val="26797B39"/>
    <w:rsid w:val="26857A82"/>
    <w:rsid w:val="26865DB2"/>
    <w:rsid w:val="26881B30"/>
    <w:rsid w:val="269C5635"/>
    <w:rsid w:val="26A55390"/>
    <w:rsid w:val="26AC0B28"/>
    <w:rsid w:val="26B4291F"/>
    <w:rsid w:val="26B44B5C"/>
    <w:rsid w:val="26B8583B"/>
    <w:rsid w:val="26BE5C77"/>
    <w:rsid w:val="26C64400"/>
    <w:rsid w:val="26C850AD"/>
    <w:rsid w:val="26D134D1"/>
    <w:rsid w:val="26DB0100"/>
    <w:rsid w:val="26E10EAE"/>
    <w:rsid w:val="26F15921"/>
    <w:rsid w:val="26F94FC8"/>
    <w:rsid w:val="26FC754D"/>
    <w:rsid w:val="26FE3B9A"/>
    <w:rsid w:val="270311B0"/>
    <w:rsid w:val="27042DFE"/>
    <w:rsid w:val="27050B37"/>
    <w:rsid w:val="27117D71"/>
    <w:rsid w:val="271E248E"/>
    <w:rsid w:val="27206996"/>
    <w:rsid w:val="2722776F"/>
    <w:rsid w:val="272279FF"/>
    <w:rsid w:val="272368F5"/>
    <w:rsid w:val="27262CF7"/>
    <w:rsid w:val="27277595"/>
    <w:rsid w:val="272B7ED2"/>
    <w:rsid w:val="27354FCE"/>
    <w:rsid w:val="27361586"/>
    <w:rsid w:val="273D6294"/>
    <w:rsid w:val="273D6578"/>
    <w:rsid w:val="275859A0"/>
    <w:rsid w:val="275A0439"/>
    <w:rsid w:val="276F6846"/>
    <w:rsid w:val="277125BE"/>
    <w:rsid w:val="277167D7"/>
    <w:rsid w:val="27736336"/>
    <w:rsid w:val="277919F8"/>
    <w:rsid w:val="277B343D"/>
    <w:rsid w:val="27845E80"/>
    <w:rsid w:val="27892B16"/>
    <w:rsid w:val="278B7B24"/>
    <w:rsid w:val="27930786"/>
    <w:rsid w:val="27995679"/>
    <w:rsid w:val="27A05D4F"/>
    <w:rsid w:val="27A64A64"/>
    <w:rsid w:val="27AE5F4B"/>
    <w:rsid w:val="27B17280"/>
    <w:rsid w:val="27B22553"/>
    <w:rsid w:val="27CD64A0"/>
    <w:rsid w:val="27CD765E"/>
    <w:rsid w:val="27D070D0"/>
    <w:rsid w:val="27D522F3"/>
    <w:rsid w:val="27D57BA0"/>
    <w:rsid w:val="27D6111F"/>
    <w:rsid w:val="27DF40A6"/>
    <w:rsid w:val="27E05BDB"/>
    <w:rsid w:val="27E34F95"/>
    <w:rsid w:val="27E4002A"/>
    <w:rsid w:val="27E5181C"/>
    <w:rsid w:val="27F36E8A"/>
    <w:rsid w:val="27F714EE"/>
    <w:rsid w:val="27FB2673"/>
    <w:rsid w:val="27FC3FE7"/>
    <w:rsid w:val="28017DE6"/>
    <w:rsid w:val="280478D6"/>
    <w:rsid w:val="280653FC"/>
    <w:rsid w:val="28094EEC"/>
    <w:rsid w:val="280A408E"/>
    <w:rsid w:val="281333B4"/>
    <w:rsid w:val="2823482F"/>
    <w:rsid w:val="28240B7A"/>
    <w:rsid w:val="282671A9"/>
    <w:rsid w:val="28336664"/>
    <w:rsid w:val="283D04C3"/>
    <w:rsid w:val="284303FE"/>
    <w:rsid w:val="284B2E0F"/>
    <w:rsid w:val="284B72B3"/>
    <w:rsid w:val="284D6B87"/>
    <w:rsid w:val="285048C9"/>
    <w:rsid w:val="28540164"/>
    <w:rsid w:val="2858552C"/>
    <w:rsid w:val="285A12A4"/>
    <w:rsid w:val="285C326E"/>
    <w:rsid w:val="28663CBB"/>
    <w:rsid w:val="28722A91"/>
    <w:rsid w:val="287405B8"/>
    <w:rsid w:val="2879266B"/>
    <w:rsid w:val="288527C5"/>
    <w:rsid w:val="288D3427"/>
    <w:rsid w:val="288F53F1"/>
    <w:rsid w:val="2890116A"/>
    <w:rsid w:val="28940C5A"/>
    <w:rsid w:val="2894468D"/>
    <w:rsid w:val="289742A6"/>
    <w:rsid w:val="28980BDC"/>
    <w:rsid w:val="289C5DE6"/>
    <w:rsid w:val="289F5451"/>
    <w:rsid w:val="28A864B3"/>
    <w:rsid w:val="28A95D87"/>
    <w:rsid w:val="28AF1112"/>
    <w:rsid w:val="28B5308F"/>
    <w:rsid w:val="28BE5CD7"/>
    <w:rsid w:val="28C332ED"/>
    <w:rsid w:val="28D15A0A"/>
    <w:rsid w:val="28D42E04"/>
    <w:rsid w:val="28D56B7C"/>
    <w:rsid w:val="28D92DB9"/>
    <w:rsid w:val="28DC58C4"/>
    <w:rsid w:val="28DF1D1C"/>
    <w:rsid w:val="28E4149E"/>
    <w:rsid w:val="28E929B8"/>
    <w:rsid w:val="28EB63A0"/>
    <w:rsid w:val="28ED3EC6"/>
    <w:rsid w:val="28F00706"/>
    <w:rsid w:val="28F2772E"/>
    <w:rsid w:val="28F33BD2"/>
    <w:rsid w:val="28FD6A48"/>
    <w:rsid w:val="29015BC3"/>
    <w:rsid w:val="290556B4"/>
    <w:rsid w:val="29086F52"/>
    <w:rsid w:val="29087613"/>
    <w:rsid w:val="29097CE6"/>
    <w:rsid w:val="29192F0D"/>
    <w:rsid w:val="29312005"/>
    <w:rsid w:val="293146FB"/>
    <w:rsid w:val="29332371"/>
    <w:rsid w:val="293A3683"/>
    <w:rsid w:val="29453338"/>
    <w:rsid w:val="295959FF"/>
    <w:rsid w:val="296039E3"/>
    <w:rsid w:val="2960729B"/>
    <w:rsid w:val="29625064"/>
    <w:rsid w:val="29687BF4"/>
    <w:rsid w:val="296C2DD1"/>
    <w:rsid w:val="29746395"/>
    <w:rsid w:val="29847D1D"/>
    <w:rsid w:val="298565D3"/>
    <w:rsid w:val="29915199"/>
    <w:rsid w:val="299F0B8C"/>
    <w:rsid w:val="29AE292F"/>
    <w:rsid w:val="29B11398"/>
    <w:rsid w:val="29B37588"/>
    <w:rsid w:val="29B82726"/>
    <w:rsid w:val="29B859EE"/>
    <w:rsid w:val="29C36E98"/>
    <w:rsid w:val="29C44CF4"/>
    <w:rsid w:val="29D46E34"/>
    <w:rsid w:val="29D95510"/>
    <w:rsid w:val="29F4303F"/>
    <w:rsid w:val="29F673AC"/>
    <w:rsid w:val="29FD638B"/>
    <w:rsid w:val="2A067935"/>
    <w:rsid w:val="2A092018"/>
    <w:rsid w:val="2A1A518F"/>
    <w:rsid w:val="2A202C2D"/>
    <w:rsid w:val="2A2238F8"/>
    <w:rsid w:val="2A224043"/>
    <w:rsid w:val="2A28197F"/>
    <w:rsid w:val="2A3534D2"/>
    <w:rsid w:val="2A353D77"/>
    <w:rsid w:val="2A3704DA"/>
    <w:rsid w:val="2A3C4980"/>
    <w:rsid w:val="2A3C5105"/>
    <w:rsid w:val="2A4144C9"/>
    <w:rsid w:val="2A44045E"/>
    <w:rsid w:val="2A4A4417"/>
    <w:rsid w:val="2A4C1771"/>
    <w:rsid w:val="2A4F6767"/>
    <w:rsid w:val="2A5364DD"/>
    <w:rsid w:val="2A5F0C10"/>
    <w:rsid w:val="2A662182"/>
    <w:rsid w:val="2A7D74CC"/>
    <w:rsid w:val="2A846DB5"/>
    <w:rsid w:val="2A8C57DF"/>
    <w:rsid w:val="2A903CB0"/>
    <w:rsid w:val="2AA348B7"/>
    <w:rsid w:val="2AA720D9"/>
    <w:rsid w:val="2AAF1A65"/>
    <w:rsid w:val="2AAF55F1"/>
    <w:rsid w:val="2AB0164F"/>
    <w:rsid w:val="2AB062C3"/>
    <w:rsid w:val="2AB51EB1"/>
    <w:rsid w:val="2AB670B6"/>
    <w:rsid w:val="2AB72A98"/>
    <w:rsid w:val="2AB90504"/>
    <w:rsid w:val="2AC450FA"/>
    <w:rsid w:val="2AC61C8E"/>
    <w:rsid w:val="2ACE106F"/>
    <w:rsid w:val="2ACF535F"/>
    <w:rsid w:val="2AD37E6E"/>
    <w:rsid w:val="2AE00F03"/>
    <w:rsid w:val="2AE82B97"/>
    <w:rsid w:val="2AED28A3"/>
    <w:rsid w:val="2AFC6642"/>
    <w:rsid w:val="2B012333"/>
    <w:rsid w:val="2B037BB5"/>
    <w:rsid w:val="2B177920"/>
    <w:rsid w:val="2B192F19"/>
    <w:rsid w:val="2B193698"/>
    <w:rsid w:val="2B204A27"/>
    <w:rsid w:val="2B275DB5"/>
    <w:rsid w:val="2B29500D"/>
    <w:rsid w:val="2B2C686F"/>
    <w:rsid w:val="2B2C778D"/>
    <w:rsid w:val="2B3362BD"/>
    <w:rsid w:val="2B344A2B"/>
    <w:rsid w:val="2B3B360F"/>
    <w:rsid w:val="2B4B3FF4"/>
    <w:rsid w:val="2B50206F"/>
    <w:rsid w:val="2B51698E"/>
    <w:rsid w:val="2B5C4A35"/>
    <w:rsid w:val="2B5E10AB"/>
    <w:rsid w:val="2B6111BC"/>
    <w:rsid w:val="2B6D725E"/>
    <w:rsid w:val="2B704B95"/>
    <w:rsid w:val="2B726905"/>
    <w:rsid w:val="2B735935"/>
    <w:rsid w:val="2B8378E0"/>
    <w:rsid w:val="2B8613CE"/>
    <w:rsid w:val="2B8A2A44"/>
    <w:rsid w:val="2B8E4B26"/>
    <w:rsid w:val="2B8F395A"/>
    <w:rsid w:val="2B916B5A"/>
    <w:rsid w:val="2B946D50"/>
    <w:rsid w:val="2BA016C4"/>
    <w:rsid w:val="2BAC1E16"/>
    <w:rsid w:val="2BAE6890"/>
    <w:rsid w:val="2BB005EE"/>
    <w:rsid w:val="2BB84C5F"/>
    <w:rsid w:val="2BBC3B7F"/>
    <w:rsid w:val="2BC532A9"/>
    <w:rsid w:val="2BCE6231"/>
    <w:rsid w:val="2BDC10FF"/>
    <w:rsid w:val="2BE27F2E"/>
    <w:rsid w:val="2BE34303"/>
    <w:rsid w:val="2BE54A9D"/>
    <w:rsid w:val="2BE55328"/>
    <w:rsid w:val="2BEC66B7"/>
    <w:rsid w:val="2BF119AC"/>
    <w:rsid w:val="2BF91A78"/>
    <w:rsid w:val="2BFF4F65"/>
    <w:rsid w:val="2C033294"/>
    <w:rsid w:val="2C0C4FAB"/>
    <w:rsid w:val="2C0C6D59"/>
    <w:rsid w:val="2C0E0D23"/>
    <w:rsid w:val="2C106849"/>
    <w:rsid w:val="2C126937"/>
    <w:rsid w:val="2C1E6784"/>
    <w:rsid w:val="2C231518"/>
    <w:rsid w:val="2C235595"/>
    <w:rsid w:val="2C2726DF"/>
    <w:rsid w:val="2C2B1C60"/>
    <w:rsid w:val="2C334863"/>
    <w:rsid w:val="2C377AC1"/>
    <w:rsid w:val="2C3D3AC9"/>
    <w:rsid w:val="2C4B5AD3"/>
    <w:rsid w:val="2C5014F1"/>
    <w:rsid w:val="2C5030EA"/>
    <w:rsid w:val="2C520ABA"/>
    <w:rsid w:val="2C526E62"/>
    <w:rsid w:val="2C575892"/>
    <w:rsid w:val="2C591B76"/>
    <w:rsid w:val="2C6907A2"/>
    <w:rsid w:val="2C7072E8"/>
    <w:rsid w:val="2C781ABD"/>
    <w:rsid w:val="2C7843EE"/>
    <w:rsid w:val="2C7D37B3"/>
    <w:rsid w:val="2C8B4122"/>
    <w:rsid w:val="2CA1345F"/>
    <w:rsid w:val="2CA95888"/>
    <w:rsid w:val="2CAE7E10"/>
    <w:rsid w:val="2CB03B88"/>
    <w:rsid w:val="2CB335FE"/>
    <w:rsid w:val="2CBA2CC2"/>
    <w:rsid w:val="2CC01D80"/>
    <w:rsid w:val="2CC24F06"/>
    <w:rsid w:val="2CC82C80"/>
    <w:rsid w:val="2CD47E0C"/>
    <w:rsid w:val="2CD812B0"/>
    <w:rsid w:val="2CD95759"/>
    <w:rsid w:val="2CDD35CF"/>
    <w:rsid w:val="2CDF6D6E"/>
    <w:rsid w:val="2CEF215B"/>
    <w:rsid w:val="2D012673"/>
    <w:rsid w:val="2D0A3299"/>
    <w:rsid w:val="2D0D2D89"/>
    <w:rsid w:val="2D0D4B37"/>
    <w:rsid w:val="2D0F08AF"/>
    <w:rsid w:val="2D0F2929"/>
    <w:rsid w:val="2D205BB7"/>
    <w:rsid w:val="2D241B62"/>
    <w:rsid w:val="2D3C65CE"/>
    <w:rsid w:val="2D4730D3"/>
    <w:rsid w:val="2D497F94"/>
    <w:rsid w:val="2D4A5D8B"/>
    <w:rsid w:val="2D4B0D1B"/>
    <w:rsid w:val="2D551498"/>
    <w:rsid w:val="2D597D7C"/>
    <w:rsid w:val="2D654973"/>
    <w:rsid w:val="2D666D38"/>
    <w:rsid w:val="2D6B02E7"/>
    <w:rsid w:val="2D6C3F53"/>
    <w:rsid w:val="2D6E40A6"/>
    <w:rsid w:val="2D7141F4"/>
    <w:rsid w:val="2D74205C"/>
    <w:rsid w:val="2D76092E"/>
    <w:rsid w:val="2D766B80"/>
    <w:rsid w:val="2D7F56FD"/>
    <w:rsid w:val="2D806606"/>
    <w:rsid w:val="2D811081"/>
    <w:rsid w:val="2D847281"/>
    <w:rsid w:val="2D8654A1"/>
    <w:rsid w:val="2D88240F"/>
    <w:rsid w:val="2D9F106A"/>
    <w:rsid w:val="2DA25926"/>
    <w:rsid w:val="2DA7653E"/>
    <w:rsid w:val="2DAA1B06"/>
    <w:rsid w:val="2DAA40D8"/>
    <w:rsid w:val="2DB11B2B"/>
    <w:rsid w:val="2DB80F46"/>
    <w:rsid w:val="2DBB4352"/>
    <w:rsid w:val="2DC859A1"/>
    <w:rsid w:val="2DCB1889"/>
    <w:rsid w:val="2DD21B9F"/>
    <w:rsid w:val="2DD23BAC"/>
    <w:rsid w:val="2DD35D80"/>
    <w:rsid w:val="2DD36C12"/>
    <w:rsid w:val="2DDD09AD"/>
    <w:rsid w:val="2DE20CEF"/>
    <w:rsid w:val="2DE735DA"/>
    <w:rsid w:val="2DF04B3D"/>
    <w:rsid w:val="2DF61A6F"/>
    <w:rsid w:val="2DFF6B75"/>
    <w:rsid w:val="2E0065CE"/>
    <w:rsid w:val="2E070284"/>
    <w:rsid w:val="2E073B77"/>
    <w:rsid w:val="2E077C93"/>
    <w:rsid w:val="2E204BEF"/>
    <w:rsid w:val="2E217873"/>
    <w:rsid w:val="2E263B66"/>
    <w:rsid w:val="2E277E7A"/>
    <w:rsid w:val="2E2E2FB7"/>
    <w:rsid w:val="2E300356"/>
    <w:rsid w:val="2E3413C6"/>
    <w:rsid w:val="2E354E3E"/>
    <w:rsid w:val="2E3B7332"/>
    <w:rsid w:val="2E4176CE"/>
    <w:rsid w:val="2E485D7D"/>
    <w:rsid w:val="2E53443E"/>
    <w:rsid w:val="2E580034"/>
    <w:rsid w:val="2E593A13"/>
    <w:rsid w:val="2E5B7B24"/>
    <w:rsid w:val="2E620224"/>
    <w:rsid w:val="2E627104"/>
    <w:rsid w:val="2E6C5AAD"/>
    <w:rsid w:val="2E6D7F83"/>
    <w:rsid w:val="2E7330BF"/>
    <w:rsid w:val="2E763918"/>
    <w:rsid w:val="2E825366"/>
    <w:rsid w:val="2E8A24CD"/>
    <w:rsid w:val="2E903C71"/>
    <w:rsid w:val="2E921785"/>
    <w:rsid w:val="2E9372BE"/>
    <w:rsid w:val="2E9633BE"/>
    <w:rsid w:val="2E976DAE"/>
    <w:rsid w:val="2E9A77AF"/>
    <w:rsid w:val="2E9D013C"/>
    <w:rsid w:val="2EA7310E"/>
    <w:rsid w:val="2EA83663"/>
    <w:rsid w:val="2EAB387A"/>
    <w:rsid w:val="2EBC05C2"/>
    <w:rsid w:val="2EC52085"/>
    <w:rsid w:val="2EC52D69"/>
    <w:rsid w:val="2EC658E5"/>
    <w:rsid w:val="2EC67693"/>
    <w:rsid w:val="2EC87765"/>
    <w:rsid w:val="2ECB4CA9"/>
    <w:rsid w:val="2ECB4FE2"/>
    <w:rsid w:val="2ECC1BB8"/>
    <w:rsid w:val="2ECF07FE"/>
    <w:rsid w:val="2ED7364E"/>
    <w:rsid w:val="2EE10029"/>
    <w:rsid w:val="2EE81E5B"/>
    <w:rsid w:val="2EE93382"/>
    <w:rsid w:val="2EF05A04"/>
    <w:rsid w:val="2EF9007F"/>
    <w:rsid w:val="2EFC1390"/>
    <w:rsid w:val="2F000DF7"/>
    <w:rsid w:val="2F0B754D"/>
    <w:rsid w:val="2F0C35AE"/>
    <w:rsid w:val="2F0E5ECE"/>
    <w:rsid w:val="2F120B2A"/>
    <w:rsid w:val="2F177EEF"/>
    <w:rsid w:val="2F1B08DB"/>
    <w:rsid w:val="2F1F6DA3"/>
    <w:rsid w:val="2F2B4124"/>
    <w:rsid w:val="2F2D14C0"/>
    <w:rsid w:val="2F2F55AF"/>
    <w:rsid w:val="2F397563"/>
    <w:rsid w:val="2F3D3A56"/>
    <w:rsid w:val="2F45118A"/>
    <w:rsid w:val="2F4773E5"/>
    <w:rsid w:val="2F4A4EE0"/>
    <w:rsid w:val="2F570024"/>
    <w:rsid w:val="2F570B40"/>
    <w:rsid w:val="2F594B25"/>
    <w:rsid w:val="2F595531"/>
    <w:rsid w:val="2F601896"/>
    <w:rsid w:val="2F640AC9"/>
    <w:rsid w:val="2F693540"/>
    <w:rsid w:val="2F6D3FB3"/>
    <w:rsid w:val="2F6D5D61"/>
    <w:rsid w:val="2F6F7878"/>
    <w:rsid w:val="2F7075FF"/>
    <w:rsid w:val="2F730857"/>
    <w:rsid w:val="2F7414D6"/>
    <w:rsid w:val="2F7E1D1C"/>
    <w:rsid w:val="2F8F5946"/>
    <w:rsid w:val="2F920F9E"/>
    <w:rsid w:val="2F9669C2"/>
    <w:rsid w:val="2FAA48BF"/>
    <w:rsid w:val="2FAC6B25"/>
    <w:rsid w:val="2FAF78CE"/>
    <w:rsid w:val="2FB965CA"/>
    <w:rsid w:val="2FCC0CD9"/>
    <w:rsid w:val="2FCD4A51"/>
    <w:rsid w:val="2FD430BA"/>
    <w:rsid w:val="2FDE6C5E"/>
    <w:rsid w:val="2FE51C60"/>
    <w:rsid w:val="2FE7755C"/>
    <w:rsid w:val="2FE778C1"/>
    <w:rsid w:val="2FEA115F"/>
    <w:rsid w:val="2FEC3129"/>
    <w:rsid w:val="2FF67B04"/>
    <w:rsid w:val="2FF904AC"/>
    <w:rsid w:val="2FFA6DF5"/>
    <w:rsid w:val="2FFE090E"/>
    <w:rsid w:val="300246FB"/>
    <w:rsid w:val="300E24C9"/>
    <w:rsid w:val="30190DFD"/>
    <w:rsid w:val="301B57BD"/>
    <w:rsid w:val="301D32E3"/>
    <w:rsid w:val="301F601F"/>
    <w:rsid w:val="30261DE9"/>
    <w:rsid w:val="30420F9B"/>
    <w:rsid w:val="3049232A"/>
    <w:rsid w:val="304D1595"/>
    <w:rsid w:val="304E7CB0"/>
    <w:rsid w:val="30536D05"/>
    <w:rsid w:val="30562A38"/>
    <w:rsid w:val="305F7D9F"/>
    <w:rsid w:val="306233EC"/>
    <w:rsid w:val="3066300C"/>
    <w:rsid w:val="30676C54"/>
    <w:rsid w:val="306B115D"/>
    <w:rsid w:val="306F34BD"/>
    <w:rsid w:val="306F6B65"/>
    <w:rsid w:val="30760C45"/>
    <w:rsid w:val="30847806"/>
    <w:rsid w:val="3086532C"/>
    <w:rsid w:val="308B22B5"/>
    <w:rsid w:val="3091782D"/>
    <w:rsid w:val="30944FF9"/>
    <w:rsid w:val="30987C52"/>
    <w:rsid w:val="30A43A04"/>
    <w:rsid w:val="30A62585"/>
    <w:rsid w:val="30A82846"/>
    <w:rsid w:val="30A9768F"/>
    <w:rsid w:val="30AB1586"/>
    <w:rsid w:val="30AB1A5E"/>
    <w:rsid w:val="30AD0B0B"/>
    <w:rsid w:val="30B04157"/>
    <w:rsid w:val="30B8125D"/>
    <w:rsid w:val="30B93464"/>
    <w:rsid w:val="30BB7023"/>
    <w:rsid w:val="30BF083E"/>
    <w:rsid w:val="30C35F0F"/>
    <w:rsid w:val="30D034A2"/>
    <w:rsid w:val="30E24E48"/>
    <w:rsid w:val="30E9688F"/>
    <w:rsid w:val="30F55EC1"/>
    <w:rsid w:val="30FF50DE"/>
    <w:rsid w:val="31020EF0"/>
    <w:rsid w:val="31046251"/>
    <w:rsid w:val="310532C2"/>
    <w:rsid w:val="3116114F"/>
    <w:rsid w:val="311961A0"/>
    <w:rsid w:val="311C64BD"/>
    <w:rsid w:val="311C67FF"/>
    <w:rsid w:val="311E5564"/>
    <w:rsid w:val="31277BD3"/>
    <w:rsid w:val="312863E3"/>
    <w:rsid w:val="31305298"/>
    <w:rsid w:val="31351D5F"/>
    <w:rsid w:val="313A6116"/>
    <w:rsid w:val="313C1E8F"/>
    <w:rsid w:val="313F372D"/>
    <w:rsid w:val="314239BA"/>
    <w:rsid w:val="31436D79"/>
    <w:rsid w:val="31556AAC"/>
    <w:rsid w:val="31602DEA"/>
    <w:rsid w:val="316513E5"/>
    <w:rsid w:val="31694DC5"/>
    <w:rsid w:val="316A1E7D"/>
    <w:rsid w:val="31705EE7"/>
    <w:rsid w:val="31853836"/>
    <w:rsid w:val="31857392"/>
    <w:rsid w:val="31877F1B"/>
    <w:rsid w:val="318B24CE"/>
    <w:rsid w:val="31921AAF"/>
    <w:rsid w:val="31975317"/>
    <w:rsid w:val="319D1C3B"/>
    <w:rsid w:val="31A16195"/>
    <w:rsid w:val="31A36B64"/>
    <w:rsid w:val="31A70F2E"/>
    <w:rsid w:val="31A7168E"/>
    <w:rsid w:val="31A765F5"/>
    <w:rsid w:val="31AF08B2"/>
    <w:rsid w:val="31B13D0E"/>
    <w:rsid w:val="31B71515"/>
    <w:rsid w:val="31C205E6"/>
    <w:rsid w:val="31CA3FFA"/>
    <w:rsid w:val="31CA4B31"/>
    <w:rsid w:val="31CC4000"/>
    <w:rsid w:val="31D04385"/>
    <w:rsid w:val="31DB09AB"/>
    <w:rsid w:val="31DF2096"/>
    <w:rsid w:val="31E0281A"/>
    <w:rsid w:val="31E02EF6"/>
    <w:rsid w:val="31E53335"/>
    <w:rsid w:val="31E77834"/>
    <w:rsid w:val="31F167D5"/>
    <w:rsid w:val="31F31802"/>
    <w:rsid w:val="31F943F2"/>
    <w:rsid w:val="31FD7870"/>
    <w:rsid w:val="32081D71"/>
    <w:rsid w:val="320F30FF"/>
    <w:rsid w:val="3210751C"/>
    <w:rsid w:val="32252D1E"/>
    <w:rsid w:val="32270449"/>
    <w:rsid w:val="322A618B"/>
    <w:rsid w:val="323136BD"/>
    <w:rsid w:val="323668DE"/>
    <w:rsid w:val="3239017C"/>
    <w:rsid w:val="323963CE"/>
    <w:rsid w:val="323B0398"/>
    <w:rsid w:val="323D5EBE"/>
    <w:rsid w:val="32417CB4"/>
    <w:rsid w:val="32425F85"/>
    <w:rsid w:val="32442198"/>
    <w:rsid w:val="32456B21"/>
    <w:rsid w:val="3256226A"/>
    <w:rsid w:val="325925CC"/>
    <w:rsid w:val="325A081E"/>
    <w:rsid w:val="325F136A"/>
    <w:rsid w:val="325F5E39"/>
    <w:rsid w:val="32627314"/>
    <w:rsid w:val="32655415"/>
    <w:rsid w:val="32710AE6"/>
    <w:rsid w:val="32737B32"/>
    <w:rsid w:val="32785148"/>
    <w:rsid w:val="327A0EC0"/>
    <w:rsid w:val="327B181C"/>
    <w:rsid w:val="327D275F"/>
    <w:rsid w:val="328A09D8"/>
    <w:rsid w:val="328B2DE8"/>
    <w:rsid w:val="329D695D"/>
    <w:rsid w:val="32AB5AC6"/>
    <w:rsid w:val="32AE7C54"/>
    <w:rsid w:val="32BA750F"/>
    <w:rsid w:val="32BD6FFF"/>
    <w:rsid w:val="32C043F9"/>
    <w:rsid w:val="32D74B5F"/>
    <w:rsid w:val="32E15616"/>
    <w:rsid w:val="32E26A66"/>
    <w:rsid w:val="32E60304"/>
    <w:rsid w:val="32E8569F"/>
    <w:rsid w:val="32EA1D95"/>
    <w:rsid w:val="32EE65C5"/>
    <w:rsid w:val="32F036B4"/>
    <w:rsid w:val="32F574F7"/>
    <w:rsid w:val="32F80037"/>
    <w:rsid w:val="32FC7B27"/>
    <w:rsid w:val="33000F93"/>
    <w:rsid w:val="33064502"/>
    <w:rsid w:val="331210F9"/>
    <w:rsid w:val="33122EA7"/>
    <w:rsid w:val="331473FF"/>
    <w:rsid w:val="331704BD"/>
    <w:rsid w:val="33196C24"/>
    <w:rsid w:val="33230261"/>
    <w:rsid w:val="332350B4"/>
    <w:rsid w:val="33301130"/>
    <w:rsid w:val="3337030F"/>
    <w:rsid w:val="3337290D"/>
    <w:rsid w:val="333A4D44"/>
    <w:rsid w:val="334119DE"/>
    <w:rsid w:val="33430AE1"/>
    <w:rsid w:val="334E5DC6"/>
    <w:rsid w:val="334E5EA9"/>
    <w:rsid w:val="3352118A"/>
    <w:rsid w:val="33550FE6"/>
    <w:rsid w:val="335602FC"/>
    <w:rsid w:val="335A2AA0"/>
    <w:rsid w:val="335E1ACB"/>
    <w:rsid w:val="33632873"/>
    <w:rsid w:val="336372A0"/>
    <w:rsid w:val="33661445"/>
    <w:rsid w:val="336819E3"/>
    <w:rsid w:val="33696AEA"/>
    <w:rsid w:val="336D27D3"/>
    <w:rsid w:val="336F654B"/>
    <w:rsid w:val="337B7169"/>
    <w:rsid w:val="337E3FFB"/>
    <w:rsid w:val="33854A63"/>
    <w:rsid w:val="33892417"/>
    <w:rsid w:val="3393505B"/>
    <w:rsid w:val="33A100AA"/>
    <w:rsid w:val="33A1247D"/>
    <w:rsid w:val="33A55B75"/>
    <w:rsid w:val="33AA1331"/>
    <w:rsid w:val="33AC346D"/>
    <w:rsid w:val="33AD0C6F"/>
    <w:rsid w:val="33AD0E22"/>
    <w:rsid w:val="33AE6EFE"/>
    <w:rsid w:val="33BA369E"/>
    <w:rsid w:val="33CD6DCE"/>
    <w:rsid w:val="33D04B10"/>
    <w:rsid w:val="33DE722D"/>
    <w:rsid w:val="33E02FA5"/>
    <w:rsid w:val="33E04D53"/>
    <w:rsid w:val="33E34843"/>
    <w:rsid w:val="33E374BD"/>
    <w:rsid w:val="33E8058A"/>
    <w:rsid w:val="33F538F6"/>
    <w:rsid w:val="33F702EF"/>
    <w:rsid w:val="33F85C46"/>
    <w:rsid w:val="33F97189"/>
    <w:rsid w:val="33FA00DD"/>
    <w:rsid w:val="34017ED6"/>
    <w:rsid w:val="34060532"/>
    <w:rsid w:val="340C5B48"/>
    <w:rsid w:val="340D7B12"/>
    <w:rsid w:val="34104798"/>
    <w:rsid w:val="341829E1"/>
    <w:rsid w:val="3422185A"/>
    <w:rsid w:val="34246F89"/>
    <w:rsid w:val="34256C0A"/>
    <w:rsid w:val="342D5ABF"/>
    <w:rsid w:val="34362BC5"/>
    <w:rsid w:val="344254CB"/>
    <w:rsid w:val="34535D1B"/>
    <w:rsid w:val="34582047"/>
    <w:rsid w:val="34621C0C"/>
    <w:rsid w:val="346258FD"/>
    <w:rsid w:val="346C65E7"/>
    <w:rsid w:val="346D6A14"/>
    <w:rsid w:val="34732836"/>
    <w:rsid w:val="34735BC7"/>
    <w:rsid w:val="34741917"/>
    <w:rsid w:val="34761214"/>
    <w:rsid w:val="347B137B"/>
    <w:rsid w:val="347C419D"/>
    <w:rsid w:val="347D6A46"/>
    <w:rsid w:val="34820FD9"/>
    <w:rsid w:val="348214A6"/>
    <w:rsid w:val="34823063"/>
    <w:rsid w:val="34863867"/>
    <w:rsid w:val="348D1F9A"/>
    <w:rsid w:val="34A50280"/>
    <w:rsid w:val="34AB5591"/>
    <w:rsid w:val="34B15A2E"/>
    <w:rsid w:val="34B61205"/>
    <w:rsid w:val="34BA1A48"/>
    <w:rsid w:val="34BF0E0C"/>
    <w:rsid w:val="34C16318"/>
    <w:rsid w:val="34D10B40"/>
    <w:rsid w:val="34D93DC2"/>
    <w:rsid w:val="34DD74E5"/>
    <w:rsid w:val="34EE16F2"/>
    <w:rsid w:val="34F10F51"/>
    <w:rsid w:val="34F23AD3"/>
    <w:rsid w:val="34FE2963"/>
    <w:rsid w:val="350031D3"/>
    <w:rsid w:val="35010E64"/>
    <w:rsid w:val="35042533"/>
    <w:rsid w:val="35092088"/>
    <w:rsid w:val="35111896"/>
    <w:rsid w:val="351138D5"/>
    <w:rsid w:val="3512677F"/>
    <w:rsid w:val="351275CF"/>
    <w:rsid w:val="35175734"/>
    <w:rsid w:val="351A7555"/>
    <w:rsid w:val="351D29EB"/>
    <w:rsid w:val="35230286"/>
    <w:rsid w:val="35262E10"/>
    <w:rsid w:val="352B0250"/>
    <w:rsid w:val="352C329C"/>
    <w:rsid w:val="3538296D"/>
    <w:rsid w:val="353A3CDC"/>
    <w:rsid w:val="353A4937"/>
    <w:rsid w:val="353B411E"/>
    <w:rsid w:val="353C245D"/>
    <w:rsid w:val="353D2B19"/>
    <w:rsid w:val="35405374"/>
    <w:rsid w:val="3546508A"/>
    <w:rsid w:val="354721FC"/>
    <w:rsid w:val="354C01C6"/>
    <w:rsid w:val="35507CB7"/>
    <w:rsid w:val="35527ED3"/>
    <w:rsid w:val="355827D3"/>
    <w:rsid w:val="35584DBD"/>
    <w:rsid w:val="355902E2"/>
    <w:rsid w:val="355A0B35"/>
    <w:rsid w:val="355C3F04"/>
    <w:rsid w:val="35676CEF"/>
    <w:rsid w:val="35832670"/>
    <w:rsid w:val="3583298C"/>
    <w:rsid w:val="35847960"/>
    <w:rsid w:val="359E4EC6"/>
    <w:rsid w:val="359F39D4"/>
    <w:rsid w:val="35A57B52"/>
    <w:rsid w:val="35A65B28"/>
    <w:rsid w:val="35A77DEC"/>
    <w:rsid w:val="35AB75E3"/>
    <w:rsid w:val="35AF428F"/>
    <w:rsid w:val="35B86D60"/>
    <w:rsid w:val="35BF6BEA"/>
    <w:rsid w:val="35CB6B83"/>
    <w:rsid w:val="35CE4807"/>
    <w:rsid w:val="35D07B67"/>
    <w:rsid w:val="35D24B6F"/>
    <w:rsid w:val="35D77D86"/>
    <w:rsid w:val="35DC6B72"/>
    <w:rsid w:val="35DF3832"/>
    <w:rsid w:val="35E30B2B"/>
    <w:rsid w:val="35E33EF8"/>
    <w:rsid w:val="35E46651"/>
    <w:rsid w:val="35E77E4F"/>
    <w:rsid w:val="35EA0A28"/>
    <w:rsid w:val="35EB79DF"/>
    <w:rsid w:val="35F25212"/>
    <w:rsid w:val="35F42120"/>
    <w:rsid w:val="35FC1BEC"/>
    <w:rsid w:val="35FC399A"/>
    <w:rsid w:val="3602474E"/>
    <w:rsid w:val="360437A1"/>
    <w:rsid w:val="360845B7"/>
    <w:rsid w:val="360867E3"/>
    <w:rsid w:val="360B4096"/>
    <w:rsid w:val="36105698"/>
    <w:rsid w:val="36116AEC"/>
    <w:rsid w:val="36164866"/>
    <w:rsid w:val="361701C8"/>
    <w:rsid w:val="36211726"/>
    <w:rsid w:val="36265447"/>
    <w:rsid w:val="36277950"/>
    <w:rsid w:val="362F5B1E"/>
    <w:rsid w:val="36301B0F"/>
    <w:rsid w:val="36362684"/>
    <w:rsid w:val="363650FE"/>
    <w:rsid w:val="363E0457"/>
    <w:rsid w:val="364165D0"/>
    <w:rsid w:val="364671D3"/>
    <w:rsid w:val="365732C7"/>
    <w:rsid w:val="366914FC"/>
    <w:rsid w:val="367D0F7F"/>
    <w:rsid w:val="367D6E01"/>
    <w:rsid w:val="368220F2"/>
    <w:rsid w:val="36835E6A"/>
    <w:rsid w:val="36883480"/>
    <w:rsid w:val="368A544A"/>
    <w:rsid w:val="368D4E24"/>
    <w:rsid w:val="36A04C6E"/>
    <w:rsid w:val="36A225C5"/>
    <w:rsid w:val="36AC3225"/>
    <w:rsid w:val="36AC3612"/>
    <w:rsid w:val="36AF0874"/>
    <w:rsid w:val="36B13C9C"/>
    <w:rsid w:val="36B65C3C"/>
    <w:rsid w:val="36B83D65"/>
    <w:rsid w:val="36BC0EA5"/>
    <w:rsid w:val="36BD75CE"/>
    <w:rsid w:val="36CD22AA"/>
    <w:rsid w:val="36D16B63"/>
    <w:rsid w:val="36D22AC4"/>
    <w:rsid w:val="36D35D0D"/>
    <w:rsid w:val="36D6068F"/>
    <w:rsid w:val="36DA1F2E"/>
    <w:rsid w:val="36E006C5"/>
    <w:rsid w:val="36E0150E"/>
    <w:rsid w:val="36E0506A"/>
    <w:rsid w:val="36E07F4D"/>
    <w:rsid w:val="36E61590"/>
    <w:rsid w:val="36F10B70"/>
    <w:rsid w:val="36F6488E"/>
    <w:rsid w:val="36F81861"/>
    <w:rsid w:val="37074CED"/>
    <w:rsid w:val="37116D42"/>
    <w:rsid w:val="37180CA8"/>
    <w:rsid w:val="37215DAE"/>
    <w:rsid w:val="372572D3"/>
    <w:rsid w:val="372E4027"/>
    <w:rsid w:val="37306696"/>
    <w:rsid w:val="37314DB7"/>
    <w:rsid w:val="3734577F"/>
    <w:rsid w:val="373732D2"/>
    <w:rsid w:val="373A0C1E"/>
    <w:rsid w:val="373D432A"/>
    <w:rsid w:val="37421C4F"/>
    <w:rsid w:val="37425D25"/>
    <w:rsid w:val="374C26CA"/>
    <w:rsid w:val="375515B4"/>
    <w:rsid w:val="375B2943"/>
    <w:rsid w:val="375F041E"/>
    <w:rsid w:val="37624BA8"/>
    <w:rsid w:val="376F09D3"/>
    <w:rsid w:val="37702892"/>
    <w:rsid w:val="37757EA8"/>
    <w:rsid w:val="377D0B0B"/>
    <w:rsid w:val="377F0D27"/>
    <w:rsid w:val="37825AA8"/>
    <w:rsid w:val="379245B6"/>
    <w:rsid w:val="37954E2F"/>
    <w:rsid w:val="37A20571"/>
    <w:rsid w:val="37AD13F0"/>
    <w:rsid w:val="37AE6F16"/>
    <w:rsid w:val="37AE71C3"/>
    <w:rsid w:val="37B6137A"/>
    <w:rsid w:val="37B7226F"/>
    <w:rsid w:val="37B73322"/>
    <w:rsid w:val="37B747BB"/>
    <w:rsid w:val="37C624B2"/>
    <w:rsid w:val="37CE7E2C"/>
    <w:rsid w:val="37CF2114"/>
    <w:rsid w:val="37D74FE0"/>
    <w:rsid w:val="37E82428"/>
    <w:rsid w:val="37ED5C91"/>
    <w:rsid w:val="37F21C57"/>
    <w:rsid w:val="37F772FC"/>
    <w:rsid w:val="37FE1C4C"/>
    <w:rsid w:val="38011815"/>
    <w:rsid w:val="38044D88"/>
    <w:rsid w:val="3806538F"/>
    <w:rsid w:val="380A30F5"/>
    <w:rsid w:val="380B69DF"/>
    <w:rsid w:val="38140CB7"/>
    <w:rsid w:val="3818066F"/>
    <w:rsid w:val="38190C12"/>
    <w:rsid w:val="381A3528"/>
    <w:rsid w:val="381A4E20"/>
    <w:rsid w:val="382764DF"/>
    <w:rsid w:val="382C6A40"/>
    <w:rsid w:val="382F44FB"/>
    <w:rsid w:val="382F62A9"/>
    <w:rsid w:val="3834566E"/>
    <w:rsid w:val="38376F8B"/>
    <w:rsid w:val="383C5906"/>
    <w:rsid w:val="38412005"/>
    <w:rsid w:val="3843483E"/>
    <w:rsid w:val="384635F3"/>
    <w:rsid w:val="38543F62"/>
    <w:rsid w:val="385C26A0"/>
    <w:rsid w:val="38606463"/>
    <w:rsid w:val="3861218A"/>
    <w:rsid w:val="38613F89"/>
    <w:rsid w:val="38653A79"/>
    <w:rsid w:val="386540D4"/>
    <w:rsid w:val="38675A43"/>
    <w:rsid w:val="38691813"/>
    <w:rsid w:val="38695DBE"/>
    <w:rsid w:val="386B1C84"/>
    <w:rsid w:val="386B544F"/>
    <w:rsid w:val="386D5023"/>
    <w:rsid w:val="387241DF"/>
    <w:rsid w:val="38776449"/>
    <w:rsid w:val="387802D1"/>
    <w:rsid w:val="387864DB"/>
    <w:rsid w:val="3885236D"/>
    <w:rsid w:val="388815A4"/>
    <w:rsid w:val="388D3CBA"/>
    <w:rsid w:val="388E7474"/>
    <w:rsid w:val="38991974"/>
    <w:rsid w:val="389C3213"/>
    <w:rsid w:val="38A00F55"/>
    <w:rsid w:val="38A65E3F"/>
    <w:rsid w:val="38AF744B"/>
    <w:rsid w:val="38B01D9A"/>
    <w:rsid w:val="38B21F68"/>
    <w:rsid w:val="38C04C49"/>
    <w:rsid w:val="38C369F1"/>
    <w:rsid w:val="38C42E95"/>
    <w:rsid w:val="38CF0D23"/>
    <w:rsid w:val="38D21249"/>
    <w:rsid w:val="38D75AB2"/>
    <w:rsid w:val="38D8249D"/>
    <w:rsid w:val="38D94467"/>
    <w:rsid w:val="38E31C93"/>
    <w:rsid w:val="38E35E11"/>
    <w:rsid w:val="38F31085"/>
    <w:rsid w:val="38F512A1"/>
    <w:rsid w:val="38F848ED"/>
    <w:rsid w:val="390239BE"/>
    <w:rsid w:val="3905700A"/>
    <w:rsid w:val="3906101F"/>
    <w:rsid w:val="39072D82"/>
    <w:rsid w:val="39092E0A"/>
    <w:rsid w:val="390E5EBF"/>
    <w:rsid w:val="3914633C"/>
    <w:rsid w:val="39162FC5"/>
    <w:rsid w:val="39221A5F"/>
    <w:rsid w:val="3927464D"/>
    <w:rsid w:val="392A6A70"/>
    <w:rsid w:val="39396CB4"/>
    <w:rsid w:val="395064D7"/>
    <w:rsid w:val="39513FFD"/>
    <w:rsid w:val="3952347B"/>
    <w:rsid w:val="39581582"/>
    <w:rsid w:val="395D0BF4"/>
    <w:rsid w:val="3962620A"/>
    <w:rsid w:val="396401D4"/>
    <w:rsid w:val="39646C55"/>
    <w:rsid w:val="39676EA5"/>
    <w:rsid w:val="397274A7"/>
    <w:rsid w:val="39763A64"/>
    <w:rsid w:val="397B72CC"/>
    <w:rsid w:val="397C0ED4"/>
    <w:rsid w:val="39831C60"/>
    <w:rsid w:val="398518F2"/>
    <w:rsid w:val="39870D17"/>
    <w:rsid w:val="398879CF"/>
    <w:rsid w:val="3989775B"/>
    <w:rsid w:val="39993D83"/>
    <w:rsid w:val="39A71E6F"/>
    <w:rsid w:val="39B414EE"/>
    <w:rsid w:val="39B527DE"/>
    <w:rsid w:val="39BA3CAC"/>
    <w:rsid w:val="39BA4298"/>
    <w:rsid w:val="39CA0222"/>
    <w:rsid w:val="39D1036D"/>
    <w:rsid w:val="39D1578E"/>
    <w:rsid w:val="39DC4084"/>
    <w:rsid w:val="39DC7D6B"/>
    <w:rsid w:val="39DD2AE2"/>
    <w:rsid w:val="39ED01CA"/>
    <w:rsid w:val="39ED0DB9"/>
    <w:rsid w:val="39FD5F33"/>
    <w:rsid w:val="3A00576A"/>
    <w:rsid w:val="3A045513"/>
    <w:rsid w:val="3A06134D"/>
    <w:rsid w:val="3A12378C"/>
    <w:rsid w:val="3A1439A9"/>
    <w:rsid w:val="3A15327D"/>
    <w:rsid w:val="3A166389"/>
    <w:rsid w:val="3A1936CB"/>
    <w:rsid w:val="3A282FB0"/>
    <w:rsid w:val="3A2A31CC"/>
    <w:rsid w:val="3A2B7996"/>
    <w:rsid w:val="3A330B56"/>
    <w:rsid w:val="3A4122C4"/>
    <w:rsid w:val="3A476BFD"/>
    <w:rsid w:val="3A476E05"/>
    <w:rsid w:val="3A4D1D3F"/>
    <w:rsid w:val="3A5169AB"/>
    <w:rsid w:val="3A5A3BC6"/>
    <w:rsid w:val="3A5F274A"/>
    <w:rsid w:val="3A686A7E"/>
    <w:rsid w:val="3A6F3410"/>
    <w:rsid w:val="3A727F87"/>
    <w:rsid w:val="3A76122C"/>
    <w:rsid w:val="3A7626D5"/>
    <w:rsid w:val="3A77477F"/>
    <w:rsid w:val="3A777A93"/>
    <w:rsid w:val="3A7B4C63"/>
    <w:rsid w:val="3A804602"/>
    <w:rsid w:val="3A8328DC"/>
    <w:rsid w:val="3A836438"/>
    <w:rsid w:val="3A850F31"/>
    <w:rsid w:val="3A853CFC"/>
    <w:rsid w:val="3A887EF3"/>
    <w:rsid w:val="3A922B1F"/>
    <w:rsid w:val="3A9643BE"/>
    <w:rsid w:val="3A992100"/>
    <w:rsid w:val="3A9B586C"/>
    <w:rsid w:val="3A9C399E"/>
    <w:rsid w:val="3A9E55CB"/>
    <w:rsid w:val="3AA10350"/>
    <w:rsid w:val="3AA12D62"/>
    <w:rsid w:val="3AA30888"/>
    <w:rsid w:val="3AAA1C17"/>
    <w:rsid w:val="3AB97A67"/>
    <w:rsid w:val="3ABF2659"/>
    <w:rsid w:val="3AC05766"/>
    <w:rsid w:val="3AC27F71"/>
    <w:rsid w:val="3AC54698"/>
    <w:rsid w:val="3AC70A1B"/>
    <w:rsid w:val="3AC84793"/>
    <w:rsid w:val="3ACC4BE5"/>
    <w:rsid w:val="3ACC7DDF"/>
    <w:rsid w:val="3ADF57BD"/>
    <w:rsid w:val="3AEA64B7"/>
    <w:rsid w:val="3AEE244B"/>
    <w:rsid w:val="3AF235BE"/>
    <w:rsid w:val="3AF3358A"/>
    <w:rsid w:val="3AFB06C4"/>
    <w:rsid w:val="3B084B8F"/>
    <w:rsid w:val="3B0B2724"/>
    <w:rsid w:val="3B0E42A9"/>
    <w:rsid w:val="3B101CF1"/>
    <w:rsid w:val="3B196D9D"/>
    <w:rsid w:val="3B1B01D6"/>
    <w:rsid w:val="3B225C51"/>
    <w:rsid w:val="3B2C4D22"/>
    <w:rsid w:val="3B3360B0"/>
    <w:rsid w:val="3B3A631B"/>
    <w:rsid w:val="3B3D2C57"/>
    <w:rsid w:val="3B3F449C"/>
    <w:rsid w:val="3B4B0D42"/>
    <w:rsid w:val="3B4E0C94"/>
    <w:rsid w:val="3B583526"/>
    <w:rsid w:val="3B5D325E"/>
    <w:rsid w:val="3B6444BC"/>
    <w:rsid w:val="3B66527F"/>
    <w:rsid w:val="3B693880"/>
    <w:rsid w:val="3B7F4E52"/>
    <w:rsid w:val="3B822B94"/>
    <w:rsid w:val="3B882057"/>
    <w:rsid w:val="3B8D00BE"/>
    <w:rsid w:val="3B8E17F9"/>
    <w:rsid w:val="3B96663F"/>
    <w:rsid w:val="3B985F13"/>
    <w:rsid w:val="3B9878E7"/>
    <w:rsid w:val="3B9E3F49"/>
    <w:rsid w:val="3BA532D3"/>
    <w:rsid w:val="3BAA3DCF"/>
    <w:rsid w:val="3BB07701"/>
    <w:rsid w:val="3BB47B5B"/>
    <w:rsid w:val="3BC25219"/>
    <w:rsid w:val="3BC767F9"/>
    <w:rsid w:val="3BD07FEC"/>
    <w:rsid w:val="3BD54D06"/>
    <w:rsid w:val="3BD60D4B"/>
    <w:rsid w:val="3BD63D64"/>
    <w:rsid w:val="3BD776DA"/>
    <w:rsid w:val="3BE23421"/>
    <w:rsid w:val="3BE64ED1"/>
    <w:rsid w:val="3BE92B6C"/>
    <w:rsid w:val="3BE96992"/>
    <w:rsid w:val="3BEE0229"/>
    <w:rsid w:val="3BF01D97"/>
    <w:rsid w:val="3BF8119C"/>
    <w:rsid w:val="3C030A77"/>
    <w:rsid w:val="3C0417FB"/>
    <w:rsid w:val="3C047A4D"/>
    <w:rsid w:val="3C070B8D"/>
    <w:rsid w:val="3C0802CE"/>
    <w:rsid w:val="3C0D1174"/>
    <w:rsid w:val="3C0E2679"/>
    <w:rsid w:val="3C0E4427"/>
    <w:rsid w:val="3C101EF8"/>
    <w:rsid w:val="3C1741A6"/>
    <w:rsid w:val="3C1A2C1F"/>
    <w:rsid w:val="3C291261"/>
    <w:rsid w:val="3C29483E"/>
    <w:rsid w:val="3C2974B3"/>
    <w:rsid w:val="3C355E58"/>
    <w:rsid w:val="3C395396"/>
    <w:rsid w:val="3C3B0AF7"/>
    <w:rsid w:val="3C406CD7"/>
    <w:rsid w:val="3C4340D1"/>
    <w:rsid w:val="3C4D4F50"/>
    <w:rsid w:val="3C4E6795"/>
    <w:rsid w:val="3C56625B"/>
    <w:rsid w:val="3C645C34"/>
    <w:rsid w:val="3C65056D"/>
    <w:rsid w:val="3C65139C"/>
    <w:rsid w:val="3C6E4EC6"/>
    <w:rsid w:val="3C794497"/>
    <w:rsid w:val="3C797AF3"/>
    <w:rsid w:val="3C7B6540"/>
    <w:rsid w:val="3C834E15"/>
    <w:rsid w:val="3C86610F"/>
    <w:rsid w:val="3C8666B4"/>
    <w:rsid w:val="3C923AA1"/>
    <w:rsid w:val="3C9568F7"/>
    <w:rsid w:val="3CA408E8"/>
    <w:rsid w:val="3CA52FDE"/>
    <w:rsid w:val="3CA8662A"/>
    <w:rsid w:val="3CB3037C"/>
    <w:rsid w:val="3CBE7614"/>
    <w:rsid w:val="3CC45CCC"/>
    <w:rsid w:val="3CCA47F2"/>
    <w:rsid w:val="3CD357C5"/>
    <w:rsid w:val="3CD613E9"/>
    <w:rsid w:val="3CDB07AE"/>
    <w:rsid w:val="3CDB668A"/>
    <w:rsid w:val="3CE04016"/>
    <w:rsid w:val="3CE15365"/>
    <w:rsid w:val="3CEC0C4B"/>
    <w:rsid w:val="3CF7785F"/>
    <w:rsid w:val="3CFB098C"/>
    <w:rsid w:val="3CFC6136"/>
    <w:rsid w:val="3D053F47"/>
    <w:rsid w:val="3D066DC4"/>
    <w:rsid w:val="3D0B5180"/>
    <w:rsid w:val="3D0B6828"/>
    <w:rsid w:val="3D0C0D4A"/>
    <w:rsid w:val="3D0E0B83"/>
    <w:rsid w:val="3D163594"/>
    <w:rsid w:val="3D1729DA"/>
    <w:rsid w:val="3D1837B0"/>
    <w:rsid w:val="3D1B607F"/>
    <w:rsid w:val="3D242F26"/>
    <w:rsid w:val="3D315477"/>
    <w:rsid w:val="3D3404E4"/>
    <w:rsid w:val="3D4103E4"/>
    <w:rsid w:val="3D4F2F6F"/>
    <w:rsid w:val="3D4F538F"/>
    <w:rsid w:val="3D5A775D"/>
    <w:rsid w:val="3D5B111A"/>
    <w:rsid w:val="3D6D0770"/>
    <w:rsid w:val="3D7529B0"/>
    <w:rsid w:val="3D7824A0"/>
    <w:rsid w:val="3D7F3E28"/>
    <w:rsid w:val="3D842AB7"/>
    <w:rsid w:val="3D873749"/>
    <w:rsid w:val="3D891FB8"/>
    <w:rsid w:val="3D8E52AA"/>
    <w:rsid w:val="3D917A02"/>
    <w:rsid w:val="3D934BE4"/>
    <w:rsid w:val="3D9372DA"/>
    <w:rsid w:val="3D9B4DCE"/>
    <w:rsid w:val="3D9F78E8"/>
    <w:rsid w:val="3DA6700D"/>
    <w:rsid w:val="3DAF5796"/>
    <w:rsid w:val="3DB15560"/>
    <w:rsid w:val="3DB232F4"/>
    <w:rsid w:val="3DB42DAD"/>
    <w:rsid w:val="3DBA6615"/>
    <w:rsid w:val="3DC94978"/>
    <w:rsid w:val="3DCE49C4"/>
    <w:rsid w:val="3DD671C7"/>
    <w:rsid w:val="3DDD4C72"/>
    <w:rsid w:val="3DE73182"/>
    <w:rsid w:val="3DEA337D"/>
    <w:rsid w:val="3DED1853"/>
    <w:rsid w:val="3DFA2EB5"/>
    <w:rsid w:val="3DFB432B"/>
    <w:rsid w:val="3DFD2C80"/>
    <w:rsid w:val="3DFE0FBD"/>
    <w:rsid w:val="3DFF0717"/>
    <w:rsid w:val="3E04706D"/>
    <w:rsid w:val="3E0755D2"/>
    <w:rsid w:val="3E0B0C1F"/>
    <w:rsid w:val="3E0C2BE9"/>
    <w:rsid w:val="3E0E6961"/>
    <w:rsid w:val="3E0F3C36"/>
    <w:rsid w:val="3E1B735B"/>
    <w:rsid w:val="3E1C6301"/>
    <w:rsid w:val="3E247F32"/>
    <w:rsid w:val="3E2579B5"/>
    <w:rsid w:val="3E285C74"/>
    <w:rsid w:val="3E306B73"/>
    <w:rsid w:val="3E33483D"/>
    <w:rsid w:val="3E361BB6"/>
    <w:rsid w:val="3E3B4F4B"/>
    <w:rsid w:val="3E3B796C"/>
    <w:rsid w:val="3E3C2D44"/>
    <w:rsid w:val="3E3F4D6C"/>
    <w:rsid w:val="3E400AD9"/>
    <w:rsid w:val="3E425927"/>
    <w:rsid w:val="3E4834DE"/>
    <w:rsid w:val="3E4F28BB"/>
    <w:rsid w:val="3E512C07"/>
    <w:rsid w:val="3E566B98"/>
    <w:rsid w:val="3E587BDC"/>
    <w:rsid w:val="3E587C95"/>
    <w:rsid w:val="3E5C147A"/>
    <w:rsid w:val="3E5F0F6A"/>
    <w:rsid w:val="3E6B5A1B"/>
    <w:rsid w:val="3E704F26"/>
    <w:rsid w:val="3E790570"/>
    <w:rsid w:val="3E7964D0"/>
    <w:rsid w:val="3E7C4A35"/>
    <w:rsid w:val="3E8567C1"/>
    <w:rsid w:val="3E8D48FA"/>
    <w:rsid w:val="3E9055C8"/>
    <w:rsid w:val="3E9949B0"/>
    <w:rsid w:val="3E9D053F"/>
    <w:rsid w:val="3EA01CAF"/>
    <w:rsid w:val="3EA60687"/>
    <w:rsid w:val="3EAD1CD6"/>
    <w:rsid w:val="3EAF73F5"/>
    <w:rsid w:val="3EB37B0C"/>
    <w:rsid w:val="3EBD32F4"/>
    <w:rsid w:val="3EC62D97"/>
    <w:rsid w:val="3EC87D98"/>
    <w:rsid w:val="3EC924E2"/>
    <w:rsid w:val="3ECB79D6"/>
    <w:rsid w:val="3ED43706"/>
    <w:rsid w:val="3ED834A3"/>
    <w:rsid w:val="3EE37DED"/>
    <w:rsid w:val="3EE4099B"/>
    <w:rsid w:val="3EE44F27"/>
    <w:rsid w:val="3EE6168C"/>
    <w:rsid w:val="3EF73BB4"/>
    <w:rsid w:val="3EF75647"/>
    <w:rsid w:val="3EFB0C93"/>
    <w:rsid w:val="3EFC2C5D"/>
    <w:rsid w:val="3F015F57"/>
    <w:rsid w:val="3F033FEC"/>
    <w:rsid w:val="3F035713"/>
    <w:rsid w:val="3F0F2990"/>
    <w:rsid w:val="3F141D55"/>
    <w:rsid w:val="3F1955BD"/>
    <w:rsid w:val="3F1B7EF4"/>
    <w:rsid w:val="3F1E443A"/>
    <w:rsid w:val="3F1E6FCE"/>
    <w:rsid w:val="3F247041"/>
    <w:rsid w:val="3F2C3542"/>
    <w:rsid w:val="3F3C2875"/>
    <w:rsid w:val="3F4168C2"/>
    <w:rsid w:val="3F43088C"/>
    <w:rsid w:val="3F4A39D4"/>
    <w:rsid w:val="3F4E11BA"/>
    <w:rsid w:val="3F52287D"/>
    <w:rsid w:val="3F532126"/>
    <w:rsid w:val="3F535C5C"/>
    <w:rsid w:val="3F584337"/>
    <w:rsid w:val="3F59020D"/>
    <w:rsid w:val="3F5E56C6"/>
    <w:rsid w:val="3F6324C8"/>
    <w:rsid w:val="3F636838"/>
    <w:rsid w:val="3F6668EF"/>
    <w:rsid w:val="3F795547"/>
    <w:rsid w:val="3F80388E"/>
    <w:rsid w:val="3F854A01"/>
    <w:rsid w:val="3F9678E8"/>
    <w:rsid w:val="3F9A4950"/>
    <w:rsid w:val="3F9B2DCE"/>
    <w:rsid w:val="3FA255B3"/>
    <w:rsid w:val="3FA37043"/>
    <w:rsid w:val="3FA4132B"/>
    <w:rsid w:val="3FA56C74"/>
    <w:rsid w:val="3FAF4029"/>
    <w:rsid w:val="3FB94E95"/>
    <w:rsid w:val="3FC56627"/>
    <w:rsid w:val="3FDF0A8C"/>
    <w:rsid w:val="3FDF6195"/>
    <w:rsid w:val="3FE45BCB"/>
    <w:rsid w:val="3FF004C9"/>
    <w:rsid w:val="3FFA0F4B"/>
    <w:rsid w:val="3FFE3893"/>
    <w:rsid w:val="40026051"/>
    <w:rsid w:val="400E2C48"/>
    <w:rsid w:val="4010076E"/>
    <w:rsid w:val="40132A12"/>
    <w:rsid w:val="4021297B"/>
    <w:rsid w:val="40324FDC"/>
    <w:rsid w:val="40364F60"/>
    <w:rsid w:val="40381640"/>
    <w:rsid w:val="40396812"/>
    <w:rsid w:val="403C539B"/>
    <w:rsid w:val="4041567A"/>
    <w:rsid w:val="40464190"/>
    <w:rsid w:val="404F5C36"/>
    <w:rsid w:val="40503261"/>
    <w:rsid w:val="40520EC7"/>
    <w:rsid w:val="4061721C"/>
    <w:rsid w:val="406960D0"/>
    <w:rsid w:val="406E4777"/>
    <w:rsid w:val="40771090"/>
    <w:rsid w:val="40866C82"/>
    <w:rsid w:val="408C3EDA"/>
    <w:rsid w:val="40923879"/>
    <w:rsid w:val="4093314D"/>
    <w:rsid w:val="409A17EE"/>
    <w:rsid w:val="40A9471F"/>
    <w:rsid w:val="40B43E6A"/>
    <w:rsid w:val="40B90E06"/>
    <w:rsid w:val="40BC0EDB"/>
    <w:rsid w:val="40BE641C"/>
    <w:rsid w:val="40C854ED"/>
    <w:rsid w:val="40D03A0C"/>
    <w:rsid w:val="40D519B8"/>
    <w:rsid w:val="40D5458F"/>
    <w:rsid w:val="40E045E4"/>
    <w:rsid w:val="40E62000"/>
    <w:rsid w:val="40F00849"/>
    <w:rsid w:val="40FE0FE1"/>
    <w:rsid w:val="410D1152"/>
    <w:rsid w:val="411132BD"/>
    <w:rsid w:val="41287D39"/>
    <w:rsid w:val="41456B3D"/>
    <w:rsid w:val="414601C0"/>
    <w:rsid w:val="41466412"/>
    <w:rsid w:val="41474664"/>
    <w:rsid w:val="414972FD"/>
    <w:rsid w:val="414B7C26"/>
    <w:rsid w:val="414F176A"/>
    <w:rsid w:val="41541F12"/>
    <w:rsid w:val="41546D80"/>
    <w:rsid w:val="415E73D5"/>
    <w:rsid w:val="41605419"/>
    <w:rsid w:val="416173C4"/>
    <w:rsid w:val="41625218"/>
    <w:rsid w:val="41656898"/>
    <w:rsid w:val="416D399E"/>
    <w:rsid w:val="41764BB4"/>
    <w:rsid w:val="417F4B94"/>
    <w:rsid w:val="41892E5E"/>
    <w:rsid w:val="418A6720"/>
    <w:rsid w:val="418F600A"/>
    <w:rsid w:val="41990C37"/>
    <w:rsid w:val="419F32CD"/>
    <w:rsid w:val="41A5138A"/>
    <w:rsid w:val="41B31CF9"/>
    <w:rsid w:val="41B53D89"/>
    <w:rsid w:val="41B82522"/>
    <w:rsid w:val="41BA21D5"/>
    <w:rsid w:val="41C05B83"/>
    <w:rsid w:val="41C349E0"/>
    <w:rsid w:val="41C35E9B"/>
    <w:rsid w:val="41C440BF"/>
    <w:rsid w:val="41C47422"/>
    <w:rsid w:val="41C836BC"/>
    <w:rsid w:val="41D659E7"/>
    <w:rsid w:val="41DA2951"/>
    <w:rsid w:val="41DD54EE"/>
    <w:rsid w:val="41E41EB2"/>
    <w:rsid w:val="41E9396D"/>
    <w:rsid w:val="41EE0F83"/>
    <w:rsid w:val="41F623E0"/>
    <w:rsid w:val="41F67393"/>
    <w:rsid w:val="41F83BB0"/>
    <w:rsid w:val="41F8593B"/>
    <w:rsid w:val="41F9580A"/>
    <w:rsid w:val="4200138B"/>
    <w:rsid w:val="42022339"/>
    <w:rsid w:val="42072045"/>
    <w:rsid w:val="42092942"/>
    <w:rsid w:val="42095582"/>
    <w:rsid w:val="420F2CA7"/>
    <w:rsid w:val="420F6AF5"/>
    <w:rsid w:val="421107CE"/>
    <w:rsid w:val="42220C2D"/>
    <w:rsid w:val="422932C0"/>
    <w:rsid w:val="422B5D33"/>
    <w:rsid w:val="422E40B0"/>
    <w:rsid w:val="42336996"/>
    <w:rsid w:val="42341081"/>
    <w:rsid w:val="42381EAE"/>
    <w:rsid w:val="42395067"/>
    <w:rsid w:val="42470693"/>
    <w:rsid w:val="424C5CAA"/>
    <w:rsid w:val="424D7EEF"/>
    <w:rsid w:val="4253296F"/>
    <w:rsid w:val="425A3C21"/>
    <w:rsid w:val="42647F5B"/>
    <w:rsid w:val="426D00FA"/>
    <w:rsid w:val="42725A4C"/>
    <w:rsid w:val="42823081"/>
    <w:rsid w:val="428A4F54"/>
    <w:rsid w:val="428C5ED3"/>
    <w:rsid w:val="428D6F03"/>
    <w:rsid w:val="428E1E1E"/>
    <w:rsid w:val="42905B96"/>
    <w:rsid w:val="42950144"/>
    <w:rsid w:val="429549D9"/>
    <w:rsid w:val="429733C9"/>
    <w:rsid w:val="42976F25"/>
    <w:rsid w:val="42984A4B"/>
    <w:rsid w:val="42A129E1"/>
    <w:rsid w:val="42A27D35"/>
    <w:rsid w:val="42AE20D4"/>
    <w:rsid w:val="42B211EC"/>
    <w:rsid w:val="42B86E9B"/>
    <w:rsid w:val="42BA0E65"/>
    <w:rsid w:val="42BF4BC0"/>
    <w:rsid w:val="42C526A4"/>
    <w:rsid w:val="42D177DE"/>
    <w:rsid w:val="42D17F20"/>
    <w:rsid w:val="42D40179"/>
    <w:rsid w:val="42D75573"/>
    <w:rsid w:val="42DD6902"/>
    <w:rsid w:val="42DE4B54"/>
    <w:rsid w:val="42E41D08"/>
    <w:rsid w:val="42EE1632"/>
    <w:rsid w:val="42F13381"/>
    <w:rsid w:val="42F97FB9"/>
    <w:rsid w:val="42FA74B4"/>
    <w:rsid w:val="42FE6FA4"/>
    <w:rsid w:val="43072812"/>
    <w:rsid w:val="43080135"/>
    <w:rsid w:val="43085C34"/>
    <w:rsid w:val="43106CD7"/>
    <w:rsid w:val="43134D1D"/>
    <w:rsid w:val="431B5A0C"/>
    <w:rsid w:val="431B6990"/>
    <w:rsid w:val="43226128"/>
    <w:rsid w:val="432D59B5"/>
    <w:rsid w:val="433771D7"/>
    <w:rsid w:val="433D2782"/>
    <w:rsid w:val="433D44BC"/>
    <w:rsid w:val="433E7E99"/>
    <w:rsid w:val="434768FE"/>
    <w:rsid w:val="434C41B3"/>
    <w:rsid w:val="4350533E"/>
    <w:rsid w:val="435272F0"/>
    <w:rsid w:val="4353028E"/>
    <w:rsid w:val="435A6F40"/>
    <w:rsid w:val="435D4C1C"/>
    <w:rsid w:val="435E3EE6"/>
    <w:rsid w:val="43606AC5"/>
    <w:rsid w:val="43607C5E"/>
    <w:rsid w:val="43635059"/>
    <w:rsid w:val="43652B30"/>
    <w:rsid w:val="43664B49"/>
    <w:rsid w:val="436721C3"/>
    <w:rsid w:val="436C3956"/>
    <w:rsid w:val="436D243D"/>
    <w:rsid w:val="43780C2C"/>
    <w:rsid w:val="43817561"/>
    <w:rsid w:val="43851473"/>
    <w:rsid w:val="43995B7E"/>
    <w:rsid w:val="43A2436B"/>
    <w:rsid w:val="43A55671"/>
    <w:rsid w:val="43B027A5"/>
    <w:rsid w:val="43B753A5"/>
    <w:rsid w:val="43BB6827"/>
    <w:rsid w:val="43C24475"/>
    <w:rsid w:val="43C31F9B"/>
    <w:rsid w:val="43C92CBE"/>
    <w:rsid w:val="43CE47D0"/>
    <w:rsid w:val="43D15585"/>
    <w:rsid w:val="43D441A9"/>
    <w:rsid w:val="43D63A7D"/>
    <w:rsid w:val="43DE0B83"/>
    <w:rsid w:val="43E12304"/>
    <w:rsid w:val="43EA146E"/>
    <w:rsid w:val="43EA6644"/>
    <w:rsid w:val="43F03412"/>
    <w:rsid w:val="43F33DE5"/>
    <w:rsid w:val="44036616"/>
    <w:rsid w:val="44044A8E"/>
    <w:rsid w:val="44071E88"/>
    <w:rsid w:val="440F482D"/>
    <w:rsid w:val="44163079"/>
    <w:rsid w:val="4416656F"/>
    <w:rsid w:val="44182F20"/>
    <w:rsid w:val="44273BE5"/>
    <w:rsid w:val="442B2615"/>
    <w:rsid w:val="442E38B9"/>
    <w:rsid w:val="44327DA0"/>
    <w:rsid w:val="443D549C"/>
    <w:rsid w:val="443D58AA"/>
    <w:rsid w:val="44417989"/>
    <w:rsid w:val="44463BE1"/>
    <w:rsid w:val="444949C5"/>
    <w:rsid w:val="444A7498"/>
    <w:rsid w:val="44550E45"/>
    <w:rsid w:val="44592E59"/>
    <w:rsid w:val="445F10EC"/>
    <w:rsid w:val="445F2F69"/>
    <w:rsid w:val="445F3A72"/>
    <w:rsid w:val="446F3BCC"/>
    <w:rsid w:val="44742CA9"/>
    <w:rsid w:val="44745536"/>
    <w:rsid w:val="447B541F"/>
    <w:rsid w:val="44806045"/>
    <w:rsid w:val="44837AB8"/>
    <w:rsid w:val="4484172B"/>
    <w:rsid w:val="448535BE"/>
    <w:rsid w:val="44916CC1"/>
    <w:rsid w:val="4492209A"/>
    <w:rsid w:val="44953CD6"/>
    <w:rsid w:val="449D537A"/>
    <w:rsid w:val="44A21BB1"/>
    <w:rsid w:val="44A44004"/>
    <w:rsid w:val="44B07693"/>
    <w:rsid w:val="44B10046"/>
    <w:rsid w:val="44B40F84"/>
    <w:rsid w:val="44B41888"/>
    <w:rsid w:val="44BA3D81"/>
    <w:rsid w:val="44C22253"/>
    <w:rsid w:val="44CC0583"/>
    <w:rsid w:val="44CE6E4A"/>
    <w:rsid w:val="44D202E1"/>
    <w:rsid w:val="44D41A85"/>
    <w:rsid w:val="44D65552"/>
    <w:rsid w:val="44DC1567"/>
    <w:rsid w:val="44DD0E3B"/>
    <w:rsid w:val="44E645A9"/>
    <w:rsid w:val="44E70298"/>
    <w:rsid w:val="44E73A68"/>
    <w:rsid w:val="44EB79FC"/>
    <w:rsid w:val="44ED5522"/>
    <w:rsid w:val="44EE06A6"/>
    <w:rsid w:val="44EF26F9"/>
    <w:rsid w:val="44F85EE6"/>
    <w:rsid w:val="44FE21F3"/>
    <w:rsid w:val="450F36EA"/>
    <w:rsid w:val="451505D5"/>
    <w:rsid w:val="4515141C"/>
    <w:rsid w:val="45154A79"/>
    <w:rsid w:val="4519716D"/>
    <w:rsid w:val="451B7394"/>
    <w:rsid w:val="451E1374"/>
    <w:rsid w:val="452A335C"/>
    <w:rsid w:val="45387C09"/>
    <w:rsid w:val="453C3DB3"/>
    <w:rsid w:val="453F0F59"/>
    <w:rsid w:val="454113CA"/>
    <w:rsid w:val="455040E6"/>
    <w:rsid w:val="4557044F"/>
    <w:rsid w:val="45582520"/>
    <w:rsid w:val="45667282"/>
    <w:rsid w:val="45677177"/>
    <w:rsid w:val="456978F4"/>
    <w:rsid w:val="457E43CC"/>
    <w:rsid w:val="457E4CC3"/>
    <w:rsid w:val="45800144"/>
    <w:rsid w:val="45844552"/>
    <w:rsid w:val="45855547"/>
    <w:rsid w:val="4585575A"/>
    <w:rsid w:val="4588349D"/>
    <w:rsid w:val="458A221C"/>
    <w:rsid w:val="458B4C95"/>
    <w:rsid w:val="458D5981"/>
    <w:rsid w:val="4590612B"/>
    <w:rsid w:val="45912351"/>
    <w:rsid w:val="4599434E"/>
    <w:rsid w:val="45A55B9B"/>
    <w:rsid w:val="45A858ED"/>
    <w:rsid w:val="45BC676B"/>
    <w:rsid w:val="45D55761"/>
    <w:rsid w:val="45D85A64"/>
    <w:rsid w:val="45DD7344"/>
    <w:rsid w:val="45E053CB"/>
    <w:rsid w:val="45E306D3"/>
    <w:rsid w:val="45EA7CB3"/>
    <w:rsid w:val="45EC21FE"/>
    <w:rsid w:val="45F14B9E"/>
    <w:rsid w:val="45F6394A"/>
    <w:rsid w:val="45F702D3"/>
    <w:rsid w:val="45FB4166"/>
    <w:rsid w:val="46081EE8"/>
    <w:rsid w:val="46131F38"/>
    <w:rsid w:val="46144D30"/>
    <w:rsid w:val="461A2060"/>
    <w:rsid w:val="461F6271"/>
    <w:rsid w:val="462E487B"/>
    <w:rsid w:val="46366A55"/>
    <w:rsid w:val="464F181C"/>
    <w:rsid w:val="4655708C"/>
    <w:rsid w:val="46592743"/>
    <w:rsid w:val="465E57CF"/>
    <w:rsid w:val="46653CEC"/>
    <w:rsid w:val="46671304"/>
    <w:rsid w:val="466F7DC4"/>
    <w:rsid w:val="46753A21"/>
    <w:rsid w:val="467C1271"/>
    <w:rsid w:val="467D0B27"/>
    <w:rsid w:val="467D43D1"/>
    <w:rsid w:val="46804174"/>
    <w:rsid w:val="468377A8"/>
    <w:rsid w:val="468E6A46"/>
    <w:rsid w:val="46932667"/>
    <w:rsid w:val="469F5593"/>
    <w:rsid w:val="46A41C10"/>
    <w:rsid w:val="46A475BE"/>
    <w:rsid w:val="46A55988"/>
    <w:rsid w:val="46A71700"/>
    <w:rsid w:val="46AB2E40"/>
    <w:rsid w:val="46B11DF1"/>
    <w:rsid w:val="46B1257F"/>
    <w:rsid w:val="46B16FCD"/>
    <w:rsid w:val="46BA1434"/>
    <w:rsid w:val="46D1677D"/>
    <w:rsid w:val="46EC3A4E"/>
    <w:rsid w:val="46FB04BB"/>
    <w:rsid w:val="46FC1A4C"/>
    <w:rsid w:val="46FC4D11"/>
    <w:rsid w:val="47003C8C"/>
    <w:rsid w:val="47004189"/>
    <w:rsid w:val="470C3AC9"/>
    <w:rsid w:val="470E59CC"/>
    <w:rsid w:val="47171ECF"/>
    <w:rsid w:val="471A45C8"/>
    <w:rsid w:val="471C20EE"/>
    <w:rsid w:val="471E2247"/>
    <w:rsid w:val="47215957"/>
    <w:rsid w:val="472A1DE0"/>
    <w:rsid w:val="472D42FC"/>
    <w:rsid w:val="473016F6"/>
    <w:rsid w:val="473860EE"/>
    <w:rsid w:val="473F5DDD"/>
    <w:rsid w:val="474332E3"/>
    <w:rsid w:val="47456CD0"/>
    <w:rsid w:val="475140C4"/>
    <w:rsid w:val="4755115C"/>
    <w:rsid w:val="47633879"/>
    <w:rsid w:val="4764206C"/>
    <w:rsid w:val="476C6422"/>
    <w:rsid w:val="476D25D3"/>
    <w:rsid w:val="47766280"/>
    <w:rsid w:val="477A6E15"/>
    <w:rsid w:val="47863A0C"/>
    <w:rsid w:val="478657BA"/>
    <w:rsid w:val="478D6B48"/>
    <w:rsid w:val="478F28C0"/>
    <w:rsid w:val="47AB54F0"/>
    <w:rsid w:val="47B83B92"/>
    <w:rsid w:val="47C3256A"/>
    <w:rsid w:val="47D6229D"/>
    <w:rsid w:val="47DB5B06"/>
    <w:rsid w:val="47DE1152"/>
    <w:rsid w:val="47E26E94"/>
    <w:rsid w:val="47E744AA"/>
    <w:rsid w:val="47EA3F9B"/>
    <w:rsid w:val="47F66AEE"/>
    <w:rsid w:val="47F870D9"/>
    <w:rsid w:val="47FB1D04"/>
    <w:rsid w:val="47FE17F4"/>
    <w:rsid w:val="47FE37AF"/>
    <w:rsid w:val="47FF4BB8"/>
    <w:rsid w:val="48002054"/>
    <w:rsid w:val="4800419B"/>
    <w:rsid w:val="48042AB3"/>
    <w:rsid w:val="48073570"/>
    <w:rsid w:val="48081689"/>
    <w:rsid w:val="48082673"/>
    <w:rsid w:val="480D4102"/>
    <w:rsid w:val="480F755D"/>
    <w:rsid w:val="4818290E"/>
    <w:rsid w:val="48184892"/>
    <w:rsid w:val="4820176A"/>
    <w:rsid w:val="48254FD3"/>
    <w:rsid w:val="48263C6E"/>
    <w:rsid w:val="482A083B"/>
    <w:rsid w:val="48362D3C"/>
    <w:rsid w:val="48401E0D"/>
    <w:rsid w:val="484441E1"/>
    <w:rsid w:val="48511B4B"/>
    <w:rsid w:val="48580F04"/>
    <w:rsid w:val="485C74FB"/>
    <w:rsid w:val="48634DB6"/>
    <w:rsid w:val="486D24D6"/>
    <w:rsid w:val="486D5676"/>
    <w:rsid w:val="4872278C"/>
    <w:rsid w:val="48732184"/>
    <w:rsid w:val="48740B49"/>
    <w:rsid w:val="487F2935"/>
    <w:rsid w:val="488258B7"/>
    <w:rsid w:val="48831CF9"/>
    <w:rsid w:val="488D6822"/>
    <w:rsid w:val="488E1949"/>
    <w:rsid w:val="48911496"/>
    <w:rsid w:val="48981C49"/>
    <w:rsid w:val="489D725F"/>
    <w:rsid w:val="48A42E12"/>
    <w:rsid w:val="48A87A57"/>
    <w:rsid w:val="48A91760"/>
    <w:rsid w:val="48B93B23"/>
    <w:rsid w:val="48C742DC"/>
    <w:rsid w:val="48D5496B"/>
    <w:rsid w:val="48D93A13"/>
    <w:rsid w:val="48DB38E3"/>
    <w:rsid w:val="48DC6BB8"/>
    <w:rsid w:val="48E257A9"/>
    <w:rsid w:val="48F36ECE"/>
    <w:rsid w:val="48FF75D2"/>
    <w:rsid w:val="49033877"/>
    <w:rsid w:val="49064E04"/>
    <w:rsid w:val="4907054C"/>
    <w:rsid w:val="49113EE5"/>
    <w:rsid w:val="4913307D"/>
    <w:rsid w:val="4919199A"/>
    <w:rsid w:val="491E7603"/>
    <w:rsid w:val="49264CFE"/>
    <w:rsid w:val="492B6619"/>
    <w:rsid w:val="492E50F9"/>
    <w:rsid w:val="493B39EC"/>
    <w:rsid w:val="493D0735"/>
    <w:rsid w:val="49431BB4"/>
    <w:rsid w:val="494633B0"/>
    <w:rsid w:val="4947157F"/>
    <w:rsid w:val="49490E9D"/>
    <w:rsid w:val="494971A9"/>
    <w:rsid w:val="4954017C"/>
    <w:rsid w:val="49544782"/>
    <w:rsid w:val="495A5D3D"/>
    <w:rsid w:val="4962490E"/>
    <w:rsid w:val="49632A67"/>
    <w:rsid w:val="49635DB3"/>
    <w:rsid w:val="49652C7D"/>
    <w:rsid w:val="49696660"/>
    <w:rsid w:val="49705551"/>
    <w:rsid w:val="49724248"/>
    <w:rsid w:val="49777F90"/>
    <w:rsid w:val="497A3D4B"/>
    <w:rsid w:val="497C0DC1"/>
    <w:rsid w:val="49836455"/>
    <w:rsid w:val="49845D29"/>
    <w:rsid w:val="4989380B"/>
    <w:rsid w:val="498C5DCF"/>
    <w:rsid w:val="4995680C"/>
    <w:rsid w:val="499C0B00"/>
    <w:rsid w:val="499C7517"/>
    <w:rsid w:val="499D7D9D"/>
    <w:rsid w:val="499F0DB5"/>
    <w:rsid w:val="49A81A17"/>
    <w:rsid w:val="49A95790"/>
    <w:rsid w:val="49AB5596"/>
    <w:rsid w:val="49B303BC"/>
    <w:rsid w:val="49B316E8"/>
    <w:rsid w:val="49B74350"/>
    <w:rsid w:val="49B9577F"/>
    <w:rsid w:val="49C0578E"/>
    <w:rsid w:val="49C4058B"/>
    <w:rsid w:val="49C425C9"/>
    <w:rsid w:val="49CA4084"/>
    <w:rsid w:val="49CE379C"/>
    <w:rsid w:val="49E36EF3"/>
    <w:rsid w:val="49E50EBD"/>
    <w:rsid w:val="49E54986"/>
    <w:rsid w:val="49EB0E7D"/>
    <w:rsid w:val="49F51014"/>
    <w:rsid w:val="4A037625"/>
    <w:rsid w:val="4A0A7A02"/>
    <w:rsid w:val="4A0D3F70"/>
    <w:rsid w:val="4A221A4A"/>
    <w:rsid w:val="4A2424EA"/>
    <w:rsid w:val="4A2E53C5"/>
    <w:rsid w:val="4A3278A2"/>
    <w:rsid w:val="4A38723F"/>
    <w:rsid w:val="4A392FB7"/>
    <w:rsid w:val="4A3B1EE9"/>
    <w:rsid w:val="4A3F367E"/>
    <w:rsid w:val="4A4020E8"/>
    <w:rsid w:val="4A4431E9"/>
    <w:rsid w:val="4A45378A"/>
    <w:rsid w:val="4A5278E5"/>
    <w:rsid w:val="4A53089A"/>
    <w:rsid w:val="4A5B1180"/>
    <w:rsid w:val="4A5C2802"/>
    <w:rsid w:val="4A5E657A"/>
    <w:rsid w:val="4A6B3B6F"/>
    <w:rsid w:val="4A712751"/>
    <w:rsid w:val="4A742241"/>
    <w:rsid w:val="4A78588E"/>
    <w:rsid w:val="4A813CF9"/>
    <w:rsid w:val="4A832664"/>
    <w:rsid w:val="4A86272A"/>
    <w:rsid w:val="4A8A43CC"/>
    <w:rsid w:val="4A8D6256"/>
    <w:rsid w:val="4A9067B3"/>
    <w:rsid w:val="4A991E77"/>
    <w:rsid w:val="4A9B5A20"/>
    <w:rsid w:val="4A9F106C"/>
    <w:rsid w:val="4AA20B5D"/>
    <w:rsid w:val="4AA21D66"/>
    <w:rsid w:val="4AA5064D"/>
    <w:rsid w:val="4AA93C99"/>
    <w:rsid w:val="4AAD4C08"/>
    <w:rsid w:val="4AAF6A1F"/>
    <w:rsid w:val="4AB12B4E"/>
    <w:rsid w:val="4AB20B2A"/>
    <w:rsid w:val="4AB60164"/>
    <w:rsid w:val="4AB6597F"/>
    <w:rsid w:val="4AB663B6"/>
    <w:rsid w:val="4ABB65DC"/>
    <w:rsid w:val="4AC13A05"/>
    <w:rsid w:val="4AC35380"/>
    <w:rsid w:val="4ACB66A6"/>
    <w:rsid w:val="4AD134FA"/>
    <w:rsid w:val="4AD3008D"/>
    <w:rsid w:val="4AE10C24"/>
    <w:rsid w:val="4AE201A2"/>
    <w:rsid w:val="4AF33403"/>
    <w:rsid w:val="4B030D93"/>
    <w:rsid w:val="4B06150B"/>
    <w:rsid w:val="4B09762A"/>
    <w:rsid w:val="4B10675D"/>
    <w:rsid w:val="4B123DE0"/>
    <w:rsid w:val="4B146D2F"/>
    <w:rsid w:val="4B182FD3"/>
    <w:rsid w:val="4B221C9D"/>
    <w:rsid w:val="4B244232"/>
    <w:rsid w:val="4B29302C"/>
    <w:rsid w:val="4B306168"/>
    <w:rsid w:val="4B313C8F"/>
    <w:rsid w:val="4B325D24"/>
    <w:rsid w:val="4B345672"/>
    <w:rsid w:val="4B3A0D95"/>
    <w:rsid w:val="4B3E5F75"/>
    <w:rsid w:val="4B3F45FD"/>
    <w:rsid w:val="4B413ED2"/>
    <w:rsid w:val="4B475260"/>
    <w:rsid w:val="4B4820C4"/>
    <w:rsid w:val="4B4C2876"/>
    <w:rsid w:val="4B4D2119"/>
    <w:rsid w:val="4B512FB7"/>
    <w:rsid w:val="4B54285B"/>
    <w:rsid w:val="4B590E71"/>
    <w:rsid w:val="4B615CF0"/>
    <w:rsid w:val="4B644064"/>
    <w:rsid w:val="4B6C3D81"/>
    <w:rsid w:val="4B6D741D"/>
    <w:rsid w:val="4B766BB2"/>
    <w:rsid w:val="4B78366B"/>
    <w:rsid w:val="4B7E5126"/>
    <w:rsid w:val="4B8547A4"/>
    <w:rsid w:val="4B9C1A50"/>
    <w:rsid w:val="4BA34355"/>
    <w:rsid w:val="4BAB7265"/>
    <w:rsid w:val="4BB94F3A"/>
    <w:rsid w:val="4BC13264"/>
    <w:rsid w:val="4BC468B1"/>
    <w:rsid w:val="4BCB747A"/>
    <w:rsid w:val="4BCD4365"/>
    <w:rsid w:val="4BCE156F"/>
    <w:rsid w:val="4BE3142D"/>
    <w:rsid w:val="4BE37D3E"/>
    <w:rsid w:val="4BEE392E"/>
    <w:rsid w:val="4BEE7C6E"/>
    <w:rsid w:val="4BEF4C0C"/>
    <w:rsid w:val="4BF34481"/>
    <w:rsid w:val="4BF707D3"/>
    <w:rsid w:val="4BF929FE"/>
    <w:rsid w:val="4C017B05"/>
    <w:rsid w:val="4C0A69B9"/>
    <w:rsid w:val="4C0A6BA1"/>
    <w:rsid w:val="4C0C0983"/>
    <w:rsid w:val="4C152FE5"/>
    <w:rsid w:val="4C196BFC"/>
    <w:rsid w:val="4C1C66ED"/>
    <w:rsid w:val="4C1D63CF"/>
    <w:rsid w:val="4C2900D1"/>
    <w:rsid w:val="4C2E322E"/>
    <w:rsid w:val="4C4243A5"/>
    <w:rsid w:val="4C457E71"/>
    <w:rsid w:val="4C4869B3"/>
    <w:rsid w:val="4C4A14AC"/>
    <w:rsid w:val="4C4F198E"/>
    <w:rsid w:val="4C516396"/>
    <w:rsid w:val="4C577725"/>
    <w:rsid w:val="4C5C4D3B"/>
    <w:rsid w:val="4C5F57CB"/>
    <w:rsid w:val="4C611EBF"/>
    <w:rsid w:val="4C667968"/>
    <w:rsid w:val="4C6A24D5"/>
    <w:rsid w:val="4C6D62EC"/>
    <w:rsid w:val="4C741AC7"/>
    <w:rsid w:val="4C763410"/>
    <w:rsid w:val="4C7B78B7"/>
    <w:rsid w:val="4C7C2C5B"/>
    <w:rsid w:val="4C816C7C"/>
    <w:rsid w:val="4C8461E8"/>
    <w:rsid w:val="4C863FF4"/>
    <w:rsid w:val="4C8E4C41"/>
    <w:rsid w:val="4C9054CB"/>
    <w:rsid w:val="4C96319D"/>
    <w:rsid w:val="4C971FC1"/>
    <w:rsid w:val="4C975D73"/>
    <w:rsid w:val="4CA13785"/>
    <w:rsid w:val="4CAF130F"/>
    <w:rsid w:val="4CB24C66"/>
    <w:rsid w:val="4CBA03DF"/>
    <w:rsid w:val="4CBD1D79"/>
    <w:rsid w:val="4CC2732C"/>
    <w:rsid w:val="4CC449DC"/>
    <w:rsid w:val="4CD16930"/>
    <w:rsid w:val="4CD477BD"/>
    <w:rsid w:val="4CD76542"/>
    <w:rsid w:val="4CDF5113"/>
    <w:rsid w:val="4CEF02DA"/>
    <w:rsid w:val="4CF07121"/>
    <w:rsid w:val="4CF105EB"/>
    <w:rsid w:val="4CF136D5"/>
    <w:rsid w:val="4CF220C5"/>
    <w:rsid w:val="4CF91FCC"/>
    <w:rsid w:val="4CFD4B48"/>
    <w:rsid w:val="4D0258E3"/>
    <w:rsid w:val="4D0B1AD9"/>
    <w:rsid w:val="4D1241E0"/>
    <w:rsid w:val="4D1B0D34"/>
    <w:rsid w:val="4D1B38DC"/>
    <w:rsid w:val="4D1D44CA"/>
    <w:rsid w:val="4D1F46E6"/>
    <w:rsid w:val="4D31441A"/>
    <w:rsid w:val="4D36558C"/>
    <w:rsid w:val="4D3A507C"/>
    <w:rsid w:val="4D3B0DF4"/>
    <w:rsid w:val="4D4B1038"/>
    <w:rsid w:val="4D534390"/>
    <w:rsid w:val="4D573E80"/>
    <w:rsid w:val="4D5A26ED"/>
    <w:rsid w:val="4D671BE9"/>
    <w:rsid w:val="4D7D31BB"/>
    <w:rsid w:val="4D7F313C"/>
    <w:rsid w:val="4D814A59"/>
    <w:rsid w:val="4D826A23"/>
    <w:rsid w:val="4D88120B"/>
    <w:rsid w:val="4D8C21E4"/>
    <w:rsid w:val="4D9609C0"/>
    <w:rsid w:val="4D970BDA"/>
    <w:rsid w:val="4D9A5F44"/>
    <w:rsid w:val="4D9C5D37"/>
    <w:rsid w:val="4D9C7AE5"/>
    <w:rsid w:val="4DA0086E"/>
    <w:rsid w:val="4DB120F1"/>
    <w:rsid w:val="4DB97EEA"/>
    <w:rsid w:val="4DBA55D7"/>
    <w:rsid w:val="4DBF5ADD"/>
    <w:rsid w:val="4DCD2784"/>
    <w:rsid w:val="4DD3433F"/>
    <w:rsid w:val="4DD70B1D"/>
    <w:rsid w:val="4DD83673"/>
    <w:rsid w:val="4DD84F19"/>
    <w:rsid w:val="4DDA23BB"/>
    <w:rsid w:val="4DED405F"/>
    <w:rsid w:val="4DFC4A28"/>
    <w:rsid w:val="4DFF3A26"/>
    <w:rsid w:val="4E0518BE"/>
    <w:rsid w:val="4E094A4F"/>
    <w:rsid w:val="4E141D71"/>
    <w:rsid w:val="4E154438"/>
    <w:rsid w:val="4E173610"/>
    <w:rsid w:val="4E1C0E70"/>
    <w:rsid w:val="4E1C36B2"/>
    <w:rsid w:val="4E1F5D76"/>
    <w:rsid w:val="4E283CCC"/>
    <w:rsid w:val="4E2C7CEC"/>
    <w:rsid w:val="4E2E44B5"/>
    <w:rsid w:val="4E437F61"/>
    <w:rsid w:val="4E472EFD"/>
    <w:rsid w:val="4E487C6D"/>
    <w:rsid w:val="4E4D5283"/>
    <w:rsid w:val="4E501653"/>
    <w:rsid w:val="4E50182D"/>
    <w:rsid w:val="4E573A0C"/>
    <w:rsid w:val="4E591146"/>
    <w:rsid w:val="4E5A0417"/>
    <w:rsid w:val="4E5E0644"/>
    <w:rsid w:val="4E5E4D9B"/>
    <w:rsid w:val="4E613247"/>
    <w:rsid w:val="4E676345"/>
    <w:rsid w:val="4E6A78E3"/>
    <w:rsid w:val="4E6D76D3"/>
    <w:rsid w:val="4E7262DC"/>
    <w:rsid w:val="4E7F1E16"/>
    <w:rsid w:val="4E7F5E94"/>
    <w:rsid w:val="4E832A53"/>
    <w:rsid w:val="4E84409D"/>
    <w:rsid w:val="4E864E4A"/>
    <w:rsid w:val="4E8A2033"/>
    <w:rsid w:val="4E8A391E"/>
    <w:rsid w:val="4E916F1E"/>
    <w:rsid w:val="4E9A33F8"/>
    <w:rsid w:val="4E9D675B"/>
    <w:rsid w:val="4E9E788D"/>
    <w:rsid w:val="4EA604F0"/>
    <w:rsid w:val="4EA60AE2"/>
    <w:rsid w:val="4EA824BA"/>
    <w:rsid w:val="4EAE7D34"/>
    <w:rsid w:val="4EB23A37"/>
    <w:rsid w:val="4EB70D01"/>
    <w:rsid w:val="4EB943FF"/>
    <w:rsid w:val="4EBE7F2F"/>
    <w:rsid w:val="4EC42650"/>
    <w:rsid w:val="4EC866B8"/>
    <w:rsid w:val="4ED137BE"/>
    <w:rsid w:val="4ED80FF1"/>
    <w:rsid w:val="4EEE35FC"/>
    <w:rsid w:val="4EEE3858"/>
    <w:rsid w:val="4EEE4670"/>
    <w:rsid w:val="4EFA642B"/>
    <w:rsid w:val="4EFD0A57"/>
    <w:rsid w:val="4EFE1926"/>
    <w:rsid w:val="4F082F58"/>
    <w:rsid w:val="4F0911AA"/>
    <w:rsid w:val="4F0B3174"/>
    <w:rsid w:val="4F1B0EDE"/>
    <w:rsid w:val="4F2204BE"/>
    <w:rsid w:val="4F22226C"/>
    <w:rsid w:val="4F2550A7"/>
    <w:rsid w:val="4F271630"/>
    <w:rsid w:val="4F29644A"/>
    <w:rsid w:val="4F2F71CE"/>
    <w:rsid w:val="4F351F9F"/>
    <w:rsid w:val="4F3673B2"/>
    <w:rsid w:val="4F3A5808"/>
    <w:rsid w:val="4F42736E"/>
    <w:rsid w:val="4F455F5A"/>
    <w:rsid w:val="4F4B48E3"/>
    <w:rsid w:val="4F563CC4"/>
    <w:rsid w:val="4F606AE9"/>
    <w:rsid w:val="4F6208BA"/>
    <w:rsid w:val="4F637BB8"/>
    <w:rsid w:val="4F687487"/>
    <w:rsid w:val="4F6D7C8E"/>
    <w:rsid w:val="4F735541"/>
    <w:rsid w:val="4F7725B8"/>
    <w:rsid w:val="4F796605"/>
    <w:rsid w:val="4F876573"/>
    <w:rsid w:val="4F8B1BBF"/>
    <w:rsid w:val="4F8C5937"/>
    <w:rsid w:val="4F9071D6"/>
    <w:rsid w:val="4F93316A"/>
    <w:rsid w:val="4F9D711A"/>
    <w:rsid w:val="4FAA743F"/>
    <w:rsid w:val="4FAB794B"/>
    <w:rsid w:val="4FAE23A0"/>
    <w:rsid w:val="4FB05ACA"/>
    <w:rsid w:val="4FB37368"/>
    <w:rsid w:val="4FB62DCA"/>
    <w:rsid w:val="4FB8497E"/>
    <w:rsid w:val="4FB854F8"/>
    <w:rsid w:val="4FB858C2"/>
    <w:rsid w:val="4FBC6953"/>
    <w:rsid w:val="4FBF11AA"/>
    <w:rsid w:val="4FBF3F5F"/>
    <w:rsid w:val="4FC27D53"/>
    <w:rsid w:val="4FC3550E"/>
    <w:rsid w:val="4FC60E49"/>
    <w:rsid w:val="4FC759BE"/>
    <w:rsid w:val="4FC926E8"/>
    <w:rsid w:val="4FCC60B7"/>
    <w:rsid w:val="4FCE7CD1"/>
    <w:rsid w:val="4FD36322"/>
    <w:rsid w:val="4FD60673"/>
    <w:rsid w:val="4FD658EF"/>
    <w:rsid w:val="4FE15C83"/>
    <w:rsid w:val="4FE25169"/>
    <w:rsid w:val="4FE57280"/>
    <w:rsid w:val="4FE74643"/>
    <w:rsid w:val="4FE92D8A"/>
    <w:rsid w:val="4FEE03A0"/>
    <w:rsid w:val="4FEE214E"/>
    <w:rsid w:val="500534E4"/>
    <w:rsid w:val="500B0F52"/>
    <w:rsid w:val="501B6702"/>
    <w:rsid w:val="5023004A"/>
    <w:rsid w:val="5028057C"/>
    <w:rsid w:val="50283464"/>
    <w:rsid w:val="502913D8"/>
    <w:rsid w:val="502D711A"/>
    <w:rsid w:val="502D7210"/>
    <w:rsid w:val="50360CF1"/>
    <w:rsid w:val="503C55AF"/>
    <w:rsid w:val="503D78E7"/>
    <w:rsid w:val="50454464"/>
    <w:rsid w:val="50463D38"/>
    <w:rsid w:val="504B75A0"/>
    <w:rsid w:val="504D156B"/>
    <w:rsid w:val="505446A7"/>
    <w:rsid w:val="505508C7"/>
    <w:rsid w:val="5066378B"/>
    <w:rsid w:val="506B7C43"/>
    <w:rsid w:val="507718E7"/>
    <w:rsid w:val="5088616F"/>
    <w:rsid w:val="508A78F6"/>
    <w:rsid w:val="50935E3E"/>
    <w:rsid w:val="50964CC0"/>
    <w:rsid w:val="509B4084"/>
    <w:rsid w:val="509E35B3"/>
    <w:rsid w:val="509E6042"/>
    <w:rsid w:val="50A834F9"/>
    <w:rsid w:val="50A867A1"/>
    <w:rsid w:val="50BC0A37"/>
    <w:rsid w:val="50C86E43"/>
    <w:rsid w:val="50CA1482"/>
    <w:rsid w:val="50D91050"/>
    <w:rsid w:val="50DA1EA9"/>
    <w:rsid w:val="50E64204"/>
    <w:rsid w:val="50E80579"/>
    <w:rsid w:val="50F10148"/>
    <w:rsid w:val="50F62A03"/>
    <w:rsid w:val="50F6575E"/>
    <w:rsid w:val="51052F88"/>
    <w:rsid w:val="51071719"/>
    <w:rsid w:val="510812ED"/>
    <w:rsid w:val="510F05CE"/>
    <w:rsid w:val="51102E68"/>
    <w:rsid w:val="511E1C85"/>
    <w:rsid w:val="51237D1B"/>
    <w:rsid w:val="51273B6A"/>
    <w:rsid w:val="5135416D"/>
    <w:rsid w:val="51354F21"/>
    <w:rsid w:val="5139389D"/>
    <w:rsid w:val="51450494"/>
    <w:rsid w:val="51452242"/>
    <w:rsid w:val="5148635A"/>
    <w:rsid w:val="514A2BEA"/>
    <w:rsid w:val="51570E30"/>
    <w:rsid w:val="515A3F3F"/>
    <w:rsid w:val="515B3813"/>
    <w:rsid w:val="515E35EA"/>
    <w:rsid w:val="5165265C"/>
    <w:rsid w:val="51660C4E"/>
    <w:rsid w:val="517B5543"/>
    <w:rsid w:val="51814FF7"/>
    <w:rsid w:val="51827E3C"/>
    <w:rsid w:val="51870F9F"/>
    <w:rsid w:val="51890380"/>
    <w:rsid w:val="51905BB3"/>
    <w:rsid w:val="51932B62"/>
    <w:rsid w:val="5193320B"/>
    <w:rsid w:val="5197340C"/>
    <w:rsid w:val="51A20E9F"/>
    <w:rsid w:val="51A52CE0"/>
    <w:rsid w:val="51A56620"/>
    <w:rsid w:val="51A6769A"/>
    <w:rsid w:val="51B1657A"/>
    <w:rsid w:val="51B24883"/>
    <w:rsid w:val="51B573C7"/>
    <w:rsid w:val="51BF6AD8"/>
    <w:rsid w:val="51C4760A"/>
    <w:rsid w:val="51C963A9"/>
    <w:rsid w:val="51D841E7"/>
    <w:rsid w:val="51D84F57"/>
    <w:rsid w:val="51DA47E6"/>
    <w:rsid w:val="51DB5D25"/>
    <w:rsid w:val="51DB6702"/>
    <w:rsid w:val="51DC2BA6"/>
    <w:rsid w:val="51DF2696"/>
    <w:rsid w:val="51E44D95"/>
    <w:rsid w:val="51E574B8"/>
    <w:rsid w:val="51E63A25"/>
    <w:rsid w:val="51E67581"/>
    <w:rsid w:val="51E952C3"/>
    <w:rsid w:val="51EC3196"/>
    <w:rsid w:val="51ED6AE7"/>
    <w:rsid w:val="51EE6435"/>
    <w:rsid w:val="51F55A16"/>
    <w:rsid w:val="51F7178E"/>
    <w:rsid w:val="51F872B4"/>
    <w:rsid w:val="51FE1078"/>
    <w:rsid w:val="5208140D"/>
    <w:rsid w:val="5209326F"/>
    <w:rsid w:val="52121225"/>
    <w:rsid w:val="52124677"/>
    <w:rsid w:val="52131388"/>
    <w:rsid w:val="52132340"/>
    <w:rsid w:val="521A09E9"/>
    <w:rsid w:val="521C11F4"/>
    <w:rsid w:val="521F0E9F"/>
    <w:rsid w:val="521F2A93"/>
    <w:rsid w:val="52215EB7"/>
    <w:rsid w:val="52293911"/>
    <w:rsid w:val="522C1839"/>
    <w:rsid w:val="52333A71"/>
    <w:rsid w:val="52365E7C"/>
    <w:rsid w:val="523D061E"/>
    <w:rsid w:val="523D2BA6"/>
    <w:rsid w:val="52410C5B"/>
    <w:rsid w:val="5241571A"/>
    <w:rsid w:val="52432C25"/>
    <w:rsid w:val="5247502A"/>
    <w:rsid w:val="524810FD"/>
    <w:rsid w:val="524A1D12"/>
    <w:rsid w:val="524F0F10"/>
    <w:rsid w:val="525724B6"/>
    <w:rsid w:val="525E49D2"/>
    <w:rsid w:val="52604D9A"/>
    <w:rsid w:val="52635075"/>
    <w:rsid w:val="52647E18"/>
    <w:rsid w:val="52650DED"/>
    <w:rsid w:val="52713EA2"/>
    <w:rsid w:val="52721487"/>
    <w:rsid w:val="5273095F"/>
    <w:rsid w:val="527479A1"/>
    <w:rsid w:val="527E104E"/>
    <w:rsid w:val="528562D1"/>
    <w:rsid w:val="5287270C"/>
    <w:rsid w:val="528743F2"/>
    <w:rsid w:val="52874572"/>
    <w:rsid w:val="528B0128"/>
    <w:rsid w:val="528D1497"/>
    <w:rsid w:val="529B29C3"/>
    <w:rsid w:val="52A5743C"/>
    <w:rsid w:val="52A7285B"/>
    <w:rsid w:val="52AD62F0"/>
    <w:rsid w:val="52AE4D91"/>
    <w:rsid w:val="52AF3E17"/>
    <w:rsid w:val="52B56FC4"/>
    <w:rsid w:val="52BD2BB7"/>
    <w:rsid w:val="52C11D9C"/>
    <w:rsid w:val="52CD6993"/>
    <w:rsid w:val="52D05488"/>
    <w:rsid w:val="52D12EE6"/>
    <w:rsid w:val="52D25057"/>
    <w:rsid w:val="52D40323"/>
    <w:rsid w:val="52D93896"/>
    <w:rsid w:val="52DE08E5"/>
    <w:rsid w:val="52DE3D21"/>
    <w:rsid w:val="52EB2845"/>
    <w:rsid w:val="52FA7D19"/>
    <w:rsid w:val="52FF1A0D"/>
    <w:rsid w:val="53071EA5"/>
    <w:rsid w:val="530F19CD"/>
    <w:rsid w:val="530F48B5"/>
    <w:rsid w:val="531279FD"/>
    <w:rsid w:val="531E71EE"/>
    <w:rsid w:val="53233A29"/>
    <w:rsid w:val="53283BC9"/>
    <w:rsid w:val="532B497C"/>
    <w:rsid w:val="532E6CBF"/>
    <w:rsid w:val="533345A7"/>
    <w:rsid w:val="53446C55"/>
    <w:rsid w:val="534D53DE"/>
    <w:rsid w:val="534E1882"/>
    <w:rsid w:val="53517035"/>
    <w:rsid w:val="53542C10"/>
    <w:rsid w:val="53591FD4"/>
    <w:rsid w:val="536760AB"/>
    <w:rsid w:val="536820F1"/>
    <w:rsid w:val="536C1D08"/>
    <w:rsid w:val="53841959"/>
    <w:rsid w:val="53891DA9"/>
    <w:rsid w:val="538B76B7"/>
    <w:rsid w:val="538D450E"/>
    <w:rsid w:val="539C17BD"/>
    <w:rsid w:val="539D57CC"/>
    <w:rsid w:val="53B22D76"/>
    <w:rsid w:val="53BA12AA"/>
    <w:rsid w:val="53BC2E44"/>
    <w:rsid w:val="53BF05EA"/>
    <w:rsid w:val="53BF62DB"/>
    <w:rsid w:val="53C47D96"/>
    <w:rsid w:val="53CB1124"/>
    <w:rsid w:val="53DB1AFB"/>
    <w:rsid w:val="53E73A84"/>
    <w:rsid w:val="53E93358"/>
    <w:rsid w:val="53EA42FA"/>
    <w:rsid w:val="53FB3968"/>
    <w:rsid w:val="54041F40"/>
    <w:rsid w:val="54120B01"/>
    <w:rsid w:val="541250CE"/>
    <w:rsid w:val="54164915"/>
    <w:rsid w:val="541C1CA1"/>
    <w:rsid w:val="541E59CD"/>
    <w:rsid w:val="5429406E"/>
    <w:rsid w:val="542C5C75"/>
    <w:rsid w:val="544407BE"/>
    <w:rsid w:val="544762D1"/>
    <w:rsid w:val="544B5DC1"/>
    <w:rsid w:val="54584EB6"/>
    <w:rsid w:val="545F25C6"/>
    <w:rsid w:val="5463135D"/>
    <w:rsid w:val="54686973"/>
    <w:rsid w:val="54734025"/>
    <w:rsid w:val="547A0454"/>
    <w:rsid w:val="547B1550"/>
    <w:rsid w:val="54801E0A"/>
    <w:rsid w:val="548A51C4"/>
    <w:rsid w:val="54913B60"/>
    <w:rsid w:val="549412E0"/>
    <w:rsid w:val="549A4653"/>
    <w:rsid w:val="54A92AE8"/>
    <w:rsid w:val="54A947EB"/>
    <w:rsid w:val="54AB7258"/>
    <w:rsid w:val="54AD082A"/>
    <w:rsid w:val="54AE00FE"/>
    <w:rsid w:val="54B43966"/>
    <w:rsid w:val="54B5148C"/>
    <w:rsid w:val="54B80919"/>
    <w:rsid w:val="54C17E31"/>
    <w:rsid w:val="54C65448"/>
    <w:rsid w:val="54C96B57"/>
    <w:rsid w:val="54D050DC"/>
    <w:rsid w:val="54D264E2"/>
    <w:rsid w:val="54D33113"/>
    <w:rsid w:val="54D9161F"/>
    <w:rsid w:val="54DE17A5"/>
    <w:rsid w:val="54DF6509"/>
    <w:rsid w:val="54E04A17"/>
    <w:rsid w:val="54E405A7"/>
    <w:rsid w:val="54E44CA2"/>
    <w:rsid w:val="54F55D2D"/>
    <w:rsid w:val="54F57475"/>
    <w:rsid w:val="54F6391C"/>
    <w:rsid w:val="54FC70BB"/>
    <w:rsid w:val="54FD6B73"/>
    <w:rsid w:val="55006BAB"/>
    <w:rsid w:val="5503449C"/>
    <w:rsid w:val="5518601D"/>
    <w:rsid w:val="55216B22"/>
    <w:rsid w:val="55225714"/>
    <w:rsid w:val="55276B2C"/>
    <w:rsid w:val="55281597"/>
    <w:rsid w:val="55326F02"/>
    <w:rsid w:val="553C69B2"/>
    <w:rsid w:val="55400FE4"/>
    <w:rsid w:val="5543118E"/>
    <w:rsid w:val="55473A9D"/>
    <w:rsid w:val="554E0454"/>
    <w:rsid w:val="554F368F"/>
    <w:rsid w:val="55517407"/>
    <w:rsid w:val="5555007B"/>
    <w:rsid w:val="555714B5"/>
    <w:rsid w:val="5562461B"/>
    <w:rsid w:val="55676E3B"/>
    <w:rsid w:val="556E620B"/>
    <w:rsid w:val="556E7630"/>
    <w:rsid w:val="55744268"/>
    <w:rsid w:val="55780E38"/>
    <w:rsid w:val="5580322B"/>
    <w:rsid w:val="55825812"/>
    <w:rsid w:val="55827531"/>
    <w:rsid w:val="5583514A"/>
    <w:rsid w:val="558A69EE"/>
    <w:rsid w:val="559E0611"/>
    <w:rsid w:val="55A44845"/>
    <w:rsid w:val="55A93125"/>
    <w:rsid w:val="55BE4C30"/>
    <w:rsid w:val="55C367C2"/>
    <w:rsid w:val="55C617FA"/>
    <w:rsid w:val="55CA71B9"/>
    <w:rsid w:val="55CB6E0A"/>
    <w:rsid w:val="55CD4BC0"/>
    <w:rsid w:val="55D14D5F"/>
    <w:rsid w:val="55D1679A"/>
    <w:rsid w:val="55E243C4"/>
    <w:rsid w:val="55E24503"/>
    <w:rsid w:val="55EC2C79"/>
    <w:rsid w:val="55EC5382"/>
    <w:rsid w:val="55EE2EA8"/>
    <w:rsid w:val="55F61D5C"/>
    <w:rsid w:val="560256B0"/>
    <w:rsid w:val="560908AB"/>
    <w:rsid w:val="56093396"/>
    <w:rsid w:val="56116B96"/>
    <w:rsid w:val="561D553B"/>
    <w:rsid w:val="562543F0"/>
    <w:rsid w:val="56264966"/>
    <w:rsid w:val="56283049"/>
    <w:rsid w:val="562E610E"/>
    <w:rsid w:val="56310FE7"/>
    <w:rsid w:val="563665FD"/>
    <w:rsid w:val="564C5E20"/>
    <w:rsid w:val="564C7BCE"/>
    <w:rsid w:val="564E1B99"/>
    <w:rsid w:val="56521689"/>
    <w:rsid w:val="56552F27"/>
    <w:rsid w:val="565D5647"/>
    <w:rsid w:val="5664616C"/>
    <w:rsid w:val="56665134"/>
    <w:rsid w:val="566B3616"/>
    <w:rsid w:val="566C5776"/>
    <w:rsid w:val="566E184F"/>
    <w:rsid w:val="566E3FE9"/>
    <w:rsid w:val="5671018D"/>
    <w:rsid w:val="567315FF"/>
    <w:rsid w:val="5675239F"/>
    <w:rsid w:val="56763AC6"/>
    <w:rsid w:val="567F7FA4"/>
    <w:rsid w:val="56834F0D"/>
    <w:rsid w:val="56884DC7"/>
    <w:rsid w:val="56916F31"/>
    <w:rsid w:val="5697709C"/>
    <w:rsid w:val="56A05E3F"/>
    <w:rsid w:val="56A731E6"/>
    <w:rsid w:val="56AA0510"/>
    <w:rsid w:val="56C42B77"/>
    <w:rsid w:val="56D24DB9"/>
    <w:rsid w:val="56D33179"/>
    <w:rsid w:val="56DE2CEF"/>
    <w:rsid w:val="56E8798C"/>
    <w:rsid w:val="56EE21B9"/>
    <w:rsid w:val="56F049FE"/>
    <w:rsid w:val="56F23EB5"/>
    <w:rsid w:val="57056FEA"/>
    <w:rsid w:val="57064F84"/>
    <w:rsid w:val="570C524E"/>
    <w:rsid w:val="571C6B19"/>
    <w:rsid w:val="572528F9"/>
    <w:rsid w:val="5726160C"/>
    <w:rsid w:val="572B2E52"/>
    <w:rsid w:val="57312FF3"/>
    <w:rsid w:val="57323081"/>
    <w:rsid w:val="57354828"/>
    <w:rsid w:val="57403E9E"/>
    <w:rsid w:val="57480FB9"/>
    <w:rsid w:val="574B7E86"/>
    <w:rsid w:val="574F3973"/>
    <w:rsid w:val="5755458A"/>
    <w:rsid w:val="57555A3D"/>
    <w:rsid w:val="575753AE"/>
    <w:rsid w:val="575C2093"/>
    <w:rsid w:val="57604227"/>
    <w:rsid w:val="57672F12"/>
    <w:rsid w:val="576942DD"/>
    <w:rsid w:val="57697B57"/>
    <w:rsid w:val="576B0DA0"/>
    <w:rsid w:val="577332BA"/>
    <w:rsid w:val="57763155"/>
    <w:rsid w:val="57783371"/>
    <w:rsid w:val="57791C46"/>
    <w:rsid w:val="577B33D6"/>
    <w:rsid w:val="57833AC4"/>
    <w:rsid w:val="578C6155"/>
    <w:rsid w:val="578F0028"/>
    <w:rsid w:val="578F4217"/>
    <w:rsid w:val="57917F8F"/>
    <w:rsid w:val="57953B57"/>
    <w:rsid w:val="57983560"/>
    <w:rsid w:val="579A524A"/>
    <w:rsid w:val="579D7124"/>
    <w:rsid w:val="579E445A"/>
    <w:rsid w:val="57A51C8C"/>
    <w:rsid w:val="57AE4CCA"/>
    <w:rsid w:val="57B22417"/>
    <w:rsid w:val="57B3383E"/>
    <w:rsid w:val="57BB500C"/>
    <w:rsid w:val="57C00874"/>
    <w:rsid w:val="57C749E0"/>
    <w:rsid w:val="57C84117"/>
    <w:rsid w:val="57C927A7"/>
    <w:rsid w:val="57CB25AC"/>
    <w:rsid w:val="57CB45C0"/>
    <w:rsid w:val="57D60097"/>
    <w:rsid w:val="57D6077A"/>
    <w:rsid w:val="57E31C08"/>
    <w:rsid w:val="57E502DB"/>
    <w:rsid w:val="57E83927"/>
    <w:rsid w:val="57E866C9"/>
    <w:rsid w:val="57EE3633"/>
    <w:rsid w:val="57F0234F"/>
    <w:rsid w:val="57F03FAE"/>
    <w:rsid w:val="57F66044"/>
    <w:rsid w:val="57FA3D86"/>
    <w:rsid w:val="580469B3"/>
    <w:rsid w:val="580544D9"/>
    <w:rsid w:val="580F0297"/>
    <w:rsid w:val="582232DD"/>
    <w:rsid w:val="58227637"/>
    <w:rsid w:val="583628E4"/>
    <w:rsid w:val="58376A76"/>
    <w:rsid w:val="584A6390"/>
    <w:rsid w:val="585C3C2E"/>
    <w:rsid w:val="585F1E3B"/>
    <w:rsid w:val="58644D41"/>
    <w:rsid w:val="586966C6"/>
    <w:rsid w:val="586B764B"/>
    <w:rsid w:val="58754A86"/>
    <w:rsid w:val="58782EFD"/>
    <w:rsid w:val="58787F0A"/>
    <w:rsid w:val="5886709C"/>
    <w:rsid w:val="588840E5"/>
    <w:rsid w:val="58890E7C"/>
    <w:rsid w:val="58893856"/>
    <w:rsid w:val="588A1893"/>
    <w:rsid w:val="588B0E82"/>
    <w:rsid w:val="588F1D73"/>
    <w:rsid w:val="58913FBE"/>
    <w:rsid w:val="58937D37"/>
    <w:rsid w:val="589406EF"/>
    <w:rsid w:val="58977AC0"/>
    <w:rsid w:val="589C6BEB"/>
    <w:rsid w:val="589F0489"/>
    <w:rsid w:val="58A401B3"/>
    <w:rsid w:val="58A65CBC"/>
    <w:rsid w:val="58AC2BA6"/>
    <w:rsid w:val="58B02697"/>
    <w:rsid w:val="58B06B3A"/>
    <w:rsid w:val="58B40D71"/>
    <w:rsid w:val="58C85C32"/>
    <w:rsid w:val="58CA7BFC"/>
    <w:rsid w:val="58CD1231"/>
    <w:rsid w:val="58CD492B"/>
    <w:rsid w:val="58D04AE7"/>
    <w:rsid w:val="58D14644"/>
    <w:rsid w:val="58DD0FB2"/>
    <w:rsid w:val="58DF11CE"/>
    <w:rsid w:val="58DF1F01"/>
    <w:rsid w:val="58E16CF4"/>
    <w:rsid w:val="58F52598"/>
    <w:rsid w:val="58F72073"/>
    <w:rsid w:val="58FD3402"/>
    <w:rsid w:val="58FF18EE"/>
    <w:rsid w:val="59026E45"/>
    <w:rsid w:val="59044790"/>
    <w:rsid w:val="590645DA"/>
    <w:rsid w:val="59107818"/>
    <w:rsid w:val="59172716"/>
    <w:rsid w:val="591E5852"/>
    <w:rsid w:val="591F15CA"/>
    <w:rsid w:val="59247DA9"/>
    <w:rsid w:val="593212FE"/>
    <w:rsid w:val="593705EE"/>
    <w:rsid w:val="593F279A"/>
    <w:rsid w:val="59457283"/>
    <w:rsid w:val="594A2253"/>
    <w:rsid w:val="59594959"/>
    <w:rsid w:val="59611522"/>
    <w:rsid w:val="59622119"/>
    <w:rsid w:val="596D4A2C"/>
    <w:rsid w:val="597569E8"/>
    <w:rsid w:val="597C76B5"/>
    <w:rsid w:val="5980662B"/>
    <w:rsid w:val="598F6750"/>
    <w:rsid w:val="59973856"/>
    <w:rsid w:val="599909DE"/>
    <w:rsid w:val="599C0E6D"/>
    <w:rsid w:val="599C6D5A"/>
    <w:rsid w:val="599E145F"/>
    <w:rsid w:val="59A0270B"/>
    <w:rsid w:val="59A26483"/>
    <w:rsid w:val="59A77780"/>
    <w:rsid w:val="59B218D3"/>
    <w:rsid w:val="59B63CDD"/>
    <w:rsid w:val="59BE7035"/>
    <w:rsid w:val="59C74AA1"/>
    <w:rsid w:val="59C94DFC"/>
    <w:rsid w:val="59CC0CC5"/>
    <w:rsid w:val="59D800F7"/>
    <w:rsid w:val="59DB7BE7"/>
    <w:rsid w:val="59DD205E"/>
    <w:rsid w:val="59E22D24"/>
    <w:rsid w:val="59E52814"/>
    <w:rsid w:val="59E62A83"/>
    <w:rsid w:val="59E655B4"/>
    <w:rsid w:val="59E81184"/>
    <w:rsid w:val="59EF5441"/>
    <w:rsid w:val="59F033A8"/>
    <w:rsid w:val="59F0543D"/>
    <w:rsid w:val="59F34F31"/>
    <w:rsid w:val="59F9006D"/>
    <w:rsid w:val="59FE5684"/>
    <w:rsid w:val="5A001125"/>
    <w:rsid w:val="5A094754"/>
    <w:rsid w:val="5A127C5A"/>
    <w:rsid w:val="5A18742D"/>
    <w:rsid w:val="5A230CE7"/>
    <w:rsid w:val="5A366373"/>
    <w:rsid w:val="5A3A1404"/>
    <w:rsid w:val="5A3A2B60"/>
    <w:rsid w:val="5A3B5F77"/>
    <w:rsid w:val="5A405CDC"/>
    <w:rsid w:val="5A456856"/>
    <w:rsid w:val="5A470DD9"/>
    <w:rsid w:val="5A4E2167"/>
    <w:rsid w:val="5A532C1D"/>
    <w:rsid w:val="5A567D10"/>
    <w:rsid w:val="5A582FE6"/>
    <w:rsid w:val="5A59655A"/>
    <w:rsid w:val="5A5B4884"/>
    <w:rsid w:val="5A5C0554"/>
    <w:rsid w:val="5A61633E"/>
    <w:rsid w:val="5A663955"/>
    <w:rsid w:val="5A771D26"/>
    <w:rsid w:val="5A7A7400"/>
    <w:rsid w:val="5A7C027A"/>
    <w:rsid w:val="5A800A58"/>
    <w:rsid w:val="5A805270"/>
    <w:rsid w:val="5A8941AD"/>
    <w:rsid w:val="5A8C4D66"/>
    <w:rsid w:val="5A8D38C7"/>
    <w:rsid w:val="5A90452E"/>
    <w:rsid w:val="5A9B1124"/>
    <w:rsid w:val="5AA65849"/>
    <w:rsid w:val="5AAE0E58"/>
    <w:rsid w:val="5AB45570"/>
    <w:rsid w:val="5AB6080C"/>
    <w:rsid w:val="5AB946B3"/>
    <w:rsid w:val="5ABA5A4E"/>
    <w:rsid w:val="5ABA77FD"/>
    <w:rsid w:val="5AC01B9F"/>
    <w:rsid w:val="5AC73CC7"/>
    <w:rsid w:val="5ACA6E91"/>
    <w:rsid w:val="5ACB1A0A"/>
    <w:rsid w:val="5ACD73E4"/>
    <w:rsid w:val="5AD92379"/>
    <w:rsid w:val="5AE12973"/>
    <w:rsid w:val="5AE623A0"/>
    <w:rsid w:val="5AE72210"/>
    <w:rsid w:val="5AEE1C72"/>
    <w:rsid w:val="5AEE56F8"/>
    <w:rsid w:val="5AF076C2"/>
    <w:rsid w:val="5AF30D97"/>
    <w:rsid w:val="5AF656AC"/>
    <w:rsid w:val="5AF80325"/>
    <w:rsid w:val="5B013B70"/>
    <w:rsid w:val="5B0865DE"/>
    <w:rsid w:val="5B0867BA"/>
    <w:rsid w:val="5B092532"/>
    <w:rsid w:val="5B0B4900"/>
    <w:rsid w:val="5B0E0F0F"/>
    <w:rsid w:val="5B10566E"/>
    <w:rsid w:val="5B13515F"/>
    <w:rsid w:val="5B174C4F"/>
    <w:rsid w:val="5B215CCF"/>
    <w:rsid w:val="5B250C85"/>
    <w:rsid w:val="5B2E2399"/>
    <w:rsid w:val="5B313258"/>
    <w:rsid w:val="5B321A89"/>
    <w:rsid w:val="5B3D5BBC"/>
    <w:rsid w:val="5B411AA7"/>
    <w:rsid w:val="5B445318"/>
    <w:rsid w:val="5B4812AC"/>
    <w:rsid w:val="5B5075BB"/>
    <w:rsid w:val="5B56652C"/>
    <w:rsid w:val="5B591312"/>
    <w:rsid w:val="5B6360E6"/>
    <w:rsid w:val="5B651126"/>
    <w:rsid w:val="5B6F05E7"/>
    <w:rsid w:val="5B7A1F69"/>
    <w:rsid w:val="5B7E704A"/>
    <w:rsid w:val="5B7F0B63"/>
    <w:rsid w:val="5B876AF2"/>
    <w:rsid w:val="5B8D3163"/>
    <w:rsid w:val="5B98227D"/>
    <w:rsid w:val="5B9F6CF3"/>
    <w:rsid w:val="5BA92D4B"/>
    <w:rsid w:val="5BB4164A"/>
    <w:rsid w:val="5BD3501A"/>
    <w:rsid w:val="5BD4669C"/>
    <w:rsid w:val="5BD90156"/>
    <w:rsid w:val="5BD90F85"/>
    <w:rsid w:val="5BDE751B"/>
    <w:rsid w:val="5BE26085"/>
    <w:rsid w:val="5BE30FD5"/>
    <w:rsid w:val="5BE70AC5"/>
    <w:rsid w:val="5BE74621"/>
    <w:rsid w:val="5BF67C29"/>
    <w:rsid w:val="5BF907F8"/>
    <w:rsid w:val="5BFE7BBD"/>
    <w:rsid w:val="5C034C57"/>
    <w:rsid w:val="5C035904"/>
    <w:rsid w:val="5C071628"/>
    <w:rsid w:val="5C074CC3"/>
    <w:rsid w:val="5C090374"/>
    <w:rsid w:val="5C1413D9"/>
    <w:rsid w:val="5C1E2373"/>
    <w:rsid w:val="5C1E3DBB"/>
    <w:rsid w:val="5C2A47AC"/>
    <w:rsid w:val="5C2C7992"/>
    <w:rsid w:val="5C311D40"/>
    <w:rsid w:val="5C361105"/>
    <w:rsid w:val="5C3D2493"/>
    <w:rsid w:val="5C3D41F1"/>
    <w:rsid w:val="5C3D6E97"/>
    <w:rsid w:val="5C5509F2"/>
    <w:rsid w:val="5C5B500F"/>
    <w:rsid w:val="5C5D48E3"/>
    <w:rsid w:val="5C5F065B"/>
    <w:rsid w:val="5C635083"/>
    <w:rsid w:val="5C69772C"/>
    <w:rsid w:val="5C6F0828"/>
    <w:rsid w:val="5C743C9D"/>
    <w:rsid w:val="5C7D5F8B"/>
    <w:rsid w:val="5C871960"/>
    <w:rsid w:val="5C8C51C9"/>
    <w:rsid w:val="5C983B6D"/>
    <w:rsid w:val="5C9C3782"/>
    <w:rsid w:val="5C9D087A"/>
    <w:rsid w:val="5CA73DB1"/>
    <w:rsid w:val="5CAA79F3"/>
    <w:rsid w:val="5CAF42D1"/>
    <w:rsid w:val="5CB00EB7"/>
    <w:rsid w:val="5CB06720"/>
    <w:rsid w:val="5CB60E1E"/>
    <w:rsid w:val="5CB87D6C"/>
    <w:rsid w:val="5CBD35D4"/>
    <w:rsid w:val="5CC063ED"/>
    <w:rsid w:val="5CC52489"/>
    <w:rsid w:val="5CC84698"/>
    <w:rsid w:val="5CCB73F1"/>
    <w:rsid w:val="5CD65F8E"/>
    <w:rsid w:val="5CD70F3A"/>
    <w:rsid w:val="5CD821BC"/>
    <w:rsid w:val="5CDA3F26"/>
    <w:rsid w:val="5CDB3C64"/>
    <w:rsid w:val="5CDD2041"/>
    <w:rsid w:val="5CDD33AE"/>
    <w:rsid w:val="5CE34071"/>
    <w:rsid w:val="5CED210B"/>
    <w:rsid w:val="5CF0446B"/>
    <w:rsid w:val="5CF52D6E"/>
    <w:rsid w:val="5CF54B1C"/>
    <w:rsid w:val="5CF80AB0"/>
    <w:rsid w:val="5D02030B"/>
    <w:rsid w:val="5D084E39"/>
    <w:rsid w:val="5D0964D7"/>
    <w:rsid w:val="5D105CF8"/>
    <w:rsid w:val="5D210677"/>
    <w:rsid w:val="5D2B637F"/>
    <w:rsid w:val="5D2C42B6"/>
    <w:rsid w:val="5D331AE8"/>
    <w:rsid w:val="5D423AD9"/>
    <w:rsid w:val="5D4D63B1"/>
    <w:rsid w:val="5D4E06D0"/>
    <w:rsid w:val="5D502E32"/>
    <w:rsid w:val="5D585F07"/>
    <w:rsid w:val="5D6A27A8"/>
    <w:rsid w:val="5D752101"/>
    <w:rsid w:val="5D75259B"/>
    <w:rsid w:val="5D791F1C"/>
    <w:rsid w:val="5D861BCD"/>
    <w:rsid w:val="5D875C60"/>
    <w:rsid w:val="5D88074A"/>
    <w:rsid w:val="5D972077"/>
    <w:rsid w:val="5D985696"/>
    <w:rsid w:val="5D9869B0"/>
    <w:rsid w:val="5D9D6994"/>
    <w:rsid w:val="5DA14CA4"/>
    <w:rsid w:val="5DA6050C"/>
    <w:rsid w:val="5DA64068"/>
    <w:rsid w:val="5DAB78D0"/>
    <w:rsid w:val="5DAD3E49"/>
    <w:rsid w:val="5DAE2321"/>
    <w:rsid w:val="5DBC5ECC"/>
    <w:rsid w:val="5DC32E6C"/>
    <w:rsid w:val="5DC343F9"/>
    <w:rsid w:val="5DC35E00"/>
    <w:rsid w:val="5DD07AF4"/>
    <w:rsid w:val="5DD70C61"/>
    <w:rsid w:val="5DE0316E"/>
    <w:rsid w:val="5DE2248A"/>
    <w:rsid w:val="5DE54B90"/>
    <w:rsid w:val="5DEA4642"/>
    <w:rsid w:val="5DEE0041"/>
    <w:rsid w:val="5DF649A1"/>
    <w:rsid w:val="5E0016D0"/>
    <w:rsid w:val="5E0A6536"/>
    <w:rsid w:val="5E0F7E5F"/>
    <w:rsid w:val="5E1324AC"/>
    <w:rsid w:val="5E162F9C"/>
    <w:rsid w:val="5E1B1BA1"/>
    <w:rsid w:val="5E1D74C3"/>
    <w:rsid w:val="5E1E4546"/>
    <w:rsid w:val="5E1F63A1"/>
    <w:rsid w:val="5E231B5D"/>
    <w:rsid w:val="5E2356B9"/>
    <w:rsid w:val="5E246C69"/>
    <w:rsid w:val="5E2A529A"/>
    <w:rsid w:val="5E3476C9"/>
    <w:rsid w:val="5E361890"/>
    <w:rsid w:val="5E36363E"/>
    <w:rsid w:val="5E39312E"/>
    <w:rsid w:val="5E3D224D"/>
    <w:rsid w:val="5E3E7882"/>
    <w:rsid w:val="5E4C42E4"/>
    <w:rsid w:val="5E4E4E2C"/>
    <w:rsid w:val="5E4E6BDA"/>
    <w:rsid w:val="5E4F1664"/>
    <w:rsid w:val="5E4F64AE"/>
    <w:rsid w:val="5E5D4D99"/>
    <w:rsid w:val="5E6A153A"/>
    <w:rsid w:val="5E7E6701"/>
    <w:rsid w:val="5E841E57"/>
    <w:rsid w:val="5E8545C5"/>
    <w:rsid w:val="5E856373"/>
    <w:rsid w:val="5E954808"/>
    <w:rsid w:val="5E9640DD"/>
    <w:rsid w:val="5E97383C"/>
    <w:rsid w:val="5EA42C9D"/>
    <w:rsid w:val="5EA507C4"/>
    <w:rsid w:val="5EA70098"/>
    <w:rsid w:val="5EB2004A"/>
    <w:rsid w:val="5EB32EE1"/>
    <w:rsid w:val="5EC46929"/>
    <w:rsid w:val="5ED35331"/>
    <w:rsid w:val="5ED52E57"/>
    <w:rsid w:val="5EDF5A84"/>
    <w:rsid w:val="5EE94B54"/>
    <w:rsid w:val="5EF05EE3"/>
    <w:rsid w:val="5EF57137"/>
    <w:rsid w:val="5EFE6E42"/>
    <w:rsid w:val="5F054FBD"/>
    <w:rsid w:val="5F0B3395"/>
    <w:rsid w:val="5F107AA7"/>
    <w:rsid w:val="5F1B3A4B"/>
    <w:rsid w:val="5F1D035A"/>
    <w:rsid w:val="5F230BC9"/>
    <w:rsid w:val="5F240F6E"/>
    <w:rsid w:val="5F25151C"/>
    <w:rsid w:val="5F2F2747"/>
    <w:rsid w:val="5F304531"/>
    <w:rsid w:val="5F3131CD"/>
    <w:rsid w:val="5F335DCF"/>
    <w:rsid w:val="5F354FCC"/>
    <w:rsid w:val="5F376DB3"/>
    <w:rsid w:val="5F3A715E"/>
    <w:rsid w:val="5F46146B"/>
    <w:rsid w:val="5F4D50E3"/>
    <w:rsid w:val="5F50560B"/>
    <w:rsid w:val="5F5A480F"/>
    <w:rsid w:val="5F5A7800"/>
    <w:rsid w:val="5F5D3CF6"/>
    <w:rsid w:val="5F6212EE"/>
    <w:rsid w:val="5F641494"/>
    <w:rsid w:val="5F663652"/>
    <w:rsid w:val="5F6706E3"/>
    <w:rsid w:val="5F6847A5"/>
    <w:rsid w:val="5F6A74F3"/>
    <w:rsid w:val="5F702B80"/>
    <w:rsid w:val="5F734DD2"/>
    <w:rsid w:val="5F747CBB"/>
    <w:rsid w:val="5F7603BF"/>
    <w:rsid w:val="5F781A34"/>
    <w:rsid w:val="5F7B7494"/>
    <w:rsid w:val="5F821204"/>
    <w:rsid w:val="5F8672E6"/>
    <w:rsid w:val="5F903222"/>
    <w:rsid w:val="5FA32F55"/>
    <w:rsid w:val="5FA37CAF"/>
    <w:rsid w:val="5FA4174E"/>
    <w:rsid w:val="5FA62DEE"/>
    <w:rsid w:val="5FAC5FA5"/>
    <w:rsid w:val="5FB045E7"/>
    <w:rsid w:val="5FB707AE"/>
    <w:rsid w:val="5FB7255D"/>
    <w:rsid w:val="5FB91456"/>
    <w:rsid w:val="5FBC5A2C"/>
    <w:rsid w:val="5FBD4480"/>
    <w:rsid w:val="5FC93D7A"/>
    <w:rsid w:val="5FD2225B"/>
    <w:rsid w:val="5FDC1FC3"/>
    <w:rsid w:val="5FDD7B11"/>
    <w:rsid w:val="5FE01A64"/>
    <w:rsid w:val="5FE01AB3"/>
    <w:rsid w:val="5FE01C28"/>
    <w:rsid w:val="5FE33352"/>
    <w:rsid w:val="5FE570CA"/>
    <w:rsid w:val="5FE62E42"/>
    <w:rsid w:val="5FE80968"/>
    <w:rsid w:val="5FE938A5"/>
    <w:rsid w:val="5FEA0B84"/>
    <w:rsid w:val="5FEA4524"/>
    <w:rsid w:val="5FF67A16"/>
    <w:rsid w:val="5FFA7637"/>
    <w:rsid w:val="5FFC38E9"/>
    <w:rsid w:val="600914DE"/>
    <w:rsid w:val="600D03CE"/>
    <w:rsid w:val="60144BDF"/>
    <w:rsid w:val="60145C01"/>
    <w:rsid w:val="6017576F"/>
    <w:rsid w:val="6018063D"/>
    <w:rsid w:val="601A3622"/>
    <w:rsid w:val="602F1F75"/>
    <w:rsid w:val="60331A5C"/>
    <w:rsid w:val="60367589"/>
    <w:rsid w:val="60381A6D"/>
    <w:rsid w:val="60397415"/>
    <w:rsid w:val="603C28E6"/>
    <w:rsid w:val="603C6C42"/>
    <w:rsid w:val="603D527B"/>
    <w:rsid w:val="603F3A23"/>
    <w:rsid w:val="604007A4"/>
    <w:rsid w:val="604638E0"/>
    <w:rsid w:val="60511079"/>
    <w:rsid w:val="60597AB8"/>
    <w:rsid w:val="60625267"/>
    <w:rsid w:val="60653243"/>
    <w:rsid w:val="60681AA9"/>
    <w:rsid w:val="606C2ECA"/>
    <w:rsid w:val="607B445F"/>
    <w:rsid w:val="60824919"/>
    <w:rsid w:val="60886391"/>
    <w:rsid w:val="608A7C71"/>
    <w:rsid w:val="608D263A"/>
    <w:rsid w:val="608F68B5"/>
    <w:rsid w:val="609168F9"/>
    <w:rsid w:val="609371CC"/>
    <w:rsid w:val="60956D42"/>
    <w:rsid w:val="60A93E60"/>
    <w:rsid w:val="60B116A2"/>
    <w:rsid w:val="60B31E04"/>
    <w:rsid w:val="60B438B3"/>
    <w:rsid w:val="60B6122B"/>
    <w:rsid w:val="60BB42CE"/>
    <w:rsid w:val="60BC7548"/>
    <w:rsid w:val="60CC64DC"/>
    <w:rsid w:val="60D16514"/>
    <w:rsid w:val="60D5551B"/>
    <w:rsid w:val="60D801D1"/>
    <w:rsid w:val="60D8398C"/>
    <w:rsid w:val="60E121F5"/>
    <w:rsid w:val="60EE69CE"/>
    <w:rsid w:val="60F048A3"/>
    <w:rsid w:val="60F95222"/>
    <w:rsid w:val="610E79D9"/>
    <w:rsid w:val="611A222F"/>
    <w:rsid w:val="612E2CF2"/>
    <w:rsid w:val="61302DBD"/>
    <w:rsid w:val="61333E65"/>
    <w:rsid w:val="613936FA"/>
    <w:rsid w:val="614147D4"/>
    <w:rsid w:val="61472254"/>
    <w:rsid w:val="61527A3D"/>
    <w:rsid w:val="615618D2"/>
    <w:rsid w:val="61574EC1"/>
    <w:rsid w:val="615A41CF"/>
    <w:rsid w:val="61630BEE"/>
    <w:rsid w:val="6165067D"/>
    <w:rsid w:val="61700C15"/>
    <w:rsid w:val="617028A6"/>
    <w:rsid w:val="617649CA"/>
    <w:rsid w:val="61796953"/>
    <w:rsid w:val="617E51EA"/>
    <w:rsid w:val="618042CE"/>
    <w:rsid w:val="61842912"/>
    <w:rsid w:val="618648DC"/>
    <w:rsid w:val="61867CBA"/>
    <w:rsid w:val="618860C5"/>
    <w:rsid w:val="618928AC"/>
    <w:rsid w:val="61913C09"/>
    <w:rsid w:val="619E1C26"/>
    <w:rsid w:val="61A94127"/>
    <w:rsid w:val="61A9504A"/>
    <w:rsid w:val="61AB60F1"/>
    <w:rsid w:val="61B60BBE"/>
    <w:rsid w:val="61BA5B6C"/>
    <w:rsid w:val="61BE553D"/>
    <w:rsid w:val="61BF5B0C"/>
    <w:rsid w:val="61D03DA9"/>
    <w:rsid w:val="61D6397A"/>
    <w:rsid w:val="61D76EE6"/>
    <w:rsid w:val="61DB6A4D"/>
    <w:rsid w:val="61E04AD9"/>
    <w:rsid w:val="61E753C4"/>
    <w:rsid w:val="61F555BE"/>
    <w:rsid w:val="6201775B"/>
    <w:rsid w:val="620D71A2"/>
    <w:rsid w:val="620F042E"/>
    <w:rsid w:val="62106035"/>
    <w:rsid w:val="62165C60"/>
    <w:rsid w:val="621670CB"/>
    <w:rsid w:val="62172B4C"/>
    <w:rsid w:val="621E7D7A"/>
    <w:rsid w:val="62320319"/>
    <w:rsid w:val="62361A2E"/>
    <w:rsid w:val="6238312F"/>
    <w:rsid w:val="623920A5"/>
    <w:rsid w:val="62397BA1"/>
    <w:rsid w:val="623A36A7"/>
    <w:rsid w:val="623A61B6"/>
    <w:rsid w:val="623B6840"/>
    <w:rsid w:val="6241772D"/>
    <w:rsid w:val="624D0F56"/>
    <w:rsid w:val="624E5AC5"/>
    <w:rsid w:val="625F6A4A"/>
    <w:rsid w:val="626C278F"/>
    <w:rsid w:val="62740596"/>
    <w:rsid w:val="6280553C"/>
    <w:rsid w:val="628232F6"/>
    <w:rsid w:val="628C499D"/>
    <w:rsid w:val="629D0130"/>
    <w:rsid w:val="629D15BD"/>
    <w:rsid w:val="62A414BE"/>
    <w:rsid w:val="62AF7540"/>
    <w:rsid w:val="62B6362D"/>
    <w:rsid w:val="62B65BDA"/>
    <w:rsid w:val="62BD432E"/>
    <w:rsid w:val="62C21944"/>
    <w:rsid w:val="62CA6252"/>
    <w:rsid w:val="62D179A7"/>
    <w:rsid w:val="62D535D8"/>
    <w:rsid w:val="62D84CC4"/>
    <w:rsid w:val="62DA07C5"/>
    <w:rsid w:val="62DA7DAA"/>
    <w:rsid w:val="62DB0217"/>
    <w:rsid w:val="62DD530F"/>
    <w:rsid w:val="62EF025F"/>
    <w:rsid w:val="62F43095"/>
    <w:rsid w:val="62F82F7B"/>
    <w:rsid w:val="62FF4946"/>
    <w:rsid w:val="63041F5D"/>
    <w:rsid w:val="630C3F88"/>
    <w:rsid w:val="63116428"/>
    <w:rsid w:val="63131C60"/>
    <w:rsid w:val="631B2E02"/>
    <w:rsid w:val="631E4260"/>
    <w:rsid w:val="632223E3"/>
    <w:rsid w:val="632473E0"/>
    <w:rsid w:val="632945F8"/>
    <w:rsid w:val="632F112F"/>
    <w:rsid w:val="633329E6"/>
    <w:rsid w:val="63347148"/>
    <w:rsid w:val="634379A6"/>
    <w:rsid w:val="63512CC8"/>
    <w:rsid w:val="63517988"/>
    <w:rsid w:val="635527B8"/>
    <w:rsid w:val="635822A8"/>
    <w:rsid w:val="635C3B47"/>
    <w:rsid w:val="63662621"/>
    <w:rsid w:val="636649C5"/>
    <w:rsid w:val="6367429A"/>
    <w:rsid w:val="636F2CBC"/>
    <w:rsid w:val="6372336A"/>
    <w:rsid w:val="63730E90"/>
    <w:rsid w:val="637D1D0F"/>
    <w:rsid w:val="63A66B70"/>
    <w:rsid w:val="63AB4186"/>
    <w:rsid w:val="63AD6150"/>
    <w:rsid w:val="63BC7619"/>
    <w:rsid w:val="63C86E42"/>
    <w:rsid w:val="63CE60C7"/>
    <w:rsid w:val="63CF256B"/>
    <w:rsid w:val="63D77671"/>
    <w:rsid w:val="63E61222"/>
    <w:rsid w:val="63EF03F5"/>
    <w:rsid w:val="63FF035D"/>
    <w:rsid w:val="64016C68"/>
    <w:rsid w:val="64025D70"/>
    <w:rsid w:val="64041ABE"/>
    <w:rsid w:val="64061D04"/>
    <w:rsid w:val="64070C3A"/>
    <w:rsid w:val="640A1E5A"/>
    <w:rsid w:val="640A2E5C"/>
    <w:rsid w:val="640B4E4E"/>
    <w:rsid w:val="6416213F"/>
    <w:rsid w:val="641E704E"/>
    <w:rsid w:val="64252409"/>
    <w:rsid w:val="64277EAD"/>
    <w:rsid w:val="64287ECD"/>
    <w:rsid w:val="642908B4"/>
    <w:rsid w:val="642D103F"/>
    <w:rsid w:val="642F125B"/>
    <w:rsid w:val="643527F9"/>
    <w:rsid w:val="64477D24"/>
    <w:rsid w:val="644B7C6E"/>
    <w:rsid w:val="645E744B"/>
    <w:rsid w:val="645F1659"/>
    <w:rsid w:val="64607667"/>
    <w:rsid w:val="646A6EA6"/>
    <w:rsid w:val="64740A1C"/>
    <w:rsid w:val="64746C6E"/>
    <w:rsid w:val="647E5BE3"/>
    <w:rsid w:val="648C74E3"/>
    <w:rsid w:val="64906A35"/>
    <w:rsid w:val="64933B65"/>
    <w:rsid w:val="64987D89"/>
    <w:rsid w:val="649B10C0"/>
    <w:rsid w:val="649F4289"/>
    <w:rsid w:val="64A4627B"/>
    <w:rsid w:val="64A6641F"/>
    <w:rsid w:val="64A758F9"/>
    <w:rsid w:val="64AC28AC"/>
    <w:rsid w:val="64AC6408"/>
    <w:rsid w:val="64B17EC2"/>
    <w:rsid w:val="64B25D57"/>
    <w:rsid w:val="64B33C3A"/>
    <w:rsid w:val="64C64FF0"/>
    <w:rsid w:val="64C9520C"/>
    <w:rsid w:val="64DA5E0B"/>
    <w:rsid w:val="64DB6CED"/>
    <w:rsid w:val="64DE67DD"/>
    <w:rsid w:val="64E732AE"/>
    <w:rsid w:val="64EB797F"/>
    <w:rsid w:val="64F105C1"/>
    <w:rsid w:val="64F6539B"/>
    <w:rsid w:val="651641C9"/>
    <w:rsid w:val="652228B0"/>
    <w:rsid w:val="65244DE3"/>
    <w:rsid w:val="65292CF6"/>
    <w:rsid w:val="65297705"/>
    <w:rsid w:val="652B08B5"/>
    <w:rsid w:val="652B723C"/>
    <w:rsid w:val="6534385F"/>
    <w:rsid w:val="65384140"/>
    <w:rsid w:val="65392928"/>
    <w:rsid w:val="653B778C"/>
    <w:rsid w:val="653E0329"/>
    <w:rsid w:val="654674C5"/>
    <w:rsid w:val="65484A48"/>
    <w:rsid w:val="65491EA9"/>
    <w:rsid w:val="654F4FE5"/>
    <w:rsid w:val="65566374"/>
    <w:rsid w:val="655A5E64"/>
    <w:rsid w:val="656206A5"/>
    <w:rsid w:val="65623600"/>
    <w:rsid w:val="656976B0"/>
    <w:rsid w:val="656A57C4"/>
    <w:rsid w:val="656D408F"/>
    <w:rsid w:val="656E5DB3"/>
    <w:rsid w:val="6570115F"/>
    <w:rsid w:val="65707DEA"/>
    <w:rsid w:val="65765E72"/>
    <w:rsid w:val="657F58CB"/>
    <w:rsid w:val="65817895"/>
    <w:rsid w:val="65896749"/>
    <w:rsid w:val="658B3C23"/>
    <w:rsid w:val="658D036C"/>
    <w:rsid w:val="65901116"/>
    <w:rsid w:val="659908BE"/>
    <w:rsid w:val="659A0956"/>
    <w:rsid w:val="65A447B7"/>
    <w:rsid w:val="65A52645"/>
    <w:rsid w:val="65AA660F"/>
    <w:rsid w:val="65B01973"/>
    <w:rsid w:val="65B83379"/>
    <w:rsid w:val="65BE21B3"/>
    <w:rsid w:val="65BE264A"/>
    <w:rsid w:val="65C634F9"/>
    <w:rsid w:val="65D1317E"/>
    <w:rsid w:val="65D73958"/>
    <w:rsid w:val="65E059A3"/>
    <w:rsid w:val="65E51816"/>
    <w:rsid w:val="65E575C2"/>
    <w:rsid w:val="65F660A6"/>
    <w:rsid w:val="65FB4FFA"/>
    <w:rsid w:val="66134265"/>
    <w:rsid w:val="661C5E23"/>
    <w:rsid w:val="662A20DC"/>
    <w:rsid w:val="663B4FEF"/>
    <w:rsid w:val="663B6ADC"/>
    <w:rsid w:val="663D1F2D"/>
    <w:rsid w:val="66432D9C"/>
    <w:rsid w:val="664B1C51"/>
    <w:rsid w:val="664D6B97"/>
    <w:rsid w:val="66522FDF"/>
    <w:rsid w:val="66551508"/>
    <w:rsid w:val="66552ACF"/>
    <w:rsid w:val="6657649E"/>
    <w:rsid w:val="6659436D"/>
    <w:rsid w:val="665C34BE"/>
    <w:rsid w:val="665F74AA"/>
    <w:rsid w:val="666845B1"/>
    <w:rsid w:val="6669068F"/>
    <w:rsid w:val="66703465"/>
    <w:rsid w:val="66707909"/>
    <w:rsid w:val="6672542F"/>
    <w:rsid w:val="66794A10"/>
    <w:rsid w:val="667C62AE"/>
    <w:rsid w:val="66805D9E"/>
    <w:rsid w:val="668263D9"/>
    <w:rsid w:val="66826704"/>
    <w:rsid w:val="668A2779"/>
    <w:rsid w:val="668C6F35"/>
    <w:rsid w:val="668F7D8F"/>
    <w:rsid w:val="66903B07"/>
    <w:rsid w:val="66914861"/>
    <w:rsid w:val="66990550"/>
    <w:rsid w:val="669971F6"/>
    <w:rsid w:val="669B4F21"/>
    <w:rsid w:val="66A11F66"/>
    <w:rsid w:val="66A51361"/>
    <w:rsid w:val="66A54030"/>
    <w:rsid w:val="66AF4903"/>
    <w:rsid w:val="66B31CC5"/>
    <w:rsid w:val="66B612EF"/>
    <w:rsid w:val="66BB5028"/>
    <w:rsid w:val="66D71736"/>
    <w:rsid w:val="66D87988"/>
    <w:rsid w:val="66DB14FC"/>
    <w:rsid w:val="66E83943"/>
    <w:rsid w:val="66EA4BFD"/>
    <w:rsid w:val="66ED4AB6"/>
    <w:rsid w:val="66F26C83"/>
    <w:rsid w:val="66F54178"/>
    <w:rsid w:val="66FD119D"/>
    <w:rsid w:val="66FD1A98"/>
    <w:rsid w:val="67024A05"/>
    <w:rsid w:val="670F0ED0"/>
    <w:rsid w:val="670F2C7E"/>
    <w:rsid w:val="670F7329"/>
    <w:rsid w:val="671102C9"/>
    <w:rsid w:val="671D35ED"/>
    <w:rsid w:val="6727016E"/>
    <w:rsid w:val="67302D72"/>
    <w:rsid w:val="67367BDE"/>
    <w:rsid w:val="67383895"/>
    <w:rsid w:val="673C3F4D"/>
    <w:rsid w:val="673D6C8E"/>
    <w:rsid w:val="67401089"/>
    <w:rsid w:val="674072DB"/>
    <w:rsid w:val="67515045"/>
    <w:rsid w:val="675E7762"/>
    <w:rsid w:val="676034DA"/>
    <w:rsid w:val="67620795"/>
    <w:rsid w:val="67650AA1"/>
    <w:rsid w:val="67683ED3"/>
    <w:rsid w:val="676B3D88"/>
    <w:rsid w:val="67901824"/>
    <w:rsid w:val="67910EA4"/>
    <w:rsid w:val="679B538E"/>
    <w:rsid w:val="67A03B90"/>
    <w:rsid w:val="67A535E2"/>
    <w:rsid w:val="67A7735B"/>
    <w:rsid w:val="67AD6FA5"/>
    <w:rsid w:val="67AE2497"/>
    <w:rsid w:val="67B46B65"/>
    <w:rsid w:val="67B64405"/>
    <w:rsid w:val="67B6759E"/>
    <w:rsid w:val="67B825EE"/>
    <w:rsid w:val="67BA4365"/>
    <w:rsid w:val="67C21C75"/>
    <w:rsid w:val="67C65A33"/>
    <w:rsid w:val="67C73559"/>
    <w:rsid w:val="67CE6F06"/>
    <w:rsid w:val="67D068B1"/>
    <w:rsid w:val="67DF71BB"/>
    <w:rsid w:val="67E81E4D"/>
    <w:rsid w:val="67E934CF"/>
    <w:rsid w:val="67F105D6"/>
    <w:rsid w:val="67F51E74"/>
    <w:rsid w:val="67F646BC"/>
    <w:rsid w:val="67FA37DE"/>
    <w:rsid w:val="67FE43CE"/>
    <w:rsid w:val="68000819"/>
    <w:rsid w:val="68012F0F"/>
    <w:rsid w:val="680227E3"/>
    <w:rsid w:val="68063D32"/>
    <w:rsid w:val="68064EDB"/>
    <w:rsid w:val="68070B84"/>
    <w:rsid w:val="68077DF9"/>
    <w:rsid w:val="68091DC3"/>
    <w:rsid w:val="681111F1"/>
    <w:rsid w:val="681349F0"/>
    <w:rsid w:val="681B367D"/>
    <w:rsid w:val="681D761D"/>
    <w:rsid w:val="68291084"/>
    <w:rsid w:val="682B591F"/>
    <w:rsid w:val="682D7860"/>
    <w:rsid w:val="682E63BC"/>
    <w:rsid w:val="68307350"/>
    <w:rsid w:val="6833299C"/>
    <w:rsid w:val="68352BB8"/>
    <w:rsid w:val="68354966"/>
    <w:rsid w:val="6838340B"/>
    <w:rsid w:val="683B72BC"/>
    <w:rsid w:val="683D4A21"/>
    <w:rsid w:val="6845021D"/>
    <w:rsid w:val="684C483A"/>
    <w:rsid w:val="68537E16"/>
    <w:rsid w:val="685B4079"/>
    <w:rsid w:val="6867275C"/>
    <w:rsid w:val="68694610"/>
    <w:rsid w:val="686B0388"/>
    <w:rsid w:val="686E4E4E"/>
    <w:rsid w:val="68720019"/>
    <w:rsid w:val="6873723D"/>
    <w:rsid w:val="68774F7F"/>
    <w:rsid w:val="68790CF7"/>
    <w:rsid w:val="688A3D22"/>
    <w:rsid w:val="688A6AFA"/>
    <w:rsid w:val="688C3F71"/>
    <w:rsid w:val="689023F0"/>
    <w:rsid w:val="68914293"/>
    <w:rsid w:val="68955405"/>
    <w:rsid w:val="68996CA3"/>
    <w:rsid w:val="689E42BA"/>
    <w:rsid w:val="689F6284"/>
    <w:rsid w:val="68A13DAA"/>
    <w:rsid w:val="68A7771B"/>
    <w:rsid w:val="68AA5B4D"/>
    <w:rsid w:val="68B30CED"/>
    <w:rsid w:val="68B3402F"/>
    <w:rsid w:val="68BC680B"/>
    <w:rsid w:val="68C006D4"/>
    <w:rsid w:val="68C55A28"/>
    <w:rsid w:val="68C61A62"/>
    <w:rsid w:val="68C656C9"/>
    <w:rsid w:val="68C667CC"/>
    <w:rsid w:val="68C857DA"/>
    <w:rsid w:val="68C93813"/>
    <w:rsid w:val="68CA50AF"/>
    <w:rsid w:val="68CF0917"/>
    <w:rsid w:val="68F63A6F"/>
    <w:rsid w:val="68F93BE6"/>
    <w:rsid w:val="68FC5484"/>
    <w:rsid w:val="69011A03"/>
    <w:rsid w:val="69036813"/>
    <w:rsid w:val="691427CE"/>
    <w:rsid w:val="69194FE4"/>
    <w:rsid w:val="69201173"/>
    <w:rsid w:val="692C087F"/>
    <w:rsid w:val="692D6268"/>
    <w:rsid w:val="692F585A"/>
    <w:rsid w:val="69325074"/>
    <w:rsid w:val="69362744"/>
    <w:rsid w:val="693B3D95"/>
    <w:rsid w:val="693E5A9D"/>
    <w:rsid w:val="6940200D"/>
    <w:rsid w:val="69470DF5"/>
    <w:rsid w:val="695E7C81"/>
    <w:rsid w:val="696230A8"/>
    <w:rsid w:val="69636512"/>
    <w:rsid w:val="696D1EDE"/>
    <w:rsid w:val="696E697F"/>
    <w:rsid w:val="69703A94"/>
    <w:rsid w:val="697414BE"/>
    <w:rsid w:val="69766FE4"/>
    <w:rsid w:val="697B45FB"/>
    <w:rsid w:val="697F233D"/>
    <w:rsid w:val="6982764E"/>
    <w:rsid w:val="69872FA0"/>
    <w:rsid w:val="698A1782"/>
    <w:rsid w:val="698C2CAC"/>
    <w:rsid w:val="6994390F"/>
    <w:rsid w:val="69981651"/>
    <w:rsid w:val="69990490"/>
    <w:rsid w:val="699B6A4B"/>
    <w:rsid w:val="69A41DA4"/>
    <w:rsid w:val="69AC6EAA"/>
    <w:rsid w:val="69B30239"/>
    <w:rsid w:val="69BE09A8"/>
    <w:rsid w:val="69CE0BCF"/>
    <w:rsid w:val="69D16A9C"/>
    <w:rsid w:val="69DC2584"/>
    <w:rsid w:val="69E06B54"/>
    <w:rsid w:val="6A0B3BD1"/>
    <w:rsid w:val="6A0B4DA2"/>
    <w:rsid w:val="6A0D4CED"/>
    <w:rsid w:val="6A1C4030"/>
    <w:rsid w:val="6A2133F4"/>
    <w:rsid w:val="6A2151A2"/>
    <w:rsid w:val="6A2704BE"/>
    <w:rsid w:val="6A3430A0"/>
    <w:rsid w:val="6A3C571E"/>
    <w:rsid w:val="6A3F1ACC"/>
    <w:rsid w:val="6A452BC9"/>
    <w:rsid w:val="6A482602"/>
    <w:rsid w:val="6A4E1D0F"/>
    <w:rsid w:val="6A521800"/>
    <w:rsid w:val="6A554E4C"/>
    <w:rsid w:val="6A623F41"/>
    <w:rsid w:val="6A6908F7"/>
    <w:rsid w:val="6A6B570C"/>
    <w:rsid w:val="6A6E5F0E"/>
    <w:rsid w:val="6A7554EE"/>
    <w:rsid w:val="6A771A36"/>
    <w:rsid w:val="6A837C0B"/>
    <w:rsid w:val="6A877213"/>
    <w:rsid w:val="6A8B520E"/>
    <w:rsid w:val="6A8D0A8A"/>
    <w:rsid w:val="6A9D12E5"/>
    <w:rsid w:val="6AA54025"/>
    <w:rsid w:val="6AA778F8"/>
    <w:rsid w:val="6AAB2D00"/>
    <w:rsid w:val="6AB33088"/>
    <w:rsid w:val="6ABB5326"/>
    <w:rsid w:val="6AC27C99"/>
    <w:rsid w:val="6AC703D4"/>
    <w:rsid w:val="6AC87D14"/>
    <w:rsid w:val="6ACC63C3"/>
    <w:rsid w:val="6AD14E1A"/>
    <w:rsid w:val="6AE6658B"/>
    <w:rsid w:val="6AEA1A38"/>
    <w:rsid w:val="6AED32D6"/>
    <w:rsid w:val="6AF01018"/>
    <w:rsid w:val="6B014FD4"/>
    <w:rsid w:val="6B040620"/>
    <w:rsid w:val="6B0546BF"/>
    <w:rsid w:val="6B140A94"/>
    <w:rsid w:val="6B1E5B86"/>
    <w:rsid w:val="6B225676"/>
    <w:rsid w:val="6B280B0F"/>
    <w:rsid w:val="6B2A0DD1"/>
    <w:rsid w:val="6B2A62D8"/>
    <w:rsid w:val="6B3123E5"/>
    <w:rsid w:val="6B3928DE"/>
    <w:rsid w:val="6B3A571B"/>
    <w:rsid w:val="6B3D24B0"/>
    <w:rsid w:val="6B421874"/>
    <w:rsid w:val="6B433182"/>
    <w:rsid w:val="6B454EC0"/>
    <w:rsid w:val="6B4D6993"/>
    <w:rsid w:val="6B4E304B"/>
    <w:rsid w:val="6B515E8F"/>
    <w:rsid w:val="6B594E10"/>
    <w:rsid w:val="6B5A1E96"/>
    <w:rsid w:val="6B5B6012"/>
    <w:rsid w:val="6B680BAF"/>
    <w:rsid w:val="6B6905B2"/>
    <w:rsid w:val="6B715CB5"/>
    <w:rsid w:val="6B7B6CF5"/>
    <w:rsid w:val="6B8C2AEF"/>
    <w:rsid w:val="6B8D6867"/>
    <w:rsid w:val="6B9120BE"/>
    <w:rsid w:val="6B942D3D"/>
    <w:rsid w:val="6B980468"/>
    <w:rsid w:val="6B9A0316"/>
    <w:rsid w:val="6BA22B89"/>
    <w:rsid w:val="6BA37769"/>
    <w:rsid w:val="6BA56514"/>
    <w:rsid w:val="6BB7760B"/>
    <w:rsid w:val="6BB8600B"/>
    <w:rsid w:val="6BB93481"/>
    <w:rsid w:val="6BB95D93"/>
    <w:rsid w:val="6BC15C2B"/>
    <w:rsid w:val="6BC4672D"/>
    <w:rsid w:val="6BC530A7"/>
    <w:rsid w:val="6BCB7ABB"/>
    <w:rsid w:val="6BCC7390"/>
    <w:rsid w:val="6BD24A28"/>
    <w:rsid w:val="6BD46244"/>
    <w:rsid w:val="6BD6020E"/>
    <w:rsid w:val="6BD66471"/>
    <w:rsid w:val="6BDC0AE0"/>
    <w:rsid w:val="6BE22552"/>
    <w:rsid w:val="6BE7241B"/>
    <w:rsid w:val="6BEE4FC6"/>
    <w:rsid w:val="6BF52DE2"/>
    <w:rsid w:val="6BF863D7"/>
    <w:rsid w:val="6BFB3638"/>
    <w:rsid w:val="6C107BF8"/>
    <w:rsid w:val="6C1D78D9"/>
    <w:rsid w:val="6C1E7857"/>
    <w:rsid w:val="6C2101A9"/>
    <w:rsid w:val="6C2B5B16"/>
    <w:rsid w:val="6C302ABE"/>
    <w:rsid w:val="6C3073D8"/>
    <w:rsid w:val="6C33669E"/>
    <w:rsid w:val="6C494E84"/>
    <w:rsid w:val="6C4B4758"/>
    <w:rsid w:val="6C532B1A"/>
    <w:rsid w:val="6C5630FD"/>
    <w:rsid w:val="6C5A499B"/>
    <w:rsid w:val="6C63290C"/>
    <w:rsid w:val="6C7066C8"/>
    <w:rsid w:val="6C716E95"/>
    <w:rsid w:val="6C77554D"/>
    <w:rsid w:val="6C8726F7"/>
    <w:rsid w:val="6C8A0385"/>
    <w:rsid w:val="6C9C6D62"/>
    <w:rsid w:val="6CA7022C"/>
    <w:rsid w:val="6CAB1B96"/>
    <w:rsid w:val="6CB2643C"/>
    <w:rsid w:val="6CB319F4"/>
    <w:rsid w:val="6CB775D6"/>
    <w:rsid w:val="6CBF2773"/>
    <w:rsid w:val="6CC369E5"/>
    <w:rsid w:val="6CC462B9"/>
    <w:rsid w:val="6CDE55CC"/>
    <w:rsid w:val="6CDF1345"/>
    <w:rsid w:val="6CE54BAD"/>
    <w:rsid w:val="6CEA21C3"/>
    <w:rsid w:val="6CEB1A97"/>
    <w:rsid w:val="6CEB70AA"/>
    <w:rsid w:val="6CF05300"/>
    <w:rsid w:val="6CF22E26"/>
    <w:rsid w:val="6CF34F90"/>
    <w:rsid w:val="6CF43042"/>
    <w:rsid w:val="6CF76761"/>
    <w:rsid w:val="6CFA66BC"/>
    <w:rsid w:val="6D093C1F"/>
    <w:rsid w:val="6D147240"/>
    <w:rsid w:val="6D157F68"/>
    <w:rsid w:val="6D1C1338"/>
    <w:rsid w:val="6D1E3C1B"/>
    <w:rsid w:val="6D241DD6"/>
    <w:rsid w:val="6D3A2C36"/>
    <w:rsid w:val="6D3B47CD"/>
    <w:rsid w:val="6D4C4C2C"/>
    <w:rsid w:val="6D4D62AE"/>
    <w:rsid w:val="6D4E41EC"/>
    <w:rsid w:val="6D5263BD"/>
    <w:rsid w:val="6D567859"/>
    <w:rsid w:val="6D5923AE"/>
    <w:rsid w:val="6D5B4E6F"/>
    <w:rsid w:val="6D633425"/>
    <w:rsid w:val="6D657A9C"/>
    <w:rsid w:val="6D6B4CAD"/>
    <w:rsid w:val="6D714693"/>
    <w:rsid w:val="6D72274B"/>
    <w:rsid w:val="6D7418F5"/>
    <w:rsid w:val="6D754438"/>
    <w:rsid w:val="6D7D3D2A"/>
    <w:rsid w:val="6D8141AA"/>
    <w:rsid w:val="6D853C9A"/>
    <w:rsid w:val="6D87328B"/>
    <w:rsid w:val="6D877A12"/>
    <w:rsid w:val="6D8C026B"/>
    <w:rsid w:val="6D8C1837"/>
    <w:rsid w:val="6D8C5028"/>
    <w:rsid w:val="6D901B30"/>
    <w:rsid w:val="6D98498E"/>
    <w:rsid w:val="6D99628D"/>
    <w:rsid w:val="6D9B5D37"/>
    <w:rsid w:val="6D9D5378"/>
    <w:rsid w:val="6DA0000F"/>
    <w:rsid w:val="6DA06D26"/>
    <w:rsid w:val="6DA700B4"/>
    <w:rsid w:val="6DAC7BC8"/>
    <w:rsid w:val="6DB14A8F"/>
    <w:rsid w:val="6DB30807"/>
    <w:rsid w:val="6DB620A5"/>
    <w:rsid w:val="6DB73718"/>
    <w:rsid w:val="6DB77BCC"/>
    <w:rsid w:val="6DBB76BC"/>
    <w:rsid w:val="6DC01870"/>
    <w:rsid w:val="6DC26C9C"/>
    <w:rsid w:val="6DCE632D"/>
    <w:rsid w:val="6DD469CF"/>
    <w:rsid w:val="6DD87EEB"/>
    <w:rsid w:val="6DDB7D5E"/>
    <w:rsid w:val="6DE06A16"/>
    <w:rsid w:val="6DED20C4"/>
    <w:rsid w:val="6DEE7A91"/>
    <w:rsid w:val="6DF9597F"/>
    <w:rsid w:val="6DFB36A6"/>
    <w:rsid w:val="6DFD7CD4"/>
    <w:rsid w:val="6E027099"/>
    <w:rsid w:val="6E066998"/>
    <w:rsid w:val="6E0861F9"/>
    <w:rsid w:val="6E0F421C"/>
    <w:rsid w:val="6E0F7A08"/>
    <w:rsid w:val="6E11552E"/>
    <w:rsid w:val="6E1814DE"/>
    <w:rsid w:val="6E1F5E9D"/>
    <w:rsid w:val="6E2141BB"/>
    <w:rsid w:val="6E314C1B"/>
    <w:rsid w:val="6E3D33F0"/>
    <w:rsid w:val="6E42797D"/>
    <w:rsid w:val="6E511D65"/>
    <w:rsid w:val="6E563D5E"/>
    <w:rsid w:val="6E5773E2"/>
    <w:rsid w:val="6E5D0773"/>
    <w:rsid w:val="6E5E5C3B"/>
    <w:rsid w:val="6E602332"/>
    <w:rsid w:val="6E6040B1"/>
    <w:rsid w:val="6E667591"/>
    <w:rsid w:val="6E6B2E90"/>
    <w:rsid w:val="6E786C73"/>
    <w:rsid w:val="6E8362CB"/>
    <w:rsid w:val="6E8607DF"/>
    <w:rsid w:val="6E8C5574"/>
    <w:rsid w:val="6E8D7026"/>
    <w:rsid w:val="6E8E6B7E"/>
    <w:rsid w:val="6E900B48"/>
    <w:rsid w:val="6E9323E7"/>
    <w:rsid w:val="6E95110E"/>
    <w:rsid w:val="6E971216"/>
    <w:rsid w:val="6E9F5AF8"/>
    <w:rsid w:val="6EA14207"/>
    <w:rsid w:val="6EA662E7"/>
    <w:rsid w:val="6EB45CAC"/>
    <w:rsid w:val="6EC2024B"/>
    <w:rsid w:val="6ED400FB"/>
    <w:rsid w:val="6EE37AB3"/>
    <w:rsid w:val="6EE44D45"/>
    <w:rsid w:val="6EEC71C0"/>
    <w:rsid w:val="6EED60BF"/>
    <w:rsid w:val="6EF353C5"/>
    <w:rsid w:val="6EF52D06"/>
    <w:rsid w:val="6F273C43"/>
    <w:rsid w:val="6F2F65B3"/>
    <w:rsid w:val="6F3410B3"/>
    <w:rsid w:val="6F392F8E"/>
    <w:rsid w:val="6F3E17F6"/>
    <w:rsid w:val="6F40256E"/>
    <w:rsid w:val="6F417668"/>
    <w:rsid w:val="6F452BFB"/>
    <w:rsid w:val="6F4B0F13"/>
    <w:rsid w:val="6F4E4E29"/>
    <w:rsid w:val="6F526915"/>
    <w:rsid w:val="6F543924"/>
    <w:rsid w:val="6F5759DB"/>
    <w:rsid w:val="6F5A1B67"/>
    <w:rsid w:val="6F5A2F04"/>
    <w:rsid w:val="6F5D70EC"/>
    <w:rsid w:val="6F6B5112"/>
    <w:rsid w:val="6F6D0E8A"/>
    <w:rsid w:val="6F712A12"/>
    <w:rsid w:val="6F72024E"/>
    <w:rsid w:val="6F773AB6"/>
    <w:rsid w:val="6F810491"/>
    <w:rsid w:val="6F8545BB"/>
    <w:rsid w:val="6F897868"/>
    <w:rsid w:val="6F8E07C2"/>
    <w:rsid w:val="6F926B42"/>
    <w:rsid w:val="6F991C7F"/>
    <w:rsid w:val="6FAA79E8"/>
    <w:rsid w:val="6FAF4FFE"/>
    <w:rsid w:val="6FB22D40"/>
    <w:rsid w:val="6FB22E23"/>
    <w:rsid w:val="6FB357E3"/>
    <w:rsid w:val="6FB63ED1"/>
    <w:rsid w:val="6FB940CF"/>
    <w:rsid w:val="6FBB37E8"/>
    <w:rsid w:val="6FBD7A2F"/>
    <w:rsid w:val="6FC325D7"/>
    <w:rsid w:val="6FCC5BB0"/>
    <w:rsid w:val="6FCD2ECB"/>
    <w:rsid w:val="6FD03BBF"/>
    <w:rsid w:val="6FD07721"/>
    <w:rsid w:val="6FD44A65"/>
    <w:rsid w:val="6FE06948"/>
    <w:rsid w:val="6FE86762"/>
    <w:rsid w:val="6FEA4497"/>
    <w:rsid w:val="6FEE6936"/>
    <w:rsid w:val="7000463E"/>
    <w:rsid w:val="7000585A"/>
    <w:rsid w:val="7008021A"/>
    <w:rsid w:val="700C41FF"/>
    <w:rsid w:val="70141305"/>
    <w:rsid w:val="70197B71"/>
    <w:rsid w:val="701D453F"/>
    <w:rsid w:val="701D6A70"/>
    <w:rsid w:val="70223A22"/>
    <w:rsid w:val="70225B6A"/>
    <w:rsid w:val="70231548"/>
    <w:rsid w:val="7024521B"/>
    <w:rsid w:val="70247FB9"/>
    <w:rsid w:val="70254AB1"/>
    <w:rsid w:val="70275718"/>
    <w:rsid w:val="702811CF"/>
    <w:rsid w:val="70293112"/>
    <w:rsid w:val="702F640E"/>
    <w:rsid w:val="703665E2"/>
    <w:rsid w:val="70384FF4"/>
    <w:rsid w:val="703955D2"/>
    <w:rsid w:val="703D260A"/>
    <w:rsid w:val="70411F4E"/>
    <w:rsid w:val="7045295A"/>
    <w:rsid w:val="704C6CF1"/>
    <w:rsid w:val="704E0CBB"/>
    <w:rsid w:val="705160B5"/>
    <w:rsid w:val="705171D8"/>
    <w:rsid w:val="70521BC1"/>
    <w:rsid w:val="705C2D66"/>
    <w:rsid w:val="705D2CAC"/>
    <w:rsid w:val="705E0278"/>
    <w:rsid w:val="706752A1"/>
    <w:rsid w:val="706827AC"/>
    <w:rsid w:val="70730722"/>
    <w:rsid w:val="70787AE6"/>
    <w:rsid w:val="70790109"/>
    <w:rsid w:val="707B1384"/>
    <w:rsid w:val="708446DD"/>
    <w:rsid w:val="70860455"/>
    <w:rsid w:val="708E757A"/>
    <w:rsid w:val="70936354"/>
    <w:rsid w:val="709366CE"/>
    <w:rsid w:val="70954D22"/>
    <w:rsid w:val="709D70DA"/>
    <w:rsid w:val="709D754D"/>
    <w:rsid w:val="709F1517"/>
    <w:rsid w:val="70A26B97"/>
    <w:rsid w:val="70A5697A"/>
    <w:rsid w:val="70AC0354"/>
    <w:rsid w:val="70AD3C34"/>
    <w:rsid w:val="70B825D8"/>
    <w:rsid w:val="70C66EAD"/>
    <w:rsid w:val="70CA22A0"/>
    <w:rsid w:val="70CB3C99"/>
    <w:rsid w:val="70CC15AD"/>
    <w:rsid w:val="70D25448"/>
    <w:rsid w:val="70D95624"/>
    <w:rsid w:val="70DE203F"/>
    <w:rsid w:val="70E60EF4"/>
    <w:rsid w:val="70E81A42"/>
    <w:rsid w:val="70E87D2E"/>
    <w:rsid w:val="70EB1A8D"/>
    <w:rsid w:val="70EF0726"/>
    <w:rsid w:val="70EF120B"/>
    <w:rsid w:val="70F058CE"/>
    <w:rsid w:val="70F54131"/>
    <w:rsid w:val="70FD13AF"/>
    <w:rsid w:val="70FF3D63"/>
    <w:rsid w:val="71007D30"/>
    <w:rsid w:val="7102506A"/>
    <w:rsid w:val="71035C4A"/>
    <w:rsid w:val="710B095A"/>
    <w:rsid w:val="710D1811"/>
    <w:rsid w:val="710D5338"/>
    <w:rsid w:val="71153587"/>
    <w:rsid w:val="711A50E8"/>
    <w:rsid w:val="711B76F1"/>
    <w:rsid w:val="711C2B67"/>
    <w:rsid w:val="711E678E"/>
    <w:rsid w:val="71220EF5"/>
    <w:rsid w:val="71237A52"/>
    <w:rsid w:val="71245815"/>
    <w:rsid w:val="71382182"/>
    <w:rsid w:val="71384BB7"/>
    <w:rsid w:val="71397275"/>
    <w:rsid w:val="7141437C"/>
    <w:rsid w:val="71436104"/>
    <w:rsid w:val="715E4F2E"/>
    <w:rsid w:val="71694942"/>
    <w:rsid w:val="716C4B94"/>
    <w:rsid w:val="71710218"/>
    <w:rsid w:val="717F485B"/>
    <w:rsid w:val="71824F76"/>
    <w:rsid w:val="71881F4A"/>
    <w:rsid w:val="718A7AD1"/>
    <w:rsid w:val="718B55F7"/>
    <w:rsid w:val="71926986"/>
    <w:rsid w:val="719641E7"/>
    <w:rsid w:val="71982C53"/>
    <w:rsid w:val="719C15B2"/>
    <w:rsid w:val="71A8020C"/>
    <w:rsid w:val="71AD47A1"/>
    <w:rsid w:val="71B27C0E"/>
    <w:rsid w:val="71B700C0"/>
    <w:rsid w:val="71BE59CD"/>
    <w:rsid w:val="71C402FF"/>
    <w:rsid w:val="71CB3EE2"/>
    <w:rsid w:val="71CC79D6"/>
    <w:rsid w:val="71CE64B7"/>
    <w:rsid w:val="71CF3736"/>
    <w:rsid w:val="71CF611B"/>
    <w:rsid w:val="71D451F0"/>
    <w:rsid w:val="71D64AC4"/>
    <w:rsid w:val="71D8720E"/>
    <w:rsid w:val="71D92806"/>
    <w:rsid w:val="71DC4440"/>
    <w:rsid w:val="71DD06C6"/>
    <w:rsid w:val="71DD4BB7"/>
    <w:rsid w:val="71E52F59"/>
    <w:rsid w:val="71EF4549"/>
    <w:rsid w:val="71EF7BAE"/>
    <w:rsid w:val="71F65166"/>
    <w:rsid w:val="71FD64F5"/>
    <w:rsid w:val="72001C62"/>
    <w:rsid w:val="7203542C"/>
    <w:rsid w:val="720535FB"/>
    <w:rsid w:val="720C6738"/>
    <w:rsid w:val="72113D4E"/>
    <w:rsid w:val="72165B9A"/>
    <w:rsid w:val="721D186F"/>
    <w:rsid w:val="72247F25"/>
    <w:rsid w:val="72253C9E"/>
    <w:rsid w:val="722C6DDA"/>
    <w:rsid w:val="723010BB"/>
    <w:rsid w:val="723143F0"/>
    <w:rsid w:val="7237488A"/>
    <w:rsid w:val="723D0FE7"/>
    <w:rsid w:val="723F1631"/>
    <w:rsid w:val="723F4635"/>
    <w:rsid w:val="724A0B97"/>
    <w:rsid w:val="724E763A"/>
    <w:rsid w:val="7250699E"/>
    <w:rsid w:val="72516841"/>
    <w:rsid w:val="72600832"/>
    <w:rsid w:val="726F7E37"/>
    <w:rsid w:val="72785B7B"/>
    <w:rsid w:val="727B3360"/>
    <w:rsid w:val="727D7636"/>
    <w:rsid w:val="72936F84"/>
    <w:rsid w:val="7294037B"/>
    <w:rsid w:val="72AD5867"/>
    <w:rsid w:val="72B33216"/>
    <w:rsid w:val="72B50B7E"/>
    <w:rsid w:val="72C41B88"/>
    <w:rsid w:val="72CD4767"/>
    <w:rsid w:val="72CE0B34"/>
    <w:rsid w:val="72D4412C"/>
    <w:rsid w:val="72D85B7E"/>
    <w:rsid w:val="72D942B7"/>
    <w:rsid w:val="72E10121"/>
    <w:rsid w:val="72E23CEC"/>
    <w:rsid w:val="72EB0A43"/>
    <w:rsid w:val="72F13B80"/>
    <w:rsid w:val="72F5398F"/>
    <w:rsid w:val="72FB0ADD"/>
    <w:rsid w:val="72FF67ED"/>
    <w:rsid w:val="73005B71"/>
    <w:rsid w:val="73063BC5"/>
    <w:rsid w:val="73064C79"/>
    <w:rsid w:val="7307181B"/>
    <w:rsid w:val="73190326"/>
    <w:rsid w:val="731A4E85"/>
    <w:rsid w:val="73263829"/>
    <w:rsid w:val="732857F3"/>
    <w:rsid w:val="7329156C"/>
    <w:rsid w:val="732A26F8"/>
    <w:rsid w:val="732D4BB8"/>
    <w:rsid w:val="733028FA"/>
    <w:rsid w:val="73307239"/>
    <w:rsid w:val="73320420"/>
    <w:rsid w:val="734737A0"/>
    <w:rsid w:val="734A27AC"/>
    <w:rsid w:val="734B59A2"/>
    <w:rsid w:val="73520AC2"/>
    <w:rsid w:val="73650000"/>
    <w:rsid w:val="73665063"/>
    <w:rsid w:val="73740A39"/>
    <w:rsid w:val="737E18B7"/>
    <w:rsid w:val="7386076C"/>
    <w:rsid w:val="738D5656"/>
    <w:rsid w:val="73924709"/>
    <w:rsid w:val="73971924"/>
    <w:rsid w:val="739B2CF3"/>
    <w:rsid w:val="73A2095B"/>
    <w:rsid w:val="73A37F13"/>
    <w:rsid w:val="73A715FF"/>
    <w:rsid w:val="73A9597C"/>
    <w:rsid w:val="73AB3D2F"/>
    <w:rsid w:val="73AE6FC2"/>
    <w:rsid w:val="73AF381F"/>
    <w:rsid w:val="73B13A3B"/>
    <w:rsid w:val="73B34F06"/>
    <w:rsid w:val="73D414D7"/>
    <w:rsid w:val="73E13BF4"/>
    <w:rsid w:val="73E159A2"/>
    <w:rsid w:val="73EF43D8"/>
    <w:rsid w:val="73F43927"/>
    <w:rsid w:val="73F766DF"/>
    <w:rsid w:val="73FA511F"/>
    <w:rsid w:val="73FB2F08"/>
    <w:rsid w:val="73FE4F2A"/>
    <w:rsid w:val="7405767D"/>
    <w:rsid w:val="740F3DF9"/>
    <w:rsid w:val="740F42BD"/>
    <w:rsid w:val="74122000"/>
    <w:rsid w:val="74147B26"/>
    <w:rsid w:val="7419513C"/>
    <w:rsid w:val="741C69DA"/>
    <w:rsid w:val="7428537F"/>
    <w:rsid w:val="74297262"/>
    <w:rsid w:val="742C4357"/>
    <w:rsid w:val="74337816"/>
    <w:rsid w:val="7434641A"/>
    <w:rsid w:val="74373814"/>
    <w:rsid w:val="743820AF"/>
    <w:rsid w:val="743D707D"/>
    <w:rsid w:val="74420E29"/>
    <w:rsid w:val="7443040B"/>
    <w:rsid w:val="744A3547"/>
    <w:rsid w:val="744D11B3"/>
    <w:rsid w:val="744D4DE6"/>
    <w:rsid w:val="744E128A"/>
    <w:rsid w:val="744F7EB4"/>
    <w:rsid w:val="745109A1"/>
    <w:rsid w:val="74546174"/>
    <w:rsid w:val="74650604"/>
    <w:rsid w:val="74662704"/>
    <w:rsid w:val="746960C4"/>
    <w:rsid w:val="746F4A04"/>
    <w:rsid w:val="746F4CA9"/>
    <w:rsid w:val="7472182D"/>
    <w:rsid w:val="74760217"/>
    <w:rsid w:val="7478586B"/>
    <w:rsid w:val="747B7BA5"/>
    <w:rsid w:val="74844CAB"/>
    <w:rsid w:val="748A7A37"/>
    <w:rsid w:val="748E5B2A"/>
    <w:rsid w:val="749520B2"/>
    <w:rsid w:val="749A44CF"/>
    <w:rsid w:val="749D4A3B"/>
    <w:rsid w:val="749F1AE5"/>
    <w:rsid w:val="74A23383"/>
    <w:rsid w:val="74B77C7F"/>
    <w:rsid w:val="74BD01BD"/>
    <w:rsid w:val="74C50E20"/>
    <w:rsid w:val="74C97804"/>
    <w:rsid w:val="74CE4179"/>
    <w:rsid w:val="74D02A9C"/>
    <w:rsid w:val="74E018B9"/>
    <w:rsid w:val="74E67714"/>
    <w:rsid w:val="74E724EC"/>
    <w:rsid w:val="74E7348C"/>
    <w:rsid w:val="74E76FE8"/>
    <w:rsid w:val="74EA0887"/>
    <w:rsid w:val="74F8076B"/>
    <w:rsid w:val="74F811F5"/>
    <w:rsid w:val="74F86FE9"/>
    <w:rsid w:val="74FC15EE"/>
    <w:rsid w:val="75031FCE"/>
    <w:rsid w:val="750F5290"/>
    <w:rsid w:val="7514495A"/>
    <w:rsid w:val="75144CBB"/>
    <w:rsid w:val="75147228"/>
    <w:rsid w:val="75197346"/>
    <w:rsid w:val="751A116C"/>
    <w:rsid w:val="751B3591"/>
    <w:rsid w:val="751D2D22"/>
    <w:rsid w:val="75215F09"/>
    <w:rsid w:val="752947E6"/>
    <w:rsid w:val="75297C98"/>
    <w:rsid w:val="752E4A2A"/>
    <w:rsid w:val="75385A96"/>
    <w:rsid w:val="754D31C8"/>
    <w:rsid w:val="754E7067"/>
    <w:rsid w:val="75512651"/>
    <w:rsid w:val="75524DAA"/>
    <w:rsid w:val="755A1EB0"/>
    <w:rsid w:val="755F2B15"/>
    <w:rsid w:val="75660855"/>
    <w:rsid w:val="75766DCB"/>
    <w:rsid w:val="757D2492"/>
    <w:rsid w:val="757E2C26"/>
    <w:rsid w:val="75874327"/>
    <w:rsid w:val="75884CD1"/>
    <w:rsid w:val="758F0CAF"/>
    <w:rsid w:val="75953BB6"/>
    <w:rsid w:val="759B1ACD"/>
    <w:rsid w:val="75A510B6"/>
    <w:rsid w:val="75A629FF"/>
    <w:rsid w:val="75A6486C"/>
    <w:rsid w:val="75AC0834"/>
    <w:rsid w:val="75AE25D4"/>
    <w:rsid w:val="75B5764E"/>
    <w:rsid w:val="75BA4D4F"/>
    <w:rsid w:val="75BC76D1"/>
    <w:rsid w:val="75BE5F9B"/>
    <w:rsid w:val="75C64E50"/>
    <w:rsid w:val="75C8506C"/>
    <w:rsid w:val="75D532E5"/>
    <w:rsid w:val="75EF43A6"/>
    <w:rsid w:val="75F02645"/>
    <w:rsid w:val="75F74182"/>
    <w:rsid w:val="75F85CE9"/>
    <w:rsid w:val="76034F0D"/>
    <w:rsid w:val="76040FE2"/>
    <w:rsid w:val="760C0509"/>
    <w:rsid w:val="760D6F22"/>
    <w:rsid w:val="760F2C9B"/>
    <w:rsid w:val="7614205F"/>
    <w:rsid w:val="76191155"/>
    <w:rsid w:val="76197675"/>
    <w:rsid w:val="762315AE"/>
    <w:rsid w:val="762A53DF"/>
    <w:rsid w:val="762F092F"/>
    <w:rsid w:val="763B6BB8"/>
    <w:rsid w:val="763E532E"/>
    <w:rsid w:val="76452218"/>
    <w:rsid w:val="7646530C"/>
    <w:rsid w:val="764A58FE"/>
    <w:rsid w:val="76530DD9"/>
    <w:rsid w:val="76550D87"/>
    <w:rsid w:val="76632DD8"/>
    <w:rsid w:val="766338BB"/>
    <w:rsid w:val="768E1E11"/>
    <w:rsid w:val="769136B0"/>
    <w:rsid w:val="7693567A"/>
    <w:rsid w:val="76966F18"/>
    <w:rsid w:val="769E7691"/>
    <w:rsid w:val="769F401E"/>
    <w:rsid w:val="76A21419"/>
    <w:rsid w:val="76A2218F"/>
    <w:rsid w:val="76A84E99"/>
    <w:rsid w:val="76AF3B36"/>
    <w:rsid w:val="76B63116"/>
    <w:rsid w:val="76BB24DB"/>
    <w:rsid w:val="76BD26F7"/>
    <w:rsid w:val="76C23869"/>
    <w:rsid w:val="76C75323"/>
    <w:rsid w:val="76CE66B2"/>
    <w:rsid w:val="76D0133D"/>
    <w:rsid w:val="76D35A76"/>
    <w:rsid w:val="76D4037D"/>
    <w:rsid w:val="76D65876"/>
    <w:rsid w:val="76D95E5B"/>
    <w:rsid w:val="76DB737B"/>
    <w:rsid w:val="76E71522"/>
    <w:rsid w:val="76E9087B"/>
    <w:rsid w:val="76EA2DC0"/>
    <w:rsid w:val="76EB45B4"/>
    <w:rsid w:val="76EC2FDC"/>
    <w:rsid w:val="76ED0DC3"/>
    <w:rsid w:val="76EE044E"/>
    <w:rsid w:val="76F93003"/>
    <w:rsid w:val="76FD790B"/>
    <w:rsid w:val="7705172F"/>
    <w:rsid w:val="770A7A13"/>
    <w:rsid w:val="770E6AAE"/>
    <w:rsid w:val="770F1CA5"/>
    <w:rsid w:val="771146FB"/>
    <w:rsid w:val="77147E3D"/>
    <w:rsid w:val="77161E37"/>
    <w:rsid w:val="771A5453"/>
    <w:rsid w:val="77253DF8"/>
    <w:rsid w:val="772A140E"/>
    <w:rsid w:val="772C33D8"/>
    <w:rsid w:val="772E53A2"/>
    <w:rsid w:val="772E58B5"/>
    <w:rsid w:val="773553C0"/>
    <w:rsid w:val="773D57FB"/>
    <w:rsid w:val="773E455F"/>
    <w:rsid w:val="773E756E"/>
    <w:rsid w:val="77400C32"/>
    <w:rsid w:val="774150D6"/>
    <w:rsid w:val="7745051E"/>
    <w:rsid w:val="77483836"/>
    <w:rsid w:val="7749680F"/>
    <w:rsid w:val="774C0F46"/>
    <w:rsid w:val="774C75D7"/>
    <w:rsid w:val="774F2D1B"/>
    <w:rsid w:val="7758241F"/>
    <w:rsid w:val="776345B3"/>
    <w:rsid w:val="77664B3C"/>
    <w:rsid w:val="777032C5"/>
    <w:rsid w:val="777127A0"/>
    <w:rsid w:val="77731007"/>
    <w:rsid w:val="777668F4"/>
    <w:rsid w:val="778154D2"/>
    <w:rsid w:val="77844405"/>
    <w:rsid w:val="77862AE9"/>
    <w:rsid w:val="77880CC9"/>
    <w:rsid w:val="77903967"/>
    <w:rsid w:val="779452F3"/>
    <w:rsid w:val="779C230C"/>
    <w:rsid w:val="77A06F50"/>
    <w:rsid w:val="77A2369A"/>
    <w:rsid w:val="77A80CB1"/>
    <w:rsid w:val="77AE0291"/>
    <w:rsid w:val="77B346BB"/>
    <w:rsid w:val="77B47CCC"/>
    <w:rsid w:val="77B91110"/>
    <w:rsid w:val="77BA3D96"/>
    <w:rsid w:val="77BC650A"/>
    <w:rsid w:val="77C07A9F"/>
    <w:rsid w:val="77C11D73"/>
    <w:rsid w:val="77C26F8A"/>
    <w:rsid w:val="77C90C27"/>
    <w:rsid w:val="77CE623E"/>
    <w:rsid w:val="77D53A70"/>
    <w:rsid w:val="77D918E6"/>
    <w:rsid w:val="77DA6F0C"/>
    <w:rsid w:val="77DA78FE"/>
    <w:rsid w:val="77DD4321"/>
    <w:rsid w:val="77DF669D"/>
    <w:rsid w:val="77E141C3"/>
    <w:rsid w:val="77E17919"/>
    <w:rsid w:val="77E6589D"/>
    <w:rsid w:val="77ED2B68"/>
    <w:rsid w:val="77F04406"/>
    <w:rsid w:val="77F0629C"/>
    <w:rsid w:val="77F225CC"/>
    <w:rsid w:val="77F3229C"/>
    <w:rsid w:val="77F41075"/>
    <w:rsid w:val="77FA73B0"/>
    <w:rsid w:val="78047EB1"/>
    <w:rsid w:val="78084CF2"/>
    <w:rsid w:val="780A196C"/>
    <w:rsid w:val="780A28F0"/>
    <w:rsid w:val="780A4000"/>
    <w:rsid w:val="780B324D"/>
    <w:rsid w:val="780F40A3"/>
    <w:rsid w:val="78143626"/>
    <w:rsid w:val="781A76D5"/>
    <w:rsid w:val="781D0955"/>
    <w:rsid w:val="782A3DBC"/>
    <w:rsid w:val="78303AC8"/>
    <w:rsid w:val="783119C3"/>
    <w:rsid w:val="78341C0A"/>
    <w:rsid w:val="78353E77"/>
    <w:rsid w:val="783C3AEF"/>
    <w:rsid w:val="78480A2C"/>
    <w:rsid w:val="78542BE7"/>
    <w:rsid w:val="7857340C"/>
    <w:rsid w:val="785E00D6"/>
    <w:rsid w:val="78623556"/>
    <w:rsid w:val="786372CE"/>
    <w:rsid w:val="786F7A21"/>
    <w:rsid w:val="78776303"/>
    <w:rsid w:val="78787071"/>
    <w:rsid w:val="787A6483"/>
    <w:rsid w:val="787E7C64"/>
    <w:rsid w:val="78852DA0"/>
    <w:rsid w:val="788A1513"/>
    <w:rsid w:val="788F4888"/>
    <w:rsid w:val="789527BF"/>
    <w:rsid w:val="789B1E6A"/>
    <w:rsid w:val="78A2537A"/>
    <w:rsid w:val="78A53442"/>
    <w:rsid w:val="78AB274B"/>
    <w:rsid w:val="78AC657F"/>
    <w:rsid w:val="78B03568"/>
    <w:rsid w:val="78B43685"/>
    <w:rsid w:val="78B8748E"/>
    <w:rsid w:val="78B96EEE"/>
    <w:rsid w:val="78C0522C"/>
    <w:rsid w:val="78CB121D"/>
    <w:rsid w:val="78CD162F"/>
    <w:rsid w:val="78D37FAF"/>
    <w:rsid w:val="78D73FB1"/>
    <w:rsid w:val="78E81581"/>
    <w:rsid w:val="78EC66B9"/>
    <w:rsid w:val="78EE16A1"/>
    <w:rsid w:val="78F341AE"/>
    <w:rsid w:val="78F61EF0"/>
    <w:rsid w:val="78F85C68"/>
    <w:rsid w:val="78FB12B4"/>
    <w:rsid w:val="78FE2B52"/>
    <w:rsid w:val="79004B1D"/>
    <w:rsid w:val="790463BB"/>
    <w:rsid w:val="790939D1"/>
    <w:rsid w:val="791A3E30"/>
    <w:rsid w:val="79230922"/>
    <w:rsid w:val="79246AEA"/>
    <w:rsid w:val="792702FB"/>
    <w:rsid w:val="79347FE5"/>
    <w:rsid w:val="7936673D"/>
    <w:rsid w:val="793A6280"/>
    <w:rsid w:val="793B5B55"/>
    <w:rsid w:val="793D1589"/>
    <w:rsid w:val="79464C25"/>
    <w:rsid w:val="794E7636"/>
    <w:rsid w:val="79584959"/>
    <w:rsid w:val="795A422D"/>
    <w:rsid w:val="795B1D53"/>
    <w:rsid w:val="795D33AB"/>
    <w:rsid w:val="79674631"/>
    <w:rsid w:val="796927C3"/>
    <w:rsid w:val="79722641"/>
    <w:rsid w:val="797352EE"/>
    <w:rsid w:val="79775734"/>
    <w:rsid w:val="797F76B6"/>
    <w:rsid w:val="798017B9"/>
    <w:rsid w:val="79856DD0"/>
    <w:rsid w:val="798C15A3"/>
    <w:rsid w:val="799106C2"/>
    <w:rsid w:val="7997722F"/>
    <w:rsid w:val="79A06D15"/>
    <w:rsid w:val="79A90D10"/>
    <w:rsid w:val="79AB2CDA"/>
    <w:rsid w:val="79AB4A88"/>
    <w:rsid w:val="79AE6327"/>
    <w:rsid w:val="79AF6D5B"/>
    <w:rsid w:val="79B14B03"/>
    <w:rsid w:val="79B3185B"/>
    <w:rsid w:val="79B37261"/>
    <w:rsid w:val="79C14F8E"/>
    <w:rsid w:val="79C773E8"/>
    <w:rsid w:val="79CB1D59"/>
    <w:rsid w:val="79CB7CAB"/>
    <w:rsid w:val="79CE3312"/>
    <w:rsid w:val="79DC699D"/>
    <w:rsid w:val="79DE65C0"/>
    <w:rsid w:val="79E545B6"/>
    <w:rsid w:val="79ED1354"/>
    <w:rsid w:val="79F309DD"/>
    <w:rsid w:val="79F3130E"/>
    <w:rsid w:val="79F747D4"/>
    <w:rsid w:val="79F9097C"/>
    <w:rsid w:val="7A106FE1"/>
    <w:rsid w:val="7A185906"/>
    <w:rsid w:val="7A19291C"/>
    <w:rsid w:val="7A1C7734"/>
    <w:rsid w:val="7A293BFF"/>
    <w:rsid w:val="7A2E492E"/>
    <w:rsid w:val="7A2F1528"/>
    <w:rsid w:val="7A326F58"/>
    <w:rsid w:val="7A382C18"/>
    <w:rsid w:val="7A47009C"/>
    <w:rsid w:val="7A4844CA"/>
    <w:rsid w:val="7A4A27EB"/>
    <w:rsid w:val="7A520955"/>
    <w:rsid w:val="7A5A200A"/>
    <w:rsid w:val="7A5E1AFB"/>
    <w:rsid w:val="7A650AE9"/>
    <w:rsid w:val="7A770E0E"/>
    <w:rsid w:val="7A797175"/>
    <w:rsid w:val="7A80434E"/>
    <w:rsid w:val="7A865511"/>
    <w:rsid w:val="7A8C15C5"/>
    <w:rsid w:val="7A9814B1"/>
    <w:rsid w:val="7A9B107F"/>
    <w:rsid w:val="7AA420E1"/>
    <w:rsid w:val="7AAA75E8"/>
    <w:rsid w:val="7AAD0C01"/>
    <w:rsid w:val="7AAD4830"/>
    <w:rsid w:val="7AB14320"/>
    <w:rsid w:val="7ABC51E6"/>
    <w:rsid w:val="7ABD2E68"/>
    <w:rsid w:val="7ABD507C"/>
    <w:rsid w:val="7AD522E8"/>
    <w:rsid w:val="7AD973D3"/>
    <w:rsid w:val="7ADF72B5"/>
    <w:rsid w:val="7AF470B9"/>
    <w:rsid w:val="7B034450"/>
    <w:rsid w:val="7B06131E"/>
    <w:rsid w:val="7B09415C"/>
    <w:rsid w:val="7B0D78D9"/>
    <w:rsid w:val="7B276391"/>
    <w:rsid w:val="7B297B05"/>
    <w:rsid w:val="7B322405"/>
    <w:rsid w:val="7B38234C"/>
    <w:rsid w:val="7B3C3E77"/>
    <w:rsid w:val="7B404852"/>
    <w:rsid w:val="7B5353D8"/>
    <w:rsid w:val="7B542EAC"/>
    <w:rsid w:val="7B5829EE"/>
    <w:rsid w:val="7B584A2A"/>
    <w:rsid w:val="7B590514"/>
    <w:rsid w:val="7B5C7324"/>
    <w:rsid w:val="7B5F3D7C"/>
    <w:rsid w:val="7B81116A"/>
    <w:rsid w:val="7B825CBD"/>
    <w:rsid w:val="7B8F3F36"/>
    <w:rsid w:val="7B90370B"/>
    <w:rsid w:val="7B94686C"/>
    <w:rsid w:val="7BA2010D"/>
    <w:rsid w:val="7BAC6ABD"/>
    <w:rsid w:val="7BB51BEE"/>
    <w:rsid w:val="7BB816DF"/>
    <w:rsid w:val="7BBE4BF1"/>
    <w:rsid w:val="7BBF481B"/>
    <w:rsid w:val="7BC71395"/>
    <w:rsid w:val="7BCB7664"/>
    <w:rsid w:val="7BCE74FC"/>
    <w:rsid w:val="7BCF73F5"/>
    <w:rsid w:val="7BD00D11"/>
    <w:rsid w:val="7BD04C7A"/>
    <w:rsid w:val="7BDC4EEF"/>
    <w:rsid w:val="7BDE121C"/>
    <w:rsid w:val="7BDF1017"/>
    <w:rsid w:val="7BE10C35"/>
    <w:rsid w:val="7BE129E3"/>
    <w:rsid w:val="7BE2731E"/>
    <w:rsid w:val="7BE67FFA"/>
    <w:rsid w:val="7BEE5734"/>
    <w:rsid w:val="7BF72207"/>
    <w:rsid w:val="7BF73FB5"/>
    <w:rsid w:val="7BFB5ED4"/>
    <w:rsid w:val="7C0B3FA6"/>
    <w:rsid w:val="7C0C660D"/>
    <w:rsid w:val="7C0F691B"/>
    <w:rsid w:val="7C2823C0"/>
    <w:rsid w:val="7C2E19A1"/>
    <w:rsid w:val="7C324150"/>
    <w:rsid w:val="7C3A2CCD"/>
    <w:rsid w:val="7C430D1C"/>
    <w:rsid w:val="7C442F72"/>
    <w:rsid w:val="7C4446F4"/>
    <w:rsid w:val="7C490611"/>
    <w:rsid w:val="7C4C0D8D"/>
    <w:rsid w:val="7C4E5B6A"/>
    <w:rsid w:val="7C4E5B9F"/>
    <w:rsid w:val="7C4F5666"/>
    <w:rsid w:val="7C551482"/>
    <w:rsid w:val="7C581E2C"/>
    <w:rsid w:val="7C5A0FE1"/>
    <w:rsid w:val="7C613B24"/>
    <w:rsid w:val="7C63789C"/>
    <w:rsid w:val="7C7F3FAA"/>
    <w:rsid w:val="7C86434E"/>
    <w:rsid w:val="7C8D19CC"/>
    <w:rsid w:val="7C9525C4"/>
    <w:rsid w:val="7C9618B9"/>
    <w:rsid w:val="7C990D07"/>
    <w:rsid w:val="7C9A5D73"/>
    <w:rsid w:val="7C9D55C8"/>
    <w:rsid w:val="7CB225D2"/>
    <w:rsid w:val="7CC0500B"/>
    <w:rsid w:val="7CC36B4B"/>
    <w:rsid w:val="7CC734A3"/>
    <w:rsid w:val="7CC77E2B"/>
    <w:rsid w:val="7CC90568"/>
    <w:rsid w:val="7CD12A58"/>
    <w:rsid w:val="7CD50A1F"/>
    <w:rsid w:val="7CD75B94"/>
    <w:rsid w:val="7CD81ACA"/>
    <w:rsid w:val="7CD95C45"/>
    <w:rsid w:val="7CDC31AB"/>
    <w:rsid w:val="7CE16A13"/>
    <w:rsid w:val="7CE704CD"/>
    <w:rsid w:val="7CED7166"/>
    <w:rsid w:val="7CF16C56"/>
    <w:rsid w:val="7CF404F4"/>
    <w:rsid w:val="7CFA56EB"/>
    <w:rsid w:val="7CFE1373"/>
    <w:rsid w:val="7D04591E"/>
    <w:rsid w:val="7D0F17D2"/>
    <w:rsid w:val="7D117D40"/>
    <w:rsid w:val="7D160A41"/>
    <w:rsid w:val="7D1B3CD3"/>
    <w:rsid w:val="7D1E3E51"/>
    <w:rsid w:val="7D221505"/>
    <w:rsid w:val="7D23702C"/>
    <w:rsid w:val="7D25327D"/>
    <w:rsid w:val="7D2A6A4D"/>
    <w:rsid w:val="7D2B7667"/>
    <w:rsid w:val="7D361B51"/>
    <w:rsid w:val="7D40198C"/>
    <w:rsid w:val="7D435A31"/>
    <w:rsid w:val="7D441F12"/>
    <w:rsid w:val="7D4A280A"/>
    <w:rsid w:val="7D53064C"/>
    <w:rsid w:val="7D6A4E7C"/>
    <w:rsid w:val="7D7358BD"/>
    <w:rsid w:val="7D823D52"/>
    <w:rsid w:val="7D841889"/>
    <w:rsid w:val="7D847EAC"/>
    <w:rsid w:val="7D8537D1"/>
    <w:rsid w:val="7D871368"/>
    <w:rsid w:val="7D943A85"/>
    <w:rsid w:val="7D9F66B2"/>
    <w:rsid w:val="7DCD6ED9"/>
    <w:rsid w:val="7DCE343B"/>
    <w:rsid w:val="7DCF4ABD"/>
    <w:rsid w:val="7DD00F61"/>
    <w:rsid w:val="7DDA1DE0"/>
    <w:rsid w:val="7DDB3462"/>
    <w:rsid w:val="7DE40569"/>
    <w:rsid w:val="7DE93DD1"/>
    <w:rsid w:val="7DE94C40"/>
    <w:rsid w:val="7DF804B8"/>
    <w:rsid w:val="7DFC1D56"/>
    <w:rsid w:val="7DFD162B"/>
    <w:rsid w:val="7DFD21A5"/>
    <w:rsid w:val="7DFE517E"/>
    <w:rsid w:val="7DFF5ED8"/>
    <w:rsid w:val="7E013118"/>
    <w:rsid w:val="7E0A7DB1"/>
    <w:rsid w:val="7E1231D5"/>
    <w:rsid w:val="7E152481"/>
    <w:rsid w:val="7E152E18"/>
    <w:rsid w:val="7E2B6198"/>
    <w:rsid w:val="7E301A00"/>
    <w:rsid w:val="7E33504C"/>
    <w:rsid w:val="7E356681"/>
    <w:rsid w:val="7E3C46AB"/>
    <w:rsid w:val="7E406FB3"/>
    <w:rsid w:val="7E41193E"/>
    <w:rsid w:val="7E473768"/>
    <w:rsid w:val="7E476CC8"/>
    <w:rsid w:val="7E4C1C3E"/>
    <w:rsid w:val="7E5A6F1A"/>
    <w:rsid w:val="7E5B0F45"/>
    <w:rsid w:val="7E5C09FE"/>
    <w:rsid w:val="7E5C7923"/>
    <w:rsid w:val="7E6D4A02"/>
    <w:rsid w:val="7E722019"/>
    <w:rsid w:val="7E7E276B"/>
    <w:rsid w:val="7E8A55B4"/>
    <w:rsid w:val="7E8D6E52"/>
    <w:rsid w:val="7E957AB5"/>
    <w:rsid w:val="7E966F3A"/>
    <w:rsid w:val="7E9977A1"/>
    <w:rsid w:val="7E9B5353"/>
    <w:rsid w:val="7E9F09A1"/>
    <w:rsid w:val="7E9F10B2"/>
    <w:rsid w:val="7E9F26E2"/>
    <w:rsid w:val="7EA31E30"/>
    <w:rsid w:val="7EA36676"/>
    <w:rsid w:val="7EB77A2B"/>
    <w:rsid w:val="7EBB39C0"/>
    <w:rsid w:val="7EC20604"/>
    <w:rsid w:val="7EC30AC6"/>
    <w:rsid w:val="7EC53367"/>
    <w:rsid w:val="7EC94365"/>
    <w:rsid w:val="7ED54763"/>
    <w:rsid w:val="7EDA196C"/>
    <w:rsid w:val="7EDB5E10"/>
    <w:rsid w:val="7EDC56E4"/>
    <w:rsid w:val="7EEB05D3"/>
    <w:rsid w:val="7EEC1DCB"/>
    <w:rsid w:val="7EEE26E0"/>
    <w:rsid w:val="7EF058D7"/>
    <w:rsid w:val="7EF70770"/>
    <w:rsid w:val="7EF742CC"/>
    <w:rsid w:val="7EF81DA3"/>
    <w:rsid w:val="7F0374ED"/>
    <w:rsid w:val="7F044C6C"/>
    <w:rsid w:val="7F090CCE"/>
    <w:rsid w:val="7F0C2270"/>
    <w:rsid w:val="7F0F1615"/>
    <w:rsid w:val="7F0F7867"/>
    <w:rsid w:val="7F111831"/>
    <w:rsid w:val="7F165AB5"/>
    <w:rsid w:val="7F1D4C01"/>
    <w:rsid w:val="7F303D3B"/>
    <w:rsid w:val="7F3655AF"/>
    <w:rsid w:val="7F3C2FA7"/>
    <w:rsid w:val="7F4F4108"/>
    <w:rsid w:val="7F50567C"/>
    <w:rsid w:val="7F601E71"/>
    <w:rsid w:val="7F6A2CF0"/>
    <w:rsid w:val="7F6A763A"/>
    <w:rsid w:val="7F6B762D"/>
    <w:rsid w:val="7F703475"/>
    <w:rsid w:val="7F735A2D"/>
    <w:rsid w:val="7F736048"/>
    <w:rsid w:val="7F7362C1"/>
    <w:rsid w:val="7F787239"/>
    <w:rsid w:val="7F7E679B"/>
    <w:rsid w:val="7F7F471D"/>
    <w:rsid w:val="7F8178E0"/>
    <w:rsid w:val="7F853C77"/>
    <w:rsid w:val="7F8813C8"/>
    <w:rsid w:val="7F961D37"/>
    <w:rsid w:val="7F966C81"/>
    <w:rsid w:val="7F9D30C5"/>
    <w:rsid w:val="7FA154A9"/>
    <w:rsid w:val="7FA62DC9"/>
    <w:rsid w:val="7FBD034F"/>
    <w:rsid w:val="7FC34A28"/>
    <w:rsid w:val="7FCD479C"/>
    <w:rsid w:val="7FD124EE"/>
    <w:rsid w:val="7FD54AA6"/>
    <w:rsid w:val="7FDA7E75"/>
    <w:rsid w:val="7FDB3BED"/>
    <w:rsid w:val="7FDC1E3F"/>
    <w:rsid w:val="7FDD1714"/>
    <w:rsid w:val="7FE02FB2"/>
    <w:rsid w:val="7FE4033B"/>
    <w:rsid w:val="7FE7774A"/>
    <w:rsid w:val="7FE87725"/>
    <w:rsid w:val="7FF676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3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autoRedefine/>
    <w:qFormat/>
    <w:uiPriority w:val="0"/>
    <w:pPr>
      <w:spacing w:before="0" w:beforeAutospacing="1" w:after="0" w:afterAutospacing="1"/>
      <w:jc w:val="left"/>
      <w:outlineLvl w:val="0"/>
    </w:pPr>
    <w:rPr>
      <w:rFonts w:hint="eastAsia" w:ascii="宋体" w:hAnsi="宋体" w:eastAsia="宋体" w:cs="宋体"/>
      <w:b/>
      <w:kern w:val="44"/>
      <w:sz w:val="48"/>
      <w:szCs w:val="48"/>
      <w:lang w:val="en-US" w:eastAsia="zh-CN" w:bidi="ar"/>
    </w:rPr>
  </w:style>
  <w:style w:type="paragraph" w:styleId="3">
    <w:name w:val="heading 2"/>
    <w:basedOn w:val="1"/>
    <w:next w:val="1"/>
    <w:autoRedefine/>
    <w:qFormat/>
    <w:uiPriority w:val="0"/>
    <w:pPr>
      <w:keepNext w:val="0"/>
      <w:keepLines w:val="0"/>
      <w:widowControl/>
      <w:suppressLineNumbers w:val="0"/>
      <w:spacing w:before="100" w:beforeAutospacing="1" w:after="100" w:afterAutospacing="1"/>
      <w:ind w:left="0" w:right="0"/>
      <w:jc w:val="left"/>
      <w:outlineLvl w:val="1"/>
    </w:pPr>
    <w:rPr>
      <w:rFonts w:hint="eastAsia" w:ascii="宋体" w:hAnsi="宋体" w:eastAsia="宋体" w:cs="宋体"/>
      <w:b/>
      <w:kern w:val="0"/>
      <w:sz w:val="36"/>
      <w:szCs w:val="36"/>
      <w:lang w:val="en-US" w:eastAsia="zh-CN" w:bidi="ar"/>
    </w:rPr>
  </w:style>
  <w:style w:type="paragraph" w:styleId="4">
    <w:name w:val="heading 3"/>
    <w:basedOn w:val="1"/>
    <w:next w:val="1"/>
    <w:autoRedefine/>
    <w:semiHidden/>
    <w:unhideWhenUsed/>
    <w:qFormat/>
    <w:uiPriority w:val="0"/>
    <w:pPr>
      <w:spacing w:before="0" w:beforeAutospacing="1" w:after="0" w:afterAutospacing="1"/>
      <w:jc w:val="left"/>
      <w:outlineLvl w:val="2"/>
    </w:pPr>
    <w:rPr>
      <w:rFonts w:hint="eastAsia" w:ascii="宋体" w:hAnsi="宋体" w:eastAsia="宋体" w:cs="宋体"/>
      <w:b/>
      <w:kern w:val="0"/>
      <w:sz w:val="27"/>
      <w:szCs w:val="27"/>
      <w:lang w:val="en-US" w:eastAsia="zh-CN" w:bidi="ar"/>
    </w:rPr>
  </w:style>
  <w:style w:type="paragraph" w:styleId="5">
    <w:name w:val="heading 4"/>
    <w:basedOn w:val="1"/>
    <w:next w:val="1"/>
    <w:autoRedefine/>
    <w:semiHidden/>
    <w:unhideWhenUsed/>
    <w:qFormat/>
    <w:uiPriority w:val="0"/>
    <w:pPr>
      <w:spacing w:before="0" w:beforeAutospacing="1" w:after="0" w:afterAutospacing="1"/>
      <w:jc w:val="left"/>
      <w:outlineLvl w:val="3"/>
    </w:pPr>
    <w:rPr>
      <w:rFonts w:hint="eastAsia" w:ascii="宋体" w:hAnsi="宋体" w:eastAsia="宋体" w:cs="宋体"/>
      <w:b/>
      <w:kern w:val="0"/>
      <w:sz w:val="24"/>
      <w:szCs w:val="24"/>
      <w:lang w:val="en-US" w:eastAsia="zh-CN" w:bidi="ar"/>
    </w:rPr>
  </w:style>
  <w:style w:type="paragraph" w:styleId="6">
    <w:name w:val="heading 5"/>
    <w:basedOn w:val="1"/>
    <w:next w:val="1"/>
    <w:autoRedefine/>
    <w:semiHidden/>
    <w:unhideWhenUsed/>
    <w:qFormat/>
    <w:uiPriority w:val="0"/>
    <w:pPr>
      <w:spacing w:before="0" w:beforeAutospacing="1" w:after="0" w:afterAutospacing="1"/>
      <w:jc w:val="left"/>
      <w:outlineLvl w:val="4"/>
    </w:pPr>
    <w:rPr>
      <w:rFonts w:hint="eastAsia" w:ascii="宋体" w:hAnsi="宋体" w:eastAsia="宋体" w:cs="宋体"/>
      <w:b/>
      <w:kern w:val="0"/>
      <w:sz w:val="20"/>
      <w:szCs w:val="20"/>
      <w:lang w:val="en-US" w:eastAsia="zh-CN" w:bidi="ar"/>
    </w:rPr>
  </w:style>
  <w:style w:type="character" w:default="1" w:styleId="23">
    <w:name w:val="Default Paragraph Font"/>
    <w:autoRedefine/>
    <w:semiHidden/>
    <w:qFormat/>
    <w:uiPriority w:val="0"/>
  </w:style>
  <w:style w:type="table" w:default="1" w:styleId="21">
    <w:name w:val="Normal Table"/>
    <w:autoRedefine/>
    <w:semiHidden/>
    <w:qFormat/>
    <w:uiPriority w:val="0"/>
    <w:tblPr>
      <w:tblCellMar>
        <w:top w:w="0" w:type="dxa"/>
        <w:left w:w="108" w:type="dxa"/>
        <w:bottom w:w="0" w:type="dxa"/>
        <w:right w:w="108" w:type="dxa"/>
      </w:tblCellMar>
    </w:tblPr>
  </w:style>
  <w:style w:type="paragraph" w:styleId="7">
    <w:name w:val="Normal Indent"/>
    <w:basedOn w:val="1"/>
    <w:next w:val="1"/>
    <w:autoRedefine/>
    <w:qFormat/>
    <w:uiPriority w:val="0"/>
    <w:pPr>
      <w:ind w:firstLine="420"/>
    </w:pPr>
    <w:rPr>
      <w:szCs w:val="20"/>
    </w:rPr>
  </w:style>
  <w:style w:type="paragraph" w:styleId="8">
    <w:name w:val="annotation text"/>
    <w:basedOn w:val="1"/>
    <w:autoRedefine/>
    <w:qFormat/>
    <w:uiPriority w:val="0"/>
    <w:pPr>
      <w:widowControl w:val="0"/>
      <w:adjustRightInd w:val="0"/>
      <w:spacing w:line="360" w:lineRule="atLeast"/>
      <w:textAlignment w:val="baseline"/>
    </w:pPr>
    <w:rPr>
      <w:sz w:val="24"/>
    </w:rPr>
  </w:style>
  <w:style w:type="paragraph" w:styleId="9">
    <w:name w:val="Body Text"/>
    <w:basedOn w:val="1"/>
    <w:next w:val="1"/>
    <w:autoRedefine/>
    <w:qFormat/>
    <w:uiPriority w:val="0"/>
    <w:pPr>
      <w:spacing w:after="120"/>
    </w:pPr>
  </w:style>
  <w:style w:type="paragraph" w:styleId="10">
    <w:name w:val="Body Text Indent"/>
    <w:basedOn w:val="1"/>
    <w:next w:val="9"/>
    <w:autoRedefine/>
    <w:qFormat/>
    <w:uiPriority w:val="0"/>
    <w:pPr>
      <w:spacing w:after="120" w:afterLines="0" w:afterAutospacing="0"/>
      <w:ind w:left="420" w:leftChars="200"/>
    </w:pPr>
  </w:style>
  <w:style w:type="paragraph" w:styleId="11">
    <w:name w:val="Plain Text"/>
    <w:basedOn w:val="1"/>
    <w:next w:val="1"/>
    <w:autoRedefine/>
    <w:unhideWhenUsed/>
    <w:qFormat/>
    <w:uiPriority w:val="99"/>
    <w:rPr>
      <w:rFonts w:ascii="宋体"/>
    </w:rPr>
  </w:style>
  <w:style w:type="paragraph" w:styleId="12">
    <w:name w:val="footer"/>
    <w:basedOn w:val="1"/>
    <w:autoRedefine/>
    <w:qFormat/>
    <w:uiPriority w:val="0"/>
    <w:pPr>
      <w:tabs>
        <w:tab w:val="center" w:pos="4153"/>
        <w:tab w:val="right" w:pos="8306"/>
      </w:tabs>
      <w:snapToGrid w:val="0"/>
      <w:jc w:val="left"/>
    </w:pPr>
    <w:rPr>
      <w:sz w:val="18"/>
    </w:rPr>
  </w:style>
  <w:style w:type="paragraph" w:styleId="13">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4">
    <w:name w:val="toc 1"/>
    <w:basedOn w:val="1"/>
    <w:next w:val="1"/>
    <w:autoRedefine/>
    <w:qFormat/>
    <w:uiPriority w:val="0"/>
    <w:pPr>
      <w:tabs>
        <w:tab w:val="right" w:leader="dot" w:pos="9628"/>
      </w:tabs>
      <w:spacing w:before="120" w:after="120"/>
      <w:ind w:firstLine="74" w:firstLineChars="74"/>
      <w:jc w:val="left"/>
    </w:pPr>
    <w:rPr>
      <w:b/>
      <w:caps/>
      <w:sz w:val="20"/>
    </w:rPr>
  </w:style>
  <w:style w:type="paragraph" w:styleId="15">
    <w:name w:val="toc 2"/>
    <w:basedOn w:val="1"/>
    <w:next w:val="1"/>
    <w:qFormat/>
    <w:uiPriority w:val="0"/>
    <w:pPr>
      <w:ind w:left="420" w:leftChars="200"/>
    </w:pPr>
  </w:style>
  <w:style w:type="paragraph" w:styleId="16">
    <w:name w:val="Body Text 2"/>
    <w:basedOn w:val="1"/>
    <w:autoRedefine/>
    <w:qFormat/>
    <w:uiPriority w:val="0"/>
    <w:rPr>
      <w:rFonts w:ascii="仿宋_GB2312" w:eastAsia="仿宋_GB2312"/>
      <w:b/>
      <w:sz w:val="24"/>
    </w:rPr>
  </w:style>
  <w:style w:type="paragraph" w:styleId="17">
    <w:name w:val="Normal (Web)"/>
    <w:basedOn w:val="1"/>
    <w:autoRedefine/>
    <w:qFormat/>
    <w:uiPriority w:val="0"/>
    <w:pPr>
      <w:spacing w:before="0" w:beforeAutospacing="1" w:after="0" w:afterAutospacing="1"/>
      <w:ind w:left="0" w:right="0"/>
      <w:jc w:val="left"/>
    </w:pPr>
    <w:rPr>
      <w:kern w:val="0"/>
      <w:sz w:val="24"/>
      <w:lang w:val="en-US" w:eastAsia="zh-CN" w:bidi="ar"/>
    </w:rPr>
  </w:style>
  <w:style w:type="paragraph" w:styleId="18">
    <w:name w:val="Title"/>
    <w:basedOn w:val="1"/>
    <w:next w:val="1"/>
    <w:autoRedefine/>
    <w:qFormat/>
    <w:uiPriority w:val="10"/>
    <w:pPr>
      <w:spacing w:before="240" w:after="60"/>
      <w:jc w:val="center"/>
      <w:outlineLvl w:val="0"/>
    </w:pPr>
    <w:rPr>
      <w:rFonts w:asciiTheme="majorHAnsi" w:hAnsiTheme="majorHAnsi" w:eastAsiaTheme="majorEastAsia" w:cstheme="majorBidi"/>
      <w:b/>
      <w:bCs/>
      <w:sz w:val="32"/>
      <w:szCs w:val="32"/>
    </w:rPr>
  </w:style>
  <w:style w:type="paragraph" w:styleId="19">
    <w:name w:val="Body Text First Indent"/>
    <w:basedOn w:val="9"/>
    <w:autoRedefine/>
    <w:qFormat/>
    <w:uiPriority w:val="0"/>
    <w:pPr>
      <w:spacing w:line="312" w:lineRule="auto"/>
      <w:ind w:firstLine="420"/>
    </w:pPr>
    <w:rPr>
      <w:color w:val="000000"/>
      <w:szCs w:val="21"/>
    </w:rPr>
  </w:style>
  <w:style w:type="paragraph" w:styleId="20">
    <w:name w:val="Body Text First Indent 2"/>
    <w:basedOn w:val="10"/>
    <w:next w:val="1"/>
    <w:autoRedefine/>
    <w:unhideWhenUsed/>
    <w:qFormat/>
    <w:uiPriority w:val="99"/>
    <w:pPr>
      <w:ind w:firstLine="420" w:firstLineChars="200"/>
    </w:pPr>
  </w:style>
  <w:style w:type="table" w:styleId="22">
    <w:name w:val="Table Grid"/>
    <w:basedOn w:val="21"/>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4">
    <w:name w:val="Strong"/>
    <w:basedOn w:val="23"/>
    <w:autoRedefine/>
    <w:qFormat/>
    <w:uiPriority w:val="0"/>
    <w:rPr>
      <w:b/>
    </w:rPr>
  </w:style>
  <w:style w:type="character" w:styleId="25">
    <w:name w:val="page number"/>
    <w:basedOn w:val="23"/>
    <w:autoRedefine/>
    <w:qFormat/>
    <w:uiPriority w:val="0"/>
  </w:style>
  <w:style w:type="character" w:styleId="26">
    <w:name w:val="Emphasis"/>
    <w:basedOn w:val="23"/>
    <w:autoRedefine/>
    <w:qFormat/>
    <w:uiPriority w:val="0"/>
    <w:rPr>
      <w:i/>
    </w:rPr>
  </w:style>
  <w:style w:type="character" w:styleId="27">
    <w:name w:val="Hyperlink"/>
    <w:basedOn w:val="23"/>
    <w:autoRedefine/>
    <w:qFormat/>
    <w:uiPriority w:val="0"/>
    <w:rPr>
      <w:color w:val="0000FF"/>
      <w:u w:val="single"/>
    </w:rPr>
  </w:style>
  <w:style w:type="character" w:styleId="28">
    <w:name w:val="annotation reference"/>
    <w:basedOn w:val="23"/>
    <w:autoRedefine/>
    <w:qFormat/>
    <w:uiPriority w:val="0"/>
    <w:rPr>
      <w:sz w:val="21"/>
      <w:szCs w:val="21"/>
    </w:rPr>
  </w:style>
  <w:style w:type="paragraph" w:customStyle="1" w:styleId="29">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30">
    <w:name w:val="表格文字"/>
    <w:basedOn w:val="1"/>
    <w:next w:val="9"/>
    <w:autoRedefine/>
    <w:qFormat/>
    <w:uiPriority w:val="0"/>
    <w:pPr>
      <w:spacing w:before="25" w:after="25"/>
    </w:pPr>
    <w:rPr>
      <w:bCs/>
      <w:spacing w:val="10"/>
      <w:sz w:val="24"/>
      <w:szCs w:val="20"/>
    </w:rPr>
  </w:style>
  <w:style w:type="character" w:customStyle="1" w:styleId="31">
    <w:name w:val="19"/>
    <w:basedOn w:val="23"/>
    <w:autoRedefine/>
    <w:qFormat/>
    <w:uiPriority w:val="0"/>
    <w:rPr>
      <w:rFonts w:hint="eastAsia" w:ascii="Times New Roman" w:eastAsia="楷体_GB2312" w:cs="楷体_GB2312"/>
      <w:sz w:val="32"/>
      <w:szCs w:val="32"/>
    </w:rPr>
  </w:style>
  <w:style w:type="character" w:customStyle="1" w:styleId="32">
    <w:name w:val="NormalCharacter"/>
    <w:link w:val="1"/>
    <w:autoRedefine/>
    <w:semiHidden/>
    <w:qFormat/>
    <w:uiPriority w:val="0"/>
    <w:rPr>
      <w:rFonts w:ascii="Times New Roman" w:hAnsi="Times New Roman" w:eastAsia="宋体" w:cs="Times New Roman"/>
      <w:kern w:val="2"/>
      <w:sz w:val="21"/>
      <w:szCs w:val="24"/>
      <w:lang w:val="en-US" w:eastAsia="zh-CN" w:bidi="ar-SA"/>
    </w:rPr>
  </w:style>
  <w:style w:type="paragraph" w:customStyle="1" w:styleId="33">
    <w:name w:val=" Char"/>
    <w:basedOn w:val="1"/>
    <w:autoRedefine/>
    <w:qFormat/>
    <w:uiPriority w:val="0"/>
    <w:pPr>
      <w:spacing w:after="160" w:afterLines="0" w:line="240" w:lineRule="exact"/>
    </w:pPr>
    <w:rPr>
      <w:rFonts w:ascii="Verdana" w:hAnsi="Verdana" w:eastAsia="仿宋_GB2312"/>
      <w:sz w:val="24"/>
      <w:lang w:eastAsia="en-US"/>
    </w:rPr>
  </w:style>
  <w:style w:type="character" w:customStyle="1" w:styleId="34">
    <w:name w:val=" Char Char Char"/>
    <w:autoRedefine/>
    <w:qFormat/>
    <w:uiPriority w:val="0"/>
    <w:rPr>
      <w:rFonts w:ascii="Cambria" w:hAnsi="Cambria" w:eastAsia="宋体"/>
      <w:b/>
      <w:bCs/>
      <w:sz w:val="32"/>
      <w:szCs w:val="32"/>
      <w:lang w:val="en-US" w:eastAsia="zh-CN" w:bidi="ar-SA"/>
    </w:rPr>
  </w:style>
  <w:style w:type="paragraph" w:customStyle="1" w:styleId="35">
    <w:name w:val="报告正文"/>
    <w:autoRedefine/>
    <w:qFormat/>
    <w:uiPriority w:val="0"/>
    <w:pPr>
      <w:adjustRightInd w:val="0"/>
      <w:snapToGrid w:val="0"/>
      <w:spacing w:line="600" w:lineRule="exact"/>
      <w:ind w:firstLine="200" w:firstLineChars="200"/>
      <w:jc w:val="both"/>
    </w:pPr>
    <w:rPr>
      <w:rFonts w:ascii="Times New Roman" w:hAnsi="Times New Roman" w:eastAsia="仿宋_GB2312" w:cs="Times New Roman"/>
      <w:kern w:val="2"/>
      <w:sz w:val="32"/>
      <w:szCs w:val="24"/>
      <w:lang w:val="en-US" w:eastAsia="zh-CN" w:bidi="ar-SA"/>
    </w:rPr>
  </w:style>
  <w:style w:type="paragraph" w:customStyle="1" w:styleId="36">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styleId="37">
    <w:name w:val="List Paragraph"/>
    <w:basedOn w:val="1"/>
    <w:autoRedefine/>
    <w:qFormat/>
    <w:uiPriority w:val="34"/>
    <w:pPr>
      <w:ind w:firstLine="420" w:firstLineChars="200"/>
    </w:pPr>
  </w:style>
  <w:style w:type="paragraph" w:customStyle="1" w:styleId="38">
    <w:name w:val="Table Paragraph"/>
    <w:basedOn w:val="1"/>
    <w:autoRedefine/>
    <w:qFormat/>
    <w:uiPriority w:val="1"/>
    <w:pPr>
      <w:spacing w:before="43"/>
      <w:ind w:left="107"/>
    </w:pPr>
    <w:rPr>
      <w:rFonts w:ascii="宋体" w:hAnsi="宋体" w:cs="宋体"/>
      <w:lang w:eastAsia="en-US" w:bidi="en-US"/>
    </w:rPr>
  </w:style>
  <w:style w:type="paragraph" w:customStyle="1" w:styleId="39">
    <w:name w:val="List Paragraph1"/>
    <w:basedOn w:val="1"/>
    <w:autoRedefine/>
    <w:qFormat/>
    <w:uiPriority w:val="0"/>
    <w:pPr>
      <w:ind w:firstLine="420" w:firstLineChars="200"/>
    </w:pPr>
    <w:rPr>
      <w:rFonts w:ascii="Calibri" w:hAnsi="Calibri"/>
      <w:szCs w:val="22"/>
    </w:rPr>
  </w:style>
  <w:style w:type="paragraph" w:customStyle="1" w:styleId="40">
    <w:name w:val="标题2"/>
    <w:basedOn w:val="41"/>
    <w:autoRedefine/>
    <w:qFormat/>
    <w:uiPriority w:val="0"/>
    <w:rPr>
      <w:b w:val="0"/>
      <w:sz w:val="21"/>
    </w:rPr>
  </w:style>
  <w:style w:type="paragraph" w:customStyle="1" w:styleId="41">
    <w:name w:val="标题1"/>
    <w:basedOn w:val="42"/>
    <w:autoRedefine/>
    <w:qFormat/>
    <w:uiPriority w:val="0"/>
    <w:pPr>
      <w:ind w:right="100" w:rightChars="100" w:firstLine="0" w:firstLineChars="0"/>
    </w:pPr>
    <w:rPr>
      <w:b/>
      <w:bCs/>
      <w:sz w:val="24"/>
    </w:rPr>
  </w:style>
  <w:style w:type="paragraph" w:customStyle="1" w:styleId="42">
    <w:name w:val="列出段落1"/>
    <w:basedOn w:val="1"/>
    <w:autoRedefine/>
    <w:qFormat/>
    <w:uiPriority w:val="34"/>
    <w:pPr>
      <w:ind w:firstLine="420" w:firstLineChars="200"/>
    </w:pPr>
  </w:style>
  <w:style w:type="paragraph" w:customStyle="1" w:styleId="43">
    <w:name w:val="彩色列表 - 强调文字颜色 12"/>
    <w:basedOn w:val="1"/>
    <w:autoRedefine/>
    <w:qFormat/>
    <w:uiPriority w:val="34"/>
    <w:pPr>
      <w:ind w:firstLine="420" w:firstLineChars="200"/>
    </w:pPr>
    <w:rPr>
      <w:szCs w:val="22"/>
    </w:rPr>
  </w:style>
  <w:style w:type="paragraph" w:customStyle="1" w:styleId="44">
    <w:name w:val="正文 A"/>
    <w:autoRedefine/>
    <w:qFormat/>
    <w:uiPriority w:val="0"/>
    <w:pPr>
      <w:widowControl w:val="0"/>
      <w:pBdr>
        <w:top w:val="none" w:color="auto" w:sz="0" w:space="0"/>
        <w:left w:val="none" w:color="auto" w:sz="0" w:space="0"/>
        <w:bottom w:val="none" w:color="auto" w:sz="0" w:space="0"/>
        <w:right w:val="none" w:color="auto" w:sz="0" w:space="0"/>
        <w:between w:val="none" w:color="auto" w:sz="0" w:space="0"/>
      </w:pBdr>
      <w:jc w:val="both"/>
    </w:pPr>
    <w:rPr>
      <w:rFonts w:hint="eastAsia" w:ascii="Arial Unicode MS" w:hAnsi="Arial Unicode MS" w:eastAsia="Arial Unicode MS" w:cs="Arial Unicode MS"/>
      <w:color w:val="000000"/>
      <w:kern w:val="2"/>
      <w:sz w:val="21"/>
      <w:szCs w:val="21"/>
      <w:u w:color="000000"/>
      <w:lang w:val="en-US" w:eastAsia="zh-CN" w:bidi="ar-SA"/>
    </w:rPr>
  </w:style>
  <w:style w:type="character" w:customStyle="1" w:styleId="45">
    <w:name w:val="font41"/>
    <w:basedOn w:val="23"/>
    <w:qFormat/>
    <w:uiPriority w:val="0"/>
    <w:rPr>
      <w:rFonts w:hint="eastAsia" w:ascii="宋体" w:hAnsi="宋体" w:eastAsia="宋体" w:cs="宋体"/>
      <w:color w:val="000000"/>
      <w:sz w:val="18"/>
      <w:szCs w:val="18"/>
      <w:u w:val="none"/>
    </w:rPr>
  </w:style>
  <w:style w:type="character" w:customStyle="1" w:styleId="46">
    <w:name w:val="font61"/>
    <w:basedOn w:val="23"/>
    <w:qFormat/>
    <w:uiPriority w:val="0"/>
    <w:rPr>
      <w:rFonts w:hint="eastAsia" w:ascii="宋体" w:hAnsi="宋体" w:eastAsia="宋体" w:cs="宋体"/>
      <w:color w:val="FF0000"/>
      <w:sz w:val="18"/>
      <w:szCs w:val="18"/>
      <w:u w:val="none"/>
    </w:rPr>
  </w:style>
  <w:style w:type="character" w:customStyle="1" w:styleId="47">
    <w:name w:val="font11"/>
    <w:basedOn w:val="23"/>
    <w:qFormat/>
    <w:uiPriority w:val="0"/>
    <w:rPr>
      <w:rFonts w:hint="eastAsia" w:ascii="宋体" w:hAnsi="宋体" w:eastAsia="宋体" w:cs="宋体"/>
      <w:color w:val="000000"/>
      <w:sz w:val="18"/>
      <w:szCs w:val="18"/>
      <w:u w:val="none"/>
    </w:rPr>
  </w:style>
  <w:style w:type="character" w:customStyle="1" w:styleId="48">
    <w:name w:val="font191"/>
    <w:basedOn w:val="23"/>
    <w:qFormat/>
    <w:uiPriority w:val="0"/>
    <w:rPr>
      <w:rFonts w:ascii="宋体" w:hAnsi="宋体" w:eastAsia="宋体" w:cs="宋体"/>
      <w:color w:val="000000"/>
      <w:sz w:val="20"/>
      <w:szCs w:val="20"/>
      <w:u w:val="none"/>
    </w:rPr>
  </w:style>
  <w:style w:type="character" w:customStyle="1" w:styleId="49">
    <w:name w:val="font201"/>
    <w:basedOn w:val="23"/>
    <w:qFormat/>
    <w:uiPriority w:val="0"/>
    <w:rPr>
      <w:rFonts w:hint="eastAsia" w:ascii="宋体" w:hAnsi="宋体" w:eastAsia="宋体" w:cs="宋体"/>
      <w:i/>
      <w:iCs/>
      <w:color w:val="000000"/>
      <w:sz w:val="20"/>
      <w:szCs w:val="20"/>
      <w:u w:val="none"/>
    </w:rPr>
  </w:style>
  <w:style w:type="character" w:customStyle="1" w:styleId="50">
    <w:name w:val="font212"/>
    <w:basedOn w:val="23"/>
    <w:qFormat/>
    <w:uiPriority w:val="0"/>
    <w:rPr>
      <w:rFonts w:hint="eastAsia" w:ascii="宋体" w:hAnsi="宋体" w:eastAsia="宋体" w:cs="宋体"/>
      <w:color w:val="000000"/>
      <w:sz w:val="20"/>
      <w:szCs w:val="20"/>
      <w:u w:val="none"/>
      <w:vertAlign w:val="superscript"/>
    </w:rPr>
  </w:style>
  <w:style w:type="character" w:customStyle="1" w:styleId="51">
    <w:name w:val="font221"/>
    <w:basedOn w:val="23"/>
    <w:qFormat/>
    <w:uiPriority w:val="0"/>
    <w:rPr>
      <w:rFonts w:hint="default" w:ascii="Times New Roman" w:hAnsi="Times New Roman" w:cs="Times New Roman"/>
      <w:color w:val="000000"/>
      <w:sz w:val="20"/>
      <w:szCs w:val="20"/>
      <w:u w:val="none"/>
    </w:rPr>
  </w:style>
  <w:style w:type="character" w:customStyle="1" w:styleId="52">
    <w:name w:val="font121"/>
    <w:basedOn w:val="23"/>
    <w:qFormat/>
    <w:uiPriority w:val="0"/>
    <w:rPr>
      <w:rFonts w:hint="eastAsia" w:ascii="宋体" w:hAnsi="宋体" w:eastAsia="宋体" w:cs="宋体"/>
      <w:color w:val="000000"/>
      <w:sz w:val="20"/>
      <w:szCs w:val="20"/>
      <w:u w:val="none"/>
    </w:rPr>
  </w:style>
  <w:style w:type="character" w:customStyle="1" w:styleId="53">
    <w:name w:val="font231"/>
    <w:basedOn w:val="23"/>
    <w:qFormat/>
    <w:uiPriority w:val="0"/>
    <w:rPr>
      <w:rFonts w:ascii="Arial" w:hAnsi="Arial" w:cs="Arial"/>
      <w:color w:val="000000"/>
      <w:sz w:val="20"/>
      <w:szCs w:val="20"/>
      <w:u w:val="none"/>
    </w:rPr>
  </w:style>
  <w:style w:type="character" w:customStyle="1" w:styleId="54">
    <w:name w:val="font171"/>
    <w:basedOn w:val="23"/>
    <w:qFormat/>
    <w:uiPriority w:val="0"/>
    <w:rPr>
      <w:rFonts w:hint="default" w:ascii="Arial" w:hAnsi="Arial" w:cs="Arial"/>
      <w:color w:val="000000"/>
      <w:sz w:val="20"/>
      <w:szCs w:val="20"/>
      <w:u w:val="none"/>
    </w:rPr>
  </w:style>
  <w:style w:type="character" w:customStyle="1" w:styleId="55">
    <w:name w:val="font81"/>
    <w:basedOn w:val="23"/>
    <w:qFormat/>
    <w:uiPriority w:val="0"/>
    <w:rPr>
      <w:rFonts w:hint="eastAsia" w:ascii="宋体" w:hAnsi="宋体" w:eastAsia="宋体" w:cs="宋体"/>
      <w:color w:val="000000"/>
      <w:sz w:val="20"/>
      <w:szCs w:val="20"/>
      <w:u w:val="none"/>
    </w:rPr>
  </w:style>
  <w:style w:type="character" w:customStyle="1" w:styleId="56">
    <w:name w:val="font241"/>
    <w:basedOn w:val="23"/>
    <w:qFormat/>
    <w:uiPriority w:val="0"/>
    <w:rPr>
      <w:rFonts w:hint="default" w:ascii="Times New Roman" w:hAnsi="Times New Roman" w:cs="Times New Roman"/>
      <w:color w:val="000000"/>
      <w:sz w:val="20"/>
      <w:szCs w:val="20"/>
      <w:u w:val="none"/>
    </w:rPr>
  </w:style>
  <w:style w:type="character" w:customStyle="1" w:styleId="57">
    <w:name w:val="font141"/>
    <w:basedOn w:val="23"/>
    <w:qFormat/>
    <w:uiPriority w:val="0"/>
    <w:rPr>
      <w:rFonts w:hint="eastAsia" w:ascii="宋体" w:hAnsi="宋体" w:eastAsia="宋体" w:cs="宋体"/>
      <w:color w:val="000000"/>
      <w:sz w:val="20"/>
      <w:szCs w:val="20"/>
      <w:u w:val="none"/>
    </w:rPr>
  </w:style>
  <w:style w:type="character" w:customStyle="1" w:styleId="58">
    <w:name w:val="font251"/>
    <w:basedOn w:val="23"/>
    <w:qFormat/>
    <w:uiPriority w:val="0"/>
    <w:rPr>
      <w:rFonts w:ascii="Arial" w:hAnsi="Arial" w:cs="Arial"/>
      <w:color w:val="000000"/>
      <w:sz w:val="20"/>
      <w:szCs w:val="20"/>
      <w:u w:val="none"/>
    </w:rPr>
  </w:style>
  <w:style w:type="character" w:customStyle="1" w:styleId="59">
    <w:name w:val="font51"/>
    <w:basedOn w:val="23"/>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footer" Target="footer7.xml"/><Relationship Id="rId15" Type="http://schemas.openxmlformats.org/officeDocument/2006/relationships/header" Target="header7.xml"/><Relationship Id="rId14" Type="http://schemas.openxmlformats.org/officeDocument/2006/relationships/footer" Target="footer6.xml"/><Relationship Id="rId13" Type="http://schemas.openxmlformats.org/officeDocument/2006/relationships/header" Target="head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290</Pages>
  <Words>5409</Words>
  <Characters>6495</Characters>
  <Lines>0</Lines>
  <Paragraphs>0</Paragraphs>
  <TotalTime>300</TotalTime>
  <ScaleCrop>false</ScaleCrop>
  <LinksUpToDate>false</LinksUpToDate>
  <CharactersWithSpaces>6542</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2021-10-15T00:56:00Z</dcterms:created>
  <dc:creator>1</dc:creator>
  <cp:lastModifiedBy>瓊</cp:lastModifiedBy>
  <cp:lastPrinted>2025-06-13T08:26:00Z</cp:lastPrinted>
  <dcterms:modified xsi:type="dcterms:W3CDTF">2025-06-19T12:02:39Z</dcterms:modified>
  <cp:revision>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555C51843CCD444A943FB8C07EF444C6_13</vt:lpwstr>
  </property>
  <property fmtid="{D5CDD505-2E9C-101B-9397-08002B2CF9AE}" pid="3" name="KSOProductBuildVer">
    <vt:lpwstr>2052-12.1.0.21541</vt:lpwstr>
  </property>
  <property fmtid="{D5CDD505-2E9C-101B-9397-08002B2CF9AE}" pid="4" name="KSOTemplateDocerSaveRecord">
    <vt:lpwstr>eyJoZGlkIjoiZTcxZDcwNjgyZjdlNWZkZTY2ZjlmYzcxNzYwMjY5NTQiLCJ1c2VySWQiOiIyNjQ2NTQ4OTQifQ==</vt:lpwstr>
  </property>
</Properties>
</file>