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FF" w:rsidRDefault="00F039FF" w:rsidP="00F039FF">
      <w:pPr>
        <w:pStyle w:val="1"/>
        <w:spacing w:line="360" w:lineRule="auto"/>
        <w:rPr>
          <w:rFonts w:cs="仿宋"/>
        </w:rPr>
      </w:pPr>
      <w:r>
        <w:rPr>
          <w:rFonts w:cs="仿宋" w:hint="eastAsia"/>
        </w:rPr>
        <w:t>采购项目技术、服务、采购合同内容条款及其他商务要求</w:t>
      </w:r>
    </w:p>
    <w:p w:rsidR="00F039FF" w:rsidRDefault="00F039FF" w:rsidP="00F039FF">
      <w:pPr>
        <w:pStyle w:val="a4"/>
        <w:rPr>
          <w:rFonts w:hAnsi="宋体" w:cs="仿宋" w:hint="eastAsia"/>
          <w:b/>
          <w:kern w:val="2"/>
          <w:sz w:val="24"/>
          <w:szCs w:val="24"/>
        </w:rPr>
      </w:pPr>
      <w:r>
        <w:rPr>
          <w:rFonts w:hAnsi="宋体" w:cs="仿宋" w:hint="eastAsia"/>
          <w:b/>
          <w:kern w:val="2"/>
          <w:sz w:val="24"/>
          <w:szCs w:val="24"/>
        </w:rPr>
        <w:t xml:space="preserve"> </w:t>
      </w:r>
    </w:p>
    <w:p w:rsidR="00F039FF" w:rsidRDefault="00F039FF" w:rsidP="00F039FF">
      <w:pPr>
        <w:widowControl/>
        <w:autoSpaceDE w:val="0"/>
        <w:autoSpaceDN w:val="0"/>
        <w:jc w:val="left"/>
        <w:rPr>
          <w:rFonts w:ascii="Calibri" w:hAnsi="宋体" w:cs="宋体" w:hint="eastAsia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第一部分</w:t>
      </w:r>
      <w:r>
        <w:rPr>
          <w:rFonts w:ascii="Calibri" w:hAnsi="宋体" w:hint="eastAsia"/>
          <w:b/>
          <w:bCs/>
          <w:sz w:val="24"/>
          <w:szCs w:val="24"/>
        </w:rPr>
        <w:t xml:space="preserve">  </w:t>
      </w:r>
      <w:r>
        <w:rPr>
          <w:rFonts w:hAnsi="宋体" w:hint="eastAsia"/>
          <w:b/>
          <w:bCs/>
          <w:sz w:val="24"/>
          <w:szCs w:val="24"/>
        </w:rPr>
        <w:t>项目概况</w:t>
      </w:r>
    </w:p>
    <w:p w:rsidR="00F039FF" w:rsidRDefault="00F039FF" w:rsidP="00F039FF">
      <w:r>
        <w:rPr>
          <w:rFonts w:hint="eastAsia"/>
        </w:rPr>
        <w:t xml:space="preserve"> </w:t>
      </w:r>
    </w:p>
    <w:p w:rsidR="00F039FF" w:rsidRDefault="00F039FF" w:rsidP="00F039FF">
      <w:pPr>
        <w:rPr>
          <w:rFonts w:hint="eastAsia"/>
        </w:rPr>
      </w:pPr>
      <w:r>
        <w:rPr>
          <w:rFonts w:hAnsi="宋体" w:hint="eastAsia"/>
          <w:b/>
          <w:sz w:val="24"/>
          <w:szCs w:val="24"/>
        </w:rPr>
        <w:t>本项目为四川职业技术学院自营食堂后厨设备采购。</w:t>
      </w:r>
    </w:p>
    <w:p w:rsidR="00F039FF" w:rsidRDefault="00F039FF" w:rsidP="00F039FF">
      <w:pPr>
        <w:rPr>
          <w:rFonts w:hint="eastAsia"/>
        </w:rPr>
      </w:pPr>
      <w:r>
        <w:rPr>
          <w:rFonts w:hint="eastAsia"/>
        </w:rPr>
        <w:t xml:space="preserve"> </w:t>
      </w:r>
    </w:p>
    <w:p w:rsidR="00F039FF" w:rsidRDefault="00F039FF" w:rsidP="00F039FF">
      <w:pPr>
        <w:widowControl/>
        <w:autoSpaceDE w:val="0"/>
        <w:autoSpaceDN w:val="0"/>
        <w:jc w:val="left"/>
        <w:rPr>
          <w:rFonts w:ascii="Calibri" w:hAnsi="宋体" w:hint="eastAsia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第二部分</w:t>
      </w:r>
      <w:r>
        <w:rPr>
          <w:rFonts w:ascii="Calibri" w:hAnsi="宋体" w:hint="eastAsia"/>
          <w:b/>
          <w:bCs/>
          <w:sz w:val="24"/>
          <w:szCs w:val="24"/>
        </w:rPr>
        <w:t xml:space="preserve">  </w:t>
      </w:r>
      <w:r>
        <w:rPr>
          <w:rFonts w:hAnsi="宋体" w:hint="eastAsia"/>
          <w:b/>
          <w:bCs/>
          <w:sz w:val="24"/>
          <w:szCs w:val="24"/>
        </w:rPr>
        <w:t>采购清单及技术要求</w:t>
      </w:r>
    </w:p>
    <w:p w:rsidR="00F039FF" w:rsidRDefault="00F039FF" w:rsidP="00F039FF">
      <w:pPr>
        <w:rPr>
          <w:rFonts w:hint="eastAsia"/>
        </w:rPr>
      </w:pPr>
      <w:r>
        <w:rPr>
          <w:rFonts w:hint="eastAsia"/>
        </w:rPr>
        <w:t xml:space="preserve"> </w:t>
      </w:r>
    </w:p>
    <w:tbl>
      <w:tblPr>
        <w:tblW w:w="9112" w:type="dxa"/>
        <w:jc w:val="center"/>
        <w:tblLook w:val="04A0" w:firstRow="1" w:lastRow="0" w:firstColumn="1" w:lastColumn="0" w:noHBand="0" w:noVBand="1"/>
      </w:tblPr>
      <w:tblGrid>
        <w:gridCol w:w="740"/>
        <w:gridCol w:w="2060"/>
        <w:gridCol w:w="3892"/>
        <w:gridCol w:w="700"/>
        <w:gridCol w:w="660"/>
        <w:gridCol w:w="1060"/>
      </w:tblGrid>
      <w:tr w:rsidR="00F039FF" w:rsidTr="00F039FF">
        <w:trPr>
          <w:trHeight w:val="735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采购内容</w:t>
            </w: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br/>
              <w:t>（标的名称）</w:t>
            </w:r>
          </w:p>
        </w:tc>
        <w:tc>
          <w:tcPr>
            <w:tcW w:w="3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技术参数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数量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备注</w:t>
            </w:r>
          </w:p>
        </w:tc>
      </w:tr>
      <w:tr w:rsidR="00F039FF" w:rsidTr="00F039FF">
        <w:trPr>
          <w:trHeight w:val="46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教工食堂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6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面点间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22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24盘燃气蒸包炉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1、规格：≥24盘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2、柜体采用304# ≥1.2mm 不锈钢板，侧板和围板采用304# ≥1.0mm不锈钢板；立管采用≥φ51*1.2mm不锈钢管，内含钢柱，配不锈钢可调子弹脚， 可调节高度；炉台面板采用≥1.2mm不锈钢板,前沿带溢水 排污槽,配有挡渣板；配备气阀、长明火阀、水阀、及相 应的气管、水管等配套部件； 灶具气路控制系统采用不锈 钢无泄漏波形中压管路系 统；风机功率：≥550W/220V； 配置熄火保护装置。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二楼</w:t>
            </w:r>
          </w:p>
        </w:tc>
      </w:tr>
      <w:tr w:rsidR="00F039FF" w:rsidTr="00F039FF">
        <w:trPr>
          <w:trHeight w:val="12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多功能搅拌机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1.规格：≥30L。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2.功率：≥2.5KW/380V（加大功率）。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3.材质：不锈钢搅拌容器及不锈钢搅拌工具3套。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4.双动双速搅拌。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二楼</w:t>
            </w:r>
          </w:p>
        </w:tc>
      </w:tr>
      <w:tr w:rsidR="00F039FF" w:rsidTr="00F039FF">
        <w:trPr>
          <w:trHeight w:val="148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破壁机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1.规格：≥6L。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2.功率：≥2400W/220V。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3.保护装置：电流过载保护，马达超温保护。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4.容器采用304不锈钢材质。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二楼</w:t>
            </w:r>
          </w:p>
        </w:tc>
      </w:tr>
      <w:tr w:rsidR="00F039FF" w:rsidTr="00F039FF">
        <w:trPr>
          <w:trHeight w:val="4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凉菜间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6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烹饪间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F039FF" w:rsidTr="00F039FF">
        <w:trPr>
          <w:trHeight w:val="1206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单头大锅灶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  <w:highlight w:val="yellow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1.规格尺寸：≥1200*1150*800mm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▲2.炉面采用优质食品级304#厚≥1.2mm贴塑磨砂不锈钢板一次性冲压成型，炉面下垫≥20mm硅酸铝作为隔热，并配置炉面降温水系统。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3.炉背板、前板、围板采用304#优质厚≥1.2mm贴塑磨砂不锈钢板。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▲4.炉膛采用厚≥3mm A3钢板，采用珍珠岩、耐火泥及耐火砖夯实。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5.配套铜芯鼓风机，功率：≥550W/220V。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▲6.一级能效。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7.炉脚采用厚≥3mm黑铁钢管套不锈钢管并配全钢调节脚。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▲8. 电子点火，安全，连续点燃≥10次，应全部点燃主燃烧器，且不应爆燃，带熄火保护装置；并备有手动点火枪装置一套，便于应急使用。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9.其他炉用配件采用国标配件。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10.附件：铜芯摇摆水龙头1只。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▲11.燃气时，设备符合CJ/T392-2012 《炊用燃气大锅灶》标准。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▲12.产品符合GB4806.9-2016《食品安全国家标准 食品接触用金属材料及制品》要求。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二楼</w:t>
            </w:r>
          </w:p>
        </w:tc>
      </w:tr>
      <w:tr w:rsidR="00F039FF" w:rsidTr="00F039FF">
        <w:trPr>
          <w:trHeight w:val="54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双炒双温小炒菜灶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1.规格尺寸：2000*1150*800±4mm。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▲2.炉面采用≥1.2mm304磨砂不锈钢板一次性冲压成型，炉面下垫≥20mm硅酸铝作为隔热，并配置炉面降温水系统。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▲3.炉背板、前板、围板采用304#实厚≥1.0mm贴塑磨砂不锈钢板。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▲4.炉膛采用厚≥3mm A3钢板，采用珍珠岩、耐火泥及耐火砖夯实。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5.配套铜芯高压鼓风机2台，功率：≥90W/220V。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▲6.一级能效。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▲7.炉脚采用厚≥3mm黑铁钢管套不锈钢管并配全钢Φ51mm±mm调节脚。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▲8.烟道采用厚≥3mmA3钢板制作；烟道尺寸140×140mm±1mm向上直排。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▲9.点火方式简单、安全，连续点燃10次，应全部点燃主燃烧器，且不应爆燃。电子点火，带熄火保护装置；并备有手动点火枪装置一套，便于应急使用。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10.其他炉用配件采用国标配件。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11.附件：铜芯摇摆水龙头2只。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▲12.燃气时，设备符CJ/T28-2013标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准。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0"/>
                <w:szCs w:val="20"/>
              </w:rPr>
            </w:pPr>
            <w:r>
              <w:rPr>
                <w:rFonts w:hAnsi="宋体" w:hint="eastAsia"/>
                <w:color w:val="000000"/>
                <w:sz w:val="20"/>
                <w:szCs w:val="20"/>
              </w:rPr>
              <w:t>二楼</w:t>
            </w:r>
          </w:p>
        </w:tc>
      </w:tr>
      <w:tr w:rsidR="00F039FF" w:rsidTr="00F039FF">
        <w:trPr>
          <w:trHeight w:val="6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学生二食堂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6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凉菜间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27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平台雪柜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1.规格：≥1800*800*800mm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2.储藏温度：-5℃～+10℃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3.电源；220V 50HZ。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4.输入功率：≥300W,一级能效标准。门数：双门。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5.工作方式：纯铜管直冷,采用数显温控器。                                                                                                           6.整体不锈钢，内层不锈钢箱体，台面、门板、侧板、内板采用不锈钢材质。配可调节可拆卸网架 2 个，可放置 1/1 或 2/1GN 盆；带开门限位及自动回归关门；带可刹停万向脚轮；带除霜水自蒸发系统，无需接地漏。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7.净容积：≥300L。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271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医用等离子体空气消毒机 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 w:rsidP="008D32BD"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卫健委备案：微电脑控制，多功能等离子体杀菌模块，消毒情况下人机共存。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2.规格参数：≥1050*360*170mm，功率：≥60W/220V。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3.循环风量：≥1200方每小时；集杀菌、除尘、净化空气等为一体。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4.防控日常病菌：杀菌率〉99.90%。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5.噪音分贝：≤50分贝。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6.空气洁净度：10万级，消毒时间60min，提供合格的微生物检测报告。</w:t>
            </w:r>
          </w:p>
          <w:p w:rsidR="00F039FF" w:rsidRDefault="00F039FF" w:rsidP="008D32BD">
            <w:pPr>
              <w:pStyle w:val="a0"/>
              <w:spacing w:before="78" w:after="78"/>
            </w:pPr>
            <w:r>
              <w:rPr>
                <w:rFonts w:ascii="宋体" w:hAnsi="宋体" w:hint="eastAsia"/>
                <w:color w:val="000000"/>
                <w:spacing w:val="0"/>
                <w:kern w:val="0"/>
                <w:sz w:val="22"/>
                <w:szCs w:val="22"/>
              </w:rPr>
              <w:t>7.遥控操作开关调节。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9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紫外线杀菌灯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1、石英管状玻璃外壳，发射短波紫外线辐射。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2、消毒管长≥1000mm，功率：30W/220V,热阴极有效寿命≥8000小时。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3、优质石英玻璃管，紫外线透过率大于等于98%。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4.遥控操作开关。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备餐间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18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双层工作台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1.规格：≥1800*800*800mm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1.面板采用≥1.2mm304不锈钢磨砂板制作，层板，加强筋采用≥1.0mm不锈钢板制作。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2.立脚采用≥∮51*1.2mm不锈钢管制作，配不锈钢可调子弹脚。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3.面板内衬≥15mm高密度聚氨酯板，防潮加固，下铺设防潮锡箔胶。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181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紫外线杀菌灯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1、石英管状玻璃外壳，发射短波紫外线辐射。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2、消毒管长≥1000mm，功率：30W/220V,热阴极有效寿命≥8000小时。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3、优质石英玻璃管，紫外线透过率大于等于98%。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4.遥控操作开关。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9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粗加工间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214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土豆去皮机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1.规格：≥850*600*1100（mm）。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2.优质不锈钢结构，强力带传动系统，不锈钢去皮底盘，不锈钢卸料口带快速锁定及密封系统，可调不锈钢支脚，卸料口处带微限开关。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3.电源：≥735W/ 230V 50Hz 单相 1Hp。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 xml:space="preserve">4.转速：≥320 r.p.m.。  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5.产量：≥170 kg/ h。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4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蒸煮间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136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双进风高压抽风柜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15KW/380V；≥40000风量,采用后倾式高压风柜，满足抽风量；同时制作风柜进口及出口消音器2组；配置软启动控制器，可远程操作启停同时采用软启动，保护电机。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103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进出风口变径及管道≥10㎡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定制，与风机匹配，采用实际厚度≥1.1mm镀锌板制造，配40角钢法兰螺杆连接及耐高温耐气候玻璃胶密封处理。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49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帆布软接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1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风机减震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定制，与风机匹配；采购国标150公斤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弹簧减震器安装。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五层楼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 xml:space="preserve">顶 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风机底座支架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定制，与风机匹配；采用国标40角钢制作，配加厚橡胶垫。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风柜电源线及线管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定制，与风机匹配；采用国标10平方米4+1铜芯电缆线并穿穿线管安装。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7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拆除旧设备及安装新设备措施费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现场订，拆除原旧设备3套（风柜、风管等）；安装新设备3套（风柜、风管等）。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7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工业挂壁扇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规格：750型，库房+面点间各一台，网罩直径≥780mm；高度≥880mm，3档调节，加粗加厚网罩，纯铜电机。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一楼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b/>
                <w:bCs/>
                <w:color w:val="000000"/>
                <w:sz w:val="22"/>
                <w:szCs w:val="22"/>
              </w:rPr>
              <w:t>炒菜区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旧烟罩降低高度安装费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定制，≥8米不锈钢烟罩。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旧烟罩上面的风管（背包）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定制，原旧风管拆除，换新镀锌管。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94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双进风高压抽风柜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≥15KW/380V；≥40000风量，采用后倾式高压风柜，满足抽风量；同时制作风柜进口及出口消音器2组；配置软启动控制器，可远程操作启停同时采用软启动，保护电机。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进出风口变径及管道10㎡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定制，与风机匹配，采用实际厚度1.1mm镀锌板制造，配40角钢法兰螺杆连接及耐高温耐气候玻璃胶密封处理。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42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帆布软接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48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风机减震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定制，与风机匹配；采购国标150公斤弹簧减震器安装。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54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风机底座支架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定制，与风机匹配。采用国标50角钢制作，配加厚橡胶垫。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风柜电源线及线管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定制，与风机匹配；采用国标10平方米4+1铜芯电缆线并穿穿线管安装。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五层楼顶 </w:t>
            </w:r>
          </w:p>
        </w:tc>
      </w:tr>
      <w:tr w:rsidR="00F039FF" w:rsidTr="00F039FF">
        <w:trPr>
          <w:trHeight w:val="6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餐厅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559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126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工业挂壁扇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规格：750型，库房+面点间各一台，网罩直径780mm±1mm；高度880mm±5mm，3档调节，加粗加厚网罩，纯铜电机。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一楼</w:t>
            </w:r>
          </w:p>
        </w:tc>
      </w:tr>
      <w:tr w:rsidR="00F039FF" w:rsidTr="00F039FF">
        <w:trPr>
          <w:trHeight w:val="114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电饼铛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1、电源：220V，频率：50Hz。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 xml:space="preserve">2、输入功率：≥5kW 。                                                           3、外形尺寸：650*780*800mm±1mm；      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4、不锈钢材料制作。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一楼</w:t>
            </w:r>
          </w:p>
        </w:tc>
      </w:tr>
      <w:tr w:rsidR="00F039FF" w:rsidTr="00F039FF">
        <w:trPr>
          <w:trHeight w:val="132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单头小炒灶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1.规格尺寸：1100*1150*800±1mm。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2.炉面采用实厚≥1.2mm304磨砂不锈钢板一次性冲压成型，炉面下垫20mm硅酸铝作为隔热，并配置炉面降温水系统。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3.炉背板、前板、围板采用304#厚≥1.0mm贴塑磨砂不锈钢板。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4.炉膛采用厚≥3mm A3钢板，采用珍珠岩、耐火泥及耐火砖夯实。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5.配套铜芯高压鼓风机2台，功率：≥90W/220V。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6.一级能效。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7.炉脚采用厚≥3mm黑铁钢管套不锈钢管并配全钢Φ51mm±1mm调节脚。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8.烟道采用厚≥3mmA3钢板制作；烟道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尺寸140×140mm±1mm向上直排。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9.点火方式简单、安全，连续点燃10次，应全部点燃主燃烧器，且不应爆燃。电子点火，带熄火保护装置；并备有手动点火枪装置一套，便于应急使用。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10.其他炉用配件采用国标配件。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11.附件：铜芯摇摆水龙头1只。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12.燃气时，设备符CJ/T28-2013标准。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一楼</w:t>
            </w:r>
          </w:p>
        </w:tc>
      </w:tr>
      <w:tr w:rsidR="00F039FF" w:rsidTr="00F039FF">
        <w:trPr>
          <w:trHeight w:val="144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燃气大煮面炉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1.规格：≥1800*800*800mm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 w:hint="eastAsia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2.材料采用国标优质不锈钢板，炉面≥1.2mm不锈钢板。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3.炉背实厚≥1.0mm不锈钢板；水缸采用食品级304不锈钢材质，加火排燃烧，快速升温效率高。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4.独立汤池不串味，易清洗。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一楼</w:t>
            </w:r>
          </w:p>
        </w:tc>
      </w:tr>
      <w:tr w:rsidR="00F039FF" w:rsidTr="00F039FF">
        <w:trPr>
          <w:trHeight w:val="902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高温冻库(内外不锈钢）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1.规格：（30m³）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2.库体内外均采用≥0.8mm厚不锈钢内注聚胺脂厚≥100mm保温库板，配标准冷库掩门。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3.采用品牌压缩机、风冷机组；配膨胀阀、干燥过滤器、液境、R22雪种及电磁阀等。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4.进口控制电箱，配显示控制器，磁吸、继电器、高低压力制及冷库灯。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5.温度：0℃～+10℃。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6.采</w:t>
            </w:r>
            <w:r>
              <w:rPr>
                <w:rFonts w:hAnsi="宋体" w:hint="eastAsia"/>
                <w:sz w:val="22"/>
                <w:szCs w:val="22"/>
              </w:rPr>
              <w:t>用聚氨酯发泡做地面保温配加厚防滑铝板,配套地基础制作。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座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F039FF" w:rsidTr="00F039FF">
        <w:trPr>
          <w:trHeight w:val="24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lastRenderedPageBreak/>
              <w:t>33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冷冻库(内外不锈钢）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1.规格：（20m³）</w:t>
            </w:r>
          </w:p>
          <w:p w:rsidR="00F039FF" w:rsidRDefault="00F039FF">
            <w:pPr>
              <w:widowControl/>
              <w:spacing w:line="360" w:lineRule="auto"/>
              <w:jc w:val="left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2.库体内外均采用≥0.8mm厚不锈钢内注聚胺脂厚≥100mm保温库板，配标准冷库掩门。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3.采用品牌压缩机、风冷机组；配膨胀阀、干燥过滤器、液境、R22雪种及电磁阀等。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4.进口控制电箱，配显示控制器，磁吸、继电器、高低压力制及冷库灯。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5.温度：-18℃～-23℃。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br/>
              <w:t>6.采用聚氨酯发泡做地面保温配加厚防</w:t>
            </w:r>
            <w:r>
              <w:rPr>
                <w:rFonts w:hAnsi="宋体" w:hint="eastAsia"/>
                <w:sz w:val="22"/>
                <w:szCs w:val="22"/>
              </w:rPr>
              <w:t>滑铝板,配套地基础制作。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座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9FF" w:rsidRDefault="00F039FF">
            <w:pPr>
              <w:widowControl/>
              <w:spacing w:line="360" w:lineRule="auto"/>
              <w:jc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</w:tbl>
    <w:p w:rsidR="00F039FF" w:rsidRDefault="00F039FF" w:rsidP="00F039FF">
      <w:pPr>
        <w:rPr>
          <w:rFonts w:hint="eastAsia"/>
        </w:rPr>
      </w:pPr>
      <w:r>
        <w:rPr>
          <w:rFonts w:hint="eastAsia"/>
        </w:rPr>
        <w:t xml:space="preserve"> </w:t>
      </w:r>
    </w:p>
    <w:p w:rsidR="00F039FF" w:rsidRDefault="00F039FF" w:rsidP="00F039FF">
      <w:pPr>
        <w:pStyle w:val="4"/>
        <w:keepLines w:val="0"/>
        <w:spacing w:before="0" w:after="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</w:t>
      </w:r>
    </w:p>
    <w:p w:rsidR="00F039FF" w:rsidRDefault="00F039FF" w:rsidP="00F039FF">
      <w:pPr>
        <w:pStyle w:val="4"/>
        <w:keepLines w:val="0"/>
        <w:spacing w:before="0" w:after="0"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第三部分 商务及其它要求</w:t>
      </w:r>
    </w:p>
    <w:p w:rsidR="00F039FF" w:rsidRDefault="00F039FF" w:rsidP="00F039FF">
      <w:pPr>
        <w:numPr>
          <w:ilvl w:val="0"/>
          <w:numId w:val="2"/>
        </w:numPr>
        <w:spacing w:line="360" w:lineRule="auto"/>
        <w:rPr>
          <w:rFonts w:hAnsi="宋体" w:hint="eastAsia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交</w:t>
      </w:r>
      <w:r>
        <w:rPr>
          <w:rFonts w:hAnsi="宋体" w:hint="eastAsia"/>
          <w:b/>
          <w:bCs/>
          <w:sz w:val="24"/>
          <w:szCs w:val="24"/>
        </w:rPr>
        <w:t>货时间：</w:t>
      </w:r>
      <w:r>
        <w:rPr>
          <w:rFonts w:hAnsi="宋体" w:hint="eastAsia"/>
          <w:bCs/>
          <w:color w:val="000000"/>
          <w:sz w:val="24"/>
          <w:szCs w:val="24"/>
        </w:rPr>
        <w:t>合同签订之日后30日内交货</w:t>
      </w:r>
      <w:r>
        <w:rPr>
          <w:rFonts w:hAnsi="宋体" w:hint="eastAsia"/>
          <w:bCs/>
          <w:sz w:val="24"/>
          <w:szCs w:val="24"/>
        </w:rPr>
        <w:t xml:space="preserve">   。</w:t>
      </w:r>
    </w:p>
    <w:p w:rsidR="00F039FF" w:rsidRDefault="00F039FF" w:rsidP="00F039FF">
      <w:pPr>
        <w:numPr>
          <w:ilvl w:val="0"/>
          <w:numId w:val="2"/>
        </w:numPr>
        <w:spacing w:line="360" w:lineRule="auto"/>
        <w:rPr>
          <w:rFonts w:hAnsi="宋体" w:hint="eastAsia"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交货地点：</w:t>
      </w:r>
      <w:r>
        <w:rPr>
          <w:rFonts w:hAnsi="宋体" w:hint="eastAsia"/>
          <w:sz w:val="24"/>
          <w:szCs w:val="24"/>
        </w:rPr>
        <w:t>四川职业技术学院。</w:t>
      </w:r>
    </w:p>
    <w:p w:rsidR="00F039FF" w:rsidRDefault="00F039FF" w:rsidP="00F039FF">
      <w:pPr>
        <w:spacing w:line="360" w:lineRule="auto"/>
        <w:rPr>
          <w:rFonts w:hAnsi="宋体" w:hint="eastAsia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（三）付款方式及时间：</w:t>
      </w:r>
    </w:p>
    <w:p w:rsidR="00F039FF" w:rsidRDefault="00F039FF" w:rsidP="00F039FF">
      <w:pPr>
        <w:spacing w:line="360" w:lineRule="auto"/>
        <w:ind w:firstLineChars="200" w:firstLine="480"/>
        <w:rPr>
          <w:rFonts w:hAnsi="宋体" w:hint="eastAsia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>签订合同后15个工作日内，甲方在收到乙方提供的合法合规发票及相关凭证资料后，支付合同总金额的30%合同款（以合同约定为准）；在货物验收合格后15个工作日内，甲方在收到乙方提供的合法合规发票及相关凭证资料后，支付合同总金额的70%合同款。</w:t>
      </w:r>
    </w:p>
    <w:p w:rsidR="00F039FF" w:rsidRDefault="00F039FF" w:rsidP="00F039FF">
      <w:pPr>
        <w:spacing w:line="360" w:lineRule="auto"/>
        <w:rPr>
          <w:rFonts w:hAnsi="宋体" w:hint="eastAsia"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（四）售后服务</w:t>
      </w:r>
    </w:p>
    <w:p w:rsidR="00F039FF" w:rsidRDefault="00F039FF" w:rsidP="00F039FF">
      <w:pPr>
        <w:pStyle w:val="a4"/>
        <w:spacing w:after="0" w:line="36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1、保修期：不少于1年，在产品保修期内（除易耗品、人为因素和地震等不可抗拒因素外）产品出现故障或其他问题，由成交供应商进行维修，所有维修产生的费用由成交供应商自行支付。</w:t>
      </w:r>
    </w:p>
    <w:p w:rsidR="00F039FF" w:rsidRDefault="00F039FF" w:rsidP="00F039FF">
      <w:pPr>
        <w:spacing w:line="36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2、支持重大故障或特殊故障的紧急远程或现场抢修。一般故障，30分钟响应、4小时内到场、24小时内维修完毕；重大故障或特殊故障，30分钟响应、4小时内到场、72小时维修完毕。</w:t>
      </w:r>
    </w:p>
    <w:p w:rsidR="00F039FF" w:rsidRDefault="00F039FF" w:rsidP="00F039FF">
      <w:pPr>
        <w:spacing w:line="360" w:lineRule="auto"/>
        <w:ind w:firstLineChars="200" w:firstLine="480"/>
        <w:rPr>
          <w:rFonts w:hAnsi="宋体" w:hint="eastAsia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lastRenderedPageBreak/>
        <w:t>3、未经采购人同意，维修维护使用的备品备件及易损件，不得为非原厂件。</w:t>
      </w:r>
    </w:p>
    <w:p w:rsidR="00F039FF" w:rsidRDefault="00F039FF" w:rsidP="00F039FF">
      <w:pPr>
        <w:spacing w:line="360" w:lineRule="auto"/>
        <w:ind w:firstLineChars="200" w:firstLine="480"/>
        <w:rPr>
          <w:rFonts w:hAnsi="宋体" w:hint="eastAsia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>4、供应商需建立相应的售后维护档案，每次故障维修提交报告，并提出预防性维护措施，记录每次故障响应服务和预防性维护的详细情况。</w:t>
      </w:r>
    </w:p>
    <w:p w:rsidR="00F039FF" w:rsidRDefault="00F039FF" w:rsidP="00F039FF">
      <w:pPr>
        <w:spacing w:line="36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>5、供应商需建立专门的回访制度，设立专职服务人员，为用户提供至少每季度一次的回访、技术咨询和技术培训等服务。</w:t>
      </w:r>
    </w:p>
    <w:p w:rsidR="00F039FF" w:rsidRDefault="00F039FF" w:rsidP="00F039FF">
      <w:pPr>
        <w:spacing w:line="348" w:lineRule="auto"/>
        <w:rPr>
          <w:rFonts w:hAnsi="宋体" w:hint="eastAsia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（五）验收要求</w:t>
      </w:r>
    </w:p>
    <w:p w:rsidR="00F039FF" w:rsidRDefault="00F039FF" w:rsidP="00F039FF">
      <w:pPr>
        <w:pStyle w:val="a4"/>
        <w:spacing w:line="348" w:lineRule="auto"/>
        <w:ind w:firstLineChars="200" w:firstLine="480"/>
        <w:rPr>
          <w:rFonts w:hAnsi="宋体" w:hint="eastAsia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>1、验收标准：严格按照国家相关法律法规以及《财政部关于进一步加强政府采购需求和履约验收管理的指导意见》（财库〔2016〕205号）的要求进行验收。</w:t>
      </w:r>
    </w:p>
    <w:p w:rsidR="00F039FF" w:rsidRDefault="00F039FF" w:rsidP="00F039FF">
      <w:pPr>
        <w:pStyle w:val="a4"/>
        <w:spacing w:after="0" w:line="348" w:lineRule="auto"/>
        <w:ind w:firstLineChars="200" w:firstLine="480"/>
        <w:rPr>
          <w:rFonts w:hAnsi="宋体" w:hint="eastAsia"/>
          <w:color w:val="000000"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>2、</w:t>
      </w:r>
      <w:r>
        <w:rPr>
          <w:rFonts w:hAnsi="宋体" w:hint="eastAsia"/>
          <w:color w:val="000000"/>
          <w:sz w:val="24"/>
          <w:szCs w:val="24"/>
        </w:rPr>
        <w:t>合同货物安装调试完成成交人递交书面验收申请后5个工作日内进行初步验收，验收应在采购人、成交供应商双方共同参加下进行。</w:t>
      </w:r>
    </w:p>
    <w:p w:rsidR="00F039FF" w:rsidRDefault="00F039FF" w:rsidP="00F039FF">
      <w:pPr>
        <w:spacing w:line="348" w:lineRule="auto"/>
        <w:rPr>
          <w:rFonts w:hAnsi="宋体" w:hint="eastAsia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（六）售后服务：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bCs/>
          <w:color w:val="000000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1、享受原厂售后服务，供应商应有良好的服务理念和完善的售后服务体系。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bCs/>
          <w:color w:val="000000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培训内容：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bCs/>
          <w:color w:val="000000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1.1负责现场安装、调试。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bCs/>
          <w:color w:val="000000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1.2负责提供仪器设备的基本原理、操作应用、注意事项、日常维护等内容的人员培训，使其能够掌握仪器的正确操作和日常保养、维护及简单故障的处理。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bCs/>
          <w:color w:val="000000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1.3培训时间不少于1天，在培训期间，供应商食宿自理。</w:t>
      </w:r>
    </w:p>
    <w:p w:rsidR="00F039FF" w:rsidRDefault="00F039FF" w:rsidP="00F039FF">
      <w:pPr>
        <w:autoSpaceDE w:val="0"/>
        <w:spacing w:line="36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bCs/>
          <w:color w:val="000000"/>
          <w:sz w:val="24"/>
          <w:szCs w:val="24"/>
        </w:rPr>
        <w:t>1.4培训对象：使用相关产品的工作人员。</w:t>
      </w:r>
    </w:p>
    <w:p w:rsidR="00F039FF" w:rsidRDefault="00F039FF" w:rsidP="00F039FF">
      <w:pPr>
        <w:rPr>
          <w:rFonts w:hint="eastAsia"/>
        </w:rPr>
      </w:pPr>
      <w:r>
        <w:rPr>
          <w:rFonts w:hAnsi="宋体" w:hint="eastAsia"/>
          <w:b/>
          <w:bCs/>
          <w:sz w:val="24"/>
          <w:szCs w:val="24"/>
        </w:rPr>
        <w:t>注：1.本项目采购和执行过程中，如有国家新标准、新政策，则按新标准、新政策执行。</w:t>
      </w:r>
    </w:p>
    <w:p w:rsidR="001A7F34" w:rsidRDefault="001A7F34">
      <w:bookmarkStart w:id="0" w:name="_GoBack"/>
      <w:bookmarkEnd w:id="0"/>
    </w:p>
    <w:sectPr w:rsidR="001A7F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(W1)">
    <w:altName w:val="Times New Roman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C5"/>
    <w:multiLevelType w:val="multilevel"/>
    <w:tmpl w:val="543E5460"/>
    <w:lvl w:ilvl="0">
      <w:start w:val="1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F5731D"/>
    <w:multiLevelType w:val="multilevel"/>
    <w:tmpl w:val="FA8EA21E"/>
    <w:lvl w:ilvl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ascii="宋体" w:eastAsia="宋体" w:hAnsi="宋体" w:hint="eastAsia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08A"/>
    <w:rsid w:val="001A7F34"/>
    <w:rsid w:val="009C508A"/>
    <w:rsid w:val="00F0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039FF"/>
    <w:pPr>
      <w:widowControl w:val="0"/>
      <w:jc w:val="both"/>
    </w:pPr>
    <w:rPr>
      <w:rFonts w:ascii="宋体" w:eastAsia="宋体" w:hAnsi="Times New Roman" w:cs="Times New Roman"/>
      <w:kern w:val="0"/>
      <w:sz w:val="34"/>
      <w:szCs w:val="34"/>
    </w:rPr>
  </w:style>
  <w:style w:type="paragraph" w:styleId="1">
    <w:name w:val="heading 1"/>
    <w:basedOn w:val="a"/>
    <w:next w:val="a"/>
    <w:link w:val="1Char"/>
    <w:uiPriority w:val="99"/>
    <w:qFormat/>
    <w:rsid w:val="00F039FF"/>
    <w:pPr>
      <w:keepNext/>
      <w:keepLines/>
      <w:snapToGrid w:val="0"/>
      <w:spacing w:before="220" w:after="90" w:line="576" w:lineRule="auto"/>
      <w:jc w:val="center"/>
      <w:outlineLvl w:val="0"/>
    </w:pPr>
    <w:rPr>
      <w:rFonts w:hAnsi="宋体"/>
      <w:b/>
      <w:kern w:val="44"/>
      <w:sz w:val="32"/>
      <w:szCs w:val="32"/>
    </w:rPr>
  </w:style>
  <w:style w:type="paragraph" w:styleId="4">
    <w:name w:val="heading 4"/>
    <w:basedOn w:val="a"/>
    <w:next w:val="a"/>
    <w:link w:val="4Char"/>
    <w:uiPriority w:val="99"/>
    <w:qFormat/>
    <w:rsid w:val="00F039FF"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9"/>
    <w:rsid w:val="00F039FF"/>
    <w:rPr>
      <w:rFonts w:ascii="宋体" w:eastAsia="宋体" w:hAnsi="宋体" w:cs="Times New Roman"/>
      <w:b/>
      <w:kern w:val="44"/>
      <w:sz w:val="32"/>
      <w:szCs w:val="32"/>
    </w:rPr>
  </w:style>
  <w:style w:type="character" w:customStyle="1" w:styleId="4Char">
    <w:name w:val="标题 4 Char"/>
    <w:basedOn w:val="a1"/>
    <w:link w:val="4"/>
    <w:uiPriority w:val="99"/>
    <w:rsid w:val="00F039FF"/>
    <w:rPr>
      <w:rFonts w:ascii="Arial" w:eastAsia="黑体" w:hAnsi="Arial" w:cs="Times New Roman"/>
      <w:b/>
      <w:bCs/>
      <w:kern w:val="0"/>
      <w:sz w:val="28"/>
      <w:szCs w:val="28"/>
    </w:rPr>
  </w:style>
  <w:style w:type="paragraph" w:customStyle="1" w:styleId="a0">
    <w:name w:val="表格文字"/>
    <w:basedOn w:val="a"/>
    <w:rsid w:val="00F039FF"/>
    <w:pPr>
      <w:spacing w:beforeLines="25" w:afterLines="25"/>
    </w:pPr>
    <w:rPr>
      <w:rFonts w:ascii="Times New (W1)" w:hAnsi="Times New (W1)"/>
      <w:spacing w:val="10"/>
      <w:kern w:val="2"/>
      <w:sz w:val="21"/>
      <w:szCs w:val="21"/>
    </w:rPr>
  </w:style>
  <w:style w:type="paragraph" w:styleId="a4">
    <w:name w:val="Body Text"/>
    <w:basedOn w:val="a"/>
    <w:next w:val="a"/>
    <w:link w:val="Char"/>
    <w:uiPriority w:val="99"/>
    <w:unhideWhenUsed/>
    <w:rsid w:val="00F039FF"/>
    <w:pPr>
      <w:spacing w:before="100" w:beforeAutospacing="1" w:after="120"/>
    </w:pPr>
  </w:style>
  <w:style w:type="character" w:customStyle="1" w:styleId="Char">
    <w:name w:val="正文文本 Char"/>
    <w:basedOn w:val="a1"/>
    <w:link w:val="a4"/>
    <w:uiPriority w:val="99"/>
    <w:rsid w:val="00F039FF"/>
    <w:rPr>
      <w:rFonts w:ascii="宋体" w:eastAsia="宋体" w:hAnsi="Times New Roman" w:cs="Times New Roman"/>
      <w:kern w:val="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039FF"/>
    <w:pPr>
      <w:widowControl w:val="0"/>
      <w:jc w:val="both"/>
    </w:pPr>
    <w:rPr>
      <w:rFonts w:ascii="宋体" w:eastAsia="宋体" w:hAnsi="Times New Roman" w:cs="Times New Roman"/>
      <w:kern w:val="0"/>
      <w:sz w:val="34"/>
      <w:szCs w:val="34"/>
    </w:rPr>
  </w:style>
  <w:style w:type="paragraph" w:styleId="1">
    <w:name w:val="heading 1"/>
    <w:basedOn w:val="a"/>
    <w:next w:val="a"/>
    <w:link w:val="1Char"/>
    <w:uiPriority w:val="99"/>
    <w:qFormat/>
    <w:rsid w:val="00F039FF"/>
    <w:pPr>
      <w:keepNext/>
      <w:keepLines/>
      <w:snapToGrid w:val="0"/>
      <w:spacing w:before="220" w:after="90" w:line="576" w:lineRule="auto"/>
      <w:jc w:val="center"/>
      <w:outlineLvl w:val="0"/>
    </w:pPr>
    <w:rPr>
      <w:rFonts w:hAnsi="宋体"/>
      <w:b/>
      <w:kern w:val="44"/>
      <w:sz w:val="32"/>
      <w:szCs w:val="32"/>
    </w:rPr>
  </w:style>
  <w:style w:type="paragraph" w:styleId="4">
    <w:name w:val="heading 4"/>
    <w:basedOn w:val="a"/>
    <w:next w:val="a"/>
    <w:link w:val="4Char"/>
    <w:uiPriority w:val="99"/>
    <w:qFormat/>
    <w:rsid w:val="00F039FF"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9"/>
    <w:rsid w:val="00F039FF"/>
    <w:rPr>
      <w:rFonts w:ascii="宋体" w:eastAsia="宋体" w:hAnsi="宋体" w:cs="Times New Roman"/>
      <w:b/>
      <w:kern w:val="44"/>
      <w:sz w:val="32"/>
      <w:szCs w:val="32"/>
    </w:rPr>
  </w:style>
  <w:style w:type="character" w:customStyle="1" w:styleId="4Char">
    <w:name w:val="标题 4 Char"/>
    <w:basedOn w:val="a1"/>
    <w:link w:val="4"/>
    <w:uiPriority w:val="99"/>
    <w:rsid w:val="00F039FF"/>
    <w:rPr>
      <w:rFonts w:ascii="Arial" w:eastAsia="黑体" w:hAnsi="Arial" w:cs="Times New Roman"/>
      <w:b/>
      <w:bCs/>
      <w:kern w:val="0"/>
      <w:sz w:val="28"/>
      <w:szCs w:val="28"/>
    </w:rPr>
  </w:style>
  <w:style w:type="paragraph" w:customStyle="1" w:styleId="a0">
    <w:name w:val="表格文字"/>
    <w:basedOn w:val="a"/>
    <w:rsid w:val="00F039FF"/>
    <w:pPr>
      <w:spacing w:beforeLines="25" w:afterLines="25"/>
    </w:pPr>
    <w:rPr>
      <w:rFonts w:ascii="Times New (W1)" w:hAnsi="Times New (W1)"/>
      <w:spacing w:val="10"/>
      <w:kern w:val="2"/>
      <w:sz w:val="21"/>
      <w:szCs w:val="21"/>
    </w:rPr>
  </w:style>
  <w:style w:type="paragraph" w:styleId="a4">
    <w:name w:val="Body Text"/>
    <w:basedOn w:val="a"/>
    <w:next w:val="a"/>
    <w:link w:val="Char"/>
    <w:uiPriority w:val="99"/>
    <w:unhideWhenUsed/>
    <w:rsid w:val="00F039FF"/>
    <w:pPr>
      <w:spacing w:before="100" w:beforeAutospacing="1" w:after="120"/>
    </w:pPr>
  </w:style>
  <w:style w:type="character" w:customStyle="1" w:styleId="Char">
    <w:name w:val="正文文本 Char"/>
    <w:basedOn w:val="a1"/>
    <w:link w:val="a4"/>
    <w:uiPriority w:val="99"/>
    <w:rsid w:val="00F039FF"/>
    <w:rPr>
      <w:rFonts w:ascii="宋体" w:eastAsia="宋体" w:hAnsi="Times New Roman" w:cs="Times New Roman"/>
      <w:kern w:val="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846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2023-07-31T10:28:00Z</dcterms:created>
  <dcterms:modified xsi:type="dcterms:W3CDTF">2023-07-31T10:28:00Z</dcterms:modified>
</cp:coreProperties>
</file>